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3F2F2A">
      <w:pPr>
        <w:spacing w:line="500" w:lineRule="exact"/>
        <w:jc w:val="center"/>
        <w:rPr>
          <w:rFonts w:ascii="黑体" w:hAnsi="黑体" w:eastAsia="黑体"/>
          <w:sz w:val="32"/>
          <w:szCs w:val="28"/>
        </w:rPr>
      </w:pPr>
      <w:r>
        <w:rPr>
          <w:rFonts w:hint="eastAsia" w:ascii="黑体" w:hAnsi="黑体" w:eastAsia="黑体"/>
          <w:sz w:val="32"/>
          <w:szCs w:val="28"/>
        </w:rPr>
        <w:t>《成都</w:t>
      </w:r>
      <w:r>
        <w:rPr>
          <w:rFonts w:hint="eastAsia" w:ascii="黑体" w:hAnsi="黑体" w:eastAsia="黑体"/>
          <w:sz w:val="32"/>
          <w:szCs w:val="28"/>
          <w:lang w:eastAsia="zh-CN"/>
        </w:rPr>
        <w:t>浓香型</w:t>
      </w:r>
      <w:r>
        <w:rPr>
          <w:rFonts w:hint="eastAsia" w:ascii="黑体" w:hAnsi="黑体" w:eastAsia="黑体"/>
          <w:sz w:val="32"/>
          <w:szCs w:val="28"/>
        </w:rPr>
        <w:t>白酒原酒</w:t>
      </w:r>
      <w:r>
        <w:rPr>
          <w:rFonts w:hint="eastAsia" w:ascii="黑体" w:hAnsi="黑体" w:eastAsia="黑体"/>
          <w:sz w:val="32"/>
          <w:szCs w:val="28"/>
          <w:lang w:eastAsia="zh-CN"/>
        </w:rPr>
        <w:t>（征求意见稿）</w:t>
      </w:r>
      <w:r>
        <w:rPr>
          <w:rFonts w:hint="eastAsia" w:ascii="黑体" w:hAnsi="黑体" w:eastAsia="黑体"/>
          <w:sz w:val="32"/>
          <w:szCs w:val="28"/>
        </w:rPr>
        <w:t>》团体标准</w:t>
      </w:r>
    </w:p>
    <w:p w14:paraId="6774C081">
      <w:pPr>
        <w:spacing w:line="500" w:lineRule="exact"/>
        <w:jc w:val="center"/>
        <w:rPr>
          <w:rFonts w:ascii="黑体" w:hAnsi="黑体" w:eastAsia="黑体"/>
          <w:sz w:val="32"/>
          <w:szCs w:val="28"/>
        </w:rPr>
      </w:pPr>
      <w:r>
        <w:rPr>
          <w:rFonts w:hint="eastAsia" w:ascii="黑体" w:hAnsi="黑体" w:eastAsia="黑体"/>
          <w:sz w:val="32"/>
          <w:szCs w:val="28"/>
        </w:rPr>
        <w:t>编制说明</w:t>
      </w:r>
    </w:p>
    <w:p w14:paraId="2ABFA1E1">
      <w:pPr>
        <w:spacing w:line="360" w:lineRule="auto"/>
        <w:rPr>
          <w:rFonts w:eastAsia="黑体"/>
          <w:szCs w:val="21"/>
        </w:rPr>
      </w:pPr>
    </w:p>
    <w:p w14:paraId="5607B329">
      <w:pPr>
        <w:spacing w:line="360" w:lineRule="auto"/>
        <w:ind w:firstLine="480" w:firstLineChars="200"/>
        <w:outlineLvl w:val="0"/>
        <w:rPr>
          <w:rFonts w:hint="eastAsia" w:eastAsia="黑体"/>
          <w:sz w:val="24"/>
          <w:lang w:eastAsia="zh-CN"/>
        </w:rPr>
      </w:pPr>
      <w:r>
        <w:rPr>
          <w:rFonts w:hint="eastAsia" w:eastAsia="黑体"/>
          <w:sz w:val="24"/>
        </w:rPr>
        <w:t>一、</w:t>
      </w:r>
      <w:r>
        <w:rPr>
          <w:rFonts w:hint="eastAsia" w:eastAsia="黑体"/>
          <w:sz w:val="24"/>
          <w:lang w:eastAsia="zh-CN"/>
        </w:rPr>
        <w:t>工作简况</w:t>
      </w:r>
    </w:p>
    <w:p w14:paraId="0BA6AA4C">
      <w:pPr>
        <w:spacing w:line="360" w:lineRule="auto"/>
        <w:ind w:firstLine="480" w:firstLineChars="200"/>
        <w:outlineLvl w:val="1"/>
        <w:rPr>
          <w:rFonts w:hint="eastAsia"/>
          <w:sz w:val="24"/>
          <w:lang w:eastAsia="zh-CN"/>
        </w:rPr>
      </w:pPr>
      <w:r>
        <w:rPr>
          <w:rFonts w:hint="eastAsia"/>
          <w:sz w:val="24"/>
          <w:lang w:eastAsia="zh-CN"/>
        </w:rPr>
        <w:t>（一）任务来源</w:t>
      </w:r>
    </w:p>
    <w:p w14:paraId="03B8FB32">
      <w:pPr>
        <w:spacing w:line="360" w:lineRule="auto"/>
        <w:ind w:firstLine="480" w:firstLineChars="200"/>
        <w:rPr>
          <w:rFonts w:hint="eastAsia"/>
          <w:sz w:val="24"/>
          <w:lang w:eastAsia="zh-CN"/>
        </w:rPr>
      </w:pPr>
      <w:r>
        <w:rPr>
          <w:rFonts w:hint="eastAsia"/>
          <w:sz w:val="24"/>
        </w:rPr>
        <w:t>根据四川省食品</w:t>
      </w:r>
      <w:r>
        <w:rPr>
          <w:sz w:val="24"/>
        </w:rPr>
        <w:t>生产</w:t>
      </w:r>
      <w:r>
        <w:rPr>
          <w:rFonts w:hint="eastAsia"/>
          <w:sz w:val="24"/>
        </w:rPr>
        <w:t>经营</w:t>
      </w:r>
      <w:r>
        <w:rPr>
          <w:sz w:val="24"/>
        </w:rPr>
        <w:t>安全协会</w:t>
      </w:r>
      <w:r>
        <w:rPr>
          <w:rFonts w:hint="eastAsia"/>
          <w:sz w:val="24"/>
        </w:rPr>
        <w:t>《关于对〈</w:t>
      </w:r>
      <w:r>
        <w:rPr>
          <w:rFonts w:hint="eastAsia"/>
          <w:sz w:val="24"/>
          <w:lang w:eastAsia="zh-CN"/>
        </w:rPr>
        <w:t>成都浓香型白酒原酒</w:t>
      </w:r>
      <w:r>
        <w:rPr>
          <w:sz w:val="24"/>
        </w:rPr>
        <w:t>团体标准制修订立项申请</w:t>
      </w:r>
      <w:r>
        <w:rPr>
          <w:rFonts w:hint="eastAsia"/>
          <w:sz w:val="24"/>
        </w:rPr>
        <w:t>书〉进行</w:t>
      </w:r>
      <w:r>
        <w:rPr>
          <w:sz w:val="24"/>
        </w:rPr>
        <w:t>公示的通知</w:t>
      </w:r>
      <w:r>
        <w:rPr>
          <w:rFonts w:hint="eastAsia"/>
          <w:sz w:val="24"/>
        </w:rPr>
        <w:t>》，《</w:t>
      </w:r>
      <w:r>
        <w:rPr>
          <w:rFonts w:hint="eastAsia"/>
          <w:sz w:val="24"/>
          <w:lang w:eastAsia="zh-CN"/>
        </w:rPr>
        <w:t>成都浓香型白酒原酒</w:t>
      </w:r>
      <w:r>
        <w:rPr>
          <w:rFonts w:hint="eastAsia"/>
          <w:sz w:val="24"/>
        </w:rPr>
        <w:t>》团体标准予以立项</w:t>
      </w:r>
      <w:r>
        <w:rPr>
          <w:rFonts w:hint="eastAsia"/>
          <w:sz w:val="24"/>
          <w:lang w:eastAsia="zh-CN"/>
        </w:rPr>
        <w:t>。</w:t>
      </w:r>
    </w:p>
    <w:p w14:paraId="1022894E">
      <w:pPr>
        <w:spacing w:line="360" w:lineRule="auto"/>
        <w:ind w:firstLine="480" w:firstLineChars="200"/>
        <w:outlineLvl w:val="1"/>
        <w:rPr>
          <w:rFonts w:hint="eastAsia"/>
          <w:sz w:val="24"/>
          <w:lang w:eastAsia="zh-CN"/>
        </w:rPr>
      </w:pPr>
      <w:r>
        <w:rPr>
          <w:rFonts w:hint="eastAsia"/>
          <w:sz w:val="24"/>
          <w:lang w:eastAsia="zh-CN"/>
        </w:rPr>
        <w:t>（二）制定背景</w:t>
      </w:r>
    </w:p>
    <w:p w14:paraId="77AFE3E7">
      <w:pPr>
        <w:spacing w:line="360" w:lineRule="auto"/>
        <w:ind w:firstLine="480" w:firstLineChars="200"/>
        <w:rPr>
          <w:rFonts w:hint="eastAsia"/>
          <w:sz w:val="24"/>
        </w:rPr>
      </w:pPr>
      <w:r>
        <w:rPr>
          <w:rFonts w:hint="eastAsia"/>
          <w:sz w:val="24"/>
        </w:rPr>
        <w:t>川酒成都产区作为川酒五大核心产区之一，地处长江上游岷江水系，具备邛崃崖谷地、冰川水、黄泥窖三大独特优势，为浓香型白酒酿造营造了得天独厚的自然环境，赋予了浓香型白酒独树一帜的风味。近年来，川酒成都产区发展势头强劲，始终保持高质量发展态势。</w:t>
      </w:r>
    </w:p>
    <w:p w14:paraId="1ED4242A">
      <w:pPr>
        <w:spacing w:line="360" w:lineRule="auto"/>
        <w:ind w:firstLine="480" w:firstLineChars="200"/>
        <w:rPr>
          <w:rFonts w:hint="eastAsia"/>
          <w:sz w:val="24"/>
        </w:rPr>
      </w:pPr>
      <w:r>
        <w:rPr>
          <w:rFonts w:hint="eastAsia"/>
          <w:sz w:val="24"/>
        </w:rPr>
        <w:t>从全省白酒产业格局看，四川省委十二届三次全会明确提出打造世界级优质白酒产业集群的目标，但当前四川白酒产业存在突出的结构失衡问题，品牌白酒以10%的产量占据几乎全部利润，而原酒企业虽贡献90%的产量，却面临利润微薄甚至亏损的困境。具体到川酒成都产区，其原酒主要供应省外品牌酒企，因缺乏市场话语权，常遭终端品牌压价，价值难以彰显。</w:t>
      </w:r>
    </w:p>
    <w:p w14:paraId="5548B250">
      <w:pPr>
        <w:spacing w:line="360" w:lineRule="auto"/>
        <w:ind w:firstLine="480" w:firstLineChars="200"/>
        <w:rPr>
          <w:rFonts w:hint="eastAsia"/>
          <w:color w:val="0000FF"/>
          <w:sz w:val="24"/>
          <w:lang w:val="en-US" w:eastAsia="zh-CN"/>
        </w:rPr>
      </w:pPr>
      <w:r>
        <w:rPr>
          <w:rFonts w:hint="eastAsia"/>
          <w:sz w:val="24"/>
        </w:rPr>
        <w:t>当前，白酒市场原酒质量参差不齐，部分产品存在添加食用酒精及非发酵物质等乱象，严重损害消费者权益与行业声誉。成都作为浓香型白酒核心产区，原酒生产规模庞大，但缺乏统一规范导致区域品牌竞争力分散。</w:t>
      </w:r>
      <w:r>
        <w:rPr>
          <w:rFonts w:hint="eastAsia"/>
          <w:sz w:val="24"/>
          <w:lang w:val="en-US" w:eastAsia="zh-CN"/>
        </w:rPr>
        <w:t>在GB/T 10781.1-2021《白酒质量要求第1 部分：浓香型白酒》、GB/T 15109-2021《白酒工业术语》及GB/T 17204-2021《饮料酒术语和分类》等国家标准相继实施的大背景下，为推进成都白酒产业高质量发展，亟需结合</w:t>
      </w:r>
      <w:r>
        <w:rPr>
          <w:rFonts w:hint="eastAsia"/>
          <w:sz w:val="24"/>
        </w:rPr>
        <w:t>川酒成都产区</w:t>
      </w:r>
      <w:r>
        <w:rPr>
          <w:rFonts w:hint="eastAsia"/>
          <w:sz w:val="24"/>
          <w:lang w:val="en-US" w:eastAsia="zh-CN"/>
        </w:rPr>
        <w:t>的发展现状及发展方向，通过制定产区白酒原酒标准，</w:t>
      </w:r>
      <w:r>
        <w:rPr>
          <w:rFonts w:hint="eastAsia"/>
          <w:sz w:val="24"/>
        </w:rPr>
        <w:t>既能从源头把控原酒品质，提升</w:t>
      </w:r>
      <w:r>
        <w:rPr>
          <w:rFonts w:hint="eastAsia"/>
          <w:sz w:val="24"/>
          <w:lang w:eastAsia="zh-CN"/>
        </w:rPr>
        <w:t>“</w:t>
      </w:r>
      <w:r>
        <w:rPr>
          <w:rFonts w:hint="eastAsia"/>
          <w:sz w:val="24"/>
        </w:rPr>
        <w:t>成都原酒</w:t>
      </w:r>
      <w:r>
        <w:rPr>
          <w:rFonts w:hint="eastAsia"/>
          <w:sz w:val="24"/>
          <w:lang w:eastAsia="zh-CN"/>
        </w:rPr>
        <w:t>”</w:t>
      </w:r>
      <w:r>
        <w:rPr>
          <w:rFonts w:hint="eastAsia"/>
          <w:sz w:val="24"/>
        </w:rPr>
        <w:t>地域品牌的市场溢价能力，又能推动中小企业技术升级，淘汰落后产能，助力川酒产业从</w:t>
      </w:r>
      <w:r>
        <w:rPr>
          <w:rFonts w:hint="eastAsia"/>
          <w:sz w:val="24"/>
          <w:lang w:eastAsia="zh-CN"/>
        </w:rPr>
        <w:t>“</w:t>
      </w:r>
      <w:r>
        <w:rPr>
          <w:rFonts w:hint="eastAsia"/>
          <w:sz w:val="24"/>
        </w:rPr>
        <w:t>经验主导</w:t>
      </w:r>
      <w:r>
        <w:rPr>
          <w:rFonts w:hint="eastAsia"/>
          <w:sz w:val="24"/>
          <w:lang w:eastAsia="zh-CN"/>
        </w:rPr>
        <w:t>”</w:t>
      </w:r>
      <w:r>
        <w:rPr>
          <w:rFonts w:hint="eastAsia"/>
          <w:sz w:val="24"/>
        </w:rPr>
        <w:t>向</w:t>
      </w:r>
      <w:r>
        <w:rPr>
          <w:rFonts w:hint="eastAsia"/>
          <w:sz w:val="24"/>
          <w:lang w:eastAsia="zh-CN"/>
        </w:rPr>
        <w:t>“</w:t>
      </w:r>
      <w:r>
        <w:rPr>
          <w:rFonts w:hint="eastAsia"/>
          <w:sz w:val="24"/>
        </w:rPr>
        <w:t>科学规范</w:t>
      </w:r>
      <w:r>
        <w:rPr>
          <w:rFonts w:hint="eastAsia"/>
          <w:sz w:val="24"/>
          <w:lang w:eastAsia="zh-CN"/>
        </w:rPr>
        <w:t>”</w:t>
      </w:r>
      <w:r>
        <w:rPr>
          <w:rFonts w:hint="eastAsia"/>
          <w:sz w:val="24"/>
        </w:rPr>
        <w:t>转型，</w:t>
      </w:r>
      <w:r>
        <w:rPr>
          <w:rFonts w:hint="eastAsia"/>
          <w:sz w:val="24"/>
          <w:lang w:val="en-US" w:eastAsia="zh-CN"/>
        </w:rPr>
        <w:t>凸显成都原酒产区优势，为成都白酒新一轮高质量发展提供标准引领和保障。</w:t>
      </w:r>
    </w:p>
    <w:p w14:paraId="4DA657C7">
      <w:pPr>
        <w:spacing w:line="360" w:lineRule="auto"/>
        <w:ind w:firstLine="480" w:firstLineChars="200"/>
        <w:outlineLvl w:val="1"/>
        <w:rPr>
          <w:rFonts w:hint="eastAsia"/>
          <w:sz w:val="24"/>
          <w:lang w:eastAsia="zh-CN"/>
        </w:rPr>
      </w:pPr>
      <w:r>
        <w:rPr>
          <w:rFonts w:hint="eastAsia"/>
          <w:sz w:val="24"/>
          <w:lang w:eastAsia="zh-CN"/>
        </w:rPr>
        <w:t>（三）协作单位</w:t>
      </w:r>
    </w:p>
    <w:p w14:paraId="55738D79">
      <w:pPr>
        <w:spacing w:line="360" w:lineRule="auto"/>
        <w:ind w:firstLine="480" w:firstLineChars="200"/>
        <w:rPr>
          <w:rFonts w:hint="eastAsia" w:eastAsia="宋体"/>
          <w:sz w:val="24"/>
          <w:lang w:eastAsia="zh-CN"/>
        </w:rPr>
      </w:pPr>
      <w:r>
        <w:rPr>
          <w:rFonts w:hint="eastAsia"/>
          <w:sz w:val="24"/>
          <w:lang w:eastAsia="zh-CN"/>
        </w:rPr>
        <w:t>本标准由</w:t>
      </w:r>
      <w:r>
        <w:rPr>
          <w:rFonts w:hint="eastAsia"/>
          <w:sz w:val="24"/>
        </w:rPr>
        <w:t>四川省食品</w:t>
      </w:r>
      <w:r>
        <w:rPr>
          <w:sz w:val="24"/>
        </w:rPr>
        <w:t>生产</w:t>
      </w:r>
      <w:r>
        <w:rPr>
          <w:rFonts w:hint="eastAsia"/>
          <w:sz w:val="24"/>
        </w:rPr>
        <w:t>经营</w:t>
      </w:r>
      <w:r>
        <w:rPr>
          <w:sz w:val="24"/>
        </w:rPr>
        <w:t>安全协会</w:t>
      </w:r>
      <w:r>
        <w:rPr>
          <w:rFonts w:hint="eastAsia"/>
          <w:sz w:val="24"/>
          <w:lang w:eastAsia="zh-CN"/>
        </w:rPr>
        <w:t>牵头，</w:t>
      </w:r>
      <w:r>
        <w:rPr>
          <w:rFonts w:hint="eastAsia"/>
          <w:sz w:val="24"/>
        </w:rPr>
        <w:t>成都市标准化研究院</w:t>
      </w:r>
      <w:r>
        <w:rPr>
          <w:rFonts w:hint="eastAsia"/>
          <w:sz w:val="24"/>
          <w:lang w:eastAsia="zh-CN"/>
        </w:rPr>
        <w:t>、</w:t>
      </w:r>
      <w:r>
        <w:rPr>
          <w:rFonts w:hint="eastAsia"/>
          <w:sz w:val="24"/>
        </w:rPr>
        <w:t>四川水井坊股份有限公司</w:t>
      </w:r>
      <w:r>
        <w:rPr>
          <w:rFonts w:hint="eastAsia"/>
          <w:sz w:val="24"/>
          <w:lang w:eastAsia="zh-CN"/>
        </w:rPr>
        <w:t>、</w:t>
      </w:r>
      <w:r>
        <w:rPr>
          <w:rFonts w:hint="eastAsia"/>
          <w:sz w:val="24"/>
        </w:rPr>
        <w:t>四川全兴酒业有限公司</w:t>
      </w:r>
      <w:r>
        <w:rPr>
          <w:rFonts w:hint="eastAsia"/>
          <w:sz w:val="24"/>
          <w:lang w:eastAsia="zh-CN"/>
        </w:rPr>
        <w:t>、</w:t>
      </w:r>
      <w:r>
        <w:rPr>
          <w:rFonts w:hint="eastAsia"/>
          <w:sz w:val="24"/>
        </w:rPr>
        <w:t>四川金六福酒业有限公司</w:t>
      </w:r>
      <w:r>
        <w:rPr>
          <w:rFonts w:hint="eastAsia"/>
          <w:sz w:val="24"/>
          <w:lang w:eastAsia="zh-CN"/>
        </w:rPr>
        <w:t>、</w:t>
      </w:r>
      <w:r>
        <w:rPr>
          <w:rFonts w:hint="eastAsia"/>
          <w:sz w:val="24"/>
        </w:rPr>
        <w:t>宜府春酒业集团有限公司</w:t>
      </w:r>
      <w:r>
        <w:rPr>
          <w:rFonts w:hint="eastAsia"/>
          <w:sz w:val="24"/>
          <w:lang w:eastAsia="zh-CN"/>
        </w:rPr>
        <w:t>、</w:t>
      </w:r>
      <w:r>
        <w:rPr>
          <w:rFonts w:hint="eastAsia"/>
          <w:sz w:val="24"/>
        </w:rPr>
        <w:t>成都蜀之源酒业有限公司</w:t>
      </w:r>
      <w:r>
        <w:rPr>
          <w:rFonts w:hint="eastAsia"/>
          <w:sz w:val="24"/>
          <w:lang w:eastAsia="zh-CN"/>
        </w:rPr>
        <w:t>、</w:t>
      </w:r>
      <w:r>
        <w:rPr>
          <w:rFonts w:hint="eastAsia"/>
          <w:sz w:val="24"/>
        </w:rPr>
        <w:t>成都顺牛酒业有限责任公司</w:t>
      </w:r>
      <w:r>
        <w:rPr>
          <w:rFonts w:hint="eastAsia"/>
          <w:sz w:val="24"/>
          <w:lang w:eastAsia="zh-CN"/>
        </w:rPr>
        <w:t>、</w:t>
      </w:r>
      <w:r>
        <w:rPr>
          <w:rFonts w:hint="eastAsia"/>
          <w:sz w:val="24"/>
        </w:rPr>
        <w:t>四川光良酿酒有限公司</w:t>
      </w:r>
      <w:r>
        <w:rPr>
          <w:rFonts w:hint="eastAsia"/>
          <w:sz w:val="24"/>
          <w:lang w:eastAsia="zh-CN"/>
        </w:rPr>
        <w:t>、</w:t>
      </w:r>
      <w:r>
        <w:rPr>
          <w:rFonts w:hint="eastAsia"/>
          <w:sz w:val="24"/>
        </w:rPr>
        <w:t>四川省文君井酒业集团有限公司</w:t>
      </w:r>
      <w:r>
        <w:rPr>
          <w:rFonts w:hint="eastAsia"/>
          <w:sz w:val="24"/>
          <w:lang w:eastAsia="zh-CN"/>
        </w:rPr>
        <w:t>、</w:t>
      </w:r>
      <w:r>
        <w:rPr>
          <w:rFonts w:hint="eastAsia"/>
          <w:sz w:val="24"/>
        </w:rPr>
        <w:t>四川省渔樵（集团）有限公司</w:t>
      </w:r>
      <w:r>
        <w:rPr>
          <w:rFonts w:hint="eastAsia"/>
          <w:sz w:val="24"/>
          <w:lang w:eastAsia="zh-CN"/>
        </w:rPr>
        <w:t>、</w:t>
      </w:r>
      <w:r>
        <w:rPr>
          <w:rFonts w:hint="eastAsia"/>
          <w:sz w:val="24"/>
        </w:rPr>
        <w:t>四川川池集团股份有限公司</w:t>
      </w:r>
      <w:r>
        <w:rPr>
          <w:rFonts w:hint="eastAsia"/>
          <w:sz w:val="24"/>
          <w:lang w:eastAsia="zh-CN"/>
        </w:rPr>
        <w:t>、</w:t>
      </w:r>
      <w:r>
        <w:rPr>
          <w:rFonts w:hint="eastAsia"/>
          <w:sz w:val="24"/>
        </w:rPr>
        <w:t>四川春泉（古蜀坊）集团有限公司</w:t>
      </w:r>
      <w:r>
        <w:rPr>
          <w:rFonts w:hint="eastAsia"/>
          <w:sz w:val="24"/>
          <w:lang w:eastAsia="zh-CN"/>
        </w:rPr>
        <w:t>、</w:t>
      </w:r>
      <w:r>
        <w:rPr>
          <w:rFonts w:hint="eastAsia"/>
          <w:sz w:val="24"/>
        </w:rPr>
        <w:t>四川天府金盆地酒业集团有限公司</w:t>
      </w:r>
      <w:r>
        <w:rPr>
          <w:rFonts w:hint="eastAsia"/>
          <w:sz w:val="24"/>
          <w:lang w:eastAsia="zh-CN"/>
        </w:rPr>
        <w:t>、</w:t>
      </w:r>
      <w:r>
        <w:rPr>
          <w:rFonts w:hint="eastAsia"/>
          <w:sz w:val="24"/>
        </w:rPr>
        <w:t>四川崇阳酒业有限责任公司</w:t>
      </w:r>
      <w:r>
        <w:rPr>
          <w:rFonts w:hint="eastAsia"/>
          <w:sz w:val="24"/>
          <w:lang w:eastAsia="zh-CN"/>
        </w:rPr>
        <w:t>、</w:t>
      </w:r>
      <w:r>
        <w:rPr>
          <w:rFonts w:hint="eastAsia"/>
          <w:sz w:val="24"/>
        </w:rPr>
        <w:t>四川省贵妃酒厂</w:t>
      </w:r>
      <w:r>
        <w:rPr>
          <w:rFonts w:hint="eastAsia"/>
          <w:sz w:val="24"/>
          <w:lang w:eastAsia="zh-CN"/>
        </w:rPr>
        <w:t>、</w:t>
      </w:r>
      <w:r>
        <w:rPr>
          <w:rFonts w:hint="eastAsia"/>
          <w:sz w:val="24"/>
        </w:rPr>
        <w:t>四川省成都市云天酒业有限公司</w:t>
      </w:r>
      <w:r>
        <w:rPr>
          <w:rFonts w:hint="eastAsia"/>
          <w:sz w:val="24"/>
          <w:lang w:eastAsia="zh-CN"/>
        </w:rPr>
        <w:t>、</w:t>
      </w:r>
      <w:r>
        <w:rPr>
          <w:rFonts w:hint="eastAsia"/>
          <w:sz w:val="24"/>
        </w:rPr>
        <w:t>成都市缘河酒厂</w:t>
      </w:r>
      <w:r>
        <w:rPr>
          <w:rFonts w:hint="eastAsia"/>
          <w:sz w:val="24"/>
          <w:lang w:eastAsia="zh-CN"/>
        </w:rPr>
        <w:t>、</w:t>
      </w:r>
      <w:r>
        <w:rPr>
          <w:rFonts w:hint="eastAsia"/>
          <w:sz w:val="24"/>
        </w:rPr>
        <w:t>成都金源酒业有限公司</w:t>
      </w:r>
      <w:r>
        <w:rPr>
          <w:rFonts w:hint="eastAsia"/>
          <w:sz w:val="24"/>
          <w:lang w:eastAsia="zh-CN"/>
        </w:rPr>
        <w:t>共同参与起草。</w:t>
      </w:r>
    </w:p>
    <w:p w14:paraId="2EF77423">
      <w:pPr>
        <w:spacing w:line="360" w:lineRule="auto"/>
        <w:ind w:firstLine="480" w:firstLineChars="200"/>
        <w:outlineLvl w:val="1"/>
        <w:rPr>
          <w:rFonts w:hint="eastAsia"/>
          <w:sz w:val="24"/>
          <w:lang w:eastAsia="zh-CN"/>
        </w:rPr>
      </w:pPr>
      <w:r>
        <w:rPr>
          <w:rFonts w:hint="eastAsia"/>
          <w:sz w:val="24"/>
          <w:lang w:eastAsia="zh-CN"/>
        </w:rPr>
        <w:t>（四）主要工作过程</w:t>
      </w:r>
    </w:p>
    <w:p w14:paraId="7C5230BA">
      <w:pPr>
        <w:spacing w:line="360" w:lineRule="auto"/>
        <w:ind w:firstLine="480" w:firstLineChars="200"/>
        <w:rPr>
          <w:rFonts w:hint="eastAsia"/>
          <w:sz w:val="24"/>
          <w:lang w:val="en-US" w:eastAsia="zh-CN"/>
        </w:rPr>
      </w:pPr>
      <w:r>
        <w:rPr>
          <w:rFonts w:hint="eastAsia"/>
          <w:sz w:val="24"/>
          <w:lang w:val="en-US" w:eastAsia="zh-CN"/>
        </w:rPr>
        <w:t>1.成立标准起草组</w:t>
      </w:r>
    </w:p>
    <w:p w14:paraId="1CB85C0A">
      <w:pPr>
        <w:spacing w:line="360" w:lineRule="auto"/>
        <w:ind w:firstLine="480" w:firstLineChars="200"/>
        <w:rPr>
          <w:rFonts w:hint="eastAsia"/>
          <w:sz w:val="24"/>
          <w:lang w:val="en-US" w:eastAsia="zh-CN"/>
        </w:rPr>
      </w:pPr>
      <w:r>
        <w:rPr>
          <w:rFonts w:hint="eastAsia"/>
          <w:sz w:val="24"/>
          <w:lang w:val="en-US" w:eastAsia="zh-CN"/>
        </w:rPr>
        <w:t>2025年6月，由四川省食品生产经营安全协会牵头，联合</w:t>
      </w:r>
      <w:r>
        <w:rPr>
          <w:rFonts w:hint="eastAsia"/>
          <w:sz w:val="24"/>
        </w:rPr>
        <w:t>成都市标准化研究院</w:t>
      </w:r>
      <w:r>
        <w:rPr>
          <w:rFonts w:hint="eastAsia"/>
          <w:sz w:val="24"/>
          <w:lang w:eastAsia="zh-CN"/>
        </w:rPr>
        <w:t>及</w:t>
      </w:r>
      <w:r>
        <w:rPr>
          <w:rFonts w:hint="eastAsia"/>
          <w:sz w:val="24"/>
          <w:lang w:val="en-US" w:eastAsia="zh-CN"/>
        </w:rPr>
        <w:t>成都浓香型白酒原酒生产企业代表共同成立标准起草组。标准起草组充分征求各方意见和建议，对标准制定工作的安排进行了规定。</w:t>
      </w:r>
    </w:p>
    <w:p w14:paraId="7AF60E05">
      <w:pPr>
        <w:spacing w:line="360" w:lineRule="auto"/>
        <w:ind w:firstLine="480" w:firstLineChars="200"/>
        <w:rPr>
          <w:rFonts w:hint="eastAsia"/>
          <w:sz w:val="24"/>
          <w:lang w:val="en-US" w:eastAsia="zh-CN"/>
        </w:rPr>
      </w:pPr>
      <w:r>
        <w:rPr>
          <w:rFonts w:hint="eastAsia"/>
          <w:sz w:val="24"/>
          <w:lang w:val="en-US" w:eastAsia="zh-CN"/>
        </w:rPr>
        <w:t>2.调研起草阶段</w:t>
      </w:r>
    </w:p>
    <w:p w14:paraId="77F4DDB5">
      <w:pPr>
        <w:spacing w:line="360" w:lineRule="auto"/>
        <w:ind w:firstLine="480" w:firstLineChars="200"/>
        <w:rPr>
          <w:rFonts w:hint="eastAsia"/>
          <w:sz w:val="24"/>
          <w:lang w:val="en-US" w:eastAsia="zh-CN"/>
        </w:rPr>
      </w:pPr>
      <w:r>
        <w:rPr>
          <w:rFonts w:hint="eastAsia"/>
          <w:sz w:val="24"/>
          <w:lang w:val="en-US" w:eastAsia="zh-CN"/>
        </w:rPr>
        <w:t>2025年6月至7月，标准起草组对成都浓香型白酒原酒当前生产工艺的实际情况开展调研，通过深入沟通交流，广泛收集标准制定相关资料及反馈信息。在前期资料收集与调研基础上，起草组结合产区生产工艺实际，经内部讨论，对标准初稿多次修改完善，最终形成《成都浓香型白酒原酒》团体标准（征求意见稿）。</w:t>
      </w:r>
    </w:p>
    <w:p w14:paraId="50258544">
      <w:pPr>
        <w:spacing w:line="360" w:lineRule="auto"/>
        <w:ind w:firstLine="480" w:firstLineChars="200"/>
        <w:outlineLvl w:val="0"/>
        <w:rPr>
          <w:rFonts w:hint="eastAsia" w:eastAsia="黑体"/>
          <w:sz w:val="24"/>
          <w:lang w:eastAsia="zh-CN"/>
        </w:rPr>
      </w:pPr>
      <w:r>
        <w:rPr>
          <w:rFonts w:hint="eastAsia" w:eastAsia="黑体"/>
          <w:sz w:val="24"/>
          <w:lang w:eastAsia="zh-CN"/>
        </w:rPr>
        <w:t>二</w:t>
      </w:r>
      <w:r>
        <w:rPr>
          <w:rFonts w:hint="eastAsia" w:eastAsia="黑体"/>
          <w:sz w:val="24"/>
        </w:rPr>
        <w:t>、</w:t>
      </w:r>
      <w:r>
        <w:rPr>
          <w:rFonts w:hint="eastAsia" w:eastAsia="黑体"/>
          <w:sz w:val="24"/>
          <w:lang w:eastAsia="zh-CN"/>
        </w:rPr>
        <w:t>标准编制原则和主要内容</w:t>
      </w:r>
    </w:p>
    <w:p w14:paraId="2A5F3BFB">
      <w:pPr>
        <w:spacing w:line="360" w:lineRule="auto"/>
        <w:ind w:firstLine="480" w:firstLineChars="200"/>
        <w:outlineLvl w:val="1"/>
        <w:rPr>
          <w:rFonts w:hint="default" w:ascii="Times New Roman" w:hAnsi="Times New Roman" w:cs="Times New Roman"/>
          <w:sz w:val="24"/>
          <w:lang w:val="en-US" w:eastAsia="zh-CN"/>
        </w:rPr>
      </w:pPr>
      <w:r>
        <w:rPr>
          <w:rFonts w:hint="default" w:ascii="Times New Roman" w:hAnsi="Times New Roman" w:cs="Times New Roman"/>
          <w:sz w:val="24"/>
          <w:lang w:val="en-US" w:eastAsia="zh-CN"/>
        </w:rPr>
        <w:t>（一）编制原则</w:t>
      </w:r>
    </w:p>
    <w:p w14:paraId="46520D21">
      <w:pPr>
        <w:spacing w:line="360" w:lineRule="auto"/>
        <w:ind w:firstLine="480" w:firstLineChars="200"/>
        <w:rPr>
          <w:rFonts w:hint="default" w:ascii="Times New Roman" w:hAnsi="Times New Roman" w:cs="Times New Roman"/>
          <w:sz w:val="24"/>
          <w:lang w:val="en-US" w:eastAsia="zh-CN"/>
        </w:rPr>
      </w:pPr>
      <w:r>
        <w:rPr>
          <w:rFonts w:hint="default" w:ascii="Times New Roman" w:hAnsi="Times New Roman" w:cs="Times New Roman"/>
          <w:sz w:val="24"/>
          <w:lang w:val="en-US" w:eastAsia="zh-CN"/>
        </w:rPr>
        <w:t>本标准编制遵循</w:t>
      </w:r>
      <w:r>
        <w:rPr>
          <w:rFonts w:hint="eastAsia" w:ascii="Times New Roman" w:hAnsi="Times New Roman" w:cs="Times New Roman"/>
          <w:sz w:val="24"/>
          <w:lang w:val="en-US" w:eastAsia="zh-CN"/>
        </w:rPr>
        <w:t>“</w:t>
      </w:r>
      <w:r>
        <w:rPr>
          <w:rFonts w:hint="default" w:ascii="Times New Roman" w:hAnsi="Times New Roman" w:cs="Times New Roman"/>
          <w:sz w:val="24"/>
          <w:lang w:val="en-US" w:eastAsia="zh-CN"/>
        </w:rPr>
        <w:t>科学性、</w:t>
      </w:r>
      <w:r>
        <w:rPr>
          <w:rFonts w:hint="eastAsia" w:ascii="Times New Roman" w:hAnsi="Times New Roman" w:cs="Times New Roman"/>
          <w:sz w:val="24"/>
          <w:lang w:val="en-US" w:eastAsia="zh-CN"/>
        </w:rPr>
        <w:t>合理性、</w:t>
      </w:r>
      <w:r>
        <w:rPr>
          <w:rFonts w:hint="default" w:ascii="Times New Roman" w:hAnsi="Times New Roman" w:cs="Times New Roman"/>
          <w:sz w:val="24"/>
          <w:lang w:val="en-US" w:eastAsia="zh-CN"/>
        </w:rPr>
        <w:t>规范性</w:t>
      </w:r>
      <w:r>
        <w:rPr>
          <w:rFonts w:hint="eastAsia" w:ascii="Times New Roman" w:hAnsi="Times New Roman" w:cs="Times New Roman"/>
          <w:sz w:val="24"/>
          <w:lang w:val="en-US" w:eastAsia="zh-CN"/>
        </w:rPr>
        <w:t>、适用性、协调性”</w:t>
      </w:r>
      <w:r>
        <w:rPr>
          <w:rFonts w:hint="default" w:ascii="Times New Roman" w:hAnsi="Times New Roman" w:cs="Times New Roman"/>
          <w:sz w:val="24"/>
          <w:lang w:val="en-US" w:eastAsia="zh-CN"/>
        </w:rPr>
        <w:t>原则，根据《中华人民共和国标准化法》《四川省食品安全地方标准管理办法》等相关规定</w:t>
      </w:r>
      <w:r>
        <w:rPr>
          <w:rFonts w:hint="eastAsia" w:cs="Times New Roman"/>
          <w:sz w:val="24"/>
          <w:lang w:val="en-US" w:eastAsia="zh-CN"/>
        </w:rPr>
        <w:t>开展</w:t>
      </w:r>
      <w:r>
        <w:rPr>
          <w:rFonts w:hint="default" w:ascii="Times New Roman" w:hAnsi="Times New Roman" w:cs="Times New Roman"/>
          <w:sz w:val="24"/>
          <w:lang w:val="en-US" w:eastAsia="zh-CN"/>
        </w:rPr>
        <w:t>编制</w:t>
      </w:r>
      <w:r>
        <w:rPr>
          <w:rFonts w:hint="eastAsia" w:cs="Times New Roman"/>
          <w:sz w:val="24"/>
          <w:lang w:val="en-US" w:eastAsia="zh-CN"/>
        </w:rPr>
        <w:t>工作</w:t>
      </w:r>
      <w:r>
        <w:rPr>
          <w:rFonts w:hint="default" w:ascii="Times New Roman" w:hAnsi="Times New Roman" w:cs="Times New Roman"/>
          <w:sz w:val="24"/>
          <w:lang w:val="en-US" w:eastAsia="zh-CN"/>
        </w:rPr>
        <w:t>。标准的结构、内容、格式严格按照GB/T1.1</w:t>
      </w:r>
      <w:r>
        <w:rPr>
          <w:rFonts w:hint="eastAsia" w:ascii="Times New Roman" w:hAnsi="Times New Roman" w:cs="Times New Roman"/>
          <w:sz w:val="24"/>
          <w:lang w:val="en-US" w:eastAsia="zh-CN"/>
        </w:rPr>
        <w:t>-</w:t>
      </w:r>
      <w:r>
        <w:rPr>
          <w:rFonts w:hint="default" w:ascii="Times New Roman" w:hAnsi="Times New Roman" w:cs="Times New Roman"/>
          <w:sz w:val="24"/>
          <w:lang w:val="en-US" w:eastAsia="zh-CN"/>
        </w:rPr>
        <w:t>2020《标准化工作导则 第1部分：标准化文件的结构和起草规则》要求编写。</w:t>
      </w:r>
    </w:p>
    <w:p w14:paraId="5034FE3D">
      <w:pPr>
        <w:spacing w:line="360" w:lineRule="auto"/>
        <w:ind w:firstLine="480" w:firstLineChars="200"/>
        <w:outlineLvl w:val="1"/>
        <w:rPr>
          <w:rFonts w:hint="default" w:ascii="Times New Roman" w:hAnsi="Times New Roman" w:cs="Times New Roman"/>
          <w:sz w:val="24"/>
          <w:lang w:val="en-US" w:eastAsia="zh-CN"/>
        </w:rPr>
      </w:pPr>
      <w:r>
        <w:rPr>
          <w:rFonts w:hint="default" w:ascii="Times New Roman" w:hAnsi="Times New Roman" w:cs="Times New Roman"/>
          <w:sz w:val="24"/>
          <w:lang w:val="en-US" w:eastAsia="zh-CN"/>
        </w:rPr>
        <w:t>（二）主要内容</w:t>
      </w:r>
    </w:p>
    <w:p w14:paraId="0C873B8E">
      <w:pPr>
        <w:spacing w:line="360" w:lineRule="auto"/>
        <w:ind w:firstLine="480" w:firstLineChars="200"/>
        <w:rPr>
          <w:rFonts w:hint="eastAsia" w:ascii="Times New Roman" w:hAnsi="Times New Roman" w:cs="Times New Roman"/>
          <w:sz w:val="24"/>
          <w:lang w:val="en-US" w:eastAsia="zh-CN"/>
        </w:rPr>
      </w:pPr>
      <w:r>
        <w:rPr>
          <w:rFonts w:hint="default" w:ascii="Times New Roman" w:hAnsi="Times New Roman" w:cs="Times New Roman"/>
          <w:sz w:val="24"/>
          <w:lang w:val="en-US" w:eastAsia="zh-CN"/>
        </w:rPr>
        <w:t>本标准分为</w:t>
      </w:r>
      <w:r>
        <w:rPr>
          <w:rFonts w:hint="eastAsia" w:ascii="Times New Roman" w:hAnsi="Times New Roman" w:cs="Times New Roman"/>
          <w:sz w:val="24"/>
          <w:lang w:val="en-US" w:eastAsia="zh-CN"/>
        </w:rPr>
        <w:t>10</w:t>
      </w:r>
      <w:r>
        <w:rPr>
          <w:rFonts w:hint="default" w:ascii="Times New Roman" w:hAnsi="Times New Roman" w:cs="Times New Roman"/>
          <w:sz w:val="24"/>
          <w:lang w:val="en-US" w:eastAsia="zh-CN"/>
        </w:rPr>
        <w:t>章</w:t>
      </w:r>
      <w:r>
        <w:rPr>
          <w:rFonts w:hint="eastAsia" w:ascii="Times New Roman" w:hAnsi="Times New Roman" w:cs="Times New Roman"/>
          <w:sz w:val="24"/>
          <w:lang w:val="en-US" w:eastAsia="zh-CN"/>
        </w:rPr>
        <w:t>正文和附录A，</w:t>
      </w:r>
      <w:r>
        <w:rPr>
          <w:rFonts w:hint="default" w:ascii="Times New Roman" w:hAnsi="Times New Roman" w:cs="Times New Roman"/>
          <w:sz w:val="24"/>
          <w:lang w:val="en-US" w:eastAsia="zh-CN"/>
        </w:rPr>
        <w:t>包括范围、规范性引用文件、术语和定义、产品</w:t>
      </w:r>
      <w:r>
        <w:rPr>
          <w:rFonts w:hint="eastAsia" w:ascii="Times New Roman" w:hAnsi="Times New Roman" w:cs="Times New Roman"/>
          <w:sz w:val="24"/>
          <w:lang w:val="en-US" w:eastAsia="zh-CN"/>
        </w:rPr>
        <w:t>分级</w:t>
      </w:r>
      <w:r>
        <w:rPr>
          <w:rFonts w:hint="default" w:ascii="Times New Roman" w:hAnsi="Times New Roman" w:cs="Times New Roman"/>
          <w:sz w:val="24"/>
          <w:lang w:val="en-US" w:eastAsia="zh-CN"/>
        </w:rPr>
        <w:t>、原辅料要求、生产工艺要求、技术要求、试验方法、检验检测和标志、标签、包装、运输、贮存</w:t>
      </w:r>
      <w:r>
        <w:rPr>
          <w:rFonts w:hint="eastAsia" w:ascii="Times New Roman" w:hAnsi="Times New Roman" w:cs="Times New Roman"/>
          <w:sz w:val="24"/>
          <w:lang w:val="en-US" w:eastAsia="zh-CN"/>
        </w:rPr>
        <w:t>，以及附录A</w:t>
      </w:r>
      <w:r>
        <w:rPr>
          <w:rFonts w:hint="eastAsia" w:cs="Times New Roman"/>
          <w:sz w:val="24"/>
          <w:lang w:val="en-US" w:eastAsia="zh-CN"/>
        </w:rPr>
        <w:t>《</w:t>
      </w:r>
      <w:r>
        <w:rPr>
          <w:rFonts w:hint="eastAsia" w:ascii="Times New Roman" w:hAnsi="Times New Roman" w:cs="Times New Roman"/>
          <w:sz w:val="24"/>
          <w:lang w:val="en-US" w:eastAsia="zh-CN"/>
        </w:rPr>
        <w:t>成都浓香型白酒原酒感官评分表</w:t>
      </w:r>
      <w:r>
        <w:rPr>
          <w:rFonts w:hint="eastAsia" w:cs="Times New Roman"/>
          <w:sz w:val="24"/>
          <w:lang w:val="en-US" w:eastAsia="zh-CN"/>
        </w:rPr>
        <w:t>》</w:t>
      </w:r>
      <w:r>
        <w:rPr>
          <w:rFonts w:hint="eastAsia" w:ascii="Times New Roman" w:hAnsi="Times New Roman" w:cs="Times New Roman"/>
          <w:sz w:val="24"/>
          <w:lang w:val="en-US" w:eastAsia="zh-CN"/>
        </w:rPr>
        <w:t>。</w:t>
      </w:r>
    </w:p>
    <w:p w14:paraId="12BE8B01">
      <w:pPr>
        <w:spacing w:line="360" w:lineRule="auto"/>
        <w:ind w:firstLine="480" w:firstLineChars="200"/>
        <w:rPr>
          <w:rFonts w:hint="default" w:ascii="Times New Roman" w:hAnsi="Times New Roman" w:cs="Times New Roman"/>
          <w:sz w:val="24"/>
          <w:lang w:val="en-US" w:eastAsia="zh-CN"/>
        </w:rPr>
      </w:pPr>
      <w:r>
        <w:rPr>
          <w:rFonts w:hint="default" w:ascii="Times New Roman" w:hAnsi="Times New Roman" w:cs="Times New Roman"/>
          <w:sz w:val="24"/>
          <w:lang w:val="en-US" w:eastAsia="zh-CN"/>
        </w:rPr>
        <w:t>一是范围。明确了本标准的适用范围。</w:t>
      </w:r>
    </w:p>
    <w:p w14:paraId="5C097209">
      <w:pPr>
        <w:spacing w:line="360" w:lineRule="auto"/>
        <w:ind w:firstLine="480" w:firstLineChars="200"/>
        <w:rPr>
          <w:rFonts w:hint="default" w:ascii="Times New Roman" w:hAnsi="Times New Roman" w:cs="Times New Roman"/>
          <w:sz w:val="24"/>
          <w:lang w:val="en-US" w:eastAsia="zh-CN"/>
        </w:rPr>
      </w:pPr>
      <w:r>
        <w:rPr>
          <w:rFonts w:hint="default" w:ascii="Times New Roman" w:hAnsi="Times New Roman" w:cs="Times New Roman"/>
          <w:sz w:val="24"/>
          <w:lang w:val="en-US" w:eastAsia="zh-CN"/>
        </w:rPr>
        <w:t>二是规范性引用文件。列出了本标准所引用的文件编号和名称。</w:t>
      </w:r>
    </w:p>
    <w:p w14:paraId="0D971A84">
      <w:pPr>
        <w:spacing w:line="360" w:lineRule="auto"/>
        <w:ind w:firstLine="480" w:firstLineChars="200"/>
        <w:rPr>
          <w:rFonts w:hint="default" w:ascii="Times New Roman" w:hAnsi="Times New Roman" w:cs="Times New Roman"/>
          <w:sz w:val="24"/>
          <w:lang w:val="en-US" w:eastAsia="zh-CN"/>
        </w:rPr>
      </w:pPr>
      <w:r>
        <w:rPr>
          <w:rFonts w:hint="default" w:ascii="Times New Roman" w:hAnsi="Times New Roman" w:cs="Times New Roman"/>
          <w:sz w:val="24"/>
          <w:lang w:val="en-US" w:eastAsia="zh-CN"/>
        </w:rPr>
        <w:t>三是术语和定义。给出了</w:t>
      </w:r>
      <w:r>
        <w:rPr>
          <w:rFonts w:hint="eastAsia" w:ascii="Times New Roman" w:hAnsi="Times New Roman" w:cs="Times New Roman"/>
          <w:sz w:val="24"/>
          <w:lang w:val="en-US" w:eastAsia="zh-CN"/>
        </w:rPr>
        <w:t>“成都</w:t>
      </w:r>
      <w:r>
        <w:rPr>
          <w:rFonts w:hint="default" w:ascii="Times New Roman" w:hAnsi="Times New Roman" w:cs="Times New Roman"/>
          <w:sz w:val="24"/>
          <w:lang w:val="en-US" w:eastAsia="zh-CN"/>
        </w:rPr>
        <w:t>浓香</w:t>
      </w:r>
      <w:r>
        <w:rPr>
          <w:rFonts w:hint="eastAsia" w:ascii="Times New Roman" w:hAnsi="Times New Roman" w:cs="Times New Roman"/>
          <w:sz w:val="24"/>
          <w:lang w:val="en-US" w:eastAsia="zh-CN"/>
        </w:rPr>
        <w:t>型白酒原酒”</w:t>
      </w:r>
      <w:r>
        <w:rPr>
          <w:rFonts w:hint="default" w:ascii="Times New Roman" w:hAnsi="Times New Roman" w:cs="Times New Roman"/>
          <w:sz w:val="24"/>
          <w:lang w:val="en-US" w:eastAsia="zh-CN"/>
        </w:rPr>
        <w:t>的定义和表述。</w:t>
      </w:r>
    </w:p>
    <w:p w14:paraId="03D61758">
      <w:pPr>
        <w:spacing w:line="360" w:lineRule="auto"/>
        <w:ind w:firstLine="480" w:firstLineChars="200"/>
        <w:rPr>
          <w:rFonts w:hint="default" w:ascii="Times New Roman" w:hAnsi="Times New Roman" w:cs="Times New Roman"/>
          <w:sz w:val="24"/>
          <w:lang w:val="en-US" w:eastAsia="zh-CN"/>
        </w:rPr>
      </w:pPr>
      <w:r>
        <w:rPr>
          <w:rFonts w:hint="default" w:ascii="Times New Roman" w:hAnsi="Times New Roman" w:cs="Times New Roman"/>
          <w:sz w:val="24"/>
          <w:lang w:val="en-US" w:eastAsia="zh-CN"/>
        </w:rPr>
        <w:t>四是</w:t>
      </w:r>
      <w:r>
        <w:rPr>
          <w:rFonts w:hint="eastAsia" w:ascii="Times New Roman" w:hAnsi="Times New Roman" w:cs="Times New Roman"/>
          <w:sz w:val="24"/>
          <w:lang w:val="en-US" w:eastAsia="zh-CN"/>
        </w:rPr>
        <w:t>产品分级。</w:t>
      </w:r>
      <w:r>
        <w:rPr>
          <w:rFonts w:hint="eastAsia" w:cs="Times New Roman"/>
          <w:sz w:val="24"/>
          <w:lang w:val="en-US" w:eastAsia="zh-CN"/>
        </w:rPr>
        <w:t>明确了</w:t>
      </w:r>
      <w:r>
        <w:rPr>
          <w:rFonts w:hint="eastAsia" w:ascii="Times New Roman" w:hAnsi="Times New Roman" w:cs="Times New Roman"/>
          <w:sz w:val="24"/>
          <w:lang w:val="en-US" w:eastAsia="zh-CN"/>
        </w:rPr>
        <w:t>成都</w:t>
      </w:r>
      <w:r>
        <w:rPr>
          <w:rFonts w:hint="default" w:ascii="Times New Roman" w:hAnsi="Times New Roman" w:cs="Times New Roman"/>
          <w:sz w:val="24"/>
          <w:lang w:val="en-US" w:eastAsia="zh-CN"/>
        </w:rPr>
        <w:t>浓香</w:t>
      </w:r>
      <w:r>
        <w:rPr>
          <w:rFonts w:hint="eastAsia" w:ascii="Times New Roman" w:hAnsi="Times New Roman" w:cs="Times New Roman"/>
          <w:sz w:val="24"/>
          <w:lang w:val="en-US" w:eastAsia="zh-CN"/>
        </w:rPr>
        <w:t>型白酒原酒分为三级</w:t>
      </w:r>
      <w:r>
        <w:rPr>
          <w:rFonts w:hint="default" w:ascii="Times New Roman" w:hAnsi="Times New Roman" w:cs="Times New Roman"/>
          <w:sz w:val="24"/>
          <w:lang w:val="en-US" w:eastAsia="zh-CN"/>
        </w:rPr>
        <w:t>。</w:t>
      </w:r>
    </w:p>
    <w:p w14:paraId="4FB912D1">
      <w:pPr>
        <w:spacing w:line="360" w:lineRule="auto"/>
        <w:ind w:firstLine="480" w:firstLineChars="200"/>
        <w:rPr>
          <w:rFonts w:hint="default" w:ascii="Times New Roman" w:hAnsi="Times New Roman" w:cs="Times New Roman"/>
          <w:sz w:val="24"/>
          <w:lang w:val="en-US" w:eastAsia="zh-CN"/>
        </w:rPr>
      </w:pPr>
      <w:r>
        <w:rPr>
          <w:rFonts w:hint="default" w:ascii="Times New Roman" w:hAnsi="Times New Roman" w:cs="Times New Roman"/>
          <w:sz w:val="24"/>
          <w:lang w:val="en-US" w:eastAsia="zh-CN"/>
        </w:rPr>
        <w:t>五是原辅料要求。规定原辅料的具体要求，包括粮谷、稻壳、生产用水、浓香大曲等。</w:t>
      </w:r>
    </w:p>
    <w:p w14:paraId="0846B483">
      <w:pPr>
        <w:spacing w:line="360" w:lineRule="auto"/>
        <w:ind w:firstLine="480" w:firstLineChars="200"/>
        <w:rPr>
          <w:rFonts w:hint="default" w:ascii="Times New Roman" w:hAnsi="Times New Roman" w:cs="Times New Roman"/>
          <w:sz w:val="24"/>
          <w:lang w:val="en-US" w:eastAsia="zh-CN"/>
        </w:rPr>
      </w:pPr>
      <w:r>
        <w:rPr>
          <w:rFonts w:hint="default" w:ascii="Times New Roman" w:hAnsi="Times New Roman" w:cs="Times New Roman"/>
          <w:sz w:val="24"/>
          <w:lang w:val="en-US" w:eastAsia="zh-CN"/>
        </w:rPr>
        <w:t>六是</w:t>
      </w:r>
      <w:r>
        <w:rPr>
          <w:rFonts w:hint="eastAsia" w:ascii="Times New Roman" w:hAnsi="Times New Roman" w:cs="Times New Roman"/>
          <w:sz w:val="24"/>
          <w:lang w:val="en-US" w:eastAsia="zh-CN"/>
        </w:rPr>
        <w:t>生产工艺要求</w:t>
      </w:r>
      <w:r>
        <w:rPr>
          <w:rFonts w:hint="default" w:ascii="Times New Roman" w:hAnsi="Times New Roman" w:cs="Times New Roman"/>
          <w:sz w:val="24"/>
          <w:lang w:val="en-US" w:eastAsia="zh-CN"/>
        </w:rPr>
        <w:t>。</w:t>
      </w:r>
      <w:r>
        <w:rPr>
          <w:rFonts w:hint="eastAsia" w:cs="Times New Roman"/>
          <w:sz w:val="24"/>
          <w:lang w:val="en-US" w:eastAsia="zh-CN"/>
        </w:rPr>
        <w:t>明确</w:t>
      </w:r>
      <w:r>
        <w:rPr>
          <w:rFonts w:hint="eastAsia" w:ascii="Times New Roman" w:hAnsi="Times New Roman" w:cs="Times New Roman"/>
          <w:sz w:val="24"/>
          <w:lang w:val="en-US" w:eastAsia="zh-CN"/>
        </w:rPr>
        <w:t>了成都</w:t>
      </w:r>
      <w:r>
        <w:rPr>
          <w:rFonts w:hint="default" w:ascii="Times New Roman" w:hAnsi="Times New Roman" w:cs="Times New Roman"/>
          <w:sz w:val="24"/>
          <w:lang w:val="en-US" w:eastAsia="zh-CN"/>
        </w:rPr>
        <w:t>浓香</w:t>
      </w:r>
      <w:r>
        <w:rPr>
          <w:rFonts w:hint="eastAsia" w:ascii="Times New Roman" w:hAnsi="Times New Roman" w:cs="Times New Roman"/>
          <w:sz w:val="24"/>
          <w:lang w:val="en-US" w:eastAsia="zh-CN"/>
        </w:rPr>
        <w:t>型白酒原酒</w:t>
      </w:r>
      <w:r>
        <w:rPr>
          <w:rFonts w:hint="default" w:ascii="Times New Roman" w:hAnsi="Times New Roman" w:cs="Times New Roman"/>
          <w:sz w:val="24"/>
          <w:lang w:val="en-US" w:eastAsia="zh-CN"/>
        </w:rPr>
        <w:t>工艺流程</w:t>
      </w:r>
      <w:r>
        <w:rPr>
          <w:rFonts w:hint="eastAsia" w:ascii="Times New Roman" w:hAnsi="Times New Roman" w:cs="Times New Roman"/>
          <w:sz w:val="24"/>
          <w:lang w:val="en-US" w:eastAsia="zh-CN"/>
        </w:rPr>
        <w:t>的要求</w:t>
      </w:r>
      <w:r>
        <w:rPr>
          <w:rFonts w:hint="default" w:ascii="Times New Roman" w:hAnsi="Times New Roman" w:cs="Times New Roman"/>
          <w:sz w:val="24"/>
          <w:lang w:val="en-US" w:eastAsia="zh-CN"/>
        </w:rPr>
        <w:t>。</w:t>
      </w:r>
    </w:p>
    <w:p w14:paraId="38732D7A">
      <w:pPr>
        <w:spacing w:line="360" w:lineRule="auto"/>
        <w:ind w:firstLine="480" w:firstLineChars="200"/>
        <w:rPr>
          <w:rFonts w:hint="eastAsia" w:ascii="Times New Roman" w:hAnsi="Times New Roman" w:cs="Times New Roman"/>
          <w:sz w:val="24"/>
          <w:lang w:val="en-US" w:eastAsia="zh-CN"/>
        </w:rPr>
      </w:pPr>
      <w:r>
        <w:rPr>
          <w:rFonts w:hint="eastAsia" w:ascii="Times New Roman" w:hAnsi="Times New Roman" w:cs="Times New Roman"/>
          <w:sz w:val="24"/>
          <w:lang w:val="en-US" w:eastAsia="zh-CN"/>
        </w:rPr>
        <w:t>七是技术要求。规定了感官、理化和食品安全的要求。</w:t>
      </w:r>
    </w:p>
    <w:p w14:paraId="053E98EB">
      <w:pPr>
        <w:spacing w:line="360" w:lineRule="auto"/>
        <w:ind w:firstLine="480" w:firstLineChars="200"/>
        <w:rPr>
          <w:rFonts w:hint="default" w:ascii="Times New Roman" w:hAnsi="Times New Roman" w:cs="Times New Roman"/>
          <w:sz w:val="24"/>
          <w:lang w:val="en-US" w:eastAsia="zh-CN"/>
        </w:rPr>
      </w:pPr>
      <w:r>
        <w:rPr>
          <w:rFonts w:hint="eastAsia" w:ascii="Times New Roman" w:hAnsi="Times New Roman" w:cs="Times New Roman"/>
          <w:sz w:val="24"/>
          <w:lang w:val="en-US" w:eastAsia="zh-CN"/>
        </w:rPr>
        <w:t>八是试验方法。规定了感官、理化和食品安全指标的试验方法。</w:t>
      </w:r>
    </w:p>
    <w:p w14:paraId="4C4BAE23">
      <w:pPr>
        <w:spacing w:line="360" w:lineRule="auto"/>
        <w:ind w:firstLine="480" w:firstLineChars="200"/>
        <w:rPr>
          <w:rFonts w:hint="eastAsia" w:ascii="Times New Roman" w:hAnsi="Times New Roman" w:cs="Times New Roman"/>
          <w:sz w:val="24"/>
          <w:lang w:val="en-US" w:eastAsia="zh-CN"/>
        </w:rPr>
      </w:pPr>
      <w:r>
        <w:rPr>
          <w:rFonts w:hint="eastAsia" w:ascii="Times New Roman" w:hAnsi="Times New Roman" w:cs="Times New Roman"/>
          <w:sz w:val="24"/>
          <w:lang w:val="en-US" w:eastAsia="zh-CN"/>
        </w:rPr>
        <w:t>九是检验规则。规定了检验规则</w:t>
      </w:r>
      <w:r>
        <w:rPr>
          <w:rFonts w:hint="eastAsia" w:cs="Times New Roman"/>
          <w:sz w:val="24"/>
          <w:lang w:val="en-US" w:eastAsia="zh-CN"/>
        </w:rPr>
        <w:t>的具体</w:t>
      </w:r>
      <w:r>
        <w:rPr>
          <w:rFonts w:hint="eastAsia" w:ascii="Times New Roman" w:hAnsi="Times New Roman" w:cs="Times New Roman"/>
          <w:sz w:val="24"/>
          <w:lang w:val="en-US" w:eastAsia="zh-CN"/>
        </w:rPr>
        <w:t>要求。</w:t>
      </w:r>
    </w:p>
    <w:p w14:paraId="2C7EE6CB">
      <w:pPr>
        <w:spacing w:line="360" w:lineRule="auto"/>
        <w:ind w:firstLine="480" w:firstLineChars="200"/>
        <w:rPr>
          <w:rFonts w:hint="default" w:ascii="Times New Roman" w:hAnsi="Times New Roman" w:cs="Times New Roman"/>
          <w:sz w:val="24"/>
          <w:lang w:val="en-US" w:eastAsia="zh-CN"/>
        </w:rPr>
      </w:pPr>
      <w:r>
        <w:rPr>
          <w:rFonts w:hint="eastAsia" w:ascii="Times New Roman" w:hAnsi="Times New Roman" w:cs="Times New Roman"/>
          <w:sz w:val="24"/>
          <w:lang w:val="en-US" w:eastAsia="zh-CN"/>
        </w:rPr>
        <w:t>十是</w:t>
      </w:r>
      <w:r>
        <w:rPr>
          <w:rFonts w:hint="default" w:ascii="Times New Roman" w:hAnsi="Times New Roman" w:cs="Times New Roman"/>
          <w:sz w:val="24"/>
          <w:lang w:val="en-US" w:eastAsia="zh-CN"/>
        </w:rPr>
        <w:t>标志、标签、包装、运输、贮存</w:t>
      </w:r>
      <w:r>
        <w:rPr>
          <w:rFonts w:hint="eastAsia" w:ascii="Times New Roman" w:hAnsi="Times New Roman" w:cs="Times New Roman"/>
          <w:sz w:val="24"/>
          <w:lang w:val="en-US" w:eastAsia="zh-CN"/>
        </w:rPr>
        <w:t>。规定了成都</w:t>
      </w:r>
      <w:r>
        <w:rPr>
          <w:rFonts w:hint="default" w:ascii="Times New Roman" w:hAnsi="Times New Roman" w:cs="Times New Roman"/>
          <w:sz w:val="24"/>
          <w:lang w:val="en-US" w:eastAsia="zh-CN"/>
        </w:rPr>
        <w:t>浓香</w:t>
      </w:r>
      <w:r>
        <w:rPr>
          <w:rFonts w:hint="eastAsia" w:ascii="Times New Roman" w:hAnsi="Times New Roman" w:cs="Times New Roman"/>
          <w:sz w:val="24"/>
          <w:lang w:val="en-US" w:eastAsia="zh-CN"/>
        </w:rPr>
        <w:t>型白酒原酒的</w:t>
      </w:r>
      <w:r>
        <w:rPr>
          <w:rFonts w:hint="default" w:ascii="Times New Roman" w:hAnsi="Times New Roman" w:cs="Times New Roman"/>
          <w:sz w:val="24"/>
          <w:lang w:val="en-US" w:eastAsia="zh-CN"/>
        </w:rPr>
        <w:t>标志、标签、包装、运输、贮存</w:t>
      </w:r>
      <w:r>
        <w:rPr>
          <w:rFonts w:hint="eastAsia" w:ascii="Times New Roman" w:hAnsi="Times New Roman" w:cs="Times New Roman"/>
          <w:sz w:val="24"/>
          <w:lang w:val="en-US" w:eastAsia="zh-CN"/>
        </w:rPr>
        <w:t>要求。</w:t>
      </w:r>
    </w:p>
    <w:p w14:paraId="157CF4D5">
      <w:pPr>
        <w:spacing w:line="360" w:lineRule="auto"/>
        <w:ind w:firstLine="480" w:firstLineChars="200"/>
        <w:rPr>
          <w:rFonts w:hint="eastAsia"/>
          <w:sz w:val="24"/>
        </w:rPr>
      </w:pPr>
      <w:r>
        <w:rPr>
          <w:rFonts w:hint="eastAsia" w:ascii="Times New Roman" w:hAnsi="Times New Roman" w:cs="Times New Roman"/>
          <w:sz w:val="24"/>
          <w:lang w:val="en-US" w:eastAsia="zh-CN"/>
        </w:rPr>
        <w:t>十一是附录A（规范性附录）。提供了成都</w:t>
      </w:r>
      <w:r>
        <w:rPr>
          <w:rFonts w:hint="default" w:ascii="Times New Roman" w:hAnsi="Times New Roman" w:cs="Times New Roman"/>
          <w:sz w:val="24"/>
          <w:lang w:val="en-US" w:eastAsia="zh-CN"/>
        </w:rPr>
        <w:t>浓香</w:t>
      </w:r>
      <w:r>
        <w:rPr>
          <w:rFonts w:hint="eastAsia" w:ascii="Times New Roman" w:hAnsi="Times New Roman" w:cs="Times New Roman"/>
          <w:sz w:val="24"/>
          <w:lang w:val="en-US" w:eastAsia="zh-CN"/>
        </w:rPr>
        <w:t>型白酒原酒的感官评分表。</w:t>
      </w:r>
    </w:p>
    <w:p w14:paraId="012F1571">
      <w:pPr>
        <w:spacing w:line="360" w:lineRule="auto"/>
        <w:ind w:firstLine="480" w:firstLineChars="200"/>
        <w:outlineLvl w:val="0"/>
        <w:rPr>
          <w:rFonts w:hint="eastAsia" w:eastAsia="黑体"/>
          <w:sz w:val="24"/>
          <w:lang w:eastAsia="zh-CN"/>
        </w:rPr>
      </w:pPr>
      <w:r>
        <w:rPr>
          <w:rFonts w:hint="eastAsia" w:eastAsia="黑体"/>
          <w:sz w:val="24"/>
        </w:rPr>
        <w:t>三、</w:t>
      </w:r>
      <w:r>
        <w:rPr>
          <w:rFonts w:hint="eastAsia" w:eastAsia="黑体"/>
          <w:sz w:val="24"/>
          <w:lang w:eastAsia="zh-CN"/>
        </w:rPr>
        <w:t>标准</w:t>
      </w:r>
      <w:r>
        <w:rPr>
          <w:rFonts w:hint="eastAsia" w:eastAsia="黑体"/>
          <w:sz w:val="24"/>
        </w:rPr>
        <w:t>主要</w:t>
      </w:r>
      <w:r>
        <w:rPr>
          <w:rFonts w:hint="eastAsia" w:eastAsia="黑体"/>
          <w:sz w:val="24"/>
          <w:lang w:eastAsia="zh-CN"/>
        </w:rPr>
        <w:t>技术内容</w:t>
      </w:r>
    </w:p>
    <w:p w14:paraId="1BCD97CD">
      <w:pPr>
        <w:spacing w:line="360" w:lineRule="auto"/>
        <w:ind w:firstLine="480" w:firstLineChars="200"/>
        <w:outlineLvl w:val="1"/>
        <w:rPr>
          <w:sz w:val="24"/>
        </w:rPr>
      </w:pPr>
      <w:r>
        <w:rPr>
          <w:rFonts w:hint="eastAsia"/>
          <w:sz w:val="24"/>
        </w:rPr>
        <w:t>（</w:t>
      </w:r>
      <w:r>
        <w:rPr>
          <w:rFonts w:hint="eastAsia"/>
          <w:sz w:val="24"/>
          <w:lang w:eastAsia="zh-CN"/>
        </w:rPr>
        <w:t>一</w:t>
      </w:r>
      <w:r>
        <w:rPr>
          <w:rFonts w:hint="eastAsia"/>
          <w:sz w:val="24"/>
        </w:rPr>
        <w:t>）适用范围</w:t>
      </w:r>
    </w:p>
    <w:p w14:paraId="6987B6DE">
      <w:pPr>
        <w:spacing w:line="360" w:lineRule="auto"/>
        <w:ind w:firstLine="480" w:firstLineChars="200"/>
        <w:outlineLvl w:val="1"/>
        <w:rPr>
          <w:rFonts w:ascii="Segoe UI" w:hAnsi="Segoe UI" w:eastAsia="Segoe UI" w:cs="Segoe UI"/>
          <w:i w:val="0"/>
          <w:iCs w:val="0"/>
          <w:caps w:val="0"/>
          <w:spacing w:val="0"/>
          <w:sz w:val="24"/>
          <w:szCs w:val="24"/>
          <w:shd w:val="clear" w:fill="FFFFFF"/>
        </w:rPr>
      </w:pPr>
      <w:r>
        <w:rPr>
          <w:rFonts w:ascii="Segoe UI" w:hAnsi="Segoe UI" w:eastAsia="Segoe UI" w:cs="Segoe UI"/>
          <w:i w:val="0"/>
          <w:iCs w:val="0"/>
          <w:caps w:val="0"/>
          <w:spacing w:val="0"/>
          <w:sz w:val="24"/>
          <w:szCs w:val="24"/>
          <w:shd w:val="clear" w:fill="FFFFFF"/>
        </w:rPr>
        <w:t>本条规定了标准的适用范围及主要框架内容，涵盖成都浓香型白酒原酒的术语和定义、产品分级、原辅料要求、生产工艺要求、技术要求、试验方法、检验规则及标志、标签、包装、运输、贮存等，为其规范生产提供了参考依据。</w:t>
      </w:r>
    </w:p>
    <w:p w14:paraId="25B8F8DF">
      <w:pPr>
        <w:spacing w:line="360" w:lineRule="auto"/>
        <w:ind w:firstLine="480" w:firstLineChars="200"/>
        <w:outlineLvl w:val="1"/>
        <w:rPr>
          <w:rFonts w:hint="eastAsia" w:eastAsia="宋体"/>
          <w:sz w:val="24"/>
          <w:lang w:eastAsia="zh-CN"/>
        </w:rPr>
      </w:pPr>
      <w:r>
        <w:rPr>
          <w:rFonts w:hint="eastAsia"/>
          <w:sz w:val="24"/>
        </w:rPr>
        <w:t>（</w:t>
      </w:r>
      <w:r>
        <w:rPr>
          <w:rFonts w:hint="eastAsia"/>
          <w:sz w:val="24"/>
          <w:lang w:eastAsia="zh-CN"/>
        </w:rPr>
        <w:t>二</w:t>
      </w:r>
      <w:r>
        <w:rPr>
          <w:rFonts w:hint="eastAsia"/>
          <w:sz w:val="24"/>
        </w:rPr>
        <w:t>）</w:t>
      </w:r>
      <w:r>
        <w:rPr>
          <w:rFonts w:hint="eastAsia"/>
          <w:sz w:val="24"/>
          <w:lang w:eastAsia="zh-CN"/>
        </w:rPr>
        <w:t>规范性引用文件</w:t>
      </w:r>
    </w:p>
    <w:p w14:paraId="50EAF9AD">
      <w:pPr>
        <w:spacing w:line="360" w:lineRule="auto"/>
        <w:ind w:firstLine="480" w:firstLineChars="200"/>
        <w:rPr>
          <w:rFonts w:hint="default"/>
          <w:sz w:val="24"/>
          <w:lang w:val="en-US" w:eastAsia="zh-CN"/>
        </w:rPr>
      </w:pPr>
      <w:r>
        <w:rPr>
          <w:rFonts w:hint="eastAsia"/>
          <w:sz w:val="24"/>
          <w:lang w:val="en-US" w:eastAsia="zh-CN"/>
        </w:rPr>
        <w:t>本条引用了与本标准相关的GB/T 10345《白酒分析方法》、GB/T 10781.1《白酒质量要求  第1部分：浓香型白酒》等23个国家标准，QB/T 4259《浓香大曲》1个行业标准和DB51/T 3261《川酒（浓香型）原酒生产技术规范》1个地方标准。所引用的国家、行业、地方标准均为现行有效。</w:t>
      </w:r>
    </w:p>
    <w:p w14:paraId="006B36A5">
      <w:pPr>
        <w:numPr>
          <w:ilvl w:val="0"/>
          <w:numId w:val="0"/>
        </w:numPr>
        <w:tabs>
          <w:tab w:val="left" w:pos="3415"/>
        </w:tabs>
        <w:spacing w:line="360" w:lineRule="auto"/>
        <w:ind w:firstLine="480" w:firstLineChars="200"/>
        <w:outlineLvl w:val="1"/>
        <w:rPr>
          <w:rFonts w:hint="eastAsia"/>
          <w:sz w:val="24"/>
          <w:lang w:eastAsia="zh-CN"/>
        </w:rPr>
      </w:pPr>
      <w:r>
        <w:rPr>
          <w:rFonts w:hint="eastAsia"/>
          <w:sz w:val="24"/>
          <w:lang w:eastAsia="zh-CN"/>
        </w:rPr>
        <w:t>（三）</w:t>
      </w:r>
      <w:r>
        <w:rPr>
          <w:rFonts w:hint="eastAsia"/>
          <w:sz w:val="24"/>
        </w:rPr>
        <w:t>术语和定义</w:t>
      </w:r>
      <w:r>
        <w:rPr>
          <w:rFonts w:hint="eastAsia"/>
          <w:sz w:val="24"/>
          <w:lang w:eastAsia="zh-CN"/>
        </w:rPr>
        <w:tab/>
      </w:r>
    </w:p>
    <w:p w14:paraId="02D724C8">
      <w:pPr>
        <w:widowControl w:val="0"/>
        <w:numPr>
          <w:ilvl w:val="0"/>
          <w:numId w:val="0"/>
        </w:numPr>
        <w:tabs>
          <w:tab w:val="left" w:pos="3415"/>
        </w:tabs>
        <w:spacing w:line="360" w:lineRule="auto"/>
        <w:ind w:firstLine="480" w:firstLineChars="200"/>
        <w:jc w:val="both"/>
        <w:rPr>
          <w:rFonts w:hint="eastAsia"/>
          <w:sz w:val="24"/>
          <w:lang w:val="en-US" w:eastAsia="zh-CN"/>
        </w:rPr>
      </w:pPr>
      <w:r>
        <w:rPr>
          <w:rFonts w:hint="eastAsia"/>
          <w:sz w:val="24"/>
          <w:lang w:eastAsia="zh-CN"/>
        </w:rPr>
        <w:t>“成都浓香型白酒原酒”的定义主要参照</w:t>
      </w:r>
      <w:r>
        <w:rPr>
          <w:rFonts w:hint="eastAsia"/>
          <w:sz w:val="24"/>
          <w:lang w:val="en-US" w:eastAsia="zh-CN"/>
        </w:rPr>
        <w:t>GB/T 15109-2021《白酒工业术语》和DB51/T 3261-2025《川酒（浓香型）原酒生产技术规范》对白酒原酒的定义，其中“成都市行政区域内”规定了成都浓香型白酒原酒的生产区域范围，凸显其地域特色。</w:t>
      </w:r>
    </w:p>
    <w:p w14:paraId="6BAC2640">
      <w:pPr>
        <w:spacing w:line="360" w:lineRule="auto"/>
        <w:ind w:firstLine="480" w:firstLineChars="200"/>
        <w:outlineLvl w:val="1"/>
        <w:rPr>
          <w:rFonts w:hint="eastAsia" w:eastAsia="宋体"/>
          <w:sz w:val="24"/>
          <w:lang w:eastAsia="zh-CN"/>
        </w:rPr>
      </w:pPr>
      <w:r>
        <w:rPr>
          <w:rFonts w:hint="eastAsia"/>
          <w:sz w:val="24"/>
          <w:lang w:eastAsia="zh-CN"/>
        </w:rPr>
        <w:t>（四）产品分级</w:t>
      </w:r>
    </w:p>
    <w:p w14:paraId="14E7E3A3">
      <w:pPr>
        <w:widowControl w:val="0"/>
        <w:numPr>
          <w:ilvl w:val="0"/>
          <w:numId w:val="0"/>
        </w:numPr>
        <w:tabs>
          <w:tab w:val="left" w:pos="3415"/>
        </w:tabs>
        <w:spacing w:line="360" w:lineRule="auto"/>
        <w:ind w:firstLine="480" w:firstLineChars="200"/>
        <w:jc w:val="both"/>
        <w:rPr>
          <w:rFonts w:hint="default"/>
          <w:sz w:val="24"/>
          <w:lang w:val="en-US" w:eastAsia="zh-CN"/>
        </w:rPr>
      </w:pPr>
      <w:r>
        <w:rPr>
          <w:rFonts w:hint="default"/>
          <w:sz w:val="24"/>
          <w:lang w:val="en-US" w:eastAsia="zh-CN"/>
        </w:rPr>
        <w:t>浓香型白酒原酒因原辅料种类丰富（多粮配料）、发酵时间（随产品需求和气候变化调整）及陈酿时间不同，理化特征和感官特点存在差异。本标准主要参考邛崃市酿酒协会T/QLNX 01-2022《邛崃浓香型白酒原酒》，结合调研企业实际生产情况，将其按质量等级细分为 “特级”“优级”“一级” 三类。</w:t>
      </w:r>
    </w:p>
    <w:p w14:paraId="5DED3F1D">
      <w:pPr>
        <w:numPr>
          <w:ilvl w:val="0"/>
          <w:numId w:val="0"/>
        </w:numPr>
        <w:spacing w:line="360" w:lineRule="auto"/>
        <w:ind w:firstLine="480" w:firstLineChars="200"/>
        <w:outlineLvl w:val="1"/>
        <w:rPr>
          <w:sz w:val="24"/>
        </w:rPr>
      </w:pPr>
      <w:r>
        <w:rPr>
          <w:rFonts w:hint="eastAsia"/>
          <w:sz w:val="24"/>
          <w:lang w:eastAsia="zh-CN"/>
        </w:rPr>
        <w:t>（五）</w:t>
      </w:r>
      <w:r>
        <w:rPr>
          <w:rFonts w:hint="eastAsia"/>
          <w:sz w:val="24"/>
        </w:rPr>
        <w:t>原辅料</w:t>
      </w:r>
      <w:r>
        <w:rPr>
          <w:sz w:val="24"/>
        </w:rPr>
        <w:t>要求</w:t>
      </w:r>
    </w:p>
    <w:p w14:paraId="7E1F8E86">
      <w:pPr>
        <w:numPr>
          <w:ilvl w:val="0"/>
          <w:numId w:val="0"/>
        </w:numPr>
        <w:spacing w:line="360" w:lineRule="auto"/>
        <w:rPr>
          <w:rFonts w:hint="default" w:eastAsia="宋体"/>
          <w:sz w:val="24"/>
          <w:lang w:val="en-US" w:eastAsia="zh-CN"/>
        </w:rPr>
      </w:pPr>
      <w:r>
        <w:rPr>
          <w:rFonts w:hint="eastAsia"/>
          <w:sz w:val="24"/>
          <w:lang w:val="en-US" w:eastAsia="zh-CN"/>
        </w:rPr>
        <w:t xml:space="preserve">   </w:t>
      </w:r>
      <w:r>
        <w:rPr>
          <w:rFonts w:hint="eastAsia" w:ascii="Times New Roman" w:hAnsi="Times New Roman" w:cs="Times New Roman"/>
          <w:sz w:val="24"/>
          <w:lang w:val="en-US" w:eastAsia="zh-CN"/>
        </w:rPr>
        <w:t>粮谷、稻壳、</w:t>
      </w:r>
      <w:r>
        <w:rPr>
          <w:rFonts w:hint="default" w:ascii="Times New Roman" w:hAnsi="Times New Roman" w:cs="Times New Roman"/>
          <w:sz w:val="24"/>
          <w:lang w:val="en-US" w:eastAsia="zh-CN"/>
        </w:rPr>
        <w:t>生产用水、</w:t>
      </w:r>
      <w:r>
        <w:rPr>
          <w:rFonts w:hint="eastAsia" w:ascii="Times New Roman" w:hAnsi="Times New Roman" w:cs="Times New Roman"/>
          <w:sz w:val="24"/>
          <w:lang w:val="en-US" w:eastAsia="zh-CN"/>
        </w:rPr>
        <w:t>浓香大曲主要参照</w:t>
      </w:r>
      <w:r>
        <w:rPr>
          <w:rFonts w:hint="eastAsia"/>
          <w:sz w:val="24"/>
          <w:lang w:val="en-US" w:eastAsia="zh-CN"/>
        </w:rPr>
        <w:t>DB51/T 3261-2025《川酒（浓香型）原酒生产技术规范》相关要求。</w:t>
      </w:r>
    </w:p>
    <w:p w14:paraId="5A74FF6B">
      <w:pPr>
        <w:numPr>
          <w:ilvl w:val="0"/>
          <w:numId w:val="0"/>
        </w:numPr>
        <w:spacing w:line="360" w:lineRule="auto"/>
        <w:ind w:firstLine="480" w:firstLineChars="200"/>
        <w:outlineLvl w:val="1"/>
        <w:rPr>
          <w:sz w:val="24"/>
        </w:rPr>
      </w:pPr>
      <w:r>
        <w:rPr>
          <w:rFonts w:hint="eastAsia" w:ascii="Times New Roman" w:hAnsi="Times New Roman" w:cs="Times New Roman"/>
          <w:sz w:val="24"/>
          <w:lang w:val="en-US" w:eastAsia="zh-CN"/>
        </w:rPr>
        <w:t>（六）生产工艺</w:t>
      </w:r>
      <w:r>
        <w:rPr>
          <w:sz w:val="24"/>
        </w:rPr>
        <w:t>要求</w:t>
      </w:r>
    </w:p>
    <w:p w14:paraId="0F9BB88F">
      <w:pPr>
        <w:numPr>
          <w:ilvl w:val="0"/>
          <w:numId w:val="0"/>
        </w:numPr>
        <w:spacing w:line="360" w:lineRule="auto"/>
        <w:rPr>
          <w:sz w:val="24"/>
        </w:rPr>
      </w:pPr>
      <w:r>
        <w:rPr>
          <w:rFonts w:hint="eastAsia"/>
          <w:sz w:val="24"/>
          <w:lang w:val="en-US" w:eastAsia="zh-CN"/>
        </w:rPr>
        <w:t xml:space="preserve">    原辅料处理、开窖起槽、续槽配料、上甑、蒸粮馏酒、出甑打量水、碳晾下曲、入窖发酵、发酵管理、入库陈酿的生产工艺</w:t>
      </w:r>
      <w:r>
        <w:rPr>
          <w:rFonts w:hint="eastAsia" w:ascii="Times New Roman" w:hAnsi="Times New Roman" w:cs="Times New Roman"/>
          <w:sz w:val="24"/>
          <w:lang w:val="en-US" w:eastAsia="zh-CN"/>
        </w:rPr>
        <w:t>主要参照</w:t>
      </w:r>
      <w:r>
        <w:rPr>
          <w:rFonts w:hint="eastAsia"/>
          <w:sz w:val="24"/>
          <w:lang w:val="en-US" w:eastAsia="zh-CN"/>
        </w:rPr>
        <w:t>DB51/T 3261-2025《川酒（浓香型）原酒生产技术规范》相关要求。</w:t>
      </w:r>
    </w:p>
    <w:p w14:paraId="668F7C77">
      <w:pPr>
        <w:numPr>
          <w:ilvl w:val="0"/>
          <w:numId w:val="0"/>
        </w:numPr>
        <w:spacing w:line="360" w:lineRule="auto"/>
        <w:ind w:firstLine="480" w:firstLineChars="200"/>
        <w:outlineLvl w:val="1"/>
        <w:rPr>
          <w:rFonts w:hint="default"/>
          <w:sz w:val="24"/>
          <w:lang w:val="en-US" w:eastAsia="zh-CN"/>
        </w:rPr>
      </w:pPr>
      <w:r>
        <w:rPr>
          <w:rFonts w:hint="eastAsia" w:ascii="Times New Roman" w:hAnsi="Times New Roman" w:cs="Times New Roman"/>
          <w:sz w:val="24"/>
          <w:lang w:val="en-US" w:eastAsia="zh-CN"/>
        </w:rPr>
        <w:t>（七）技术</w:t>
      </w:r>
      <w:r>
        <w:rPr>
          <w:sz w:val="24"/>
        </w:rPr>
        <w:t>要求</w:t>
      </w:r>
    </w:p>
    <w:p w14:paraId="322AF5D1">
      <w:pPr>
        <w:spacing w:line="360" w:lineRule="auto"/>
        <w:ind w:firstLine="480" w:firstLineChars="200"/>
        <w:rPr>
          <w:rFonts w:hint="eastAsia"/>
          <w:sz w:val="24"/>
        </w:rPr>
      </w:pPr>
      <w:r>
        <w:rPr>
          <w:rFonts w:hint="eastAsia"/>
          <w:sz w:val="24"/>
        </w:rPr>
        <w:t>为保障</w:t>
      </w:r>
      <w:r>
        <w:rPr>
          <w:rFonts w:hint="eastAsia"/>
          <w:sz w:val="24"/>
          <w:lang w:eastAsia="zh-CN"/>
        </w:rPr>
        <w:t>成都浓香型白酒原酒</w:t>
      </w:r>
      <w:r>
        <w:rPr>
          <w:rFonts w:hint="eastAsia"/>
          <w:sz w:val="24"/>
        </w:rPr>
        <w:t>的安全性和高品质，本标准参照</w:t>
      </w:r>
      <w:r>
        <w:rPr>
          <w:rFonts w:hint="eastAsia"/>
          <w:sz w:val="24"/>
          <w:lang w:val="en-US" w:eastAsia="zh-CN"/>
        </w:rPr>
        <w:t>GB/T 10781.1《白酒质量要求 第1部分：浓香型白酒》、TCBJ002-2016《固态法浓香型白酒原酒》、T/SPAQ 0010S-2023《川酒浓香型白酒原酒》、T/QLNX 01-2022《邛崃浓香型白酒原酒》等相关</w:t>
      </w:r>
      <w:r>
        <w:rPr>
          <w:rFonts w:hint="eastAsia"/>
          <w:sz w:val="24"/>
        </w:rPr>
        <w:t>规定</w:t>
      </w:r>
      <w:r>
        <w:rPr>
          <w:rFonts w:hint="eastAsia"/>
          <w:sz w:val="24"/>
          <w:lang w:eastAsia="zh-CN"/>
        </w:rPr>
        <w:t>，结合成都产区原酒生产企业调研数据，制定了感官、理化和食品安全技术要求。</w:t>
      </w:r>
    </w:p>
    <w:p w14:paraId="1CDB2D23">
      <w:pPr>
        <w:spacing w:line="360" w:lineRule="auto"/>
        <w:ind w:firstLine="480" w:firstLineChars="200"/>
        <w:outlineLvl w:val="2"/>
        <w:rPr>
          <w:rFonts w:hint="default" w:eastAsia="宋体"/>
          <w:sz w:val="24"/>
          <w:lang w:val="en-US" w:eastAsia="zh-CN"/>
        </w:rPr>
      </w:pPr>
      <w:r>
        <w:rPr>
          <w:rFonts w:hint="eastAsia"/>
          <w:sz w:val="24"/>
          <w:lang w:val="en-US" w:eastAsia="zh-CN"/>
        </w:rPr>
        <w:t>1.感官要求</w:t>
      </w:r>
    </w:p>
    <w:p w14:paraId="61DA1C1A">
      <w:pPr>
        <w:spacing w:line="360" w:lineRule="auto"/>
        <w:ind w:firstLine="480" w:firstLineChars="200"/>
        <w:rPr>
          <w:rFonts w:hint="eastAsia"/>
          <w:sz w:val="24"/>
          <w:lang w:eastAsia="zh-CN"/>
        </w:rPr>
      </w:pPr>
      <w:r>
        <w:rPr>
          <w:rFonts w:hint="eastAsia"/>
          <w:sz w:val="24"/>
          <w:lang w:eastAsia="zh-CN"/>
        </w:rPr>
        <w:t>基于成都浓香型白酒原酒原辅料及配比的多样性、发酵—蒸馏—储存工艺的复杂性，从色、香、味、格四方面提炼形成感官质量要求（见表1）。因原酒具备白酒普遍物理属性，规定温度 10℃以下时允许出现白色絮状物或失光，10℃以上时应逐渐恢复正常。</w:t>
      </w:r>
    </w:p>
    <w:p w14:paraId="05FA399C">
      <w:pPr>
        <w:pStyle w:val="43"/>
        <w:spacing w:before="120" w:after="120"/>
        <w:ind w:left="0" w:leftChars="0" w:firstLine="0" w:firstLineChars="0"/>
        <w:jc w:val="center"/>
      </w:pPr>
      <w:r>
        <w:rPr>
          <w:rFonts w:hint="eastAsia"/>
          <w:lang w:eastAsia="zh-CN"/>
        </w:rPr>
        <w:t>表</w:t>
      </w:r>
      <w:r>
        <w:rPr>
          <w:rFonts w:hint="eastAsia"/>
          <w:lang w:val="en-US" w:eastAsia="zh-CN"/>
        </w:rPr>
        <w:t xml:space="preserve">1 </w:t>
      </w:r>
      <w:r>
        <w:rPr>
          <w:rFonts w:hint="eastAsia"/>
        </w:rPr>
        <w:t>感官</w:t>
      </w:r>
      <w:r>
        <w:t>要求</w:t>
      </w:r>
    </w:p>
    <w:tbl>
      <w:tblPr>
        <w:tblStyle w:val="11"/>
        <w:tblW w:w="9090" w:type="dxa"/>
        <w:tblInd w:w="-283"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875"/>
        <w:gridCol w:w="2430"/>
        <w:gridCol w:w="2684"/>
        <w:gridCol w:w="2101"/>
      </w:tblGrid>
      <w:tr w14:paraId="27FFFF5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875" w:type="dxa"/>
            <w:vMerge w:val="restart"/>
            <w:tcBorders>
              <w:top w:val="single" w:color="auto" w:sz="12" w:space="0"/>
              <w:bottom w:val="single" w:color="auto" w:sz="4" w:space="0"/>
            </w:tcBorders>
            <w:vAlign w:val="center"/>
          </w:tcPr>
          <w:p w14:paraId="37C8DF70">
            <w:pPr>
              <w:pStyle w:val="42"/>
              <w:keepNext w:val="0"/>
              <w:keepLines w:val="0"/>
              <w:widowControl/>
              <w:suppressLineNumbers w:val="0"/>
              <w:spacing w:before="0" w:beforeAutospacing="0" w:after="0" w:afterAutospacing="0"/>
              <w:ind w:left="0" w:right="0" w:firstLine="0" w:firstLineChars="0"/>
              <w:jc w:val="center"/>
              <w:rPr>
                <w:rFonts w:hint="default"/>
                <w:sz w:val="18"/>
                <w:szCs w:val="18"/>
              </w:rPr>
            </w:pPr>
            <w:r>
              <w:rPr>
                <w:rFonts w:hint="eastAsia"/>
                <w:sz w:val="18"/>
                <w:szCs w:val="18"/>
              </w:rPr>
              <w:t>项目</w:t>
            </w:r>
          </w:p>
        </w:tc>
        <w:tc>
          <w:tcPr>
            <w:tcW w:w="7215" w:type="dxa"/>
            <w:gridSpan w:val="3"/>
            <w:tcBorders>
              <w:top w:val="single" w:color="auto" w:sz="12" w:space="0"/>
              <w:bottom w:val="single" w:color="auto" w:sz="4" w:space="0"/>
            </w:tcBorders>
            <w:vAlign w:val="center"/>
          </w:tcPr>
          <w:p w14:paraId="538EEBCE">
            <w:pPr>
              <w:pStyle w:val="42"/>
              <w:keepNext w:val="0"/>
              <w:keepLines w:val="0"/>
              <w:widowControl/>
              <w:suppressLineNumbers w:val="0"/>
              <w:spacing w:before="0" w:beforeAutospacing="0" w:after="0" w:afterAutospacing="0"/>
              <w:ind w:left="0" w:right="0" w:firstLine="0" w:firstLineChars="0"/>
              <w:jc w:val="center"/>
              <w:rPr>
                <w:rFonts w:hint="default"/>
                <w:sz w:val="18"/>
                <w:szCs w:val="18"/>
              </w:rPr>
            </w:pPr>
            <w:r>
              <w:rPr>
                <w:rFonts w:hint="eastAsia"/>
                <w:sz w:val="18"/>
                <w:szCs w:val="18"/>
              </w:rPr>
              <w:t>要求</w:t>
            </w:r>
          </w:p>
        </w:tc>
      </w:tr>
      <w:tr w14:paraId="358FDCC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875" w:type="dxa"/>
            <w:vMerge w:val="continue"/>
            <w:tcBorders>
              <w:top w:val="single" w:color="auto" w:sz="4" w:space="0"/>
              <w:bottom w:val="single" w:color="auto" w:sz="12" w:space="0"/>
            </w:tcBorders>
            <w:vAlign w:val="center"/>
          </w:tcPr>
          <w:p w14:paraId="3F968273">
            <w:pPr>
              <w:pStyle w:val="42"/>
              <w:keepNext w:val="0"/>
              <w:keepLines w:val="0"/>
              <w:widowControl/>
              <w:suppressLineNumbers w:val="0"/>
              <w:spacing w:before="0" w:beforeAutospacing="0" w:after="0" w:afterAutospacing="0"/>
              <w:ind w:left="0" w:right="0" w:firstLine="0" w:firstLineChars="0"/>
              <w:jc w:val="center"/>
              <w:rPr>
                <w:rFonts w:hint="default"/>
                <w:sz w:val="18"/>
                <w:szCs w:val="18"/>
              </w:rPr>
            </w:pPr>
          </w:p>
        </w:tc>
        <w:tc>
          <w:tcPr>
            <w:tcW w:w="2430" w:type="dxa"/>
            <w:tcBorders>
              <w:top w:val="single" w:color="auto" w:sz="4" w:space="0"/>
              <w:bottom w:val="single" w:color="auto" w:sz="12" w:space="0"/>
            </w:tcBorders>
            <w:vAlign w:val="center"/>
          </w:tcPr>
          <w:p w14:paraId="430DD3DE">
            <w:pPr>
              <w:pStyle w:val="42"/>
              <w:keepNext w:val="0"/>
              <w:keepLines w:val="0"/>
              <w:widowControl/>
              <w:suppressLineNumbers w:val="0"/>
              <w:spacing w:before="0" w:beforeAutospacing="0" w:after="0" w:afterAutospacing="0"/>
              <w:ind w:left="0" w:right="0" w:firstLine="0" w:firstLineChars="0"/>
              <w:jc w:val="center"/>
              <w:rPr>
                <w:rFonts w:hint="default"/>
                <w:sz w:val="18"/>
                <w:szCs w:val="18"/>
              </w:rPr>
            </w:pPr>
            <w:r>
              <w:rPr>
                <w:rFonts w:hint="eastAsia"/>
                <w:sz w:val="18"/>
                <w:szCs w:val="18"/>
              </w:rPr>
              <w:t>特级</w:t>
            </w:r>
          </w:p>
        </w:tc>
        <w:tc>
          <w:tcPr>
            <w:tcW w:w="2684" w:type="dxa"/>
            <w:tcBorders>
              <w:top w:val="single" w:color="auto" w:sz="4" w:space="0"/>
              <w:bottom w:val="single" w:color="auto" w:sz="12" w:space="0"/>
            </w:tcBorders>
            <w:vAlign w:val="center"/>
          </w:tcPr>
          <w:p w14:paraId="78255390">
            <w:pPr>
              <w:pStyle w:val="42"/>
              <w:keepNext w:val="0"/>
              <w:keepLines w:val="0"/>
              <w:widowControl/>
              <w:suppressLineNumbers w:val="0"/>
              <w:spacing w:before="0" w:beforeAutospacing="0" w:after="0" w:afterAutospacing="0"/>
              <w:ind w:left="0" w:right="0" w:firstLine="0" w:firstLineChars="0"/>
              <w:jc w:val="center"/>
              <w:rPr>
                <w:rFonts w:hint="default"/>
                <w:sz w:val="18"/>
                <w:szCs w:val="18"/>
              </w:rPr>
            </w:pPr>
            <w:r>
              <w:rPr>
                <w:rFonts w:hint="eastAsia"/>
                <w:sz w:val="18"/>
                <w:szCs w:val="18"/>
              </w:rPr>
              <w:t>优级</w:t>
            </w:r>
          </w:p>
        </w:tc>
        <w:tc>
          <w:tcPr>
            <w:tcW w:w="2101" w:type="dxa"/>
            <w:tcBorders>
              <w:top w:val="single" w:color="auto" w:sz="4" w:space="0"/>
              <w:bottom w:val="single" w:color="auto" w:sz="12" w:space="0"/>
            </w:tcBorders>
            <w:vAlign w:val="center"/>
          </w:tcPr>
          <w:p w14:paraId="48B075C7">
            <w:pPr>
              <w:pStyle w:val="42"/>
              <w:keepNext w:val="0"/>
              <w:keepLines w:val="0"/>
              <w:widowControl/>
              <w:suppressLineNumbers w:val="0"/>
              <w:spacing w:before="0" w:beforeAutospacing="0" w:after="0" w:afterAutospacing="0"/>
              <w:ind w:left="0" w:right="0" w:firstLine="0" w:firstLineChars="0"/>
              <w:jc w:val="center"/>
              <w:rPr>
                <w:rFonts w:hint="default"/>
                <w:sz w:val="18"/>
                <w:szCs w:val="18"/>
              </w:rPr>
            </w:pPr>
            <w:r>
              <w:rPr>
                <w:rFonts w:hint="eastAsia"/>
                <w:sz w:val="18"/>
                <w:szCs w:val="18"/>
              </w:rPr>
              <w:t>一</w:t>
            </w:r>
            <w:r>
              <w:rPr>
                <w:rFonts w:hint="default"/>
                <w:sz w:val="18"/>
                <w:szCs w:val="18"/>
              </w:rPr>
              <w:t>级</w:t>
            </w:r>
          </w:p>
        </w:tc>
      </w:tr>
      <w:tr w14:paraId="5A8A44C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875" w:type="dxa"/>
            <w:tcBorders>
              <w:top w:val="single" w:color="auto" w:sz="12" w:space="0"/>
            </w:tcBorders>
            <w:vAlign w:val="center"/>
          </w:tcPr>
          <w:p w14:paraId="01B8DEEE">
            <w:pPr>
              <w:pStyle w:val="42"/>
              <w:keepNext w:val="0"/>
              <w:keepLines w:val="0"/>
              <w:widowControl/>
              <w:suppressLineNumbers w:val="0"/>
              <w:spacing w:before="0" w:beforeAutospacing="0" w:after="0" w:afterAutospacing="0"/>
              <w:ind w:left="0" w:right="0" w:firstLine="0" w:firstLineChars="0"/>
              <w:jc w:val="center"/>
              <w:rPr>
                <w:rFonts w:hint="default"/>
                <w:sz w:val="18"/>
                <w:szCs w:val="18"/>
              </w:rPr>
            </w:pPr>
            <w:r>
              <w:rPr>
                <w:rFonts w:hint="eastAsia"/>
                <w:sz w:val="18"/>
                <w:szCs w:val="18"/>
              </w:rPr>
              <w:t>色泽</w:t>
            </w:r>
            <w:r>
              <w:rPr>
                <w:rFonts w:hint="default"/>
                <w:sz w:val="18"/>
                <w:szCs w:val="18"/>
              </w:rPr>
              <w:t>和外观</w:t>
            </w:r>
          </w:p>
        </w:tc>
        <w:tc>
          <w:tcPr>
            <w:tcW w:w="7215" w:type="dxa"/>
            <w:gridSpan w:val="3"/>
            <w:tcBorders>
              <w:top w:val="single" w:color="auto" w:sz="12" w:space="0"/>
            </w:tcBorders>
            <w:vAlign w:val="center"/>
          </w:tcPr>
          <w:p w14:paraId="56A167A7">
            <w:pPr>
              <w:pStyle w:val="42"/>
              <w:keepNext w:val="0"/>
              <w:keepLines w:val="0"/>
              <w:widowControl/>
              <w:suppressLineNumbers w:val="0"/>
              <w:spacing w:before="0" w:beforeAutospacing="0" w:after="0" w:afterAutospacing="0"/>
              <w:ind w:left="0" w:right="0" w:firstLine="0" w:firstLineChars="0"/>
              <w:jc w:val="center"/>
              <w:rPr>
                <w:rFonts w:hint="eastAsia"/>
                <w:sz w:val="18"/>
                <w:szCs w:val="18"/>
              </w:rPr>
            </w:pPr>
            <w:r>
              <w:rPr>
                <w:rFonts w:hint="eastAsia"/>
                <w:sz w:val="18"/>
                <w:szCs w:val="18"/>
              </w:rPr>
              <w:t>无色</w:t>
            </w:r>
            <w:r>
              <w:rPr>
                <w:rFonts w:hint="default"/>
                <w:sz w:val="18"/>
                <w:szCs w:val="18"/>
              </w:rPr>
              <w:t>或微黄，清澈透明，无</w:t>
            </w:r>
            <w:r>
              <w:rPr>
                <w:rFonts w:hint="eastAsia"/>
                <w:sz w:val="18"/>
                <w:szCs w:val="18"/>
              </w:rPr>
              <w:t>浑浊</w:t>
            </w:r>
            <w:r>
              <w:rPr>
                <w:rFonts w:hint="default"/>
                <w:sz w:val="18"/>
                <w:szCs w:val="18"/>
              </w:rPr>
              <w:t>，无悬浮物，无沉淀</w:t>
            </w:r>
            <w:r>
              <w:rPr>
                <w:rFonts w:hint="eastAsia"/>
                <w:sz w:val="18"/>
                <w:szCs w:val="18"/>
                <w:vertAlign w:val="superscript"/>
              </w:rPr>
              <w:t>a</w:t>
            </w:r>
          </w:p>
        </w:tc>
      </w:tr>
      <w:tr w14:paraId="10BEFB2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875" w:type="dxa"/>
            <w:vAlign w:val="center"/>
          </w:tcPr>
          <w:p w14:paraId="4EC8E30A">
            <w:pPr>
              <w:pStyle w:val="42"/>
              <w:keepNext w:val="0"/>
              <w:keepLines w:val="0"/>
              <w:widowControl/>
              <w:suppressLineNumbers w:val="0"/>
              <w:spacing w:before="0" w:beforeAutospacing="0" w:after="0" w:afterAutospacing="0"/>
              <w:ind w:left="0" w:right="0" w:firstLine="0" w:firstLineChars="0"/>
              <w:jc w:val="center"/>
              <w:rPr>
                <w:rFonts w:hint="default"/>
                <w:sz w:val="18"/>
                <w:szCs w:val="18"/>
              </w:rPr>
            </w:pPr>
            <w:r>
              <w:rPr>
                <w:rFonts w:hint="eastAsia"/>
                <w:sz w:val="18"/>
                <w:szCs w:val="18"/>
              </w:rPr>
              <w:t>香气</w:t>
            </w:r>
          </w:p>
        </w:tc>
        <w:tc>
          <w:tcPr>
            <w:tcW w:w="2430" w:type="dxa"/>
            <w:vAlign w:val="center"/>
          </w:tcPr>
          <w:p w14:paraId="482B77C2">
            <w:pPr>
              <w:pStyle w:val="42"/>
              <w:keepNext w:val="0"/>
              <w:keepLines w:val="0"/>
              <w:widowControl/>
              <w:suppressLineNumbers w:val="0"/>
              <w:spacing w:before="0" w:beforeAutospacing="0" w:after="0" w:afterAutospacing="0"/>
              <w:ind w:left="0" w:right="0" w:firstLine="0" w:firstLineChars="0"/>
              <w:jc w:val="center"/>
              <w:rPr>
                <w:rFonts w:hint="default"/>
                <w:sz w:val="18"/>
                <w:szCs w:val="18"/>
              </w:rPr>
            </w:pPr>
            <w:r>
              <w:rPr>
                <w:rFonts w:hint="eastAsia"/>
                <w:sz w:val="18"/>
                <w:szCs w:val="18"/>
              </w:rPr>
              <w:t>窖香浓郁，粮香舒适</w:t>
            </w:r>
          </w:p>
        </w:tc>
        <w:tc>
          <w:tcPr>
            <w:tcW w:w="2684" w:type="dxa"/>
            <w:vAlign w:val="center"/>
          </w:tcPr>
          <w:p w14:paraId="734D9B48">
            <w:pPr>
              <w:pStyle w:val="42"/>
              <w:keepNext w:val="0"/>
              <w:keepLines w:val="0"/>
              <w:widowControl/>
              <w:suppressLineNumbers w:val="0"/>
              <w:spacing w:before="0" w:beforeAutospacing="0" w:after="0" w:afterAutospacing="0"/>
              <w:ind w:left="0" w:right="0" w:firstLine="0" w:firstLineChars="0"/>
              <w:jc w:val="center"/>
              <w:rPr>
                <w:rFonts w:hint="default"/>
                <w:sz w:val="18"/>
                <w:szCs w:val="18"/>
              </w:rPr>
            </w:pPr>
            <w:r>
              <w:rPr>
                <w:rFonts w:hint="eastAsia"/>
                <w:sz w:val="18"/>
                <w:szCs w:val="18"/>
              </w:rPr>
              <w:t>窖香舒适，粮香突出</w:t>
            </w:r>
          </w:p>
        </w:tc>
        <w:tc>
          <w:tcPr>
            <w:tcW w:w="2101" w:type="dxa"/>
            <w:vAlign w:val="center"/>
          </w:tcPr>
          <w:p w14:paraId="2FA7B5AC">
            <w:pPr>
              <w:pStyle w:val="42"/>
              <w:keepNext w:val="0"/>
              <w:keepLines w:val="0"/>
              <w:widowControl/>
              <w:suppressLineNumbers w:val="0"/>
              <w:spacing w:before="0" w:beforeAutospacing="0" w:after="0" w:afterAutospacing="0"/>
              <w:ind w:left="0" w:right="0" w:firstLine="0" w:firstLineChars="0"/>
              <w:jc w:val="center"/>
              <w:rPr>
                <w:rFonts w:hint="default"/>
                <w:sz w:val="18"/>
                <w:szCs w:val="18"/>
              </w:rPr>
            </w:pPr>
            <w:r>
              <w:rPr>
                <w:rFonts w:hint="eastAsia"/>
                <w:sz w:val="18"/>
                <w:szCs w:val="18"/>
              </w:rPr>
              <w:t>窖香纯正，粮香明显</w:t>
            </w:r>
          </w:p>
        </w:tc>
      </w:tr>
      <w:tr w14:paraId="622D5AB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875" w:type="dxa"/>
            <w:vAlign w:val="center"/>
          </w:tcPr>
          <w:p w14:paraId="1872EFA0">
            <w:pPr>
              <w:pStyle w:val="42"/>
              <w:keepNext w:val="0"/>
              <w:keepLines w:val="0"/>
              <w:widowControl/>
              <w:suppressLineNumbers w:val="0"/>
              <w:spacing w:before="0" w:beforeAutospacing="0" w:after="0" w:afterAutospacing="0"/>
              <w:ind w:left="0" w:right="0" w:firstLine="0" w:firstLineChars="0"/>
              <w:jc w:val="center"/>
              <w:rPr>
                <w:rFonts w:hint="default"/>
                <w:sz w:val="18"/>
                <w:szCs w:val="18"/>
              </w:rPr>
            </w:pPr>
            <w:r>
              <w:rPr>
                <w:rFonts w:hint="eastAsia"/>
                <w:sz w:val="18"/>
                <w:szCs w:val="18"/>
              </w:rPr>
              <w:t>口味</w:t>
            </w:r>
            <w:r>
              <w:rPr>
                <w:rFonts w:hint="default"/>
                <w:sz w:val="18"/>
                <w:szCs w:val="18"/>
              </w:rPr>
              <w:t>口感</w:t>
            </w:r>
          </w:p>
        </w:tc>
        <w:tc>
          <w:tcPr>
            <w:tcW w:w="2430" w:type="dxa"/>
            <w:vAlign w:val="center"/>
          </w:tcPr>
          <w:p w14:paraId="2E20F512">
            <w:pPr>
              <w:pStyle w:val="42"/>
              <w:keepNext w:val="0"/>
              <w:keepLines w:val="0"/>
              <w:widowControl/>
              <w:suppressLineNumbers w:val="0"/>
              <w:spacing w:before="0" w:beforeAutospacing="0" w:after="0" w:afterAutospacing="0"/>
              <w:ind w:left="0" w:right="0" w:firstLine="0" w:firstLineChars="0"/>
              <w:jc w:val="center"/>
              <w:rPr>
                <w:rFonts w:hint="default"/>
                <w:sz w:val="18"/>
                <w:szCs w:val="18"/>
              </w:rPr>
            </w:pPr>
            <w:r>
              <w:rPr>
                <w:rFonts w:hint="eastAsia"/>
                <w:sz w:val="18"/>
                <w:szCs w:val="18"/>
              </w:rPr>
              <w:t>入口绵甜、醇厚爽净、回味悠长</w:t>
            </w:r>
          </w:p>
        </w:tc>
        <w:tc>
          <w:tcPr>
            <w:tcW w:w="2684" w:type="dxa"/>
            <w:vAlign w:val="center"/>
          </w:tcPr>
          <w:p w14:paraId="2758B9C2">
            <w:pPr>
              <w:pStyle w:val="42"/>
              <w:keepNext w:val="0"/>
              <w:keepLines w:val="0"/>
              <w:widowControl/>
              <w:suppressLineNumbers w:val="0"/>
              <w:spacing w:before="0" w:beforeAutospacing="0" w:after="0" w:afterAutospacing="0"/>
              <w:ind w:left="0" w:right="0" w:firstLine="0" w:firstLineChars="0"/>
              <w:jc w:val="center"/>
              <w:rPr>
                <w:rFonts w:hint="default"/>
                <w:sz w:val="18"/>
                <w:szCs w:val="18"/>
              </w:rPr>
            </w:pPr>
            <w:r>
              <w:rPr>
                <w:rFonts w:hint="eastAsia"/>
                <w:sz w:val="18"/>
                <w:szCs w:val="18"/>
              </w:rPr>
              <w:t>入口绵甜、较醇厚爽净、回味悠长</w:t>
            </w:r>
          </w:p>
        </w:tc>
        <w:tc>
          <w:tcPr>
            <w:tcW w:w="2101" w:type="dxa"/>
            <w:vAlign w:val="center"/>
          </w:tcPr>
          <w:p w14:paraId="4934CA74">
            <w:pPr>
              <w:pStyle w:val="42"/>
              <w:keepNext w:val="0"/>
              <w:keepLines w:val="0"/>
              <w:widowControl/>
              <w:suppressLineNumbers w:val="0"/>
              <w:spacing w:before="0" w:beforeAutospacing="0" w:after="0" w:afterAutospacing="0"/>
              <w:ind w:left="0" w:leftChars="0" w:right="0" w:firstLine="0" w:firstLineChars="0"/>
              <w:jc w:val="center"/>
              <w:rPr>
                <w:rFonts w:hint="default"/>
                <w:sz w:val="18"/>
                <w:szCs w:val="18"/>
              </w:rPr>
            </w:pPr>
            <w:r>
              <w:rPr>
                <w:rFonts w:hint="eastAsia"/>
                <w:sz w:val="18"/>
                <w:szCs w:val="18"/>
              </w:rPr>
              <w:t>较醇厚爽净、有余</w:t>
            </w:r>
            <w:r>
              <w:rPr>
                <w:rFonts w:hint="default"/>
                <w:sz w:val="18"/>
                <w:szCs w:val="18"/>
              </w:rPr>
              <w:t>味</w:t>
            </w:r>
          </w:p>
        </w:tc>
      </w:tr>
      <w:tr w14:paraId="6A0744D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875" w:type="dxa"/>
            <w:vAlign w:val="center"/>
          </w:tcPr>
          <w:p w14:paraId="0ECC90B4">
            <w:pPr>
              <w:pStyle w:val="42"/>
              <w:keepNext w:val="0"/>
              <w:keepLines w:val="0"/>
              <w:widowControl/>
              <w:suppressLineNumbers w:val="0"/>
              <w:spacing w:before="0" w:beforeAutospacing="0" w:after="0" w:afterAutospacing="0"/>
              <w:ind w:left="0" w:right="0" w:firstLine="0" w:firstLineChars="0"/>
              <w:jc w:val="center"/>
              <w:rPr>
                <w:rFonts w:hint="default"/>
                <w:sz w:val="18"/>
                <w:szCs w:val="18"/>
              </w:rPr>
            </w:pPr>
            <w:r>
              <w:rPr>
                <w:rFonts w:hint="eastAsia"/>
                <w:sz w:val="18"/>
                <w:szCs w:val="18"/>
              </w:rPr>
              <w:t>风格</w:t>
            </w:r>
          </w:p>
        </w:tc>
        <w:tc>
          <w:tcPr>
            <w:tcW w:w="2430" w:type="dxa"/>
            <w:vAlign w:val="center"/>
          </w:tcPr>
          <w:p w14:paraId="0E18DBA2">
            <w:pPr>
              <w:pStyle w:val="42"/>
              <w:keepNext w:val="0"/>
              <w:keepLines w:val="0"/>
              <w:widowControl/>
              <w:suppressLineNumbers w:val="0"/>
              <w:spacing w:before="0" w:beforeAutospacing="0" w:after="0" w:afterAutospacing="0"/>
              <w:ind w:left="0" w:right="0" w:firstLine="0" w:firstLineChars="0"/>
              <w:jc w:val="center"/>
              <w:rPr>
                <w:rFonts w:hint="default"/>
                <w:sz w:val="18"/>
                <w:szCs w:val="18"/>
              </w:rPr>
            </w:pPr>
            <w:r>
              <w:rPr>
                <w:rFonts w:hint="eastAsia"/>
                <w:sz w:val="18"/>
                <w:szCs w:val="18"/>
              </w:rPr>
              <w:t>具有</w:t>
            </w:r>
            <w:r>
              <w:rPr>
                <w:rFonts w:hint="default"/>
                <w:sz w:val="18"/>
                <w:szCs w:val="18"/>
              </w:rPr>
              <w:t>本品独特</w:t>
            </w:r>
            <w:r>
              <w:rPr>
                <w:rFonts w:hint="eastAsia"/>
                <w:sz w:val="18"/>
                <w:szCs w:val="18"/>
              </w:rPr>
              <w:t>风格</w:t>
            </w:r>
          </w:p>
        </w:tc>
        <w:tc>
          <w:tcPr>
            <w:tcW w:w="2684" w:type="dxa"/>
            <w:vAlign w:val="center"/>
          </w:tcPr>
          <w:p w14:paraId="2F4DF840">
            <w:pPr>
              <w:pStyle w:val="42"/>
              <w:keepNext w:val="0"/>
              <w:keepLines w:val="0"/>
              <w:widowControl/>
              <w:suppressLineNumbers w:val="0"/>
              <w:spacing w:before="0" w:beforeAutospacing="0" w:after="0" w:afterAutospacing="0"/>
              <w:ind w:left="0" w:right="0" w:firstLine="0" w:firstLineChars="0"/>
              <w:jc w:val="center"/>
              <w:rPr>
                <w:rFonts w:hint="default"/>
                <w:sz w:val="18"/>
                <w:szCs w:val="18"/>
              </w:rPr>
            </w:pPr>
            <w:r>
              <w:rPr>
                <w:rFonts w:hint="eastAsia"/>
                <w:sz w:val="18"/>
                <w:szCs w:val="18"/>
              </w:rPr>
              <w:t>具有</w:t>
            </w:r>
            <w:r>
              <w:rPr>
                <w:rFonts w:hint="default"/>
                <w:sz w:val="18"/>
                <w:szCs w:val="18"/>
              </w:rPr>
              <w:t>本品典型</w:t>
            </w:r>
            <w:r>
              <w:rPr>
                <w:rFonts w:hint="eastAsia"/>
                <w:sz w:val="18"/>
                <w:szCs w:val="18"/>
              </w:rPr>
              <w:t>风格</w:t>
            </w:r>
          </w:p>
        </w:tc>
        <w:tc>
          <w:tcPr>
            <w:tcW w:w="2101" w:type="dxa"/>
            <w:vAlign w:val="center"/>
          </w:tcPr>
          <w:p w14:paraId="5D109C79">
            <w:pPr>
              <w:pStyle w:val="42"/>
              <w:keepNext w:val="0"/>
              <w:keepLines w:val="0"/>
              <w:widowControl/>
              <w:suppressLineNumbers w:val="0"/>
              <w:spacing w:before="0" w:beforeAutospacing="0" w:after="0" w:afterAutospacing="0"/>
              <w:ind w:left="0" w:right="0" w:firstLine="0" w:firstLineChars="0"/>
              <w:jc w:val="center"/>
              <w:rPr>
                <w:rFonts w:hint="default"/>
                <w:sz w:val="18"/>
                <w:szCs w:val="18"/>
              </w:rPr>
            </w:pPr>
            <w:r>
              <w:rPr>
                <w:rFonts w:hint="eastAsia"/>
                <w:sz w:val="18"/>
                <w:szCs w:val="18"/>
              </w:rPr>
              <w:t>具有</w:t>
            </w:r>
            <w:r>
              <w:rPr>
                <w:rFonts w:hint="default"/>
                <w:sz w:val="18"/>
                <w:szCs w:val="18"/>
              </w:rPr>
              <w:t>本品明显</w:t>
            </w:r>
            <w:r>
              <w:rPr>
                <w:rFonts w:hint="eastAsia"/>
                <w:sz w:val="18"/>
                <w:szCs w:val="18"/>
              </w:rPr>
              <w:t>风格</w:t>
            </w:r>
          </w:p>
        </w:tc>
      </w:tr>
      <w:tr w14:paraId="392B0B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875" w:type="dxa"/>
            <w:tcBorders>
              <w:bottom w:val="single" w:color="auto" w:sz="12" w:space="0"/>
            </w:tcBorders>
            <w:vAlign w:val="center"/>
          </w:tcPr>
          <w:p w14:paraId="7A48E9AC">
            <w:pPr>
              <w:pStyle w:val="42"/>
              <w:keepNext w:val="0"/>
              <w:keepLines w:val="0"/>
              <w:widowControl/>
              <w:suppressLineNumbers w:val="0"/>
              <w:spacing w:before="0" w:beforeAutospacing="0" w:after="0" w:afterAutospacing="0"/>
              <w:ind w:left="0" w:right="0" w:firstLine="0" w:firstLineChars="0"/>
              <w:jc w:val="center"/>
              <w:rPr>
                <w:rFonts w:hint="default"/>
                <w:sz w:val="18"/>
                <w:szCs w:val="18"/>
              </w:rPr>
            </w:pPr>
            <w:r>
              <w:rPr>
                <w:rFonts w:hint="eastAsia"/>
                <w:sz w:val="18"/>
                <w:szCs w:val="18"/>
              </w:rPr>
              <w:t>感官</w:t>
            </w:r>
            <w:r>
              <w:rPr>
                <w:rFonts w:hint="default"/>
                <w:sz w:val="18"/>
                <w:szCs w:val="18"/>
              </w:rPr>
              <w:t>评分（</w:t>
            </w:r>
            <w:r>
              <w:rPr>
                <w:rFonts w:hint="eastAsia"/>
                <w:sz w:val="18"/>
                <w:szCs w:val="18"/>
              </w:rPr>
              <w:t>100分</w:t>
            </w:r>
            <w:r>
              <w:rPr>
                <w:rFonts w:hint="default"/>
                <w:sz w:val="18"/>
                <w:szCs w:val="18"/>
              </w:rPr>
              <w:t>）</w:t>
            </w:r>
          </w:p>
        </w:tc>
        <w:tc>
          <w:tcPr>
            <w:tcW w:w="2430" w:type="dxa"/>
            <w:tcBorders>
              <w:bottom w:val="single" w:color="auto" w:sz="12" w:space="0"/>
            </w:tcBorders>
            <w:vAlign w:val="center"/>
          </w:tcPr>
          <w:p w14:paraId="0A2A15E6">
            <w:pPr>
              <w:pStyle w:val="42"/>
              <w:keepNext w:val="0"/>
              <w:keepLines w:val="0"/>
              <w:widowControl/>
              <w:suppressLineNumbers w:val="0"/>
              <w:spacing w:before="0" w:beforeAutospacing="0" w:after="0" w:afterAutospacing="0"/>
              <w:ind w:left="0" w:right="0" w:firstLine="0" w:firstLineChars="0"/>
              <w:jc w:val="center"/>
              <w:rPr>
                <w:rFonts w:hint="default"/>
                <w:sz w:val="18"/>
                <w:szCs w:val="18"/>
              </w:rPr>
            </w:pPr>
            <w:r>
              <w:rPr>
                <w:rFonts w:hint="eastAsia"/>
                <w:sz w:val="18"/>
                <w:szCs w:val="18"/>
              </w:rPr>
              <w:t>≥95.0</w:t>
            </w:r>
          </w:p>
        </w:tc>
        <w:tc>
          <w:tcPr>
            <w:tcW w:w="2684" w:type="dxa"/>
            <w:tcBorders>
              <w:bottom w:val="single" w:color="auto" w:sz="12" w:space="0"/>
            </w:tcBorders>
            <w:vAlign w:val="center"/>
          </w:tcPr>
          <w:p w14:paraId="4ABAE3D8">
            <w:pPr>
              <w:pStyle w:val="42"/>
              <w:keepNext w:val="0"/>
              <w:keepLines w:val="0"/>
              <w:widowControl/>
              <w:suppressLineNumbers w:val="0"/>
              <w:spacing w:before="0" w:beforeAutospacing="0" w:after="0" w:afterAutospacing="0"/>
              <w:ind w:left="0" w:right="0" w:firstLine="0" w:firstLineChars="0"/>
              <w:jc w:val="center"/>
              <w:rPr>
                <w:rFonts w:hint="default"/>
                <w:sz w:val="18"/>
                <w:szCs w:val="18"/>
              </w:rPr>
            </w:pPr>
            <w:r>
              <w:rPr>
                <w:rFonts w:hint="eastAsia"/>
                <w:sz w:val="18"/>
                <w:szCs w:val="18"/>
              </w:rPr>
              <w:t>≥90.0，</w:t>
            </w:r>
            <w:r>
              <w:rPr>
                <w:rFonts w:hint="default"/>
                <w:sz w:val="18"/>
                <w:szCs w:val="18"/>
              </w:rPr>
              <w:t>＜</w:t>
            </w:r>
            <w:r>
              <w:rPr>
                <w:rFonts w:hint="eastAsia"/>
                <w:sz w:val="18"/>
                <w:szCs w:val="18"/>
              </w:rPr>
              <w:t>95.0</w:t>
            </w:r>
          </w:p>
        </w:tc>
        <w:tc>
          <w:tcPr>
            <w:tcW w:w="2101" w:type="dxa"/>
            <w:tcBorders>
              <w:bottom w:val="single" w:color="auto" w:sz="12" w:space="0"/>
            </w:tcBorders>
            <w:vAlign w:val="center"/>
          </w:tcPr>
          <w:p w14:paraId="61C96F75">
            <w:pPr>
              <w:pStyle w:val="42"/>
              <w:keepNext w:val="0"/>
              <w:keepLines w:val="0"/>
              <w:widowControl/>
              <w:suppressLineNumbers w:val="0"/>
              <w:spacing w:before="0" w:beforeAutospacing="0" w:after="0" w:afterAutospacing="0"/>
              <w:ind w:left="0" w:right="0" w:firstLine="0" w:firstLineChars="0"/>
              <w:jc w:val="center"/>
              <w:rPr>
                <w:rFonts w:hint="default"/>
                <w:sz w:val="18"/>
                <w:szCs w:val="18"/>
              </w:rPr>
            </w:pPr>
            <w:r>
              <w:rPr>
                <w:rFonts w:hint="eastAsia"/>
                <w:sz w:val="18"/>
                <w:szCs w:val="18"/>
              </w:rPr>
              <w:t>≥85.0，</w:t>
            </w:r>
            <w:r>
              <w:rPr>
                <w:rFonts w:hint="default"/>
                <w:sz w:val="18"/>
                <w:szCs w:val="18"/>
              </w:rPr>
              <w:t>＜</w:t>
            </w:r>
            <w:r>
              <w:rPr>
                <w:rFonts w:hint="eastAsia"/>
                <w:sz w:val="18"/>
                <w:szCs w:val="18"/>
              </w:rPr>
              <w:t>90.0</w:t>
            </w:r>
          </w:p>
        </w:tc>
      </w:tr>
      <w:tr w14:paraId="7A02C4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9090" w:type="dxa"/>
            <w:gridSpan w:val="4"/>
            <w:tcBorders>
              <w:top w:val="single" w:color="auto" w:sz="12" w:space="0"/>
              <w:bottom w:val="single" w:color="auto" w:sz="12" w:space="0"/>
            </w:tcBorders>
          </w:tcPr>
          <w:p w14:paraId="31E69DC1">
            <w:pPr>
              <w:pStyle w:val="45"/>
              <w:keepNext w:val="0"/>
              <w:keepLines w:val="0"/>
              <w:numPr>
                <w:ilvl w:val="0"/>
                <w:numId w:val="0"/>
              </w:numPr>
              <w:suppressLineNumbers w:val="0"/>
              <w:spacing w:before="0" w:beforeAutospacing="0" w:after="0" w:afterAutospacing="0"/>
              <w:ind w:left="363" w:right="0"/>
              <w:rPr>
                <w:rFonts w:hint="default"/>
              </w:rPr>
            </w:pPr>
            <w:r>
              <w:rPr>
                <w:rFonts w:hint="eastAsia"/>
                <w:vertAlign w:val="superscript"/>
              </w:rPr>
              <w:t>a</w:t>
            </w:r>
            <w:r>
              <w:rPr>
                <w:rFonts w:hint="default"/>
                <w:vertAlign w:val="superscript"/>
              </w:rPr>
              <w:t xml:space="preserve"> </w:t>
            </w:r>
            <w:r>
              <w:rPr>
                <w:rFonts w:hint="eastAsia"/>
              </w:rPr>
              <w:t>当酒的温度低于10 ℃时,允许出现白色絮状沉淀物质或失光，10 ℃以上时应逐渐恢复正常。</w:t>
            </w:r>
          </w:p>
        </w:tc>
      </w:tr>
    </w:tbl>
    <w:p w14:paraId="75ED620E">
      <w:pPr>
        <w:spacing w:line="360" w:lineRule="auto"/>
        <w:ind w:firstLine="480" w:firstLineChars="200"/>
        <w:outlineLvl w:val="2"/>
        <w:rPr>
          <w:rFonts w:hint="eastAsia"/>
          <w:sz w:val="24"/>
          <w:lang w:val="en-US" w:eastAsia="zh-CN"/>
        </w:rPr>
        <w:sectPr>
          <w:headerReference r:id="rId3" w:type="default"/>
          <w:footerReference r:id="rId4" w:type="default"/>
          <w:pgSz w:w="11906" w:h="16838"/>
          <w:pgMar w:top="1440" w:right="1800" w:bottom="1440" w:left="1800" w:header="227" w:footer="227" w:gutter="0"/>
          <w:pgBorders>
            <w:top w:val="none" w:sz="0" w:space="0"/>
            <w:left w:val="none" w:sz="0" w:space="0"/>
            <w:bottom w:val="none" w:sz="0" w:space="0"/>
            <w:right w:val="none" w:sz="0" w:space="0"/>
          </w:pgBorders>
          <w:pgNumType w:fmt="numberInDash"/>
          <w:cols w:space="720" w:num="1"/>
          <w:formProt w:val="0"/>
          <w:docGrid w:type="lines" w:linePitch="312" w:charSpace="0"/>
        </w:sectPr>
      </w:pPr>
    </w:p>
    <w:p w14:paraId="2E7BB11F">
      <w:pPr>
        <w:spacing w:line="360" w:lineRule="auto"/>
        <w:ind w:firstLine="480" w:firstLineChars="200"/>
        <w:outlineLvl w:val="2"/>
        <w:rPr>
          <w:rFonts w:hint="default" w:eastAsia="宋体"/>
          <w:sz w:val="24"/>
          <w:lang w:val="en-US" w:eastAsia="zh-CN"/>
        </w:rPr>
      </w:pPr>
      <w:r>
        <w:rPr>
          <w:rFonts w:hint="eastAsia"/>
          <w:sz w:val="24"/>
          <w:lang w:val="en-US" w:eastAsia="zh-CN"/>
        </w:rPr>
        <w:t>2.理化要求</w:t>
      </w:r>
    </w:p>
    <w:p w14:paraId="24817AB1">
      <w:pPr>
        <w:spacing w:line="360" w:lineRule="auto"/>
        <w:ind w:firstLine="480" w:firstLineChars="200"/>
        <w:jc w:val="left"/>
        <w:rPr>
          <w:rFonts w:hint="eastAsia"/>
          <w:sz w:val="24"/>
        </w:rPr>
      </w:pPr>
      <w:r>
        <w:rPr>
          <w:rFonts w:hint="eastAsia"/>
          <w:sz w:val="24"/>
        </w:rPr>
        <w:t>基于成都浓香型白酒原酒原辅料及配比的多样性，以及发酵、蒸馏、储存工艺的复杂性，从酒精度、固形物、酯类和有机酸等方面提炼形成其理化质量要求（见表 2）。</w:t>
      </w:r>
    </w:p>
    <w:p w14:paraId="3D956FCF">
      <w:pPr>
        <w:pStyle w:val="43"/>
        <w:spacing w:before="120" w:after="120"/>
        <w:ind w:left="0" w:leftChars="0" w:firstLine="0" w:firstLineChars="0"/>
        <w:jc w:val="center"/>
        <w:outlineLvl w:val="9"/>
        <w:rPr>
          <w:rFonts w:hint="eastAsia"/>
        </w:rPr>
      </w:pPr>
      <w:r>
        <w:rPr>
          <w:rFonts w:hint="eastAsia"/>
          <w:lang w:eastAsia="zh-CN"/>
        </w:rPr>
        <w:t>表</w:t>
      </w:r>
      <w:r>
        <w:rPr>
          <w:rFonts w:hint="eastAsia"/>
          <w:lang w:val="en-US" w:eastAsia="zh-CN"/>
        </w:rPr>
        <w:t xml:space="preserve">2 </w:t>
      </w:r>
      <w:r>
        <w:rPr>
          <w:rFonts w:hint="eastAsia"/>
        </w:rPr>
        <w:t>理化要求</w:t>
      </w:r>
    </w:p>
    <w:tbl>
      <w:tblPr>
        <w:tblStyle w:val="11"/>
        <w:tblW w:w="911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724"/>
        <w:gridCol w:w="1395"/>
        <w:gridCol w:w="1050"/>
        <w:gridCol w:w="1080"/>
        <w:gridCol w:w="1050"/>
        <w:gridCol w:w="1496"/>
        <w:gridCol w:w="1320"/>
      </w:tblGrid>
      <w:tr w14:paraId="3C31927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3119" w:type="dxa"/>
            <w:gridSpan w:val="2"/>
            <w:vMerge w:val="restart"/>
            <w:tcBorders>
              <w:top w:val="single" w:color="auto" w:sz="12" w:space="0"/>
              <w:bottom w:val="single" w:color="auto" w:sz="4" w:space="0"/>
            </w:tcBorders>
            <w:vAlign w:val="center"/>
          </w:tcPr>
          <w:p w14:paraId="5EE8A2BD">
            <w:pPr>
              <w:pStyle w:val="42"/>
              <w:keepNext w:val="0"/>
              <w:keepLines w:val="0"/>
              <w:widowControl/>
              <w:suppressLineNumbers w:val="0"/>
              <w:spacing w:before="0" w:beforeAutospacing="0" w:after="0" w:afterAutospacing="0"/>
              <w:ind w:left="0" w:right="0" w:firstLine="0" w:firstLineChars="0"/>
              <w:jc w:val="center"/>
              <w:rPr>
                <w:rFonts w:hint="default"/>
                <w:sz w:val="18"/>
                <w:szCs w:val="18"/>
              </w:rPr>
            </w:pPr>
            <w:r>
              <w:rPr>
                <w:rFonts w:hint="eastAsia"/>
                <w:sz w:val="18"/>
                <w:szCs w:val="18"/>
              </w:rPr>
              <w:t>项目</w:t>
            </w:r>
          </w:p>
        </w:tc>
        <w:tc>
          <w:tcPr>
            <w:tcW w:w="3180" w:type="dxa"/>
            <w:gridSpan w:val="3"/>
            <w:tcBorders>
              <w:top w:val="single" w:color="auto" w:sz="12" w:space="0"/>
              <w:bottom w:val="single" w:color="auto" w:sz="4" w:space="0"/>
            </w:tcBorders>
            <w:vAlign w:val="center"/>
          </w:tcPr>
          <w:p w14:paraId="17BCAB69">
            <w:pPr>
              <w:pStyle w:val="42"/>
              <w:keepNext w:val="0"/>
              <w:keepLines w:val="0"/>
              <w:widowControl/>
              <w:suppressLineNumbers w:val="0"/>
              <w:spacing w:before="0" w:beforeAutospacing="0" w:after="0" w:afterAutospacing="0"/>
              <w:ind w:left="0" w:right="0" w:firstLine="0" w:firstLineChars="0"/>
              <w:jc w:val="center"/>
              <w:rPr>
                <w:rFonts w:hint="default"/>
                <w:sz w:val="18"/>
                <w:szCs w:val="18"/>
              </w:rPr>
            </w:pPr>
            <w:r>
              <w:rPr>
                <w:rFonts w:hint="eastAsia"/>
                <w:sz w:val="18"/>
                <w:szCs w:val="18"/>
                <w:lang w:eastAsia="zh-CN"/>
              </w:rPr>
              <w:t>本标准</w:t>
            </w:r>
            <w:r>
              <w:rPr>
                <w:rFonts w:hint="eastAsia"/>
                <w:sz w:val="18"/>
                <w:szCs w:val="18"/>
              </w:rPr>
              <w:t>要求</w:t>
            </w:r>
          </w:p>
        </w:tc>
        <w:tc>
          <w:tcPr>
            <w:tcW w:w="1496" w:type="dxa"/>
            <w:vMerge w:val="restart"/>
            <w:tcBorders>
              <w:top w:val="single" w:color="auto" w:sz="12" w:space="0"/>
            </w:tcBorders>
            <w:vAlign w:val="center"/>
          </w:tcPr>
          <w:p w14:paraId="75ED3F65">
            <w:pPr>
              <w:pStyle w:val="42"/>
              <w:keepNext w:val="0"/>
              <w:keepLines w:val="0"/>
              <w:widowControl/>
              <w:suppressLineNumbers w:val="0"/>
              <w:spacing w:before="0" w:beforeAutospacing="0" w:after="0" w:afterAutospacing="0"/>
              <w:ind w:left="0" w:right="0" w:firstLine="0" w:firstLineChars="0"/>
              <w:jc w:val="center"/>
              <w:rPr>
                <w:rFonts w:hint="default" w:eastAsia="宋体"/>
                <w:sz w:val="18"/>
                <w:szCs w:val="18"/>
                <w:lang w:val="en-US" w:eastAsia="zh-CN"/>
              </w:rPr>
            </w:pPr>
            <w:r>
              <w:rPr>
                <w:rFonts w:hint="eastAsia"/>
                <w:sz w:val="18"/>
                <w:szCs w:val="18"/>
                <w:lang w:val="en-US" w:eastAsia="zh-CN"/>
              </w:rPr>
              <w:t>GB/T 10781.1-2021</w:t>
            </w:r>
          </w:p>
        </w:tc>
        <w:tc>
          <w:tcPr>
            <w:tcW w:w="1320" w:type="dxa"/>
            <w:vMerge w:val="restart"/>
            <w:tcBorders>
              <w:top w:val="single" w:color="auto" w:sz="12" w:space="0"/>
            </w:tcBorders>
            <w:vAlign w:val="center"/>
          </w:tcPr>
          <w:p w14:paraId="30578E8A">
            <w:pPr>
              <w:pStyle w:val="42"/>
              <w:keepNext w:val="0"/>
              <w:keepLines w:val="0"/>
              <w:widowControl/>
              <w:suppressLineNumbers w:val="0"/>
              <w:spacing w:before="0" w:beforeAutospacing="0" w:after="0" w:afterAutospacing="0"/>
              <w:ind w:left="0" w:right="0" w:firstLine="0" w:firstLineChars="0"/>
              <w:jc w:val="center"/>
              <w:rPr>
                <w:rFonts w:hint="eastAsia"/>
                <w:sz w:val="18"/>
                <w:szCs w:val="18"/>
                <w:lang w:val="en-US" w:eastAsia="zh-CN"/>
              </w:rPr>
            </w:pPr>
            <w:r>
              <w:rPr>
                <w:rFonts w:hint="eastAsia"/>
                <w:sz w:val="18"/>
                <w:szCs w:val="18"/>
                <w:lang w:val="en-US" w:eastAsia="zh-CN"/>
              </w:rPr>
              <w:t>结论</w:t>
            </w:r>
          </w:p>
        </w:tc>
      </w:tr>
      <w:tr w14:paraId="0B7FC28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3119" w:type="dxa"/>
            <w:gridSpan w:val="2"/>
            <w:vMerge w:val="continue"/>
            <w:tcBorders>
              <w:top w:val="single" w:color="auto" w:sz="4" w:space="0"/>
              <w:bottom w:val="single" w:color="auto" w:sz="12" w:space="0"/>
            </w:tcBorders>
            <w:vAlign w:val="center"/>
          </w:tcPr>
          <w:p w14:paraId="23BA6841">
            <w:pPr>
              <w:pStyle w:val="42"/>
              <w:keepNext w:val="0"/>
              <w:keepLines w:val="0"/>
              <w:widowControl/>
              <w:suppressLineNumbers w:val="0"/>
              <w:spacing w:before="0" w:beforeAutospacing="0" w:after="0" w:afterAutospacing="0"/>
              <w:ind w:left="0" w:right="0" w:firstLine="0" w:firstLineChars="0"/>
              <w:jc w:val="center"/>
              <w:rPr>
                <w:rFonts w:hint="default"/>
                <w:sz w:val="18"/>
                <w:szCs w:val="18"/>
              </w:rPr>
            </w:pPr>
          </w:p>
        </w:tc>
        <w:tc>
          <w:tcPr>
            <w:tcW w:w="1050" w:type="dxa"/>
            <w:tcBorders>
              <w:top w:val="single" w:color="auto" w:sz="4" w:space="0"/>
              <w:bottom w:val="single" w:color="auto" w:sz="12" w:space="0"/>
            </w:tcBorders>
            <w:vAlign w:val="center"/>
          </w:tcPr>
          <w:p w14:paraId="46FC82F0">
            <w:pPr>
              <w:pStyle w:val="42"/>
              <w:keepNext w:val="0"/>
              <w:keepLines w:val="0"/>
              <w:widowControl/>
              <w:suppressLineNumbers w:val="0"/>
              <w:spacing w:before="0" w:beforeAutospacing="0" w:after="0" w:afterAutospacing="0"/>
              <w:ind w:left="0" w:right="0" w:firstLine="0" w:firstLineChars="0"/>
              <w:jc w:val="center"/>
              <w:rPr>
                <w:rFonts w:hint="default"/>
                <w:sz w:val="18"/>
                <w:szCs w:val="18"/>
              </w:rPr>
            </w:pPr>
            <w:r>
              <w:rPr>
                <w:rFonts w:hint="eastAsia"/>
                <w:sz w:val="18"/>
                <w:szCs w:val="18"/>
              </w:rPr>
              <w:t>特级</w:t>
            </w:r>
          </w:p>
        </w:tc>
        <w:tc>
          <w:tcPr>
            <w:tcW w:w="1080" w:type="dxa"/>
            <w:tcBorders>
              <w:top w:val="single" w:color="auto" w:sz="4" w:space="0"/>
              <w:bottom w:val="single" w:color="auto" w:sz="12" w:space="0"/>
            </w:tcBorders>
            <w:vAlign w:val="center"/>
          </w:tcPr>
          <w:p w14:paraId="52F48761">
            <w:pPr>
              <w:pStyle w:val="42"/>
              <w:keepNext w:val="0"/>
              <w:keepLines w:val="0"/>
              <w:widowControl/>
              <w:suppressLineNumbers w:val="0"/>
              <w:spacing w:before="0" w:beforeAutospacing="0" w:after="0" w:afterAutospacing="0"/>
              <w:ind w:left="0" w:right="0" w:firstLine="0" w:firstLineChars="0"/>
              <w:jc w:val="center"/>
              <w:rPr>
                <w:rFonts w:hint="default"/>
                <w:sz w:val="18"/>
                <w:szCs w:val="18"/>
              </w:rPr>
            </w:pPr>
            <w:r>
              <w:rPr>
                <w:rFonts w:hint="eastAsia"/>
                <w:sz w:val="18"/>
                <w:szCs w:val="18"/>
              </w:rPr>
              <w:t>优级</w:t>
            </w:r>
          </w:p>
        </w:tc>
        <w:tc>
          <w:tcPr>
            <w:tcW w:w="1050" w:type="dxa"/>
            <w:tcBorders>
              <w:top w:val="single" w:color="auto" w:sz="4" w:space="0"/>
              <w:bottom w:val="single" w:color="auto" w:sz="12" w:space="0"/>
            </w:tcBorders>
            <w:vAlign w:val="center"/>
          </w:tcPr>
          <w:p w14:paraId="252019F9">
            <w:pPr>
              <w:pStyle w:val="42"/>
              <w:keepNext w:val="0"/>
              <w:keepLines w:val="0"/>
              <w:widowControl/>
              <w:suppressLineNumbers w:val="0"/>
              <w:spacing w:before="0" w:beforeAutospacing="0" w:after="0" w:afterAutospacing="0"/>
              <w:ind w:left="0" w:right="0" w:firstLine="0" w:firstLineChars="0"/>
              <w:jc w:val="center"/>
              <w:rPr>
                <w:rFonts w:hint="default"/>
                <w:sz w:val="18"/>
                <w:szCs w:val="18"/>
              </w:rPr>
            </w:pPr>
            <w:r>
              <w:rPr>
                <w:rFonts w:hint="eastAsia"/>
                <w:sz w:val="18"/>
                <w:szCs w:val="18"/>
              </w:rPr>
              <w:t>一</w:t>
            </w:r>
            <w:r>
              <w:rPr>
                <w:rFonts w:hint="default"/>
                <w:sz w:val="18"/>
                <w:szCs w:val="18"/>
              </w:rPr>
              <w:t>级</w:t>
            </w:r>
          </w:p>
        </w:tc>
        <w:tc>
          <w:tcPr>
            <w:tcW w:w="1496" w:type="dxa"/>
            <w:vMerge w:val="continue"/>
            <w:tcBorders>
              <w:bottom w:val="single" w:color="auto" w:sz="12" w:space="0"/>
            </w:tcBorders>
            <w:vAlign w:val="center"/>
          </w:tcPr>
          <w:p w14:paraId="2337CF5D">
            <w:pPr>
              <w:pStyle w:val="42"/>
              <w:keepNext w:val="0"/>
              <w:keepLines w:val="0"/>
              <w:widowControl/>
              <w:suppressLineNumbers w:val="0"/>
              <w:spacing w:before="0" w:beforeAutospacing="0" w:after="0" w:afterAutospacing="0"/>
              <w:ind w:left="0" w:right="0" w:firstLine="0" w:firstLineChars="0"/>
              <w:jc w:val="center"/>
              <w:rPr>
                <w:rFonts w:hint="eastAsia"/>
                <w:sz w:val="18"/>
                <w:szCs w:val="18"/>
              </w:rPr>
            </w:pPr>
          </w:p>
        </w:tc>
        <w:tc>
          <w:tcPr>
            <w:tcW w:w="1320" w:type="dxa"/>
            <w:vMerge w:val="continue"/>
            <w:tcBorders>
              <w:bottom w:val="single" w:color="auto" w:sz="12" w:space="0"/>
            </w:tcBorders>
            <w:vAlign w:val="center"/>
          </w:tcPr>
          <w:p w14:paraId="1FE00B1B">
            <w:pPr>
              <w:pStyle w:val="42"/>
              <w:keepNext w:val="0"/>
              <w:keepLines w:val="0"/>
              <w:widowControl/>
              <w:suppressLineNumbers w:val="0"/>
              <w:spacing w:before="0" w:beforeAutospacing="0" w:after="0" w:afterAutospacing="0"/>
              <w:ind w:left="0" w:right="0" w:firstLine="0" w:firstLineChars="0"/>
              <w:jc w:val="center"/>
              <w:rPr>
                <w:rFonts w:hint="eastAsia"/>
                <w:sz w:val="18"/>
                <w:szCs w:val="18"/>
              </w:rPr>
            </w:pPr>
          </w:p>
        </w:tc>
      </w:tr>
      <w:tr w14:paraId="47943BE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3119" w:type="dxa"/>
            <w:gridSpan w:val="2"/>
            <w:tcBorders>
              <w:top w:val="single" w:color="auto" w:sz="12" w:space="0"/>
            </w:tcBorders>
            <w:vAlign w:val="center"/>
          </w:tcPr>
          <w:p w14:paraId="378F37BF">
            <w:pPr>
              <w:pStyle w:val="42"/>
              <w:keepNext w:val="0"/>
              <w:keepLines w:val="0"/>
              <w:widowControl/>
              <w:suppressLineNumbers w:val="0"/>
              <w:spacing w:before="0" w:beforeAutospacing="0" w:after="0" w:afterAutospacing="0"/>
              <w:ind w:left="0" w:right="0" w:firstLine="0" w:firstLineChars="0"/>
              <w:jc w:val="left"/>
              <w:rPr>
                <w:rFonts w:hint="default"/>
                <w:sz w:val="18"/>
                <w:szCs w:val="18"/>
              </w:rPr>
            </w:pPr>
            <w:r>
              <w:rPr>
                <w:rFonts w:hint="eastAsia"/>
                <w:sz w:val="18"/>
                <w:szCs w:val="18"/>
              </w:rPr>
              <w:t>酒精度</w:t>
            </w:r>
            <w:r>
              <w:rPr>
                <w:rFonts w:hint="eastAsia"/>
                <w:sz w:val="18"/>
                <w:szCs w:val="18"/>
                <w:vertAlign w:val="superscript"/>
              </w:rPr>
              <w:t>a</w:t>
            </w:r>
            <w:r>
              <w:rPr>
                <w:rFonts w:hint="eastAsia"/>
                <w:sz w:val="18"/>
                <w:szCs w:val="18"/>
              </w:rPr>
              <w:t>（20℃）/（%</w:t>
            </w:r>
            <w:r>
              <w:rPr>
                <w:rFonts w:hint="default"/>
                <w:sz w:val="18"/>
                <w:szCs w:val="18"/>
              </w:rPr>
              <w:t>vol</w:t>
            </w:r>
            <w:r>
              <w:rPr>
                <w:rFonts w:hint="eastAsia"/>
                <w:sz w:val="18"/>
                <w:szCs w:val="18"/>
              </w:rPr>
              <w:t>）</w:t>
            </w:r>
          </w:p>
        </w:tc>
        <w:tc>
          <w:tcPr>
            <w:tcW w:w="3180" w:type="dxa"/>
            <w:gridSpan w:val="3"/>
            <w:tcBorders>
              <w:top w:val="single" w:color="auto" w:sz="12" w:space="0"/>
            </w:tcBorders>
            <w:vAlign w:val="center"/>
          </w:tcPr>
          <w:p w14:paraId="76DAEA98">
            <w:pPr>
              <w:pStyle w:val="42"/>
              <w:keepNext w:val="0"/>
              <w:keepLines w:val="0"/>
              <w:widowControl/>
              <w:suppressLineNumbers w:val="0"/>
              <w:spacing w:before="0" w:beforeAutospacing="0" w:after="0" w:afterAutospacing="0"/>
              <w:ind w:left="0" w:right="0" w:firstLine="0" w:firstLineChars="0"/>
              <w:jc w:val="center"/>
              <w:rPr>
                <w:rFonts w:hint="default"/>
                <w:sz w:val="18"/>
                <w:szCs w:val="18"/>
              </w:rPr>
            </w:pPr>
            <w:r>
              <w:rPr>
                <w:rFonts w:hint="eastAsia"/>
                <w:sz w:val="18"/>
                <w:szCs w:val="18"/>
              </w:rPr>
              <w:t>≥60</w:t>
            </w:r>
            <w:r>
              <w:rPr>
                <w:rFonts w:hint="default"/>
                <w:sz w:val="18"/>
                <w:szCs w:val="18"/>
              </w:rPr>
              <w:t>.0</w:t>
            </w:r>
          </w:p>
        </w:tc>
        <w:tc>
          <w:tcPr>
            <w:tcW w:w="1496" w:type="dxa"/>
            <w:tcBorders>
              <w:top w:val="single" w:color="auto" w:sz="12" w:space="0"/>
            </w:tcBorders>
            <w:vAlign w:val="center"/>
          </w:tcPr>
          <w:p w14:paraId="065ABF17">
            <w:pPr>
              <w:pStyle w:val="42"/>
              <w:keepNext w:val="0"/>
              <w:keepLines w:val="0"/>
              <w:widowControl/>
              <w:suppressLineNumbers w:val="0"/>
              <w:spacing w:before="0" w:beforeAutospacing="0" w:after="0" w:afterAutospacing="0"/>
              <w:ind w:left="0" w:right="0" w:firstLine="0" w:firstLineChars="0"/>
              <w:jc w:val="center"/>
              <w:rPr>
                <w:rFonts w:hint="default" w:eastAsia="宋体"/>
                <w:sz w:val="18"/>
                <w:szCs w:val="18"/>
                <w:lang w:val="en-US" w:eastAsia="zh-CN"/>
              </w:rPr>
            </w:pPr>
            <w:r>
              <w:rPr>
                <w:rFonts w:hint="eastAsia"/>
                <w:sz w:val="18"/>
                <w:szCs w:val="18"/>
                <w:lang w:val="en-US" w:eastAsia="zh-CN"/>
              </w:rPr>
              <w:t>—</w:t>
            </w:r>
          </w:p>
        </w:tc>
        <w:tc>
          <w:tcPr>
            <w:tcW w:w="1320" w:type="dxa"/>
            <w:tcBorders>
              <w:top w:val="single" w:color="auto" w:sz="12" w:space="0"/>
            </w:tcBorders>
            <w:vAlign w:val="center"/>
          </w:tcPr>
          <w:p w14:paraId="2E22A0D8">
            <w:pPr>
              <w:pStyle w:val="42"/>
              <w:keepNext w:val="0"/>
              <w:keepLines w:val="0"/>
              <w:widowControl/>
              <w:suppressLineNumbers w:val="0"/>
              <w:spacing w:before="0" w:beforeAutospacing="0" w:after="0" w:afterAutospacing="0"/>
              <w:ind w:left="0" w:right="0" w:firstLine="0" w:firstLineChars="0"/>
              <w:jc w:val="center"/>
              <w:rPr>
                <w:rFonts w:hint="eastAsia"/>
                <w:sz w:val="18"/>
                <w:szCs w:val="18"/>
                <w:lang w:val="en-US" w:eastAsia="zh-CN"/>
              </w:rPr>
            </w:pPr>
            <w:r>
              <w:rPr>
                <w:rFonts w:hint="eastAsia"/>
                <w:sz w:val="18"/>
                <w:szCs w:val="18"/>
                <w:lang w:val="en-US" w:eastAsia="zh-CN"/>
              </w:rPr>
              <w:t>—</w:t>
            </w:r>
          </w:p>
        </w:tc>
      </w:tr>
      <w:tr w14:paraId="2FCF5DE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3119" w:type="dxa"/>
            <w:gridSpan w:val="2"/>
            <w:vAlign w:val="center"/>
          </w:tcPr>
          <w:p w14:paraId="4D140179">
            <w:pPr>
              <w:pStyle w:val="42"/>
              <w:keepNext w:val="0"/>
              <w:keepLines w:val="0"/>
              <w:widowControl/>
              <w:suppressLineNumbers w:val="0"/>
              <w:spacing w:before="0" w:beforeAutospacing="0" w:after="0" w:afterAutospacing="0"/>
              <w:ind w:left="0" w:right="0" w:firstLine="0" w:firstLineChars="0"/>
              <w:jc w:val="left"/>
              <w:rPr>
                <w:rFonts w:hint="default"/>
                <w:sz w:val="18"/>
                <w:szCs w:val="18"/>
              </w:rPr>
            </w:pPr>
            <w:r>
              <w:rPr>
                <w:rFonts w:hint="eastAsia"/>
                <w:sz w:val="18"/>
                <w:szCs w:val="18"/>
              </w:rPr>
              <w:t>固形物/</w:t>
            </w:r>
            <w:r>
              <w:rPr>
                <w:rFonts w:hint="default"/>
                <w:sz w:val="18"/>
                <w:szCs w:val="18"/>
              </w:rPr>
              <w:t>（</w:t>
            </w:r>
            <w:r>
              <w:rPr>
                <w:rFonts w:hint="eastAsia"/>
                <w:sz w:val="18"/>
                <w:szCs w:val="18"/>
              </w:rPr>
              <w:t>g/L</w:t>
            </w:r>
            <w:r>
              <w:rPr>
                <w:rFonts w:hint="default"/>
                <w:sz w:val="18"/>
                <w:szCs w:val="18"/>
              </w:rPr>
              <w:t>）</w:t>
            </w:r>
          </w:p>
        </w:tc>
        <w:tc>
          <w:tcPr>
            <w:tcW w:w="3180" w:type="dxa"/>
            <w:gridSpan w:val="3"/>
            <w:vAlign w:val="center"/>
          </w:tcPr>
          <w:p w14:paraId="76425A9C">
            <w:pPr>
              <w:pStyle w:val="42"/>
              <w:keepNext w:val="0"/>
              <w:keepLines w:val="0"/>
              <w:widowControl/>
              <w:suppressLineNumbers w:val="0"/>
              <w:spacing w:before="0" w:beforeAutospacing="0" w:after="0" w:afterAutospacing="0"/>
              <w:ind w:left="0" w:right="0" w:firstLine="0" w:firstLineChars="0"/>
              <w:jc w:val="center"/>
              <w:rPr>
                <w:rFonts w:hint="default"/>
                <w:sz w:val="18"/>
                <w:szCs w:val="18"/>
              </w:rPr>
            </w:pPr>
            <w:r>
              <w:rPr>
                <w:rFonts w:hint="eastAsia"/>
                <w:sz w:val="18"/>
                <w:szCs w:val="18"/>
              </w:rPr>
              <w:t>≤0.4</w:t>
            </w:r>
            <w:r>
              <w:rPr>
                <w:rFonts w:hint="default"/>
                <w:sz w:val="18"/>
                <w:szCs w:val="18"/>
              </w:rPr>
              <w:t>0</w:t>
            </w:r>
          </w:p>
        </w:tc>
        <w:tc>
          <w:tcPr>
            <w:tcW w:w="1496" w:type="dxa"/>
            <w:vAlign w:val="center"/>
          </w:tcPr>
          <w:p w14:paraId="7C0DB70D">
            <w:pPr>
              <w:pStyle w:val="42"/>
              <w:keepNext w:val="0"/>
              <w:keepLines w:val="0"/>
              <w:widowControl/>
              <w:suppressLineNumbers w:val="0"/>
              <w:spacing w:before="0" w:beforeAutospacing="0" w:after="0" w:afterAutospacing="0"/>
              <w:ind w:left="0" w:right="0" w:firstLine="0" w:firstLineChars="0"/>
              <w:jc w:val="center"/>
              <w:rPr>
                <w:rFonts w:hint="eastAsia"/>
                <w:sz w:val="18"/>
                <w:szCs w:val="18"/>
              </w:rPr>
            </w:pPr>
            <w:r>
              <w:rPr>
                <w:rFonts w:hint="eastAsia"/>
                <w:sz w:val="18"/>
                <w:szCs w:val="18"/>
              </w:rPr>
              <w:t>≤0.4</w:t>
            </w:r>
            <w:r>
              <w:rPr>
                <w:rFonts w:hint="default"/>
                <w:sz w:val="18"/>
                <w:szCs w:val="18"/>
              </w:rPr>
              <w:t>0</w:t>
            </w:r>
          </w:p>
        </w:tc>
        <w:tc>
          <w:tcPr>
            <w:tcW w:w="1320" w:type="dxa"/>
            <w:vAlign w:val="center"/>
          </w:tcPr>
          <w:p w14:paraId="14AE720B">
            <w:pPr>
              <w:pStyle w:val="42"/>
              <w:keepNext w:val="0"/>
              <w:keepLines w:val="0"/>
              <w:widowControl/>
              <w:suppressLineNumbers w:val="0"/>
              <w:spacing w:before="0" w:beforeAutospacing="0" w:after="0" w:afterAutospacing="0"/>
              <w:ind w:left="0" w:right="0" w:firstLine="0" w:firstLineChars="0"/>
              <w:jc w:val="center"/>
              <w:rPr>
                <w:rFonts w:hint="eastAsia"/>
                <w:sz w:val="18"/>
                <w:szCs w:val="18"/>
              </w:rPr>
            </w:pPr>
            <w:r>
              <w:rPr>
                <w:rFonts w:hint="eastAsia"/>
                <w:sz w:val="18"/>
                <w:szCs w:val="18"/>
                <w:lang w:eastAsia="zh-CN"/>
              </w:rPr>
              <w:t>与国标一致</w:t>
            </w:r>
          </w:p>
        </w:tc>
      </w:tr>
      <w:tr w14:paraId="1D5845F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724" w:type="dxa"/>
            <w:vAlign w:val="center"/>
          </w:tcPr>
          <w:p w14:paraId="35FFE2E1">
            <w:pPr>
              <w:pStyle w:val="42"/>
              <w:keepNext w:val="0"/>
              <w:keepLines w:val="0"/>
              <w:widowControl/>
              <w:suppressLineNumbers w:val="0"/>
              <w:spacing w:before="0" w:beforeAutospacing="0" w:after="0" w:afterAutospacing="0"/>
              <w:ind w:left="0" w:right="0" w:firstLine="0" w:firstLineChars="0"/>
              <w:jc w:val="left"/>
              <w:rPr>
                <w:rFonts w:hint="default"/>
                <w:sz w:val="18"/>
                <w:szCs w:val="18"/>
              </w:rPr>
            </w:pPr>
            <w:r>
              <w:rPr>
                <w:rFonts w:hint="eastAsia"/>
                <w:sz w:val="18"/>
                <w:szCs w:val="18"/>
              </w:rPr>
              <w:t>总酸</w:t>
            </w:r>
            <w:r>
              <w:rPr>
                <w:rFonts w:hint="default"/>
                <w:sz w:val="18"/>
                <w:szCs w:val="18"/>
                <w:vertAlign w:val="superscript"/>
              </w:rPr>
              <w:t>C</w:t>
            </w:r>
            <w:r>
              <w:rPr>
                <w:rFonts w:hint="eastAsia"/>
                <w:sz w:val="18"/>
                <w:szCs w:val="18"/>
              </w:rPr>
              <w:t>（以</w:t>
            </w:r>
            <w:r>
              <w:rPr>
                <w:rFonts w:hint="default"/>
                <w:sz w:val="18"/>
                <w:szCs w:val="18"/>
              </w:rPr>
              <w:t>乙酸计</w:t>
            </w:r>
            <w:r>
              <w:rPr>
                <w:rFonts w:hint="eastAsia"/>
                <w:sz w:val="18"/>
                <w:szCs w:val="18"/>
              </w:rPr>
              <w:t>）/</w:t>
            </w:r>
            <w:r>
              <w:rPr>
                <w:rFonts w:hint="default"/>
                <w:sz w:val="18"/>
                <w:szCs w:val="18"/>
              </w:rPr>
              <w:t>（</w:t>
            </w:r>
            <w:r>
              <w:rPr>
                <w:rFonts w:hint="eastAsia"/>
                <w:sz w:val="18"/>
                <w:szCs w:val="18"/>
              </w:rPr>
              <w:t>g/L</w:t>
            </w:r>
            <w:r>
              <w:rPr>
                <w:rFonts w:hint="default"/>
                <w:sz w:val="18"/>
                <w:szCs w:val="18"/>
              </w:rPr>
              <w:t>）</w:t>
            </w:r>
          </w:p>
        </w:tc>
        <w:tc>
          <w:tcPr>
            <w:tcW w:w="1395" w:type="dxa"/>
            <w:vMerge w:val="restart"/>
            <w:vAlign w:val="center"/>
          </w:tcPr>
          <w:p w14:paraId="65A39754">
            <w:pPr>
              <w:pStyle w:val="42"/>
              <w:keepNext w:val="0"/>
              <w:keepLines w:val="0"/>
              <w:widowControl/>
              <w:suppressLineNumbers w:val="0"/>
              <w:spacing w:before="0" w:beforeAutospacing="0" w:after="0" w:afterAutospacing="0"/>
              <w:ind w:left="0" w:right="0" w:firstLine="0" w:firstLineChars="0"/>
              <w:jc w:val="center"/>
              <w:rPr>
                <w:rFonts w:hint="default"/>
                <w:sz w:val="18"/>
                <w:szCs w:val="18"/>
              </w:rPr>
            </w:pPr>
            <w:r>
              <w:rPr>
                <w:rFonts w:hint="eastAsia"/>
                <w:sz w:val="18"/>
                <w:szCs w:val="18"/>
              </w:rPr>
              <w:t>原酒</w:t>
            </w:r>
            <w:r>
              <w:rPr>
                <w:rFonts w:hint="default"/>
                <w:sz w:val="18"/>
                <w:szCs w:val="18"/>
              </w:rPr>
              <w:t>封坛（</w:t>
            </w:r>
            <w:r>
              <w:rPr>
                <w:rFonts w:hint="eastAsia"/>
                <w:sz w:val="18"/>
                <w:szCs w:val="18"/>
              </w:rPr>
              <w:t>罐</w:t>
            </w:r>
            <w:r>
              <w:rPr>
                <w:rFonts w:hint="default"/>
                <w:sz w:val="18"/>
                <w:szCs w:val="18"/>
              </w:rPr>
              <w:t>）</w:t>
            </w:r>
            <w:r>
              <w:rPr>
                <w:rFonts w:hint="eastAsia"/>
                <w:sz w:val="18"/>
                <w:szCs w:val="18"/>
              </w:rPr>
              <w:t>贮存</w:t>
            </w:r>
            <w:r>
              <w:rPr>
                <w:rFonts w:hint="default"/>
                <w:sz w:val="18"/>
                <w:szCs w:val="18"/>
              </w:rPr>
              <w:t>起始日期</w:t>
            </w:r>
          </w:p>
          <w:p w14:paraId="7057E45A">
            <w:pPr>
              <w:pStyle w:val="42"/>
              <w:keepNext w:val="0"/>
              <w:keepLines w:val="0"/>
              <w:widowControl/>
              <w:suppressLineNumbers w:val="0"/>
              <w:spacing w:before="0" w:beforeAutospacing="0" w:after="0" w:afterAutospacing="0"/>
              <w:ind w:left="0" w:right="0" w:firstLine="0" w:firstLineChars="0"/>
              <w:jc w:val="center"/>
              <w:rPr>
                <w:rFonts w:hint="default"/>
                <w:sz w:val="18"/>
                <w:szCs w:val="18"/>
              </w:rPr>
            </w:pPr>
            <w:r>
              <w:rPr>
                <w:rFonts w:hint="eastAsia"/>
                <w:sz w:val="18"/>
                <w:szCs w:val="18"/>
              </w:rPr>
              <w:t>1年</w:t>
            </w:r>
            <w:r>
              <w:rPr>
                <w:rFonts w:hint="default"/>
                <w:sz w:val="18"/>
                <w:szCs w:val="18"/>
              </w:rPr>
              <w:t>内（</w:t>
            </w:r>
            <w:r>
              <w:rPr>
                <w:rFonts w:hint="eastAsia"/>
                <w:sz w:val="18"/>
                <w:szCs w:val="18"/>
              </w:rPr>
              <w:t>含1年</w:t>
            </w:r>
            <w:r>
              <w:rPr>
                <w:rFonts w:hint="default"/>
                <w:sz w:val="18"/>
                <w:szCs w:val="18"/>
              </w:rPr>
              <w:t>）</w:t>
            </w:r>
          </w:p>
        </w:tc>
        <w:tc>
          <w:tcPr>
            <w:tcW w:w="1050" w:type="dxa"/>
            <w:vAlign w:val="center"/>
          </w:tcPr>
          <w:p w14:paraId="60E02FC9">
            <w:pPr>
              <w:pStyle w:val="42"/>
              <w:keepNext w:val="0"/>
              <w:keepLines w:val="0"/>
              <w:widowControl/>
              <w:suppressLineNumbers w:val="0"/>
              <w:spacing w:before="0" w:beforeAutospacing="0" w:after="0" w:afterAutospacing="0"/>
              <w:ind w:left="0" w:right="0" w:firstLine="0" w:firstLineChars="0"/>
              <w:jc w:val="center"/>
              <w:rPr>
                <w:rFonts w:hint="default"/>
                <w:sz w:val="18"/>
                <w:szCs w:val="18"/>
              </w:rPr>
            </w:pPr>
            <w:r>
              <w:rPr>
                <w:rFonts w:hint="eastAsia"/>
                <w:sz w:val="18"/>
                <w:szCs w:val="18"/>
              </w:rPr>
              <w:t>≥1.50</w:t>
            </w:r>
          </w:p>
        </w:tc>
        <w:tc>
          <w:tcPr>
            <w:tcW w:w="1080" w:type="dxa"/>
            <w:vAlign w:val="center"/>
          </w:tcPr>
          <w:p w14:paraId="1505E5AE">
            <w:pPr>
              <w:pStyle w:val="42"/>
              <w:keepNext w:val="0"/>
              <w:keepLines w:val="0"/>
              <w:widowControl/>
              <w:suppressLineNumbers w:val="0"/>
              <w:spacing w:before="0" w:beforeAutospacing="0" w:after="0" w:afterAutospacing="0"/>
              <w:ind w:left="0" w:right="0" w:firstLine="0" w:firstLineChars="0"/>
              <w:jc w:val="center"/>
              <w:rPr>
                <w:rFonts w:hint="default"/>
                <w:sz w:val="18"/>
                <w:szCs w:val="18"/>
              </w:rPr>
            </w:pPr>
            <w:r>
              <w:rPr>
                <w:rFonts w:hint="eastAsia"/>
                <w:sz w:val="18"/>
                <w:szCs w:val="18"/>
              </w:rPr>
              <w:t>≥1.00</w:t>
            </w:r>
          </w:p>
        </w:tc>
        <w:tc>
          <w:tcPr>
            <w:tcW w:w="1050" w:type="dxa"/>
            <w:vAlign w:val="center"/>
          </w:tcPr>
          <w:p w14:paraId="61A88866">
            <w:pPr>
              <w:pStyle w:val="42"/>
              <w:keepNext w:val="0"/>
              <w:keepLines w:val="0"/>
              <w:widowControl/>
              <w:suppressLineNumbers w:val="0"/>
              <w:spacing w:before="0" w:beforeAutospacing="0" w:after="0" w:afterAutospacing="0"/>
              <w:ind w:left="0" w:right="0" w:firstLine="0" w:firstLineChars="0"/>
              <w:jc w:val="center"/>
              <w:rPr>
                <w:rFonts w:hint="default"/>
                <w:sz w:val="18"/>
                <w:szCs w:val="18"/>
              </w:rPr>
            </w:pPr>
            <w:r>
              <w:rPr>
                <w:rFonts w:hint="eastAsia"/>
                <w:sz w:val="18"/>
                <w:szCs w:val="18"/>
              </w:rPr>
              <w:t>≥0.70</w:t>
            </w:r>
          </w:p>
        </w:tc>
        <w:tc>
          <w:tcPr>
            <w:tcW w:w="1496" w:type="dxa"/>
            <w:vAlign w:val="center"/>
          </w:tcPr>
          <w:p w14:paraId="7AB387F4">
            <w:pPr>
              <w:pStyle w:val="42"/>
              <w:keepNext w:val="0"/>
              <w:keepLines w:val="0"/>
              <w:widowControl/>
              <w:suppressLineNumbers w:val="0"/>
              <w:spacing w:before="0" w:beforeAutospacing="0" w:after="0" w:afterAutospacing="0"/>
              <w:ind w:left="0" w:right="0" w:firstLine="0" w:firstLineChars="0"/>
              <w:jc w:val="center"/>
              <w:rPr>
                <w:rFonts w:hint="default" w:eastAsia="宋体"/>
                <w:sz w:val="18"/>
                <w:szCs w:val="18"/>
                <w:lang w:val="en-US" w:eastAsia="zh-CN"/>
              </w:rPr>
            </w:pPr>
            <w:r>
              <w:rPr>
                <w:rFonts w:hint="eastAsia"/>
                <w:sz w:val="18"/>
                <w:szCs w:val="18"/>
              </w:rPr>
              <w:t>≥</w:t>
            </w:r>
            <w:r>
              <w:rPr>
                <w:rFonts w:hint="eastAsia"/>
                <w:sz w:val="18"/>
                <w:szCs w:val="18"/>
                <w:lang w:val="en-US" w:eastAsia="zh-CN"/>
              </w:rPr>
              <w:t>0.40</w:t>
            </w:r>
          </w:p>
        </w:tc>
        <w:tc>
          <w:tcPr>
            <w:tcW w:w="1320" w:type="dxa"/>
            <w:vAlign w:val="center"/>
          </w:tcPr>
          <w:p w14:paraId="12F36F3A">
            <w:pPr>
              <w:pStyle w:val="42"/>
              <w:keepNext w:val="0"/>
              <w:keepLines w:val="0"/>
              <w:widowControl/>
              <w:suppressLineNumbers w:val="0"/>
              <w:spacing w:before="0" w:beforeAutospacing="0" w:after="0" w:afterAutospacing="0"/>
              <w:ind w:left="0" w:right="0" w:firstLine="0" w:firstLineChars="0"/>
              <w:jc w:val="center"/>
              <w:rPr>
                <w:rFonts w:hint="eastAsia" w:eastAsia="宋体"/>
                <w:sz w:val="18"/>
                <w:szCs w:val="18"/>
                <w:lang w:eastAsia="zh-CN"/>
              </w:rPr>
            </w:pPr>
            <w:r>
              <w:rPr>
                <w:rFonts w:hint="eastAsia"/>
                <w:sz w:val="18"/>
                <w:szCs w:val="18"/>
                <w:lang w:eastAsia="zh-CN"/>
              </w:rPr>
              <w:t>优于国标</w:t>
            </w:r>
          </w:p>
        </w:tc>
      </w:tr>
      <w:tr w14:paraId="5334414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724" w:type="dxa"/>
            <w:vAlign w:val="center"/>
          </w:tcPr>
          <w:p w14:paraId="538C03CA">
            <w:pPr>
              <w:pStyle w:val="42"/>
              <w:keepNext w:val="0"/>
              <w:keepLines w:val="0"/>
              <w:widowControl/>
              <w:suppressLineNumbers w:val="0"/>
              <w:spacing w:before="0" w:beforeAutospacing="0" w:after="0" w:afterAutospacing="0"/>
              <w:ind w:left="0" w:right="0" w:firstLine="0" w:firstLineChars="0"/>
              <w:jc w:val="left"/>
              <w:rPr>
                <w:rFonts w:hint="default"/>
                <w:sz w:val="18"/>
                <w:szCs w:val="18"/>
              </w:rPr>
            </w:pPr>
            <w:r>
              <w:rPr>
                <w:rFonts w:hint="eastAsia"/>
                <w:sz w:val="18"/>
                <w:szCs w:val="18"/>
              </w:rPr>
              <w:t>总酯</w:t>
            </w:r>
            <w:r>
              <w:rPr>
                <w:rFonts w:hint="default"/>
                <w:sz w:val="18"/>
                <w:szCs w:val="18"/>
                <w:vertAlign w:val="superscript"/>
              </w:rPr>
              <w:t>C</w:t>
            </w:r>
            <w:r>
              <w:rPr>
                <w:rFonts w:hint="eastAsia"/>
                <w:sz w:val="18"/>
                <w:szCs w:val="18"/>
              </w:rPr>
              <w:t>（以乙酸乙酯</w:t>
            </w:r>
            <w:r>
              <w:rPr>
                <w:rFonts w:hint="default"/>
                <w:sz w:val="18"/>
                <w:szCs w:val="18"/>
              </w:rPr>
              <w:t>计</w:t>
            </w:r>
            <w:r>
              <w:rPr>
                <w:rFonts w:hint="eastAsia"/>
                <w:sz w:val="18"/>
                <w:szCs w:val="18"/>
              </w:rPr>
              <w:t>）/</w:t>
            </w:r>
            <w:r>
              <w:rPr>
                <w:rFonts w:hint="default"/>
                <w:sz w:val="18"/>
                <w:szCs w:val="18"/>
              </w:rPr>
              <w:t>（</w:t>
            </w:r>
            <w:r>
              <w:rPr>
                <w:rFonts w:hint="eastAsia"/>
                <w:sz w:val="18"/>
                <w:szCs w:val="18"/>
              </w:rPr>
              <w:t>g/L</w:t>
            </w:r>
            <w:r>
              <w:rPr>
                <w:rFonts w:hint="default"/>
                <w:sz w:val="18"/>
                <w:szCs w:val="18"/>
              </w:rPr>
              <w:t>）</w:t>
            </w:r>
          </w:p>
        </w:tc>
        <w:tc>
          <w:tcPr>
            <w:tcW w:w="1395" w:type="dxa"/>
            <w:vMerge w:val="continue"/>
            <w:vAlign w:val="center"/>
          </w:tcPr>
          <w:p w14:paraId="14E27F42">
            <w:pPr>
              <w:pStyle w:val="42"/>
              <w:keepNext w:val="0"/>
              <w:keepLines w:val="0"/>
              <w:widowControl/>
              <w:suppressLineNumbers w:val="0"/>
              <w:spacing w:before="0" w:beforeAutospacing="0" w:after="0" w:afterAutospacing="0"/>
              <w:ind w:left="0" w:right="0" w:firstLine="0" w:firstLineChars="0"/>
              <w:jc w:val="center"/>
              <w:rPr>
                <w:rFonts w:hint="default"/>
                <w:sz w:val="18"/>
                <w:szCs w:val="18"/>
              </w:rPr>
            </w:pPr>
          </w:p>
        </w:tc>
        <w:tc>
          <w:tcPr>
            <w:tcW w:w="1050" w:type="dxa"/>
            <w:vAlign w:val="center"/>
          </w:tcPr>
          <w:p w14:paraId="3BBB047C">
            <w:pPr>
              <w:pStyle w:val="42"/>
              <w:keepNext w:val="0"/>
              <w:keepLines w:val="0"/>
              <w:widowControl/>
              <w:suppressLineNumbers w:val="0"/>
              <w:spacing w:before="0" w:beforeAutospacing="0" w:after="0" w:afterAutospacing="0"/>
              <w:ind w:left="0" w:right="0" w:firstLine="0" w:firstLineChars="0"/>
              <w:jc w:val="center"/>
              <w:rPr>
                <w:rFonts w:hint="default"/>
                <w:sz w:val="18"/>
                <w:szCs w:val="18"/>
              </w:rPr>
            </w:pPr>
            <w:r>
              <w:rPr>
                <w:rFonts w:hint="eastAsia"/>
                <w:sz w:val="18"/>
                <w:szCs w:val="18"/>
              </w:rPr>
              <w:t>≥4.50</w:t>
            </w:r>
          </w:p>
        </w:tc>
        <w:tc>
          <w:tcPr>
            <w:tcW w:w="1080" w:type="dxa"/>
            <w:vAlign w:val="center"/>
          </w:tcPr>
          <w:p w14:paraId="1C2C5508">
            <w:pPr>
              <w:pStyle w:val="42"/>
              <w:keepNext w:val="0"/>
              <w:keepLines w:val="0"/>
              <w:widowControl/>
              <w:suppressLineNumbers w:val="0"/>
              <w:spacing w:before="0" w:beforeAutospacing="0" w:after="0" w:afterAutospacing="0"/>
              <w:ind w:left="0" w:right="0" w:firstLine="0" w:firstLineChars="0"/>
              <w:jc w:val="center"/>
              <w:rPr>
                <w:rFonts w:hint="default"/>
                <w:sz w:val="18"/>
                <w:szCs w:val="18"/>
              </w:rPr>
            </w:pPr>
            <w:r>
              <w:rPr>
                <w:rFonts w:hint="eastAsia"/>
                <w:sz w:val="18"/>
                <w:szCs w:val="18"/>
              </w:rPr>
              <w:t>≥3.</w:t>
            </w:r>
            <w:r>
              <w:rPr>
                <w:rFonts w:hint="eastAsia"/>
                <w:sz w:val="18"/>
                <w:szCs w:val="18"/>
                <w:lang w:val="en-US" w:eastAsia="zh-CN"/>
              </w:rPr>
              <w:t>5</w:t>
            </w:r>
            <w:r>
              <w:rPr>
                <w:rFonts w:hint="eastAsia"/>
                <w:sz w:val="18"/>
                <w:szCs w:val="18"/>
              </w:rPr>
              <w:t>0</w:t>
            </w:r>
          </w:p>
        </w:tc>
        <w:tc>
          <w:tcPr>
            <w:tcW w:w="1050" w:type="dxa"/>
            <w:vAlign w:val="center"/>
          </w:tcPr>
          <w:p w14:paraId="52ABA5A9">
            <w:pPr>
              <w:pStyle w:val="42"/>
              <w:keepNext w:val="0"/>
              <w:keepLines w:val="0"/>
              <w:widowControl/>
              <w:suppressLineNumbers w:val="0"/>
              <w:spacing w:before="0" w:beforeAutospacing="0" w:after="0" w:afterAutospacing="0"/>
              <w:ind w:left="0" w:right="0" w:firstLine="0" w:firstLineChars="0"/>
              <w:jc w:val="center"/>
              <w:rPr>
                <w:rFonts w:hint="default"/>
                <w:sz w:val="18"/>
                <w:szCs w:val="18"/>
              </w:rPr>
            </w:pPr>
            <w:r>
              <w:rPr>
                <w:rFonts w:hint="eastAsia"/>
                <w:sz w:val="18"/>
                <w:szCs w:val="18"/>
              </w:rPr>
              <w:t>≥3.00</w:t>
            </w:r>
          </w:p>
        </w:tc>
        <w:tc>
          <w:tcPr>
            <w:tcW w:w="1496" w:type="dxa"/>
            <w:vAlign w:val="center"/>
          </w:tcPr>
          <w:p w14:paraId="66B35BC9">
            <w:pPr>
              <w:pStyle w:val="42"/>
              <w:keepNext w:val="0"/>
              <w:keepLines w:val="0"/>
              <w:widowControl/>
              <w:suppressLineNumbers w:val="0"/>
              <w:spacing w:before="0" w:beforeAutospacing="0" w:after="0" w:afterAutospacing="0"/>
              <w:ind w:left="0" w:right="0" w:firstLine="0" w:firstLineChars="0"/>
              <w:jc w:val="center"/>
              <w:rPr>
                <w:rFonts w:hint="default" w:eastAsia="宋体"/>
                <w:sz w:val="18"/>
                <w:szCs w:val="18"/>
                <w:lang w:val="en-US" w:eastAsia="zh-CN"/>
              </w:rPr>
            </w:pPr>
            <w:r>
              <w:rPr>
                <w:rFonts w:hint="eastAsia"/>
                <w:sz w:val="18"/>
                <w:szCs w:val="18"/>
              </w:rPr>
              <w:t>≥</w:t>
            </w:r>
            <w:r>
              <w:rPr>
                <w:rFonts w:hint="eastAsia"/>
                <w:sz w:val="18"/>
                <w:szCs w:val="18"/>
                <w:lang w:val="en-US" w:eastAsia="zh-CN"/>
              </w:rPr>
              <w:t>2.00</w:t>
            </w:r>
          </w:p>
        </w:tc>
        <w:tc>
          <w:tcPr>
            <w:tcW w:w="1320" w:type="dxa"/>
            <w:vAlign w:val="center"/>
          </w:tcPr>
          <w:p w14:paraId="6AD1C206">
            <w:pPr>
              <w:pStyle w:val="42"/>
              <w:keepNext w:val="0"/>
              <w:keepLines w:val="0"/>
              <w:widowControl/>
              <w:suppressLineNumbers w:val="0"/>
              <w:spacing w:before="0" w:beforeAutospacing="0" w:after="0" w:afterAutospacing="0"/>
              <w:ind w:left="0" w:right="0" w:firstLine="0" w:firstLineChars="0"/>
              <w:jc w:val="center"/>
              <w:rPr>
                <w:rFonts w:hint="eastAsia"/>
                <w:sz w:val="18"/>
                <w:szCs w:val="18"/>
              </w:rPr>
            </w:pPr>
            <w:r>
              <w:rPr>
                <w:rFonts w:hint="eastAsia"/>
                <w:sz w:val="18"/>
                <w:szCs w:val="18"/>
                <w:lang w:eastAsia="zh-CN"/>
              </w:rPr>
              <w:t>优于国标</w:t>
            </w:r>
          </w:p>
        </w:tc>
      </w:tr>
      <w:tr w14:paraId="2257FDB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724" w:type="dxa"/>
            <w:vAlign w:val="center"/>
          </w:tcPr>
          <w:p w14:paraId="3BD8E13F">
            <w:pPr>
              <w:pStyle w:val="42"/>
              <w:keepNext w:val="0"/>
              <w:keepLines w:val="0"/>
              <w:widowControl/>
              <w:suppressLineNumbers w:val="0"/>
              <w:spacing w:before="0" w:beforeAutospacing="0" w:after="0" w:afterAutospacing="0"/>
              <w:ind w:left="0" w:right="0" w:firstLine="0" w:firstLineChars="0"/>
              <w:jc w:val="left"/>
              <w:rPr>
                <w:rFonts w:hint="default"/>
                <w:sz w:val="18"/>
                <w:szCs w:val="18"/>
              </w:rPr>
            </w:pPr>
            <w:r>
              <w:rPr>
                <w:rFonts w:hint="eastAsia"/>
                <w:sz w:val="18"/>
                <w:szCs w:val="18"/>
              </w:rPr>
              <w:t>己酸乙酯</w:t>
            </w:r>
            <w:r>
              <w:rPr>
                <w:rFonts w:hint="default"/>
                <w:sz w:val="18"/>
                <w:szCs w:val="18"/>
                <w:vertAlign w:val="superscript"/>
              </w:rPr>
              <w:t>C</w:t>
            </w:r>
            <w:r>
              <w:rPr>
                <w:rFonts w:hint="eastAsia"/>
                <w:sz w:val="18"/>
                <w:szCs w:val="18"/>
              </w:rPr>
              <w:t xml:space="preserve"> /</w:t>
            </w:r>
            <w:r>
              <w:rPr>
                <w:rFonts w:hint="default"/>
                <w:sz w:val="18"/>
                <w:szCs w:val="18"/>
              </w:rPr>
              <w:t>（</w:t>
            </w:r>
            <w:r>
              <w:rPr>
                <w:rFonts w:hint="eastAsia"/>
                <w:sz w:val="18"/>
                <w:szCs w:val="18"/>
              </w:rPr>
              <w:t>g/L</w:t>
            </w:r>
            <w:r>
              <w:rPr>
                <w:rFonts w:hint="default"/>
                <w:sz w:val="18"/>
                <w:szCs w:val="18"/>
              </w:rPr>
              <w:t>）</w:t>
            </w:r>
          </w:p>
        </w:tc>
        <w:tc>
          <w:tcPr>
            <w:tcW w:w="1395" w:type="dxa"/>
            <w:vMerge w:val="continue"/>
            <w:vAlign w:val="center"/>
          </w:tcPr>
          <w:p w14:paraId="4ED8787D">
            <w:pPr>
              <w:pStyle w:val="42"/>
              <w:keepNext w:val="0"/>
              <w:keepLines w:val="0"/>
              <w:widowControl/>
              <w:suppressLineNumbers w:val="0"/>
              <w:spacing w:before="0" w:beforeAutospacing="0" w:after="0" w:afterAutospacing="0"/>
              <w:ind w:left="0" w:right="0" w:firstLine="0" w:firstLineChars="0"/>
              <w:jc w:val="center"/>
              <w:rPr>
                <w:rFonts w:hint="default"/>
                <w:sz w:val="18"/>
                <w:szCs w:val="18"/>
              </w:rPr>
            </w:pPr>
          </w:p>
        </w:tc>
        <w:tc>
          <w:tcPr>
            <w:tcW w:w="1050" w:type="dxa"/>
            <w:vAlign w:val="center"/>
          </w:tcPr>
          <w:p w14:paraId="04AEECEB">
            <w:pPr>
              <w:pStyle w:val="42"/>
              <w:keepNext w:val="0"/>
              <w:keepLines w:val="0"/>
              <w:widowControl/>
              <w:suppressLineNumbers w:val="0"/>
              <w:spacing w:before="0" w:beforeAutospacing="0" w:after="0" w:afterAutospacing="0"/>
              <w:ind w:left="0" w:right="0" w:firstLine="0" w:firstLineChars="0"/>
              <w:jc w:val="center"/>
              <w:rPr>
                <w:rFonts w:hint="default"/>
                <w:sz w:val="18"/>
                <w:szCs w:val="18"/>
              </w:rPr>
            </w:pPr>
            <w:r>
              <w:rPr>
                <w:rFonts w:hint="eastAsia"/>
                <w:sz w:val="18"/>
                <w:szCs w:val="18"/>
              </w:rPr>
              <w:t>≥3.20</w:t>
            </w:r>
          </w:p>
        </w:tc>
        <w:tc>
          <w:tcPr>
            <w:tcW w:w="1080" w:type="dxa"/>
            <w:vAlign w:val="center"/>
          </w:tcPr>
          <w:p w14:paraId="7E0A3A03">
            <w:pPr>
              <w:pStyle w:val="42"/>
              <w:keepNext w:val="0"/>
              <w:keepLines w:val="0"/>
              <w:widowControl/>
              <w:suppressLineNumbers w:val="0"/>
              <w:spacing w:before="0" w:beforeAutospacing="0" w:after="0" w:afterAutospacing="0"/>
              <w:ind w:left="0" w:right="0" w:firstLine="0" w:firstLineChars="0"/>
              <w:jc w:val="center"/>
              <w:rPr>
                <w:rFonts w:hint="default"/>
                <w:sz w:val="18"/>
                <w:szCs w:val="18"/>
              </w:rPr>
            </w:pPr>
            <w:r>
              <w:rPr>
                <w:rFonts w:hint="eastAsia"/>
                <w:sz w:val="18"/>
                <w:szCs w:val="18"/>
              </w:rPr>
              <w:t>≥</w:t>
            </w:r>
            <w:r>
              <w:rPr>
                <w:rFonts w:hint="default"/>
                <w:sz w:val="18"/>
                <w:szCs w:val="18"/>
              </w:rPr>
              <w:t>2</w:t>
            </w:r>
            <w:r>
              <w:rPr>
                <w:rFonts w:hint="eastAsia"/>
                <w:sz w:val="18"/>
                <w:szCs w:val="18"/>
              </w:rPr>
              <w:t>.00</w:t>
            </w:r>
          </w:p>
        </w:tc>
        <w:tc>
          <w:tcPr>
            <w:tcW w:w="1050" w:type="dxa"/>
            <w:vAlign w:val="center"/>
          </w:tcPr>
          <w:p w14:paraId="4DC864F3">
            <w:pPr>
              <w:pStyle w:val="42"/>
              <w:keepNext w:val="0"/>
              <w:keepLines w:val="0"/>
              <w:widowControl/>
              <w:suppressLineNumbers w:val="0"/>
              <w:spacing w:before="0" w:beforeAutospacing="0" w:after="0" w:afterAutospacing="0"/>
              <w:ind w:left="0" w:right="0" w:firstLine="0" w:firstLineChars="0"/>
              <w:jc w:val="center"/>
              <w:rPr>
                <w:rFonts w:hint="default"/>
                <w:sz w:val="18"/>
                <w:szCs w:val="18"/>
              </w:rPr>
            </w:pPr>
            <w:r>
              <w:rPr>
                <w:rFonts w:hint="eastAsia"/>
                <w:sz w:val="18"/>
                <w:szCs w:val="18"/>
              </w:rPr>
              <w:t>≥</w:t>
            </w:r>
            <w:r>
              <w:rPr>
                <w:rFonts w:hint="default"/>
                <w:sz w:val="18"/>
                <w:szCs w:val="18"/>
              </w:rPr>
              <w:t>1.20</w:t>
            </w:r>
          </w:p>
        </w:tc>
        <w:tc>
          <w:tcPr>
            <w:tcW w:w="1496" w:type="dxa"/>
            <w:vAlign w:val="center"/>
          </w:tcPr>
          <w:p w14:paraId="5585014A">
            <w:pPr>
              <w:pStyle w:val="42"/>
              <w:keepNext w:val="0"/>
              <w:keepLines w:val="0"/>
              <w:widowControl/>
              <w:suppressLineNumbers w:val="0"/>
              <w:spacing w:before="0" w:beforeAutospacing="0" w:after="0" w:afterAutospacing="0"/>
              <w:ind w:left="0" w:right="0" w:firstLine="0" w:firstLineChars="0"/>
              <w:jc w:val="center"/>
              <w:rPr>
                <w:rFonts w:hint="default" w:eastAsia="宋体"/>
                <w:sz w:val="18"/>
                <w:szCs w:val="18"/>
                <w:lang w:val="en-US" w:eastAsia="zh-CN"/>
              </w:rPr>
            </w:pPr>
            <w:r>
              <w:rPr>
                <w:rFonts w:hint="eastAsia"/>
                <w:sz w:val="18"/>
                <w:szCs w:val="18"/>
              </w:rPr>
              <w:t>≥</w:t>
            </w:r>
            <w:r>
              <w:rPr>
                <w:rFonts w:hint="eastAsia"/>
                <w:sz w:val="18"/>
                <w:szCs w:val="18"/>
                <w:lang w:val="en-US" w:eastAsia="zh-CN"/>
              </w:rPr>
              <w:t>1.20</w:t>
            </w:r>
          </w:p>
        </w:tc>
        <w:tc>
          <w:tcPr>
            <w:tcW w:w="1320" w:type="dxa"/>
            <w:vAlign w:val="center"/>
          </w:tcPr>
          <w:p w14:paraId="7A9102DD">
            <w:pPr>
              <w:pStyle w:val="42"/>
              <w:keepNext w:val="0"/>
              <w:keepLines w:val="0"/>
              <w:widowControl/>
              <w:suppressLineNumbers w:val="0"/>
              <w:spacing w:before="0" w:beforeAutospacing="0" w:after="0" w:afterAutospacing="0"/>
              <w:ind w:left="0" w:right="0" w:firstLine="0" w:firstLineChars="0"/>
              <w:jc w:val="center"/>
              <w:rPr>
                <w:rFonts w:hint="eastAsia"/>
                <w:sz w:val="18"/>
                <w:szCs w:val="18"/>
              </w:rPr>
            </w:pPr>
            <w:r>
              <w:rPr>
                <w:rFonts w:hint="eastAsia"/>
                <w:sz w:val="18"/>
                <w:szCs w:val="18"/>
                <w:lang w:eastAsia="zh-CN"/>
              </w:rPr>
              <w:t>优于国标</w:t>
            </w:r>
          </w:p>
        </w:tc>
      </w:tr>
      <w:tr w14:paraId="2A1286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724" w:type="dxa"/>
            <w:vAlign w:val="center"/>
          </w:tcPr>
          <w:p w14:paraId="2300D9F1">
            <w:pPr>
              <w:pStyle w:val="42"/>
              <w:keepNext w:val="0"/>
              <w:keepLines w:val="0"/>
              <w:widowControl/>
              <w:suppressLineNumbers w:val="0"/>
              <w:spacing w:before="0" w:beforeAutospacing="0" w:after="0" w:afterAutospacing="0"/>
              <w:ind w:left="0" w:right="0" w:firstLine="0" w:firstLineChars="0"/>
              <w:jc w:val="left"/>
              <w:rPr>
                <w:rFonts w:hint="default"/>
                <w:sz w:val="18"/>
                <w:szCs w:val="18"/>
              </w:rPr>
            </w:pPr>
            <w:r>
              <w:rPr>
                <w:rFonts w:hint="eastAsia"/>
                <w:sz w:val="18"/>
                <w:szCs w:val="18"/>
              </w:rPr>
              <w:t>酸酯</w:t>
            </w:r>
            <w:r>
              <w:rPr>
                <w:rFonts w:hint="default"/>
                <w:sz w:val="18"/>
                <w:szCs w:val="18"/>
              </w:rPr>
              <w:t>总量</w:t>
            </w:r>
            <w:r>
              <w:rPr>
                <w:rFonts w:hint="eastAsia"/>
                <w:sz w:val="18"/>
                <w:szCs w:val="18"/>
              </w:rPr>
              <w:t>/（mmol/</w:t>
            </w:r>
            <w:r>
              <w:rPr>
                <w:rFonts w:hint="default"/>
                <w:sz w:val="18"/>
                <w:szCs w:val="18"/>
              </w:rPr>
              <w:t>L</w:t>
            </w:r>
            <w:r>
              <w:rPr>
                <w:rFonts w:hint="eastAsia"/>
                <w:sz w:val="18"/>
                <w:szCs w:val="18"/>
              </w:rPr>
              <w:t>）</w:t>
            </w:r>
          </w:p>
        </w:tc>
        <w:tc>
          <w:tcPr>
            <w:tcW w:w="1395" w:type="dxa"/>
            <w:vMerge w:val="restart"/>
            <w:vAlign w:val="center"/>
          </w:tcPr>
          <w:p w14:paraId="76347AA9">
            <w:pPr>
              <w:pStyle w:val="42"/>
              <w:keepNext w:val="0"/>
              <w:keepLines w:val="0"/>
              <w:widowControl/>
              <w:suppressLineNumbers w:val="0"/>
              <w:spacing w:before="0" w:beforeAutospacing="0" w:after="0" w:afterAutospacing="0"/>
              <w:ind w:left="0" w:right="0" w:firstLine="0" w:firstLineChars="0"/>
              <w:jc w:val="center"/>
              <w:rPr>
                <w:rFonts w:hint="default"/>
                <w:sz w:val="18"/>
                <w:szCs w:val="18"/>
              </w:rPr>
            </w:pPr>
            <w:r>
              <w:rPr>
                <w:rFonts w:hint="eastAsia"/>
                <w:sz w:val="18"/>
                <w:szCs w:val="18"/>
              </w:rPr>
              <w:t>原酒</w:t>
            </w:r>
            <w:r>
              <w:rPr>
                <w:rFonts w:hint="default"/>
                <w:sz w:val="18"/>
                <w:szCs w:val="18"/>
              </w:rPr>
              <w:t>封坛（</w:t>
            </w:r>
            <w:r>
              <w:rPr>
                <w:rFonts w:hint="eastAsia"/>
                <w:sz w:val="18"/>
                <w:szCs w:val="18"/>
              </w:rPr>
              <w:t>罐</w:t>
            </w:r>
            <w:r>
              <w:rPr>
                <w:rFonts w:hint="default"/>
                <w:sz w:val="18"/>
                <w:szCs w:val="18"/>
              </w:rPr>
              <w:t>）</w:t>
            </w:r>
            <w:r>
              <w:rPr>
                <w:rFonts w:hint="eastAsia"/>
                <w:sz w:val="18"/>
                <w:szCs w:val="18"/>
              </w:rPr>
              <w:t>贮存</w:t>
            </w:r>
            <w:r>
              <w:rPr>
                <w:rFonts w:hint="default"/>
                <w:sz w:val="18"/>
                <w:szCs w:val="18"/>
              </w:rPr>
              <w:t>起始日期</w:t>
            </w:r>
          </w:p>
          <w:p w14:paraId="048D4453">
            <w:pPr>
              <w:pStyle w:val="42"/>
              <w:keepNext w:val="0"/>
              <w:keepLines w:val="0"/>
              <w:widowControl/>
              <w:suppressLineNumbers w:val="0"/>
              <w:spacing w:before="0" w:beforeAutospacing="0" w:after="0" w:afterAutospacing="0"/>
              <w:ind w:left="0" w:right="0" w:firstLine="0" w:firstLineChars="0"/>
              <w:jc w:val="center"/>
              <w:rPr>
                <w:rFonts w:hint="default"/>
                <w:sz w:val="18"/>
                <w:szCs w:val="18"/>
              </w:rPr>
            </w:pPr>
            <w:r>
              <w:rPr>
                <w:rFonts w:hint="eastAsia"/>
                <w:sz w:val="18"/>
                <w:szCs w:val="18"/>
              </w:rPr>
              <w:t>1年以上</w:t>
            </w:r>
          </w:p>
        </w:tc>
        <w:tc>
          <w:tcPr>
            <w:tcW w:w="3180" w:type="dxa"/>
            <w:gridSpan w:val="3"/>
            <w:vAlign w:val="center"/>
          </w:tcPr>
          <w:p w14:paraId="286558E9">
            <w:pPr>
              <w:pStyle w:val="42"/>
              <w:keepNext w:val="0"/>
              <w:keepLines w:val="0"/>
              <w:widowControl/>
              <w:suppressLineNumbers w:val="0"/>
              <w:spacing w:before="0" w:beforeAutospacing="0" w:after="0" w:afterAutospacing="0"/>
              <w:ind w:left="0" w:right="0" w:firstLine="0" w:firstLineChars="0"/>
              <w:jc w:val="center"/>
              <w:rPr>
                <w:rFonts w:hint="default"/>
                <w:sz w:val="18"/>
                <w:szCs w:val="18"/>
              </w:rPr>
            </w:pPr>
            <w:r>
              <w:rPr>
                <w:rFonts w:hint="eastAsia"/>
                <w:sz w:val="18"/>
                <w:szCs w:val="18"/>
              </w:rPr>
              <w:t>≥50.0</w:t>
            </w:r>
          </w:p>
        </w:tc>
        <w:tc>
          <w:tcPr>
            <w:tcW w:w="1496" w:type="dxa"/>
            <w:vAlign w:val="center"/>
          </w:tcPr>
          <w:p w14:paraId="3A9BC0D0">
            <w:pPr>
              <w:pStyle w:val="42"/>
              <w:keepNext w:val="0"/>
              <w:keepLines w:val="0"/>
              <w:widowControl/>
              <w:suppressLineNumbers w:val="0"/>
              <w:spacing w:before="0" w:beforeAutospacing="0" w:after="0" w:afterAutospacing="0"/>
              <w:ind w:left="0" w:right="0" w:firstLine="0" w:firstLineChars="0"/>
              <w:jc w:val="center"/>
              <w:rPr>
                <w:rFonts w:hint="default" w:eastAsia="宋体"/>
                <w:sz w:val="18"/>
                <w:szCs w:val="18"/>
                <w:lang w:val="en-US" w:eastAsia="zh-CN"/>
              </w:rPr>
            </w:pPr>
            <w:r>
              <w:rPr>
                <w:rFonts w:hint="eastAsia"/>
                <w:sz w:val="18"/>
                <w:szCs w:val="18"/>
              </w:rPr>
              <w:t>≥</w:t>
            </w:r>
            <w:r>
              <w:rPr>
                <w:rFonts w:hint="eastAsia"/>
                <w:sz w:val="18"/>
                <w:szCs w:val="18"/>
                <w:lang w:val="en-US" w:eastAsia="zh-CN"/>
              </w:rPr>
              <w:t>35.0</w:t>
            </w:r>
          </w:p>
        </w:tc>
        <w:tc>
          <w:tcPr>
            <w:tcW w:w="1320" w:type="dxa"/>
            <w:vAlign w:val="center"/>
          </w:tcPr>
          <w:p w14:paraId="54AB5C25">
            <w:pPr>
              <w:pStyle w:val="42"/>
              <w:keepNext w:val="0"/>
              <w:keepLines w:val="0"/>
              <w:widowControl/>
              <w:suppressLineNumbers w:val="0"/>
              <w:spacing w:before="0" w:beforeAutospacing="0" w:after="0" w:afterAutospacing="0"/>
              <w:ind w:left="0" w:right="0" w:firstLine="0" w:firstLineChars="0"/>
              <w:jc w:val="center"/>
              <w:rPr>
                <w:rFonts w:hint="eastAsia"/>
                <w:sz w:val="18"/>
                <w:szCs w:val="18"/>
              </w:rPr>
            </w:pPr>
            <w:r>
              <w:rPr>
                <w:rFonts w:hint="eastAsia"/>
                <w:sz w:val="18"/>
                <w:szCs w:val="18"/>
                <w:lang w:eastAsia="zh-CN"/>
              </w:rPr>
              <w:t>优于国标</w:t>
            </w:r>
          </w:p>
        </w:tc>
      </w:tr>
      <w:tr w14:paraId="6412C9F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724" w:type="dxa"/>
            <w:vAlign w:val="center"/>
          </w:tcPr>
          <w:p w14:paraId="76D3C688">
            <w:pPr>
              <w:pStyle w:val="42"/>
              <w:keepNext w:val="0"/>
              <w:keepLines w:val="0"/>
              <w:widowControl/>
              <w:suppressLineNumbers w:val="0"/>
              <w:spacing w:before="0" w:beforeAutospacing="0" w:after="0" w:afterAutospacing="0"/>
              <w:ind w:left="0" w:right="0" w:firstLine="0" w:firstLineChars="0"/>
              <w:jc w:val="left"/>
              <w:rPr>
                <w:rFonts w:hint="default"/>
                <w:sz w:val="18"/>
                <w:szCs w:val="18"/>
              </w:rPr>
            </w:pPr>
            <w:r>
              <w:rPr>
                <w:rFonts w:hint="eastAsia"/>
                <w:sz w:val="18"/>
                <w:szCs w:val="18"/>
              </w:rPr>
              <w:t>己酸+己酸乙酯</w:t>
            </w:r>
            <w:r>
              <w:rPr>
                <w:rFonts w:hint="default"/>
                <w:sz w:val="18"/>
                <w:szCs w:val="18"/>
                <w:vertAlign w:val="superscript"/>
              </w:rPr>
              <w:t>C</w:t>
            </w:r>
            <w:r>
              <w:rPr>
                <w:rFonts w:hint="eastAsia"/>
                <w:sz w:val="18"/>
                <w:szCs w:val="18"/>
              </w:rPr>
              <w:t xml:space="preserve"> /</w:t>
            </w:r>
            <w:r>
              <w:rPr>
                <w:rFonts w:hint="default"/>
                <w:sz w:val="18"/>
                <w:szCs w:val="18"/>
              </w:rPr>
              <w:t>（</w:t>
            </w:r>
            <w:r>
              <w:rPr>
                <w:rFonts w:hint="eastAsia"/>
                <w:sz w:val="18"/>
                <w:szCs w:val="18"/>
              </w:rPr>
              <w:t>g/L</w:t>
            </w:r>
            <w:r>
              <w:rPr>
                <w:rFonts w:hint="default"/>
                <w:sz w:val="18"/>
                <w:szCs w:val="18"/>
              </w:rPr>
              <w:t>）</w:t>
            </w:r>
          </w:p>
        </w:tc>
        <w:tc>
          <w:tcPr>
            <w:tcW w:w="1395" w:type="dxa"/>
            <w:vMerge w:val="continue"/>
            <w:vAlign w:val="center"/>
          </w:tcPr>
          <w:p w14:paraId="7E33346F">
            <w:pPr>
              <w:pStyle w:val="42"/>
              <w:keepNext w:val="0"/>
              <w:keepLines w:val="0"/>
              <w:widowControl/>
              <w:suppressLineNumbers w:val="0"/>
              <w:spacing w:before="0" w:beforeAutospacing="0" w:after="0" w:afterAutospacing="0"/>
              <w:ind w:left="0" w:right="0" w:firstLine="0" w:firstLineChars="0"/>
              <w:jc w:val="center"/>
              <w:rPr>
                <w:rFonts w:hint="default"/>
                <w:sz w:val="18"/>
                <w:szCs w:val="18"/>
              </w:rPr>
            </w:pPr>
          </w:p>
        </w:tc>
        <w:tc>
          <w:tcPr>
            <w:tcW w:w="3180" w:type="dxa"/>
            <w:gridSpan w:val="3"/>
            <w:vAlign w:val="center"/>
          </w:tcPr>
          <w:p w14:paraId="6599E085">
            <w:pPr>
              <w:pStyle w:val="42"/>
              <w:keepNext w:val="0"/>
              <w:keepLines w:val="0"/>
              <w:widowControl/>
              <w:suppressLineNumbers w:val="0"/>
              <w:spacing w:before="0" w:beforeAutospacing="0" w:after="0" w:afterAutospacing="0"/>
              <w:ind w:left="0" w:right="0" w:firstLine="0" w:firstLineChars="0"/>
              <w:jc w:val="center"/>
              <w:rPr>
                <w:rFonts w:hint="default"/>
                <w:sz w:val="18"/>
                <w:szCs w:val="18"/>
              </w:rPr>
            </w:pPr>
            <w:r>
              <w:rPr>
                <w:rFonts w:hint="eastAsia"/>
                <w:sz w:val="18"/>
                <w:szCs w:val="18"/>
              </w:rPr>
              <w:t>≥1.50</w:t>
            </w:r>
          </w:p>
        </w:tc>
        <w:tc>
          <w:tcPr>
            <w:tcW w:w="1496" w:type="dxa"/>
            <w:vAlign w:val="center"/>
          </w:tcPr>
          <w:p w14:paraId="1FC2F974">
            <w:pPr>
              <w:pStyle w:val="42"/>
              <w:keepNext w:val="0"/>
              <w:keepLines w:val="0"/>
              <w:widowControl/>
              <w:suppressLineNumbers w:val="0"/>
              <w:spacing w:before="0" w:beforeAutospacing="0" w:after="0" w:afterAutospacing="0"/>
              <w:ind w:left="0" w:right="0" w:firstLine="0" w:firstLineChars="0"/>
              <w:jc w:val="center"/>
              <w:rPr>
                <w:rFonts w:hint="default" w:eastAsia="宋体"/>
                <w:sz w:val="18"/>
                <w:szCs w:val="18"/>
                <w:lang w:val="en-US" w:eastAsia="zh-CN"/>
              </w:rPr>
            </w:pPr>
            <w:r>
              <w:rPr>
                <w:rFonts w:hint="eastAsia"/>
                <w:sz w:val="18"/>
                <w:szCs w:val="18"/>
              </w:rPr>
              <w:t>≥</w:t>
            </w:r>
            <w:r>
              <w:rPr>
                <w:rFonts w:hint="eastAsia"/>
                <w:sz w:val="18"/>
                <w:szCs w:val="18"/>
                <w:lang w:val="en-US" w:eastAsia="zh-CN"/>
              </w:rPr>
              <w:t>1.50</w:t>
            </w:r>
          </w:p>
        </w:tc>
        <w:tc>
          <w:tcPr>
            <w:tcW w:w="1320" w:type="dxa"/>
            <w:vAlign w:val="center"/>
          </w:tcPr>
          <w:p w14:paraId="47DCF929">
            <w:pPr>
              <w:pStyle w:val="42"/>
              <w:keepNext w:val="0"/>
              <w:keepLines w:val="0"/>
              <w:widowControl/>
              <w:suppressLineNumbers w:val="0"/>
              <w:spacing w:before="0" w:beforeAutospacing="0" w:after="0" w:afterAutospacing="0"/>
              <w:ind w:left="0" w:right="0" w:firstLine="0" w:firstLineChars="0"/>
              <w:jc w:val="center"/>
              <w:rPr>
                <w:rFonts w:hint="eastAsia" w:eastAsia="宋体"/>
                <w:sz w:val="18"/>
                <w:szCs w:val="18"/>
                <w:lang w:eastAsia="zh-CN"/>
              </w:rPr>
            </w:pPr>
            <w:r>
              <w:rPr>
                <w:rFonts w:hint="eastAsia"/>
                <w:sz w:val="18"/>
                <w:szCs w:val="18"/>
                <w:lang w:eastAsia="zh-CN"/>
              </w:rPr>
              <w:t>与国标一致</w:t>
            </w:r>
          </w:p>
        </w:tc>
      </w:tr>
      <w:tr w14:paraId="5A9E103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724" w:type="dxa"/>
            <w:vAlign w:val="center"/>
          </w:tcPr>
          <w:p w14:paraId="42D509D1">
            <w:pPr>
              <w:pStyle w:val="42"/>
              <w:keepNext w:val="0"/>
              <w:keepLines w:val="0"/>
              <w:widowControl/>
              <w:suppressLineNumbers w:val="0"/>
              <w:spacing w:before="0" w:beforeAutospacing="0" w:after="0" w:afterAutospacing="0"/>
              <w:ind w:left="0" w:right="0" w:firstLine="0" w:firstLineChars="0"/>
              <w:rPr>
                <w:rFonts w:hint="default"/>
                <w:sz w:val="18"/>
                <w:szCs w:val="18"/>
              </w:rPr>
            </w:pPr>
            <w:r>
              <w:rPr>
                <w:rFonts w:hint="eastAsia"/>
                <w:sz w:val="18"/>
                <w:szCs w:val="18"/>
              </w:rPr>
              <w:t>总</w:t>
            </w:r>
            <w:r>
              <w:rPr>
                <w:rFonts w:hint="default"/>
                <w:sz w:val="18"/>
                <w:szCs w:val="18"/>
              </w:rPr>
              <w:t>酯</w:t>
            </w:r>
            <w:r>
              <w:rPr>
                <w:rFonts w:hint="eastAsia"/>
                <w:sz w:val="18"/>
                <w:szCs w:val="18"/>
                <w:lang w:eastAsia="zh-CN"/>
              </w:rPr>
              <w:t>：</w:t>
            </w:r>
            <w:r>
              <w:rPr>
                <w:rFonts w:hint="eastAsia"/>
                <w:sz w:val="18"/>
                <w:szCs w:val="18"/>
              </w:rPr>
              <w:t>总酸</w:t>
            </w:r>
          </w:p>
        </w:tc>
        <w:tc>
          <w:tcPr>
            <w:tcW w:w="1395" w:type="dxa"/>
            <w:vMerge w:val="continue"/>
            <w:vAlign w:val="center"/>
          </w:tcPr>
          <w:p w14:paraId="3B28585E">
            <w:pPr>
              <w:pStyle w:val="42"/>
              <w:keepNext w:val="0"/>
              <w:keepLines w:val="0"/>
              <w:widowControl/>
              <w:suppressLineNumbers w:val="0"/>
              <w:spacing w:before="0" w:beforeAutospacing="0" w:after="0" w:afterAutospacing="0"/>
              <w:ind w:left="0" w:right="0" w:firstLine="0" w:firstLineChars="0"/>
              <w:jc w:val="center"/>
              <w:rPr>
                <w:rFonts w:hint="default"/>
                <w:sz w:val="18"/>
                <w:szCs w:val="18"/>
              </w:rPr>
            </w:pPr>
          </w:p>
        </w:tc>
        <w:tc>
          <w:tcPr>
            <w:tcW w:w="3180" w:type="dxa"/>
            <w:gridSpan w:val="3"/>
            <w:vAlign w:val="center"/>
          </w:tcPr>
          <w:p w14:paraId="58C75FDC">
            <w:pPr>
              <w:pStyle w:val="42"/>
              <w:keepNext w:val="0"/>
              <w:keepLines w:val="0"/>
              <w:widowControl/>
              <w:suppressLineNumbers w:val="0"/>
              <w:spacing w:before="0" w:beforeAutospacing="0" w:after="0" w:afterAutospacing="0"/>
              <w:ind w:left="0" w:right="0" w:firstLine="0" w:firstLineChars="0"/>
              <w:jc w:val="center"/>
              <w:rPr>
                <w:rFonts w:hint="default"/>
                <w:sz w:val="18"/>
                <w:szCs w:val="18"/>
              </w:rPr>
            </w:pPr>
            <w:r>
              <w:rPr>
                <w:rFonts w:hint="eastAsia"/>
                <w:sz w:val="18"/>
                <w:szCs w:val="18"/>
              </w:rPr>
              <w:t>≥2.00</w:t>
            </w:r>
          </w:p>
        </w:tc>
        <w:tc>
          <w:tcPr>
            <w:tcW w:w="1496" w:type="dxa"/>
            <w:vAlign w:val="center"/>
          </w:tcPr>
          <w:p w14:paraId="6126D24A">
            <w:pPr>
              <w:pStyle w:val="42"/>
              <w:keepNext w:val="0"/>
              <w:keepLines w:val="0"/>
              <w:widowControl/>
              <w:suppressLineNumbers w:val="0"/>
              <w:spacing w:before="0" w:beforeAutospacing="0" w:after="0" w:afterAutospacing="0"/>
              <w:ind w:left="0" w:right="0" w:firstLine="0" w:firstLineChars="0"/>
              <w:jc w:val="center"/>
              <w:rPr>
                <w:rFonts w:hint="eastAsia" w:eastAsia="宋体"/>
                <w:sz w:val="18"/>
                <w:szCs w:val="18"/>
                <w:lang w:eastAsia="zh-CN"/>
              </w:rPr>
            </w:pPr>
            <w:r>
              <w:rPr>
                <w:rFonts w:hint="eastAsia"/>
                <w:sz w:val="18"/>
                <w:szCs w:val="18"/>
                <w:lang w:eastAsia="zh-CN"/>
              </w:rPr>
              <w:t>—</w:t>
            </w:r>
          </w:p>
        </w:tc>
        <w:tc>
          <w:tcPr>
            <w:tcW w:w="1320" w:type="dxa"/>
            <w:vAlign w:val="center"/>
          </w:tcPr>
          <w:p w14:paraId="14AFBFA7">
            <w:pPr>
              <w:pStyle w:val="42"/>
              <w:keepNext w:val="0"/>
              <w:keepLines w:val="0"/>
              <w:widowControl/>
              <w:suppressLineNumbers w:val="0"/>
              <w:spacing w:before="0" w:beforeAutospacing="0" w:after="0" w:afterAutospacing="0"/>
              <w:ind w:left="0" w:right="0" w:firstLine="0" w:firstLineChars="0"/>
              <w:jc w:val="center"/>
              <w:rPr>
                <w:rFonts w:hint="eastAsia" w:eastAsia="宋体"/>
                <w:sz w:val="18"/>
                <w:szCs w:val="18"/>
                <w:lang w:eastAsia="zh-CN"/>
              </w:rPr>
            </w:pPr>
            <w:r>
              <w:rPr>
                <w:rFonts w:hint="eastAsia"/>
                <w:sz w:val="18"/>
                <w:szCs w:val="18"/>
                <w:lang w:eastAsia="zh-CN"/>
              </w:rPr>
              <w:t>—</w:t>
            </w:r>
          </w:p>
        </w:tc>
      </w:tr>
      <w:tr w14:paraId="767941E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115" w:type="dxa"/>
            <w:gridSpan w:val="7"/>
            <w:tcBorders>
              <w:top w:val="single" w:color="auto" w:sz="12" w:space="0"/>
              <w:bottom w:val="single" w:color="auto" w:sz="12" w:space="0"/>
            </w:tcBorders>
            <w:vAlign w:val="center"/>
          </w:tcPr>
          <w:p w14:paraId="7D73AC52">
            <w:pPr>
              <w:pStyle w:val="46"/>
              <w:keepNext w:val="0"/>
              <w:keepLines w:val="0"/>
              <w:numPr>
                <w:ilvl w:val="0"/>
                <w:numId w:val="0"/>
              </w:numPr>
              <w:suppressLineNumbers w:val="0"/>
              <w:spacing w:before="0" w:beforeAutospacing="0" w:after="0" w:afterAutospacing="0"/>
              <w:ind w:left="363" w:right="0"/>
              <w:rPr>
                <w:rFonts w:hint="default"/>
              </w:rPr>
            </w:pPr>
            <w:r>
              <w:rPr>
                <w:rFonts w:hint="eastAsia"/>
                <w:vertAlign w:val="superscript"/>
              </w:rPr>
              <w:t>a</w:t>
            </w:r>
            <w:r>
              <w:rPr>
                <w:rFonts w:hint="default"/>
                <w:vertAlign w:val="superscript"/>
              </w:rPr>
              <w:t xml:space="preserve"> </w:t>
            </w:r>
            <w:r>
              <w:rPr>
                <w:rFonts w:hint="eastAsia"/>
              </w:rPr>
              <w:t>酒精度</w:t>
            </w:r>
            <w:r>
              <w:rPr>
                <w:rFonts w:hint="default"/>
              </w:rPr>
              <w:t>允许</w:t>
            </w:r>
            <w:r>
              <w:rPr>
                <w:rFonts w:hint="eastAsia"/>
              </w:rPr>
              <w:t>误差</w:t>
            </w:r>
            <w:r>
              <w:rPr>
                <w:rFonts w:hint="default"/>
              </w:rPr>
              <w:t>为</w:t>
            </w:r>
            <w:r>
              <w:rPr>
                <w:rFonts w:hint="eastAsia"/>
              </w:rPr>
              <w:t>1.0%</w:t>
            </w:r>
            <w:r>
              <w:rPr>
                <w:rFonts w:hint="default"/>
              </w:rPr>
              <w:t>vol</w:t>
            </w:r>
            <w:r>
              <w:rPr>
                <w:rFonts w:hint="eastAsia"/>
              </w:rPr>
              <w:t>。</w:t>
            </w:r>
          </w:p>
          <w:p w14:paraId="22208469">
            <w:pPr>
              <w:pStyle w:val="46"/>
              <w:keepNext w:val="0"/>
              <w:keepLines w:val="0"/>
              <w:numPr>
                <w:ilvl w:val="0"/>
                <w:numId w:val="0"/>
              </w:numPr>
              <w:suppressLineNumbers w:val="0"/>
              <w:spacing w:before="0" w:beforeAutospacing="0" w:after="0" w:afterAutospacing="0"/>
              <w:ind w:left="363" w:right="0"/>
              <w:rPr>
                <w:rFonts w:hint="default"/>
              </w:rPr>
            </w:pPr>
            <w:r>
              <w:rPr>
                <w:rFonts w:hint="default"/>
                <w:vertAlign w:val="superscript"/>
              </w:rPr>
              <w:t xml:space="preserve">b </w:t>
            </w:r>
            <w:r>
              <w:rPr>
                <w:rFonts w:hint="eastAsia"/>
              </w:rPr>
              <w:t>甲醇、氰化物均按</w:t>
            </w:r>
            <w:r>
              <w:rPr>
                <w:rFonts w:hint="default"/>
              </w:rPr>
              <w:t>10</w:t>
            </w:r>
            <w:r>
              <w:rPr>
                <w:rFonts w:hint="eastAsia"/>
              </w:rPr>
              <w:t>0</w:t>
            </w:r>
            <w:r>
              <w:rPr>
                <w:rFonts w:hint="default"/>
              </w:rPr>
              <w:t>%酒精度折算。</w:t>
            </w:r>
          </w:p>
          <w:p w14:paraId="26C1A778">
            <w:pPr>
              <w:pStyle w:val="46"/>
              <w:keepNext w:val="0"/>
              <w:keepLines w:val="0"/>
              <w:numPr>
                <w:ilvl w:val="0"/>
                <w:numId w:val="0"/>
              </w:numPr>
              <w:suppressLineNumbers w:val="0"/>
              <w:spacing w:before="0" w:beforeAutospacing="0" w:after="0" w:afterAutospacing="0"/>
              <w:ind w:left="363" w:right="0"/>
              <w:rPr>
                <w:rFonts w:hint="default"/>
                <w:vertAlign w:val="superscript"/>
              </w:rPr>
            </w:pPr>
            <w:r>
              <w:rPr>
                <w:rFonts w:hint="default"/>
                <w:vertAlign w:val="superscript"/>
              </w:rPr>
              <w:t xml:space="preserve">C </w:t>
            </w:r>
            <w:r>
              <w:rPr>
                <w:rFonts w:hint="eastAsia"/>
              </w:rPr>
              <w:t>总酸</w:t>
            </w:r>
            <w:r>
              <w:rPr>
                <w:rFonts w:hint="default"/>
              </w:rPr>
              <w:t>、总酯、己酸乙酯</w:t>
            </w:r>
            <w:r>
              <w:rPr>
                <w:rFonts w:hint="eastAsia"/>
              </w:rPr>
              <w:t>、</w:t>
            </w:r>
            <w:r>
              <w:rPr>
                <w:rFonts w:hint="default"/>
              </w:rPr>
              <w:t>酸酯</w:t>
            </w:r>
            <w:r>
              <w:rPr>
                <w:rFonts w:hint="eastAsia"/>
              </w:rPr>
              <w:t>总量</w:t>
            </w:r>
            <w:r>
              <w:rPr>
                <w:rFonts w:hint="default"/>
              </w:rPr>
              <w:t>、</w:t>
            </w:r>
            <w:r>
              <w:rPr>
                <w:rFonts w:hint="eastAsia"/>
              </w:rPr>
              <w:t>己酸+己酸乙酯均按</w:t>
            </w:r>
            <w:r>
              <w:rPr>
                <w:rFonts w:hint="eastAsia"/>
                <w:lang w:eastAsia="zh-CN"/>
              </w:rPr>
              <w:t>实测</w:t>
            </w:r>
            <w:r>
              <w:rPr>
                <w:rFonts w:hint="default"/>
              </w:rPr>
              <w:t>酒精度折算。</w:t>
            </w:r>
          </w:p>
        </w:tc>
      </w:tr>
    </w:tbl>
    <w:p w14:paraId="304EC166">
      <w:pPr>
        <w:spacing w:line="360" w:lineRule="auto"/>
        <w:ind w:firstLine="480" w:firstLineChars="200"/>
        <w:jc w:val="left"/>
        <w:rPr>
          <w:rFonts w:hint="eastAsia" w:ascii="Times New Roman" w:hAnsi="Times New Roman" w:eastAsia="宋体" w:cs="Times New Roman"/>
          <w:sz w:val="24"/>
          <w:lang w:eastAsia="zh-CN"/>
        </w:rPr>
      </w:pPr>
      <w:r>
        <w:rPr>
          <w:rFonts w:hint="eastAsia"/>
          <w:sz w:val="24"/>
          <w:lang w:eastAsia="zh-CN"/>
        </w:rPr>
        <w:t>（</w:t>
      </w:r>
      <w:r>
        <w:rPr>
          <w:rFonts w:hint="eastAsia"/>
          <w:sz w:val="24"/>
          <w:lang w:val="en-US" w:eastAsia="zh-CN"/>
        </w:rPr>
        <w:t>1</w:t>
      </w:r>
      <w:r>
        <w:rPr>
          <w:rFonts w:hint="eastAsia"/>
          <w:sz w:val="24"/>
          <w:lang w:eastAsia="zh-CN"/>
        </w:rPr>
        <w:t>）酒精度：为满足不同区域、不同消费者的口感需求，结合白酒蒸馏过程中的酒精度变化特点，参考GB/T 10781.1</w:t>
      </w:r>
      <w:r>
        <w:rPr>
          <w:rFonts w:hint="eastAsia"/>
          <w:sz w:val="24"/>
          <w:lang w:val="en-US" w:eastAsia="zh-CN"/>
        </w:rPr>
        <w:t>-2021</w:t>
      </w:r>
      <w:r>
        <w:rPr>
          <w:rFonts w:hint="eastAsia"/>
          <w:sz w:val="24"/>
          <w:lang w:eastAsia="zh-CN"/>
        </w:rPr>
        <w:t>《白酒质量要求 第1部分：浓香型白酒》要求，将酒精度设定为不低于60% vol。</w:t>
      </w:r>
    </w:p>
    <w:p w14:paraId="3A73C345">
      <w:pPr>
        <w:spacing w:line="360" w:lineRule="auto"/>
        <w:ind w:firstLine="480" w:firstLineChars="200"/>
        <w:rPr>
          <w:rFonts w:hint="eastAsia" w:eastAsia="宋体"/>
          <w:sz w:val="24"/>
          <w:lang w:eastAsia="zh-CN"/>
        </w:rPr>
      </w:pPr>
      <w:r>
        <w:rPr>
          <w:rFonts w:hint="eastAsia"/>
          <w:sz w:val="24"/>
          <w:lang w:eastAsia="zh-CN"/>
        </w:rPr>
        <w:t>（</w:t>
      </w:r>
      <w:r>
        <w:rPr>
          <w:rFonts w:hint="eastAsia"/>
          <w:sz w:val="24"/>
          <w:lang w:val="en-US" w:eastAsia="zh-CN"/>
        </w:rPr>
        <w:t>2</w:t>
      </w:r>
      <w:r>
        <w:rPr>
          <w:rFonts w:hint="eastAsia"/>
          <w:sz w:val="24"/>
          <w:lang w:eastAsia="zh-CN"/>
        </w:rPr>
        <w:t>）固</w:t>
      </w:r>
      <w:r>
        <w:rPr>
          <w:rFonts w:hint="eastAsia"/>
          <w:sz w:val="24"/>
        </w:rPr>
        <w:t>形</w:t>
      </w:r>
      <w:r>
        <w:rPr>
          <w:rFonts w:hint="eastAsia"/>
          <w:sz w:val="24"/>
          <w:lang w:eastAsia="zh-CN"/>
        </w:rPr>
        <w:t>物：浓香型白酒原酒经蒸馏及后期过滤处理后，固形物含量较少且稳定，参照 GB/T 10781.1</w:t>
      </w:r>
      <w:r>
        <w:rPr>
          <w:rFonts w:hint="eastAsia"/>
          <w:sz w:val="24"/>
          <w:lang w:val="en-US" w:eastAsia="zh-CN"/>
        </w:rPr>
        <w:t>-2021</w:t>
      </w:r>
      <w:r>
        <w:rPr>
          <w:rFonts w:hint="eastAsia"/>
          <w:sz w:val="24"/>
          <w:lang w:eastAsia="zh-CN"/>
        </w:rPr>
        <w:t>《白酒质量要求 第1部分：浓香型白酒》对固态法白酒的通用要求，确定固形物最高限值为0.40g/L。</w:t>
      </w:r>
    </w:p>
    <w:p w14:paraId="7BDEBE07">
      <w:pPr>
        <w:spacing w:line="360" w:lineRule="auto"/>
        <w:ind w:firstLine="480" w:firstLineChars="200"/>
        <w:jc w:val="both"/>
        <w:rPr>
          <w:rFonts w:hint="eastAsia"/>
          <w:sz w:val="24"/>
          <w:lang w:val="en-US" w:eastAsia="zh-CN"/>
        </w:rPr>
      </w:pPr>
      <w:r>
        <w:rPr>
          <w:rFonts w:hint="eastAsia"/>
          <w:sz w:val="24"/>
          <w:lang w:val="en-US" w:eastAsia="zh-CN"/>
        </w:rPr>
        <w:t>（3）GB/T 10781.1-2021《白酒质量要求 第 1 部分：浓香型白酒》对白酒理化指标采用动态调整方式，根据白酒原酒生产日期不同设定差异化检测要求。这种分阶段检测方式，既契合白酒贮存过程中的自然变化规律，也便于企业分阶段实施质量控制。因此，本标准针对原酒封坛（罐）贮存起始日期一年内与一年后的理化指标分别制定不同要求。</w:t>
      </w:r>
    </w:p>
    <w:p w14:paraId="37CCD00A">
      <w:pPr>
        <w:spacing w:line="360" w:lineRule="auto"/>
        <w:ind w:firstLine="482" w:firstLineChars="200"/>
        <w:rPr>
          <w:rFonts w:hint="default"/>
          <w:b/>
          <w:bCs/>
          <w:sz w:val="24"/>
          <w:lang w:val="en-US"/>
        </w:rPr>
      </w:pPr>
      <w:r>
        <w:rPr>
          <w:rFonts w:hint="eastAsia"/>
          <w:b/>
          <w:bCs/>
          <w:sz w:val="24"/>
          <w:lang w:eastAsia="zh-CN"/>
        </w:rPr>
        <w:t>原酒封坛（罐）贮存起始日期一年内的理化要求：</w:t>
      </w:r>
    </w:p>
    <w:p w14:paraId="5200E85E">
      <w:pPr>
        <w:spacing w:line="360" w:lineRule="auto"/>
        <w:ind w:firstLine="480" w:firstLineChars="200"/>
        <w:rPr>
          <w:rFonts w:ascii="Helvetica" w:hAnsi="Helvetica" w:eastAsia="Helvetica" w:cs="Helvetica"/>
          <w:i w:val="0"/>
          <w:iCs w:val="0"/>
          <w:caps w:val="0"/>
          <w:color w:val="24292F"/>
          <w:spacing w:val="0"/>
          <w:sz w:val="24"/>
          <w:szCs w:val="24"/>
          <w:shd w:val="clear" w:fill="FFFFFF"/>
        </w:rPr>
        <w:sectPr>
          <w:footerReference r:id="rId5" w:type="default"/>
          <w:pgSz w:w="11906" w:h="16838"/>
          <w:pgMar w:top="1440" w:right="1800" w:bottom="1440" w:left="1800" w:header="227" w:footer="227" w:gutter="0"/>
          <w:pgBorders>
            <w:top w:val="none" w:sz="0" w:space="0"/>
            <w:left w:val="none" w:sz="0" w:space="0"/>
            <w:bottom w:val="none" w:sz="0" w:space="0"/>
            <w:right w:val="none" w:sz="0" w:space="0"/>
          </w:pgBorders>
          <w:pgNumType w:fmt="numberInDash"/>
          <w:cols w:space="720" w:num="1"/>
          <w:formProt w:val="0"/>
          <w:docGrid w:type="lines" w:linePitch="312" w:charSpace="0"/>
        </w:sectPr>
      </w:pPr>
    </w:p>
    <w:p w14:paraId="2CC3517B">
      <w:pPr>
        <w:spacing w:line="360" w:lineRule="auto"/>
        <w:ind w:firstLine="480" w:firstLineChars="200"/>
        <w:rPr>
          <w:rFonts w:hint="eastAsia" w:eastAsia="宋体"/>
          <w:sz w:val="24"/>
          <w:lang w:eastAsia="zh-CN"/>
        </w:rPr>
      </w:pPr>
      <w:r>
        <w:rPr>
          <w:rFonts w:ascii="Helvetica" w:hAnsi="Helvetica" w:eastAsia="Helvetica" w:cs="Helvetica"/>
          <w:i w:val="0"/>
          <w:iCs w:val="0"/>
          <w:caps w:val="0"/>
          <w:color w:val="24292F"/>
          <w:spacing w:val="0"/>
          <w:sz w:val="24"/>
          <w:szCs w:val="24"/>
          <w:shd w:val="clear" w:fill="FFFFFF"/>
        </w:rPr>
        <w:t>白酒贮存过程中，酸类与酯类物质会发生可逆平衡反应，酯类逐渐水解为酸和醇，导致总酯含量下降、总酸含量上升。总酯、己酸乙酯是白酒的核心呈香物质，直接影响香气、口感及风格特征，其中己酸乙酯更是浓香型白酒的标志性呈香组分。对于贮存一年内的原酒，以总酸、总酯、己酸乙酯作为主要检测指标，可精准反映其原始风味与质量水平，确保出厂时具备良好风味基础。结合 GB/T 10781.1</w:t>
      </w:r>
      <w:r>
        <w:rPr>
          <w:rFonts w:hint="eastAsia" w:ascii="Helvetica" w:hAnsi="Helvetica" w:eastAsia="宋体" w:cs="Helvetica"/>
          <w:i w:val="0"/>
          <w:iCs w:val="0"/>
          <w:caps w:val="0"/>
          <w:color w:val="24292F"/>
          <w:spacing w:val="0"/>
          <w:sz w:val="24"/>
          <w:szCs w:val="24"/>
          <w:shd w:val="clear" w:fill="FFFFFF"/>
          <w:lang w:val="en-US" w:eastAsia="zh-CN"/>
        </w:rPr>
        <w:t>-2021</w:t>
      </w:r>
      <w:r>
        <w:rPr>
          <w:rFonts w:ascii="Helvetica" w:hAnsi="Helvetica" w:eastAsia="Helvetica" w:cs="Helvetica"/>
          <w:i w:val="0"/>
          <w:iCs w:val="0"/>
          <w:caps w:val="0"/>
          <w:color w:val="24292F"/>
          <w:spacing w:val="0"/>
          <w:sz w:val="24"/>
          <w:szCs w:val="24"/>
          <w:shd w:val="clear" w:fill="FFFFFF"/>
        </w:rPr>
        <w:t>《白酒质量要求 第 1 部分：浓香型白酒》、T/QLNX 01-2022《邛崃浓香型白酒原酒》及企业数据，确定表2中上述指标的具体含量。</w:t>
      </w:r>
    </w:p>
    <w:p w14:paraId="0E4E9A46">
      <w:pPr>
        <w:spacing w:line="360" w:lineRule="auto"/>
        <w:ind w:firstLine="482" w:firstLineChars="200"/>
        <w:rPr>
          <w:rFonts w:hint="eastAsia"/>
          <w:b/>
          <w:bCs/>
          <w:sz w:val="24"/>
          <w:highlight w:val="magenta"/>
          <w:lang w:eastAsia="zh-CN"/>
        </w:rPr>
      </w:pPr>
      <w:r>
        <w:rPr>
          <w:rFonts w:hint="eastAsia"/>
          <w:b/>
          <w:bCs/>
          <w:sz w:val="24"/>
          <w:lang w:eastAsia="zh-CN"/>
        </w:rPr>
        <w:t>原酒封坛（罐）贮存起始日期一年后的理化要求：</w:t>
      </w:r>
    </w:p>
    <w:p w14:paraId="4481AD4D">
      <w:pPr>
        <w:spacing w:line="360" w:lineRule="auto"/>
        <w:ind w:firstLine="480" w:firstLineChars="200"/>
        <w:rPr>
          <w:rFonts w:hint="eastAsia"/>
          <w:sz w:val="24"/>
          <w:highlight w:val="none"/>
          <w:lang w:eastAsia="zh-CN"/>
        </w:rPr>
      </w:pPr>
      <w:r>
        <w:rPr>
          <w:rFonts w:hint="eastAsia"/>
          <w:sz w:val="24"/>
          <w:highlight w:val="none"/>
          <w:lang w:eastAsia="zh-CN"/>
        </w:rPr>
        <w:t>酸酯总量：原酒在自然贮存中，物理与化学变化持续发生，酯类水解导致 “酸增酯减”，影响口感风味。参考 GB/T 10781.1</w:t>
      </w:r>
      <w:r>
        <w:rPr>
          <w:rFonts w:hint="eastAsia"/>
          <w:sz w:val="24"/>
          <w:highlight w:val="none"/>
          <w:lang w:val="en-US" w:eastAsia="zh-CN"/>
        </w:rPr>
        <w:t>-2021</w:t>
      </w:r>
      <w:r>
        <w:rPr>
          <w:rFonts w:hint="eastAsia"/>
          <w:sz w:val="24"/>
          <w:highlight w:val="none"/>
          <w:lang w:eastAsia="zh-CN"/>
        </w:rPr>
        <w:t>《白酒质量要求 第 1 部分：浓香型白酒》、T/QLNX 01-2022《邛崃浓香型白酒原酒》及企业数据，将酸酯总量设定为不低于500mmol/L。</w:t>
      </w:r>
    </w:p>
    <w:p w14:paraId="1BE90943">
      <w:pPr>
        <w:spacing w:line="360" w:lineRule="auto"/>
        <w:ind w:firstLine="480" w:firstLineChars="200"/>
        <w:rPr>
          <w:rFonts w:hint="eastAsia"/>
          <w:sz w:val="24"/>
          <w:highlight w:val="none"/>
          <w:lang w:eastAsia="zh-CN"/>
        </w:rPr>
      </w:pPr>
      <w:r>
        <w:rPr>
          <w:rFonts w:hint="eastAsia"/>
          <w:sz w:val="24"/>
          <w:highlight w:val="none"/>
          <w:lang w:eastAsia="zh-CN"/>
        </w:rPr>
        <w:t>己酸+己酸乙酯：该指标既反映酯类物质稳定性，也体现长期贮存后的风味协调性。结合 GB/T 10781.1</w:t>
      </w:r>
      <w:r>
        <w:rPr>
          <w:rFonts w:hint="eastAsia"/>
          <w:sz w:val="24"/>
          <w:highlight w:val="none"/>
          <w:lang w:val="en-US" w:eastAsia="zh-CN"/>
        </w:rPr>
        <w:t>-2021</w:t>
      </w:r>
      <w:r>
        <w:rPr>
          <w:rFonts w:hint="eastAsia"/>
          <w:sz w:val="24"/>
          <w:highlight w:val="none"/>
          <w:lang w:eastAsia="zh-CN"/>
        </w:rPr>
        <w:t>《白酒质量要求 第 1部分：浓香型白酒》、T/QLNX 01-2022《邛崃浓香型白酒原酒》及企业数据，确定其含量不低于1.5g/L。</w:t>
      </w:r>
    </w:p>
    <w:p w14:paraId="4CBC4292">
      <w:pPr>
        <w:spacing w:line="360" w:lineRule="auto"/>
        <w:ind w:firstLine="480" w:firstLineChars="200"/>
        <w:rPr>
          <w:rFonts w:hint="eastAsia"/>
          <w:sz w:val="24"/>
          <w:lang w:eastAsia="zh-CN"/>
        </w:rPr>
      </w:pPr>
      <w:r>
        <w:rPr>
          <w:rFonts w:hint="eastAsia"/>
          <w:sz w:val="24"/>
          <w:highlight w:val="none"/>
        </w:rPr>
        <w:t>总酯/总酸</w:t>
      </w:r>
      <w:r>
        <w:rPr>
          <w:rFonts w:hint="eastAsia"/>
          <w:sz w:val="24"/>
          <w:highlight w:val="none"/>
          <w:lang w:eastAsia="zh-CN"/>
        </w:rPr>
        <w:t>：</w:t>
      </w:r>
      <w:r>
        <w:rPr>
          <w:rFonts w:hint="eastAsia"/>
          <w:sz w:val="24"/>
          <w:lang w:eastAsia="zh-CN"/>
        </w:rPr>
        <w:t>白酒原酒贮存一年后，酯类水解加剧，总酯下降、总酸上升，通过总酯/总酸可综合评估原酒质量。依据 GB/T 10781.1</w:t>
      </w:r>
      <w:r>
        <w:rPr>
          <w:rFonts w:hint="eastAsia"/>
          <w:sz w:val="24"/>
          <w:lang w:val="en-US" w:eastAsia="zh-CN"/>
        </w:rPr>
        <w:t>-2021</w:t>
      </w:r>
      <w:r>
        <w:rPr>
          <w:rFonts w:hint="eastAsia"/>
          <w:sz w:val="24"/>
          <w:lang w:eastAsia="zh-CN"/>
        </w:rPr>
        <w:t>《白酒质量要求 第 1 部分：浓香型白酒》、T/QLNX 01-2022《邛崃浓香型白酒原酒》及企业数据，将该比值定为 2.0。​</w:t>
      </w:r>
    </w:p>
    <w:p w14:paraId="4B66FF16">
      <w:pPr>
        <w:numPr>
          <w:ilvl w:val="0"/>
          <w:numId w:val="0"/>
        </w:numPr>
        <w:spacing w:line="360" w:lineRule="auto"/>
        <w:ind w:firstLine="480" w:firstLineChars="200"/>
        <w:outlineLvl w:val="2"/>
        <w:rPr>
          <w:rFonts w:hint="eastAsia"/>
          <w:sz w:val="24"/>
          <w:lang w:val="en-US" w:eastAsia="zh-CN"/>
        </w:rPr>
      </w:pPr>
      <w:r>
        <w:rPr>
          <w:rFonts w:hint="eastAsia"/>
          <w:sz w:val="24"/>
          <w:lang w:val="en-US" w:eastAsia="zh-CN"/>
        </w:rPr>
        <w:t>3.食品安全要求</w:t>
      </w:r>
    </w:p>
    <w:p w14:paraId="4ECBE0BD">
      <w:pPr>
        <w:spacing w:line="360" w:lineRule="auto"/>
        <w:ind w:firstLine="480" w:firstLineChars="200"/>
        <w:rPr>
          <w:rFonts w:hint="default"/>
          <w:sz w:val="24"/>
          <w:lang w:val="en-US" w:eastAsia="zh-CN"/>
        </w:rPr>
      </w:pPr>
      <w:r>
        <w:rPr>
          <w:rFonts w:ascii="Helvetica" w:hAnsi="Helvetica" w:eastAsia="Helvetica" w:cs="Helvetica"/>
          <w:i w:val="0"/>
          <w:iCs w:val="0"/>
          <w:caps w:val="0"/>
          <w:color w:val="24292F"/>
          <w:spacing w:val="0"/>
          <w:sz w:val="24"/>
          <w:szCs w:val="24"/>
          <w:shd w:val="clear" w:fill="FFFFFF"/>
        </w:rPr>
        <w:t>为确保</w:t>
      </w:r>
      <w:r>
        <w:rPr>
          <w:rFonts w:hint="eastAsia" w:ascii="Helvetica" w:hAnsi="Helvetica" w:cs="Helvetica"/>
          <w:i w:val="0"/>
          <w:iCs w:val="0"/>
          <w:caps w:val="0"/>
          <w:color w:val="24292F"/>
          <w:spacing w:val="0"/>
          <w:sz w:val="24"/>
          <w:szCs w:val="24"/>
          <w:shd w:val="clear" w:fill="FFFFFF"/>
          <w:lang w:eastAsia="zh-CN"/>
        </w:rPr>
        <w:t>浓香型</w:t>
      </w:r>
      <w:r>
        <w:rPr>
          <w:rFonts w:ascii="Helvetica" w:hAnsi="Helvetica" w:eastAsia="Helvetica" w:cs="Helvetica"/>
          <w:i w:val="0"/>
          <w:iCs w:val="0"/>
          <w:caps w:val="0"/>
          <w:color w:val="24292F"/>
          <w:spacing w:val="0"/>
          <w:sz w:val="24"/>
          <w:szCs w:val="24"/>
          <w:shd w:val="clear" w:fill="FFFFFF"/>
        </w:rPr>
        <w:t>白酒</w:t>
      </w:r>
      <w:r>
        <w:rPr>
          <w:rFonts w:hint="eastAsia" w:ascii="Helvetica" w:hAnsi="Helvetica" w:cs="Helvetica"/>
          <w:i w:val="0"/>
          <w:iCs w:val="0"/>
          <w:caps w:val="0"/>
          <w:color w:val="24292F"/>
          <w:spacing w:val="0"/>
          <w:sz w:val="24"/>
          <w:szCs w:val="24"/>
          <w:shd w:val="clear" w:fill="FFFFFF"/>
          <w:lang w:eastAsia="zh-CN"/>
        </w:rPr>
        <w:t>原酒</w:t>
      </w:r>
      <w:r>
        <w:rPr>
          <w:rFonts w:ascii="Helvetica" w:hAnsi="Helvetica" w:eastAsia="Helvetica" w:cs="Helvetica"/>
          <w:i w:val="0"/>
          <w:iCs w:val="0"/>
          <w:caps w:val="0"/>
          <w:color w:val="24292F"/>
          <w:spacing w:val="0"/>
          <w:sz w:val="24"/>
          <w:szCs w:val="24"/>
          <w:shd w:val="clear" w:fill="FFFFFF"/>
        </w:rPr>
        <w:t>在生产过程中的安全性和质量，防止有害物质对消费者健康造成威胁</w:t>
      </w:r>
      <w:r>
        <w:rPr>
          <w:rFonts w:hint="eastAsia" w:ascii="Helvetica" w:hAnsi="Helvetica" w:cs="Helvetica"/>
          <w:i w:val="0"/>
          <w:iCs w:val="0"/>
          <w:caps w:val="0"/>
          <w:color w:val="24292F"/>
          <w:spacing w:val="0"/>
          <w:sz w:val="24"/>
          <w:szCs w:val="24"/>
          <w:shd w:val="clear" w:fill="FFFFFF"/>
          <w:lang w:eastAsia="zh-CN"/>
        </w:rPr>
        <w:t>，</w:t>
      </w:r>
      <w:r>
        <w:rPr>
          <w:rFonts w:hint="eastAsia"/>
          <w:sz w:val="24"/>
          <w:lang w:val="en-US" w:eastAsia="zh-CN"/>
        </w:rPr>
        <w:t>成都</w:t>
      </w:r>
      <w:r>
        <w:rPr>
          <w:rFonts w:hint="default"/>
          <w:sz w:val="24"/>
          <w:lang w:val="en-US" w:eastAsia="zh-CN"/>
        </w:rPr>
        <w:t>浓香型白酒</w:t>
      </w:r>
      <w:r>
        <w:rPr>
          <w:rFonts w:hint="eastAsia"/>
          <w:sz w:val="24"/>
          <w:lang w:val="en-US" w:eastAsia="zh-CN"/>
        </w:rPr>
        <w:t>原酒</w:t>
      </w:r>
      <w:r>
        <w:rPr>
          <w:rFonts w:hint="default"/>
          <w:sz w:val="24"/>
          <w:lang w:val="en-US" w:eastAsia="zh-CN"/>
        </w:rPr>
        <w:t>加强了</w:t>
      </w:r>
      <w:r>
        <w:rPr>
          <w:rFonts w:hint="eastAsia"/>
          <w:sz w:val="24"/>
          <w:lang w:val="en-US" w:eastAsia="zh-CN"/>
        </w:rPr>
        <w:t>白</w:t>
      </w:r>
      <w:r>
        <w:rPr>
          <w:rFonts w:hint="default"/>
          <w:sz w:val="24"/>
          <w:lang w:val="en-US" w:eastAsia="zh-CN"/>
        </w:rPr>
        <w:t>酒中污染物有害物质铅、</w:t>
      </w:r>
      <w:r>
        <w:rPr>
          <w:rFonts w:hint="eastAsia"/>
          <w:sz w:val="24"/>
          <w:lang w:val="en-US" w:eastAsia="zh-CN"/>
        </w:rPr>
        <w:t>甲醇、氰化物、氨基甲酸乙酯、</w:t>
      </w:r>
      <w:r>
        <w:rPr>
          <w:rFonts w:hint="default"/>
          <w:sz w:val="24"/>
          <w:lang w:val="en-US" w:eastAsia="zh-CN"/>
        </w:rPr>
        <w:t>塑化剂的含量要求</w:t>
      </w:r>
      <w:r>
        <w:rPr>
          <w:rFonts w:hint="eastAsia"/>
          <w:sz w:val="24"/>
          <w:lang w:val="en-US" w:eastAsia="zh-CN"/>
        </w:rPr>
        <w:t>，如表3。</w:t>
      </w:r>
    </w:p>
    <w:p w14:paraId="0716F66A">
      <w:pPr>
        <w:pStyle w:val="43"/>
        <w:spacing w:before="120" w:after="120"/>
        <w:ind w:left="0" w:leftChars="0" w:firstLine="0" w:firstLineChars="0"/>
        <w:jc w:val="center"/>
      </w:pPr>
      <w:r>
        <w:rPr>
          <w:rFonts w:hint="eastAsia"/>
          <w:lang w:eastAsia="zh-CN"/>
        </w:rPr>
        <w:t>表</w:t>
      </w:r>
      <w:r>
        <w:rPr>
          <w:rFonts w:hint="eastAsia"/>
          <w:lang w:val="en-US" w:eastAsia="zh-CN"/>
        </w:rPr>
        <w:t>3</w:t>
      </w:r>
      <w:r>
        <w:rPr>
          <w:rFonts w:hint="eastAsia"/>
        </w:rPr>
        <w:t>食品安全要求</w:t>
      </w:r>
    </w:p>
    <w:tbl>
      <w:tblPr>
        <w:tblStyle w:val="11"/>
        <w:tblW w:w="9120" w:type="dxa"/>
        <w:tblInd w:w="-32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019"/>
        <w:gridCol w:w="1140"/>
        <w:gridCol w:w="2656"/>
        <w:gridCol w:w="1305"/>
      </w:tblGrid>
      <w:tr w14:paraId="386E23B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019" w:type="dxa"/>
            <w:tcBorders>
              <w:top w:val="single" w:color="auto" w:sz="12" w:space="0"/>
              <w:bottom w:val="single" w:color="auto" w:sz="12" w:space="0"/>
            </w:tcBorders>
            <w:vAlign w:val="center"/>
          </w:tcPr>
          <w:p w14:paraId="6E9B69A8">
            <w:pPr>
              <w:pStyle w:val="42"/>
              <w:keepNext w:val="0"/>
              <w:keepLines w:val="0"/>
              <w:widowControl/>
              <w:suppressLineNumbers w:val="0"/>
              <w:spacing w:before="0" w:beforeAutospacing="0" w:after="0" w:afterAutospacing="0"/>
              <w:ind w:left="0" w:right="0" w:firstLine="0" w:firstLineChars="0"/>
              <w:jc w:val="center"/>
              <w:rPr>
                <w:rFonts w:hint="default"/>
                <w:sz w:val="18"/>
                <w:szCs w:val="18"/>
              </w:rPr>
            </w:pPr>
            <w:r>
              <w:rPr>
                <w:rFonts w:hint="eastAsia"/>
                <w:sz w:val="18"/>
                <w:szCs w:val="18"/>
              </w:rPr>
              <w:t>项目</w:t>
            </w:r>
          </w:p>
        </w:tc>
        <w:tc>
          <w:tcPr>
            <w:tcW w:w="1140" w:type="dxa"/>
            <w:tcBorders>
              <w:top w:val="single" w:color="auto" w:sz="12" w:space="0"/>
              <w:bottom w:val="single" w:color="auto" w:sz="12" w:space="0"/>
            </w:tcBorders>
            <w:vAlign w:val="center"/>
          </w:tcPr>
          <w:p w14:paraId="480E9D2C">
            <w:pPr>
              <w:pStyle w:val="42"/>
              <w:keepNext w:val="0"/>
              <w:keepLines w:val="0"/>
              <w:widowControl/>
              <w:suppressLineNumbers w:val="0"/>
              <w:spacing w:before="0" w:beforeAutospacing="0" w:after="0" w:afterAutospacing="0"/>
              <w:ind w:left="0" w:right="0" w:firstLine="0" w:firstLineChars="0"/>
              <w:jc w:val="center"/>
              <w:rPr>
                <w:rFonts w:hint="default"/>
                <w:sz w:val="18"/>
                <w:szCs w:val="18"/>
              </w:rPr>
            </w:pPr>
            <w:r>
              <w:rPr>
                <w:rFonts w:hint="eastAsia"/>
                <w:sz w:val="18"/>
                <w:szCs w:val="18"/>
                <w:lang w:eastAsia="zh-CN"/>
              </w:rPr>
              <w:t>本标准</w:t>
            </w:r>
            <w:r>
              <w:rPr>
                <w:rFonts w:hint="eastAsia"/>
                <w:sz w:val="18"/>
                <w:szCs w:val="18"/>
              </w:rPr>
              <w:t>要求</w:t>
            </w:r>
          </w:p>
        </w:tc>
        <w:tc>
          <w:tcPr>
            <w:tcW w:w="2656" w:type="dxa"/>
            <w:tcBorders>
              <w:top w:val="single" w:color="auto" w:sz="12" w:space="0"/>
              <w:bottom w:val="single" w:color="auto" w:sz="12" w:space="0"/>
            </w:tcBorders>
            <w:vAlign w:val="center"/>
          </w:tcPr>
          <w:p w14:paraId="6B9DA2D7">
            <w:pPr>
              <w:pStyle w:val="42"/>
              <w:keepNext w:val="0"/>
              <w:keepLines w:val="0"/>
              <w:widowControl/>
              <w:suppressLineNumbers w:val="0"/>
              <w:spacing w:before="0" w:beforeAutospacing="0" w:after="0" w:afterAutospacing="0"/>
              <w:ind w:left="0" w:right="0" w:firstLine="0" w:firstLineChars="0"/>
              <w:jc w:val="center"/>
              <w:rPr>
                <w:rFonts w:hint="default" w:eastAsia="宋体"/>
                <w:sz w:val="18"/>
                <w:szCs w:val="18"/>
                <w:lang w:val="en-US" w:eastAsia="zh-CN"/>
              </w:rPr>
            </w:pPr>
            <w:r>
              <w:rPr>
                <w:rFonts w:hint="eastAsia"/>
                <w:sz w:val="18"/>
                <w:szCs w:val="18"/>
                <w:lang w:val="en-US" w:eastAsia="zh-CN"/>
              </w:rPr>
              <w:t>相关要求</w:t>
            </w:r>
          </w:p>
        </w:tc>
        <w:tc>
          <w:tcPr>
            <w:tcW w:w="1305" w:type="dxa"/>
            <w:tcBorders>
              <w:top w:val="single" w:color="auto" w:sz="12" w:space="0"/>
              <w:bottom w:val="single" w:color="auto" w:sz="12" w:space="0"/>
            </w:tcBorders>
            <w:vAlign w:val="center"/>
          </w:tcPr>
          <w:p w14:paraId="6B43A364">
            <w:pPr>
              <w:pStyle w:val="42"/>
              <w:keepNext w:val="0"/>
              <w:keepLines w:val="0"/>
              <w:widowControl/>
              <w:suppressLineNumbers w:val="0"/>
              <w:spacing w:before="0" w:beforeAutospacing="0" w:after="0" w:afterAutospacing="0"/>
              <w:ind w:left="0" w:right="0" w:firstLine="0" w:firstLineChars="0"/>
              <w:jc w:val="center"/>
              <w:rPr>
                <w:rFonts w:hint="default" w:eastAsia="宋体"/>
                <w:sz w:val="18"/>
                <w:szCs w:val="18"/>
                <w:lang w:val="en-US" w:eastAsia="zh-CN"/>
              </w:rPr>
            </w:pPr>
            <w:r>
              <w:rPr>
                <w:rFonts w:hint="eastAsia"/>
                <w:sz w:val="18"/>
                <w:szCs w:val="18"/>
                <w:lang w:val="en-US" w:eastAsia="zh-CN"/>
              </w:rPr>
              <w:t>结论</w:t>
            </w:r>
          </w:p>
        </w:tc>
      </w:tr>
      <w:tr w14:paraId="21CC95C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019" w:type="dxa"/>
            <w:tcBorders>
              <w:top w:val="single" w:color="auto" w:sz="12" w:space="0"/>
              <w:bottom w:val="single" w:color="auto" w:sz="4" w:space="0"/>
            </w:tcBorders>
            <w:vAlign w:val="center"/>
          </w:tcPr>
          <w:p w14:paraId="3B261444">
            <w:pPr>
              <w:pStyle w:val="42"/>
              <w:keepNext w:val="0"/>
              <w:keepLines w:val="0"/>
              <w:widowControl/>
              <w:suppressLineNumbers w:val="0"/>
              <w:spacing w:before="0" w:beforeAutospacing="0" w:after="0" w:afterAutospacing="0"/>
              <w:ind w:left="0" w:right="0" w:firstLine="0" w:firstLineChars="0"/>
              <w:jc w:val="left"/>
              <w:rPr>
                <w:rFonts w:hint="default"/>
                <w:sz w:val="18"/>
                <w:szCs w:val="18"/>
              </w:rPr>
            </w:pPr>
            <w:r>
              <w:rPr>
                <w:rFonts w:hint="eastAsia"/>
                <w:sz w:val="18"/>
                <w:szCs w:val="18"/>
              </w:rPr>
              <w:t>铅（以</w:t>
            </w:r>
            <w:r>
              <w:rPr>
                <w:rFonts w:hint="default"/>
                <w:sz w:val="18"/>
                <w:szCs w:val="18"/>
              </w:rPr>
              <w:t>Pb</w:t>
            </w:r>
            <w:r>
              <w:rPr>
                <w:rFonts w:hint="eastAsia"/>
                <w:sz w:val="18"/>
                <w:szCs w:val="18"/>
              </w:rPr>
              <w:t>计）/</w:t>
            </w:r>
            <w:r>
              <w:rPr>
                <w:rFonts w:hint="default"/>
                <w:sz w:val="18"/>
                <w:szCs w:val="18"/>
              </w:rPr>
              <w:t>（</w:t>
            </w:r>
            <w:r>
              <w:rPr>
                <w:rFonts w:hint="eastAsia"/>
                <w:sz w:val="18"/>
                <w:szCs w:val="18"/>
              </w:rPr>
              <w:t>mg/kg</w:t>
            </w:r>
            <w:r>
              <w:rPr>
                <w:rFonts w:hint="default"/>
                <w:sz w:val="18"/>
                <w:szCs w:val="18"/>
              </w:rPr>
              <w:t>）</w:t>
            </w:r>
          </w:p>
        </w:tc>
        <w:tc>
          <w:tcPr>
            <w:tcW w:w="1140" w:type="dxa"/>
            <w:tcBorders>
              <w:top w:val="single" w:color="auto" w:sz="12" w:space="0"/>
              <w:bottom w:val="single" w:color="auto" w:sz="4" w:space="0"/>
            </w:tcBorders>
            <w:vAlign w:val="center"/>
          </w:tcPr>
          <w:p w14:paraId="011DF0F0">
            <w:pPr>
              <w:pStyle w:val="42"/>
              <w:keepNext w:val="0"/>
              <w:keepLines w:val="0"/>
              <w:widowControl/>
              <w:suppressLineNumbers w:val="0"/>
              <w:spacing w:before="0" w:beforeAutospacing="0" w:after="0" w:afterAutospacing="0"/>
              <w:ind w:left="0" w:right="0" w:firstLine="0" w:firstLineChars="0"/>
              <w:jc w:val="center"/>
              <w:rPr>
                <w:rFonts w:hint="default"/>
                <w:sz w:val="18"/>
                <w:szCs w:val="18"/>
              </w:rPr>
            </w:pPr>
            <w:r>
              <w:rPr>
                <w:rFonts w:hint="eastAsia"/>
                <w:sz w:val="18"/>
                <w:szCs w:val="18"/>
              </w:rPr>
              <w:t>≤0.4</w:t>
            </w:r>
            <w:r>
              <w:rPr>
                <w:rFonts w:hint="default"/>
                <w:sz w:val="18"/>
                <w:szCs w:val="18"/>
              </w:rPr>
              <w:t>0</w:t>
            </w:r>
          </w:p>
        </w:tc>
        <w:tc>
          <w:tcPr>
            <w:tcW w:w="2656" w:type="dxa"/>
            <w:tcBorders>
              <w:top w:val="single" w:color="auto" w:sz="12" w:space="0"/>
              <w:bottom w:val="single" w:color="auto" w:sz="4" w:space="0"/>
            </w:tcBorders>
            <w:vAlign w:val="center"/>
          </w:tcPr>
          <w:p w14:paraId="2C2B98C3">
            <w:pPr>
              <w:pStyle w:val="42"/>
              <w:keepNext w:val="0"/>
              <w:keepLines w:val="0"/>
              <w:widowControl/>
              <w:suppressLineNumbers w:val="0"/>
              <w:spacing w:before="0" w:beforeAutospacing="0" w:after="0" w:afterAutospacing="0"/>
              <w:ind w:left="0" w:right="0" w:firstLine="0" w:firstLineChars="0"/>
              <w:jc w:val="center"/>
              <w:rPr>
                <w:rFonts w:hint="eastAsia"/>
                <w:sz w:val="18"/>
                <w:szCs w:val="18"/>
              </w:rPr>
            </w:pPr>
            <w:r>
              <w:rPr>
                <w:rFonts w:hint="eastAsia"/>
                <w:sz w:val="18"/>
                <w:szCs w:val="18"/>
              </w:rPr>
              <w:t>≤</w:t>
            </w:r>
            <w:r>
              <w:rPr>
                <w:rFonts w:hint="eastAsia"/>
                <w:sz w:val="18"/>
                <w:szCs w:val="18"/>
                <w:lang w:val="en-US" w:eastAsia="zh-CN"/>
              </w:rPr>
              <w:t>0.50（GB 2762）</w:t>
            </w:r>
          </w:p>
        </w:tc>
        <w:tc>
          <w:tcPr>
            <w:tcW w:w="1305" w:type="dxa"/>
            <w:tcBorders>
              <w:top w:val="single" w:color="auto" w:sz="12" w:space="0"/>
              <w:bottom w:val="single" w:color="auto" w:sz="4" w:space="0"/>
            </w:tcBorders>
            <w:vAlign w:val="center"/>
          </w:tcPr>
          <w:p w14:paraId="215EAA1B">
            <w:pPr>
              <w:pStyle w:val="42"/>
              <w:keepNext w:val="0"/>
              <w:keepLines w:val="0"/>
              <w:widowControl/>
              <w:suppressLineNumbers w:val="0"/>
              <w:spacing w:before="0" w:beforeAutospacing="0" w:after="0" w:afterAutospacing="0"/>
              <w:ind w:left="0" w:right="0" w:firstLine="0" w:firstLineChars="0"/>
              <w:jc w:val="center"/>
              <w:rPr>
                <w:rFonts w:hint="eastAsia"/>
                <w:sz w:val="18"/>
                <w:szCs w:val="18"/>
              </w:rPr>
            </w:pPr>
            <w:r>
              <w:rPr>
                <w:rFonts w:hint="eastAsia"/>
                <w:sz w:val="18"/>
                <w:szCs w:val="18"/>
                <w:lang w:eastAsia="zh-CN"/>
              </w:rPr>
              <w:t>优于国标</w:t>
            </w:r>
          </w:p>
        </w:tc>
      </w:tr>
      <w:tr w14:paraId="22CFEFB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019" w:type="dxa"/>
            <w:tcBorders>
              <w:top w:val="single" w:color="auto" w:sz="4" w:space="0"/>
              <w:bottom w:val="single" w:color="auto" w:sz="4" w:space="0"/>
            </w:tcBorders>
            <w:shd w:val="clear" w:color="auto" w:fill="auto"/>
            <w:vAlign w:val="center"/>
          </w:tcPr>
          <w:p w14:paraId="26341104">
            <w:pPr>
              <w:pStyle w:val="42"/>
              <w:keepNext w:val="0"/>
              <w:keepLines w:val="0"/>
              <w:widowControl/>
              <w:suppressLineNumbers w:val="0"/>
              <w:spacing w:before="0" w:beforeAutospacing="0" w:after="0" w:afterAutospacing="0"/>
              <w:ind w:left="0" w:right="0" w:firstLine="0" w:firstLineChars="0"/>
              <w:jc w:val="left"/>
              <w:rPr>
                <w:rFonts w:hint="eastAsia" w:ascii="宋体" w:hAnsi="Times New Roman" w:eastAsia="宋体" w:cs="Times New Roman"/>
                <w:sz w:val="18"/>
                <w:szCs w:val="18"/>
                <w:lang w:val="en-US" w:eastAsia="zh-CN" w:bidi="ar-SA"/>
              </w:rPr>
            </w:pPr>
            <w:r>
              <w:rPr>
                <w:rFonts w:hint="eastAsia"/>
                <w:sz w:val="18"/>
                <w:szCs w:val="18"/>
              </w:rPr>
              <w:t>甲醇</w:t>
            </w:r>
            <w:r>
              <w:rPr>
                <w:rFonts w:hint="default"/>
                <w:sz w:val="18"/>
                <w:szCs w:val="18"/>
                <w:vertAlign w:val="superscript"/>
              </w:rPr>
              <w:t xml:space="preserve">b </w:t>
            </w:r>
            <w:r>
              <w:rPr>
                <w:rFonts w:hint="eastAsia"/>
                <w:sz w:val="18"/>
                <w:szCs w:val="18"/>
              </w:rPr>
              <w:t>/</w:t>
            </w:r>
            <w:r>
              <w:rPr>
                <w:rFonts w:hint="default"/>
                <w:sz w:val="18"/>
                <w:szCs w:val="18"/>
              </w:rPr>
              <w:t>（</w:t>
            </w:r>
            <w:r>
              <w:rPr>
                <w:rFonts w:hint="eastAsia"/>
                <w:sz w:val="18"/>
                <w:szCs w:val="18"/>
              </w:rPr>
              <w:t>g/L</w:t>
            </w:r>
            <w:r>
              <w:rPr>
                <w:rFonts w:hint="default"/>
                <w:sz w:val="18"/>
                <w:szCs w:val="18"/>
              </w:rPr>
              <w:t>）</w:t>
            </w:r>
          </w:p>
        </w:tc>
        <w:tc>
          <w:tcPr>
            <w:tcW w:w="1140" w:type="dxa"/>
            <w:tcBorders>
              <w:top w:val="single" w:color="auto" w:sz="4" w:space="0"/>
              <w:bottom w:val="single" w:color="auto" w:sz="4" w:space="0"/>
            </w:tcBorders>
            <w:shd w:val="clear" w:color="auto" w:fill="auto"/>
            <w:vAlign w:val="center"/>
          </w:tcPr>
          <w:p w14:paraId="2B5E9772">
            <w:pPr>
              <w:pStyle w:val="42"/>
              <w:keepNext w:val="0"/>
              <w:keepLines w:val="0"/>
              <w:widowControl/>
              <w:suppressLineNumbers w:val="0"/>
              <w:spacing w:before="0" w:beforeAutospacing="0" w:after="0" w:afterAutospacing="0"/>
              <w:ind w:left="0" w:right="0" w:firstLine="0" w:firstLineChars="0"/>
              <w:jc w:val="center"/>
              <w:rPr>
                <w:rFonts w:hint="eastAsia" w:ascii="宋体" w:hAnsi="Times New Roman" w:eastAsia="宋体" w:cs="Times New Roman"/>
                <w:sz w:val="18"/>
                <w:szCs w:val="18"/>
                <w:lang w:val="en-US" w:eastAsia="zh-CN" w:bidi="ar-SA"/>
              </w:rPr>
            </w:pPr>
            <w:r>
              <w:rPr>
                <w:rFonts w:hint="eastAsia"/>
                <w:sz w:val="18"/>
                <w:szCs w:val="18"/>
              </w:rPr>
              <w:t>≤0.5</w:t>
            </w:r>
            <w:r>
              <w:rPr>
                <w:rFonts w:hint="default"/>
                <w:sz w:val="18"/>
                <w:szCs w:val="18"/>
              </w:rPr>
              <w:t>0</w:t>
            </w:r>
          </w:p>
        </w:tc>
        <w:tc>
          <w:tcPr>
            <w:tcW w:w="2656" w:type="dxa"/>
            <w:tcBorders>
              <w:top w:val="single" w:color="auto" w:sz="4" w:space="0"/>
              <w:bottom w:val="single" w:color="auto" w:sz="4" w:space="0"/>
            </w:tcBorders>
            <w:shd w:val="clear" w:color="auto" w:fill="auto"/>
            <w:vAlign w:val="center"/>
          </w:tcPr>
          <w:p w14:paraId="1D79DD83">
            <w:pPr>
              <w:pStyle w:val="42"/>
              <w:keepNext w:val="0"/>
              <w:keepLines w:val="0"/>
              <w:widowControl/>
              <w:suppressLineNumbers w:val="0"/>
              <w:spacing w:before="0" w:beforeAutospacing="0" w:after="0" w:afterAutospacing="0"/>
              <w:ind w:left="0" w:right="0" w:firstLine="0" w:firstLineChars="0"/>
              <w:jc w:val="center"/>
              <w:rPr>
                <w:rFonts w:hint="default" w:ascii="宋体" w:hAnsi="Times New Roman" w:eastAsia="宋体" w:cs="Times New Roman"/>
                <w:sz w:val="18"/>
                <w:szCs w:val="18"/>
                <w:lang w:val="en-US" w:eastAsia="zh-CN" w:bidi="ar-SA"/>
              </w:rPr>
            </w:pPr>
            <w:r>
              <w:rPr>
                <w:rFonts w:hint="eastAsia"/>
                <w:sz w:val="18"/>
                <w:szCs w:val="18"/>
              </w:rPr>
              <w:t>≤0.</w:t>
            </w:r>
            <w:r>
              <w:rPr>
                <w:rFonts w:hint="eastAsia"/>
                <w:sz w:val="18"/>
                <w:szCs w:val="18"/>
                <w:lang w:val="en-US" w:eastAsia="zh-CN"/>
              </w:rPr>
              <w:t>60（GB 2765)</w:t>
            </w:r>
          </w:p>
        </w:tc>
        <w:tc>
          <w:tcPr>
            <w:tcW w:w="1305" w:type="dxa"/>
            <w:tcBorders>
              <w:top w:val="single" w:color="auto" w:sz="4" w:space="0"/>
              <w:bottom w:val="single" w:color="auto" w:sz="4" w:space="0"/>
            </w:tcBorders>
            <w:shd w:val="clear" w:color="auto" w:fill="auto"/>
            <w:vAlign w:val="center"/>
          </w:tcPr>
          <w:p w14:paraId="6A011173">
            <w:pPr>
              <w:pStyle w:val="42"/>
              <w:keepNext w:val="0"/>
              <w:keepLines w:val="0"/>
              <w:widowControl/>
              <w:suppressLineNumbers w:val="0"/>
              <w:spacing w:before="0" w:beforeAutospacing="0" w:after="0" w:afterAutospacing="0"/>
              <w:ind w:left="0" w:right="0" w:firstLine="0" w:firstLineChars="0"/>
              <w:jc w:val="center"/>
              <w:rPr>
                <w:rFonts w:hint="eastAsia" w:ascii="宋体" w:hAnsi="Times New Roman" w:eastAsia="宋体" w:cs="Times New Roman"/>
                <w:sz w:val="18"/>
                <w:szCs w:val="18"/>
                <w:lang w:val="en-US" w:eastAsia="zh-CN" w:bidi="ar-SA"/>
              </w:rPr>
            </w:pPr>
            <w:r>
              <w:rPr>
                <w:rFonts w:hint="eastAsia"/>
                <w:sz w:val="18"/>
                <w:szCs w:val="18"/>
                <w:lang w:eastAsia="zh-CN"/>
              </w:rPr>
              <w:t>优于国标</w:t>
            </w:r>
          </w:p>
        </w:tc>
      </w:tr>
      <w:tr w14:paraId="468BF5D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019" w:type="dxa"/>
            <w:tcBorders>
              <w:top w:val="single" w:color="auto" w:sz="4" w:space="0"/>
              <w:bottom w:val="single" w:color="auto" w:sz="4" w:space="0"/>
            </w:tcBorders>
            <w:shd w:val="clear" w:color="auto" w:fill="auto"/>
            <w:vAlign w:val="center"/>
          </w:tcPr>
          <w:p w14:paraId="194D8543">
            <w:pPr>
              <w:pStyle w:val="42"/>
              <w:keepNext w:val="0"/>
              <w:keepLines w:val="0"/>
              <w:widowControl/>
              <w:suppressLineNumbers w:val="0"/>
              <w:spacing w:before="0" w:beforeAutospacing="0" w:after="0" w:afterAutospacing="0"/>
              <w:ind w:left="0" w:right="0" w:firstLine="0" w:firstLineChars="0"/>
              <w:jc w:val="left"/>
              <w:rPr>
                <w:rFonts w:hint="eastAsia" w:ascii="宋体" w:hAnsi="Times New Roman" w:eastAsia="宋体" w:cs="Times New Roman"/>
                <w:sz w:val="18"/>
                <w:szCs w:val="18"/>
                <w:lang w:val="en-US" w:eastAsia="zh-CN" w:bidi="ar-SA"/>
              </w:rPr>
            </w:pPr>
            <w:r>
              <w:rPr>
                <w:rFonts w:hint="eastAsia"/>
                <w:sz w:val="18"/>
                <w:szCs w:val="18"/>
              </w:rPr>
              <w:t>氰化物</w:t>
            </w:r>
            <w:r>
              <w:rPr>
                <w:rFonts w:hint="default"/>
                <w:sz w:val="18"/>
                <w:szCs w:val="18"/>
                <w:vertAlign w:val="superscript"/>
              </w:rPr>
              <w:t>b</w:t>
            </w:r>
            <w:r>
              <w:rPr>
                <w:rFonts w:hint="eastAsia"/>
                <w:sz w:val="18"/>
                <w:szCs w:val="18"/>
              </w:rPr>
              <w:t>（以HCN计）</w:t>
            </w:r>
            <w:r>
              <w:rPr>
                <w:rFonts w:hint="default"/>
                <w:sz w:val="18"/>
                <w:szCs w:val="18"/>
              </w:rPr>
              <w:t>（</w:t>
            </w:r>
            <w:r>
              <w:rPr>
                <w:rFonts w:hint="eastAsia"/>
                <w:sz w:val="18"/>
                <w:szCs w:val="18"/>
              </w:rPr>
              <w:t>mg/L</w:t>
            </w:r>
            <w:r>
              <w:rPr>
                <w:rFonts w:hint="default"/>
                <w:sz w:val="18"/>
                <w:szCs w:val="18"/>
              </w:rPr>
              <w:t>）</w:t>
            </w:r>
          </w:p>
        </w:tc>
        <w:tc>
          <w:tcPr>
            <w:tcW w:w="1140" w:type="dxa"/>
            <w:tcBorders>
              <w:top w:val="single" w:color="auto" w:sz="4" w:space="0"/>
              <w:bottom w:val="single" w:color="auto" w:sz="4" w:space="0"/>
            </w:tcBorders>
            <w:shd w:val="clear" w:color="auto" w:fill="auto"/>
            <w:vAlign w:val="center"/>
          </w:tcPr>
          <w:p w14:paraId="36B6B7CF">
            <w:pPr>
              <w:pStyle w:val="42"/>
              <w:keepNext w:val="0"/>
              <w:keepLines w:val="0"/>
              <w:widowControl/>
              <w:suppressLineNumbers w:val="0"/>
              <w:spacing w:before="0" w:beforeAutospacing="0" w:after="0" w:afterAutospacing="0"/>
              <w:ind w:left="0" w:right="0" w:firstLine="0" w:firstLineChars="0"/>
              <w:jc w:val="center"/>
              <w:rPr>
                <w:rFonts w:hint="eastAsia" w:ascii="宋体" w:hAnsi="Times New Roman" w:eastAsia="宋体" w:cs="Times New Roman"/>
                <w:sz w:val="18"/>
                <w:szCs w:val="18"/>
                <w:lang w:val="en-US" w:eastAsia="zh-CN" w:bidi="ar-SA"/>
              </w:rPr>
            </w:pPr>
            <w:r>
              <w:rPr>
                <w:rFonts w:hint="eastAsia"/>
                <w:sz w:val="18"/>
                <w:szCs w:val="18"/>
              </w:rPr>
              <w:t>≤4.0</w:t>
            </w:r>
          </w:p>
        </w:tc>
        <w:tc>
          <w:tcPr>
            <w:tcW w:w="2656" w:type="dxa"/>
            <w:tcBorders>
              <w:top w:val="single" w:color="auto" w:sz="4" w:space="0"/>
              <w:bottom w:val="single" w:color="auto" w:sz="4" w:space="0"/>
            </w:tcBorders>
            <w:shd w:val="clear" w:color="auto" w:fill="auto"/>
            <w:vAlign w:val="center"/>
          </w:tcPr>
          <w:p w14:paraId="0207808A">
            <w:pPr>
              <w:pStyle w:val="42"/>
              <w:keepNext w:val="0"/>
              <w:keepLines w:val="0"/>
              <w:widowControl/>
              <w:suppressLineNumbers w:val="0"/>
              <w:spacing w:before="0" w:beforeAutospacing="0" w:after="0" w:afterAutospacing="0"/>
              <w:ind w:left="0" w:right="0" w:firstLine="0" w:firstLineChars="0"/>
              <w:jc w:val="center"/>
              <w:rPr>
                <w:rFonts w:hint="default" w:eastAsia="宋体"/>
                <w:sz w:val="18"/>
                <w:szCs w:val="18"/>
                <w:lang w:val="en-US" w:eastAsia="zh-CN"/>
              </w:rPr>
            </w:pPr>
            <w:r>
              <w:rPr>
                <w:rFonts w:hint="eastAsia"/>
                <w:sz w:val="18"/>
                <w:szCs w:val="18"/>
              </w:rPr>
              <w:t>≤</w:t>
            </w:r>
            <w:r>
              <w:rPr>
                <w:rFonts w:hint="eastAsia"/>
                <w:sz w:val="18"/>
                <w:szCs w:val="18"/>
                <w:lang w:val="en-US" w:eastAsia="zh-CN"/>
              </w:rPr>
              <w:t>8.0（GB 2765)</w:t>
            </w:r>
          </w:p>
        </w:tc>
        <w:tc>
          <w:tcPr>
            <w:tcW w:w="1305" w:type="dxa"/>
            <w:tcBorders>
              <w:top w:val="single" w:color="auto" w:sz="4" w:space="0"/>
              <w:bottom w:val="single" w:color="auto" w:sz="4" w:space="0"/>
            </w:tcBorders>
            <w:shd w:val="clear" w:color="auto" w:fill="auto"/>
            <w:vAlign w:val="center"/>
          </w:tcPr>
          <w:p w14:paraId="5AE213D5">
            <w:pPr>
              <w:pStyle w:val="42"/>
              <w:keepNext w:val="0"/>
              <w:keepLines w:val="0"/>
              <w:widowControl/>
              <w:suppressLineNumbers w:val="0"/>
              <w:spacing w:before="0" w:beforeAutospacing="0" w:after="0" w:afterAutospacing="0"/>
              <w:ind w:left="0" w:right="0" w:firstLine="0" w:firstLineChars="0"/>
              <w:jc w:val="center"/>
              <w:rPr>
                <w:rFonts w:hint="eastAsia"/>
                <w:sz w:val="18"/>
                <w:szCs w:val="18"/>
              </w:rPr>
            </w:pPr>
            <w:r>
              <w:rPr>
                <w:rFonts w:hint="eastAsia"/>
                <w:sz w:val="18"/>
                <w:szCs w:val="18"/>
                <w:lang w:eastAsia="zh-CN"/>
              </w:rPr>
              <w:t>优于国标</w:t>
            </w:r>
          </w:p>
        </w:tc>
      </w:tr>
      <w:tr w14:paraId="4396A61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4019" w:type="dxa"/>
            <w:tcBorders>
              <w:top w:val="single" w:color="auto" w:sz="4" w:space="0"/>
              <w:bottom w:val="single" w:color="auto" w:sz="4" w:space="0"/>
            </w:tcBorders>
            <w:vAlign w:val="center"/>
          </w:tcPr>
          <w:p w14:paraId="4749BBCB">
            <w:pPr>
              <w:pStyle w:val="42"/>
              <w:keepNext w:val="0"/>
              <w:keepLines w:val="0"/>
              <w:widowControl/>
              <w:suppressLineNumbers w:val="0"/>
              <w:spacing w:before="0" w:beforeAutospacing="0" w:after="0" w:afterAutospacing="0"/>
              <w:ind w:left="0" w:right="0" w:firstLine="0" w:firstLineChars="0"/>
              <w:jc w:val="left"/>
              <w:rPr>
                <w:rFonts w:hint="default"/>
                <w:sz w:val="18"/>
                <w:szCs w:val="18"/>
              </w:rPr>
            </w:pPr>
            <w:r>
              <w:rPr>
                <w:rFonts w:hint="eastAsia"/>
                <w:sz w:val="18"/>
                <w:szCs w:val="18"/>
              </w:rPr>
              <w:t>氨基甲酸乙酯（EC）/（mg/L）</w:t>
            </w:r>
          </w:p>
        </w:tc>
        <w:tc>
          <w:tcPr>
            <w:tcW w:w="1140" w:type="dxa"/>
            <w:tcBorders>
              <w:top w:val="single" w:color="auto" w:sz="4" w:space="0"/>
              <w:bottom w:val="single" w:color="auto" w:sz="4" w:space="0"/>
            </w:tcBorders>
            <w:vAlign w:val="center"/>
          </w:tcPr>
          <w:p w14:paraId="5714B800">
            <w:pPr>
              <w:pStyle w:val="42"/>
              <w:keepNext w:val="0"/>
              <w:keepLines w:val="0"/>
              <w:widowControl/>
              <w:suppressLineNumbers w:val="0"/>
              <w:spacing w:before="0" w:beforeAutospacing="0" w:after="0" w:afterAutospacing="0"/>
              <w:ind w:left="0" w:right="0" w:firstLine="0" w:firstLineChars="0"/>
              <w:jc w:val="center"/>
              <w:rPr>
                <w:rFonts w:hint="default"/>
                <w:sz w:val="18"/>
                <w:szCs w:val="18"/>
              </w:rPr>
            </w:pPr>
            <w:r>
              <w:rPr>
                <w:rFonts w:hint="eastAsia"/>
                <w:sz w:val="18"/>
                <w:szCs w:val="18"/>
              </w:rPr>
              <w:t>≤0.5</w:t>
            </w:r>
          </w:p>
        </w:tc>
        <w:tc>
          <w:tcPr>
            <w:tcW w:w="2656" w:type="dxa"/>
            <w:tcBorders>
              <w:top w:val="single" w:color="auto" w:sz="4" w:space="0"/>
              <w:bottom w:val="single" w:color="auto" w:sz="4" w:space="0"/>
            </w:tcBorders>
            <w:vAlign w:val="center"/>
          </w:tcPr>
          <w:p w14:paraId="40E3E3C6">
            <w:pPr>
              <w:pStyle w:val="42"/>
              <w:keepNext w:val="0"/>
              <w:keepLines w:val="0"/>
              <w:widowControl/>
              <w:suppressLineNumbers w:val="0"/>
              <w:spacing w:before="0" w:beforeAutospacing="0" w:after="0" w:afterAutospacing="0"/>
              <w:ind w:left="0" w:right="0" w:firstLine="0" w:firstLineChars="0"/>
              <w:jc w:val="center"/>
              <w:rPr>
                <w:rFonts w:hint="eastAsia" w:eastAsia="宋体"/>
                <w:sz w:val="18"/>
                <w:szCs w:val="18"/>
                <w:lang w:eastAsia="zh-CN"/>
              </w:rPr>
            </w:pPr>
            <w:r>
              <w:rPr>
                <w:rFonts w:hint="eastAsia"/>
                <w:sz w:val="18"/>
                <w:szCs w:val="18"/>
              </w:rPr>
              <w:t>≤0.5</w:t>
            </w:r>
            <w:r>
              <w:rPr>
                <w:rFonts w:hint="eastAsia"/>
                <w:sz w:val="18"/>
                <w:szCs w:val="18"/>
                <w:lang w:eastAsia="zh-CN"/>
              </w:rPr>
              <w:t>（ T/CBJ 003）</w:t>
            </w:r>
          </w:p>
        </w:tc>
        <w:tc>
          <w:tcPr>
            <w:tcW w:w="1305" w:type="dxa"/>
            <w:tcBorders>
              <w:top w:val="single" w:color="auto" w:sz="4" w:space="0"/>
              <w:bottom w:val="single" w:color="auto" w:sz="4" w:space="0"/>
            </w:tcBorders>
            <w:vAlign w:val="center"/>
          </w:tcPr>
          <w:p w14:paraId="04B39663">
            <w:pPr>
              <w:pStyle w:val="42"/>
              <w:keepNext w:val="0"/>
              <w:keepLines w:val="0"/>
              <w:widowControl/>
              <w:suppressLineNumbers w:val="0"/>
              <w:spacing w:before="0" w:beforeAutospacing="0" w:after="0" w:afterAutospacing="0"/>
              <w:ind w:left="0" w:right="0" w:firstLine="0" w:firstLineChars="0"/>
              <w:jc w:val="center"/>
              <w:rPr>
                <w:rFonts w:hint="eastAsia" w:eastAsia="宋体"/>
                <w:sz w:val="18"/>
                <w:szCs w:val="18"/>
                <w:lang w:eastAsia="zh-CN"/>
              </w:rPr>
            </w:pPr>
            <w:r>
              <w:rPr>
                <w:rFonts w:hint="eastAsia"/>
                <w:sz w:val="18"/>
                <w:szCs w:val="18"/>
                <w:lang w:eastAsia="zh-CN"/>
              </w:rPr>
              <w:t>与团标一致</w:t>
            </w:r>
          </w:p>
        </w:tc>
      </w:tr>
      <w:tr w14:paraId="5F5A84E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019" w:type="dxa"/>
            <w:tcBorders>
              <w:top w:val="single" w:color="auto" w:sz="4" w:space="0"/>
              <w:bottom w:val="single" w:color="auto" w:sz="4" w:space="0"/>
            </w:tcBorders>
            <w:vAlign w:val="center"/>
          </w:tcPr>
          <w:p w14:paraId="4E9751D5">
            <w:pPr>
              <w:pStyle w:val="42"/>
              <w:keepNext w:val="0"/>
              <w:keepLines w:val="0"/>
              <w:widowControl/>
              <w:suppressLineNumbers w:val="0"/>
              <w:spacing w:before="0" w:beforeAutospacing="0" w:after="0" w:afterAutospacing="0"/>
              <w:ind w:left="0" w:right="0" w:firstLine="0" w:firstLineChars="0"/>
              <w:jc w:val="left"/>
              <w:rPr>
                <w:rFonts w:hint="default"/>
                <w:sz w:val="18"/>
                <w:szCs w:val="18"/>
              </w:rPr>
            </w:pPr>
            <w:r>
              <w:rPr>
                <w:rFonts w:hint="eastAsia"/>
                <w:sz w:val="18"/>
                <w:szCs w:val="18"/>
              </w:rPr>
              <w:t>邻苯二甲酸二（2-乙基己基）酯（DEHP） /（mg/</w:t>
            </w:r>
            <w:r>
              <w:rPr>
                <w:rFonts w:hint="eastAsia"/>
                <w:sz w:val="18"/>
                <w:szCs w:val="18"/>
                <w:lang w:val="en-US" w:eastAsia="zh-CN"/>
              </w:rPr>
              <w:t>kg</w:t>
            </w:r>
            <w:r>
              <w:rPr>
                <w:rFonts w:hint="eastAsia"/>
                <w:sz w:val="18"/>
                <w:szCs w:val="18"/>
              </w:rPr>
              <w:t>）</w:t>
            </w:r>
          </w:p>
        </w:tc>
        <w:tc>
          <w:tcPr>
            <w:tcW w:w="1140" w:type="dxa"/>
            <w:tcBorders>
              <w:top w:val="single" w:color="auto" w:sz="4" w:space="0"/>
              <w:bottom w:val="single" w:color="auto" w:sz="4" w:space="0"/>
            </w:tcBorders>
            <w:vAlign w:val="center"/>
          </w:tcPr>
          <w:p w14:paraId="66B97E5C">
            <w:pPr>
              <w:pStyle w:val="42"/>
              <w:keepNext w:val="0"/>
              <w:keepLines w:val="0"/>
              <w:widowControl/>
              <w:suppressLineNumbers w:val="0"/>
              <w:spacing w:before="0" w:beforeAutospacing="0" w:after="0" w:afterAutospacing="0"/>
              <w:ind w:left="0" w:right="0" w:firstLine="0" w:firstLineChars="0"/>
              <w:jc w:val="center"/>
              <w:rPr>
                <w:rFonts w:hint="default"/>
                <w:sz w:val="18"/>
                <w:szCs w:val="18"/>
              </w:rPr>
            </w:pPr>
            <w:r>
              <w:rPr>
                <w:rFonts w:hint="eastAsia"/>
                <w:sz w:val="18"/>
                <w:szCs w:val="18"/>
              </w:rPr>
              <w:t>≤5.</w:t>
            </w:r>
            <w:r>
              <w:rPr>
                <w:rFonts w:hint="default"/>
                <w:sz w:val="18"/>
                <w:szCs w:val="18"/>
              </w:rPr>
              <w:t>0</w:t>
            </w:r>
          </w:p>
        </w:tc>
        <w:tc>
          <w:tcPr>
            <w:tcW w:w="2656" w:type="dxa"/>
            <w:tcBorders>
              <w:top w:val="single" w:color="auto" w:sz="4" w:space="0"/>
              <w:bottom w:val="single" w:color="auto" w:sz="4" w:space="0"/>
            </w:tcBorders>
            <w:vAlign w:val="center"/>
          </w:tcPr>
          <w:p w14:paraId="01364333">
            <w:pPr>
              <w:pStyle w:val="42"/>
              <w:keepNext w:val="0"/>
              <w:keepLines w:val="0"/>
              <w:widowControl/>
              <w:suppressLineNumbers w:val="0"/>
              <w:spacing w:before="0" w:beforeAutospacing="0" w:after="0" w:afterAutospacing="0"/>
              <w:ind w:left="0" w:right="0" w:firstLine="0" w:firstLineChars="0"/>
              <w:jc w:val="center"/>
              <w:rPr>
                <w:rFonts w:hint="eastAsia"/>
                <w:sz w:val="18"/>
                <w:szCs w:val="18"/>
                <w:lang w:val="en-US" w:eastAsia="zh-CN"/>
              </w:rPr>
            </w:pPr>
            <w:r>
              <w:rPr>
                <w:rFonts w:hint="eastAsia"/>
                <w:sz w:val="18"/>
                <w:szCs w:val="18"/>
                <w:lang w:val="en-US" w:eastAsia="zh-CN"/>
              </w:rPr>
              <w:t>≤5.0</w:t>
            </w:r>
          </w:p>
          <w:p w14:paraId="7F05D9E0">
            <w:pPr>
              <w:pStyle w:val="42"/>
              <w:keepNext w:val="0"/>
              <w:keepLines w:val="0"/>
              <w:widowControl/>
              <w:suppressLineNumbers w:val="0"/>
              <w:spacing w:before="0" w:beforeAutospacing="0" w:after="0" w:afterAutospacing="0"/>
              <w:ind w:left="0" w:right="0" w:firstLine="0" w:firstLineChars="0"/>
              <w:jc w:val="center"/>
              <w:rPr>
                <w:rFonts w:hint="default"/>
                <w:sz w:val="18"/>
                <w:szCs w:val="18"/>
                <w:lang w:val="en-US" w:eastAsia="zh-CN"/>
              </w:rPr>
            </w:pPr>
            <w:r>
              <w:rPr>
                <w:rFonts w:hint="eastAsia"/>
                <w:sz w:val="18"/>
                <w:szCs w:val="18"/>
                <w:lang w:val="en-US" w:eastAsia="zh-CN"/>
              </w:rPr>
              <w:t>（国市监食生〔2019〕214 号）</w:t>
            </w:r>
          </w:p>
        </w:tc>
        <w:tc>
          <w:tcPr>
            <w:tcW w:w="1305" w:type="dxa"/>
            <w:tcBorders>
              <w:top w:val="single" w:color="auto" w:sz="4" w:space="0"/>
              <w:bottom w:val="single" w:color="auto" w:sz="4" w:space="0"/>
            </w:tcBorders>
            <w:vAlign w:val="center"/>
          </w:tcPr>
          <w:p w14:paraId="4F31EFC2">
            <w:pPr>
              <w:pStyle w:val="42"/>
              <w:keepNext w:val="0"/>
              <w:keepLines w:val="0"/>
              <w:widowControl/>
              <w:suppressLineNumbers w:val="0"/>
              <w:spacing w:before="0" w:beforeAutospacing="0" w:after="0" w:afterAutospacing="0"/>
              <w:ind w:left="0" w:right="0" w:firstLine="0" w:firstLineChars="0"/>
              <w:jc w:val="center"/>
              <w:rPr>
                <w:rFonts w:hint="eastAsia"/>
                <w:sz w:val="18"/>
                <w:szCs w:val="18"/>
              </w:rPr>
            </w:pPr>
            <w:r>
              <w:rPr>
                <w:rFonts w:hint="eastAsia"/>
                <w:sz w:val="18"/>
                <w:szCs w:val="18"/>
                <w:lang w:eastAsia="zh-CN"/>
              </w:rPr>
              <w:t>与文件一致</w:t>
            </w:r>
          </w:p>
        </w:tc>
      </w:tr>
      <w:tr w14:paraId="163D04B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019" w:type="dxa"/>
            <w:tcBorders>
              <w:top w:val="single" w:color="auto" w:sz="4" w:space="0"/>
              <w:bottom w:val="single" w:color="auto" w:sz="4" w:space="0"/>
            </w:tcBorders>
            <w:vAlign w:val="center"/>
          </w:tcPr>
          <w:p w14:paraId="1A570E7A">
            <w:pPr>
              <w:pStyle w:val="42"/>
              <w:keepNext w:val="0"/>
              <w:keepLines w:val="0"/>
              <w:widowControl/>
              <w:suppressLineNumbers w:val="0"/>
              <w:spacing w:before="0" w:beforeAutospacing="0" w:after="0" w:afterAutospacing="0"/>
              <w:ind w:left="0" w:right="0" w:firstLine="0" w:firstLineChars="0"/>
              <w:jc w:val="left"/>
              <w:rPr>
                <w:rFonts w:hint="default"/>
                <w:sz w:val="18"/>
                <w:szCs w:val="18"/>
              </w:rPr>
            </w:pPr>
            <w:r>
              <w:rPr>
                <w:rFonts w:hint="eastAsia"/>
                <w:sz w:val="18"/>
                <w:szCs w:val="18"/>
              </w:rPr>
              <w:t>邻苯二甲酸二正丁酯（DBP）/（mg/</w:t>
            </w:r>
            <w:r>
              <w:rPr>
                <w:rFonts w:hint="eastAsia"/>
                <w:sz w:val="18"/>
                <w:szCs w:val="18"/>
                <w:lang w:val="en-US" w:eastAsia="zh-CN"/>
              </w:rPr>
              <w:t>kg</w:t>
            </w:r>
            <w:r>
              <w:rPr>
                <w:rFonts w:hint="eastAsia"/>
                <w:sz w:val="18"/>
                <w:szCs w:val="18"/>
              </w:rPr>
              <w:t>）</w:t>
            </w:r>
          </w:p>
        </w:tc>
        <w:tc>
          <w:tcPr>
            <w:tcW w:w="1140" w:type="dxa"/>
            <w:tcBorders>
              <w:top w:val="single" w:color="auto" w:sz="4" w:space="0"/>
              <w:bottom w:val="single" w:color="auto" w:sz="4" w:space="0"/>
            </w:tcBorders>
            <w:vAlign w:val="center"/>
          </w:tcPr>
          <w:p w14:paraId="34A60B6E">
            <w:pPr>
              <w:pStyle w:val="42"/>
              <w:keepNext w:val="0"/>
              <w:keepLines w:val="0"/>
              <w:widowControl/>
              <w:suppressLineNumbers w:val="0"/>
              <w:spacing w:before="0" w:beforeAutospacing="0" w:after="0" w:afterAutospacing="0"/>
              <w:ind w:left="0" w:right="0" w:firstLine="0" w:firstLineChars="0"/>
              <w:jc w:val="center"/>
              <w:rPr>
                <w:rFonts w:hint="default"/>
                <w:sz w:val="18"/>
                <w:szCs w:val="18"/>
              </w:rPr>
            </w:pPr>
            <w:r>
              <w:rPr>
                <w:rFonts w:hint="eastAsia"/>
                <w:sz w:val="18"/>
                <w:szCs w:val="18"/>
              </w:rPr>
              <w:t>≤1.0</w:t>
            </w:r>
          </w:p>
        </w:tc>
        <w:tc>
          <w:tcPr>
            <w:tcW w:w="2656" w:type="dxa"/>
            <w:tcBorders>
              <w:top w:val="single" w:color="auto" w:sz="4" w:space="0"/>
              <w:bottom w:val="single" w:color="auto" w:sz="4" w:space="0"/>
            </w:tcBorders>
            <w:vAlign w:val="center"/>
          </w:tcPr>
          <w:p w14:paraId="6F3C1839">
            <w:pPr>
              <w:pStyle w:val="42"/>
              <w:keepNext w:val="0"/>
              <w:keepLines w:val="0"/>
              <w:widowControl/>
              <w:suppressLineNumbers w:val="0"/>
              <w:spacing w:before="0" w:beforeAutospacing="0" w:after="0" w:afterAutospacing="0"/>
              <w:ind w:left="0" w:right="0" w:firstLine="0" w:firstLineChars="0"/>
              <w:jc w:val="center"/>
              <w:rPr>
                <w:rFonts w:hint="eastAsia"/>
                <w:sz w:val="18"/>
                <w:szCs w:val="18"/>
                <w:lang w:val="en-US" w:eastAsia="zh-CN"/>
              </w:rPr>
            </w:pPr>
            <w:r>
              <w:rPr>
                <w:rFonts w:hint="eastAsia"/>
                <w:sz w:val="18"/>
                <w:szCs w:val="18"/>
                <w:lang w:val="en-US" w:eastAsia="zh-CN"/>
              </w:rPr>
              <w:t>≤1.0</w:t>
            </w:r>
          </w:p>
          <w:p w14:paraId="567080A1">
            <w:pPr>
              <w:pStyle w:val="42"/>
              <w:keepNext w:val="0"/>
              <w:keepLines w:val="0"/>
              <w:widowControl/>
              <w:suppressLineNumbers w:val="0"/>
              <w:spacing w:before="0" w:beforeAutospacing="0" w:after="0" w:afterAutospacing="0"/>
              <w:ind w:left="0" w:right="0" w:firstLine="0" w:firstLineChars="0"/>
              <w:jc w:val="center"/>
              <w:rPr>
                <w:rFonts w:hint="default"/>
                <w:sz w:val="18"/>
                <w:szCs w:val="18"/>
                <w:lang w:val="en-US" w:eastAsia="zh-CN"/>
              </w:rPr>
            </w:pPr>
            <w:r>
              <w:rPr>
                <w:rFonts w:hint="eastAsia"/>
                <w:sz w:val="18"/>
                <w:szCs w:val="18"/>
                <w:lang w:val="en-US" w:eastAsia="zh-CN"/>
              </w:rPr>
              <w:t>（国市监食生〔2019〕214 号）</w:t>
            </w:r>
          </w:p>
        </w:tc>
        <w:tc>
          <w:tcPr>
            <w:tcW w:w="1305" w:type="dxa"/>
            <w:tcBorders>
              <w:top w:val="single" w:color="auto" w:sz="4" w:space="0"/>
              <w:bottom w:val="single" w:color="auto" w:sz="4" w:space="0"/>
            </w:tcBorders>
            <w:vAlign w:val="center"/>
          </w:tcPr>
          <w:p w14:paraId="2FEA71EE">
            <w:pPr>
              <w:pStyle w:val="42"/>
              <w:keepNext w:val="0"/>
              <w:keepLines w:val="0"/>
              <w:widowControl/>
              <w:suppressLineNumbers w:val="0"/>
              <w:spacing w:before="0" w:beforeAutospacing="0" w:after="0" w:afterAutospacing="0"/>
              <w:ind w:left="0" w:right="0" w:firstLine="0" w:firstLineChars="0"/>
              <w:jc w:val="center"/>
              <w:rPr>
                <w:rFonts w:hint="eastAsia"/>
                <w:sz w:val="18"/>
                <w:szCs w:val="18"/>
              </w:rPr>
            </w:pPr>
            <w:r>
              <w:rPr>
                <w:rFonts w:hint="eastAsia"/>
                <w:sz w:val="18"/>
                <w:szCs w:val="18"/>
                <w:lang w:eastAsia="zh-CN"/>
              </w:rPr>
              <w:t>与文件一致</w:t>
            </w:r>
          </w:p>
        </w:tc>
      </w:tr>
      <w:tr w14:paraId="437648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019" w:type="dxa"/>
            <w:tcBorders>
              <w:top w:val="single" w:color="auto" w:sz="4" w:space="0"/>
            </w:tcBorders>
            <w:vAlign w:val="center"/>
          </w:tcPr>
          <w:p w14:paraId="1E0EF74C">
            <w:pPr>
              <w:pStyle w:val="9"/>
              <w:keepNext w:val="0"/>
              <w:keepLines w:val="0"/>
              <w:widowControl/>
              <w:suppressLineNumbers w:val="0"/>
              <w:autoSpaceDE w:val="0"/>
              <w:autoSpaceDN w:val="0"/>
              <w:adjustRightInd/>
              <w:spacing w:before="0" w:beforeAutospacing="0" w:after="0" w:afterAutospacing="0" w:line="240" w:lineRule="auto"/>
              <w:ind w:left="0" w:leftChars="0" w:right="0" w:rightChars="0" w:firstLine="0" w:firstLineChars="0"/>
              <w:jc w:val="left"/>
              <w:rPr>
                <w:rFonts w:hint="eastAsia"/>
                <w:sz w:val="18"/>
                <w:szCs w:val="18"/>
              </w:rPr>
            </w:pPr>
            <w:r>
              <w:rPr>
                <w:rFonts w:hint="eastAsia" w:ascii="宋体" w:hAnsi="Times New Roman" w:eastAsia="宋体" w:cs="Times New Roman"/>
                <w:kern w:val="0"/>
                <w:sz w:val="18"/>
                <w:szCs w:val="18"/>
                <w:lang w:val="en-US" w:eastAsia="zh-CN" w:bidi="ar"/>
              </w:rPr>
              <w:t>邻苯二甲酸二异壬酯（DINP）/（mg/</w:t>
            </w:r>
            <w:r>
              <w:rPr>
                <w:rFonts w:hint="eastAsia"/>
                <w:sz w:val="18"/>
                <w:szCs w:val="18"/>
                <w:lang w:val="en-US" w:eastAsia="zh-CN"/>
              </w:rPr>
              <w:t>kg</w:t>
            </w:r>
            <w:r>
              <w:rPr>
                <w:rFonts w:hint="eastAsia" w:ascii="宋体" w:hAnsi="Times New Roman" w:eastAsia="宋体" w:cs="Times New Roman"/>
                <w:kern w:val="0"/>
                <w:sz w:val="18"/>
                <w:szCs w:val="18"/>
                <w:lang w:val="en-US" w:eastAsia="zh-CN" w:bidi="ar"/>
              </w:rPr>
              <w:t>）</w:t>
            </w:r>
          </w:p>
        </w:tc>
        <w:tc>
          <w:tcPr>
            <w:tcW w:w="1140" w:type="dxa"/>
            <w:tcBorders>
              <w:top w:val="single" w:color="auto" w:sz="4" w:space="0"/>
            </w:tcBorders>
            <w:vAlign w:val="center"/>
          </w:tcPr>
          <w:p w14:paraId="63BCD16B">
            <w:pPr>
              <w:pStyle w:val="9"/>
              <w:keepNext w:val="0"/>
              <w:keepLines w:val="0"/>
              <w:widowControl/>
              <w:suppressLineNumbers w:val="0"/>
              <w:autoSpaceDE w:val="0"/>
              <w:autoSpaceDN w:val="0"/>
              <w:adjustRightInd/>
              <w:spacing w:before="0" w:beforeAutospacing="0" w:after="0" w:afterAutospacing="0" w:line="240" w:lineRule="auto"/>
              <w:ind w:left="0" w:leftChars="0" w:right="0" w:rightChars="0" w:firstLine="0" w:firstLineChars="0"/>
              <w:jc w:val="center"/>
              <w:rPr>
                <w:rFonts w:hint="eastAsia"/>
                <w:sz w:val="18"/>
                <w:szCs w:val="18"/>
              </w:rPr>
            </w:pPr>
            <w:r>
              <w:rPr>
                <w:rFonts w:hint="eastAsia" w:ascii="宋体" w:hAnsi="Times New Roman" w:eastAsia="宋体" w:cs="Times New Roman"/>
                <w:kern w:val="0"/>
                <w:sz w:val="18"/>
                <w:szCs w:val="18"/>
                <w:lang w:val="en-US" w:eastAsia="zh-CN" w:bidi="ar"/>
              </w:rPr>
              <w:t>≤9.0</w:t>
            </w:r>
          </w:p>
        </w:tc>
        <w:tc>
          <w:tcPr>
            <w:tcW w:w="2656" w:type="dxa"/>
            <w:tcBorders>
              <w:top w:val="single" w:color="auto" w:sz="4" w:space="0"/>
            </w:tcBorders>
            <w:shd w:val="clear" w:color="auto" w:fill="auto"/>
            <w:vAlign w:val="center"/>
          </w:tcPr>
          <w:p w14:paraId="7F9EF9C0">
            <w:pPr>
              <w:pStyle w:val="42"/>
              <w:keepNext w:val="0"/>
              <w:keepLines w:val="0"/>
              <w:widowControl/>
              <w:suppressLineNumbers w:val="0"/>
              <w:spacing w:before="0" w:beforeAutospacing="0" w:after="0" w:afterAutospacing="0"/>
              <w:ind w:left="0" w:right="0" w:firstLine="0" w:firstLineChars="0"/>
              <w:jc w:val="center"/>
              <w:rPr>
                <w:rFonts w:hint="eastAsia"/>
                <w:sz w:val="18"/>
                <w:szCs w:val="18"/>
                <w:lang w:val="en-US" w:eastAsia="zh-CN"/>
              </w:rPr>
            </w:pPr>
            <w:r>
              <w:rPr>
                <w:rFonts w:hint="eastAsia"/>
                <w:sz w:val="18"/>
                <w:szCs w:val="18"/>
                <w:lang w:val="en-US" w:eastAsia="zh-CN"/>
              </w:rPr>
              <w:t>≤9.0</w:t>
            </w:r>
          </w:p>
          <w:p w14:paraId="6D8DE2A4">
            <w:pPr>
              <w:pStyle w:val="42"/>
              <w:keepNext w:val="0"/>
              <w:keepLines w:val="0"/>
              <w:widowControl/>
              <w:suppressLineNumbers w:val="0"/>
              <w:spacing w:before="0" w:beforeAutospacing="0" w:after="0" w:afterAutospacing="0"/>
              <w:ind w:left="0" w:right="0" w:firstLine="0" w:firstLineChars="0"/>
              <w:jc w:val="center"/>
              <w:rPr>
                <w:rFonts w:hint="eastAsia"/>
                <w:sz w:val="18"/>
                <w:szCs w:val="18"/>
                <w:lang w:val="en-US" w:eastAsia="zh-CN"/>
              </w:rPr>
            </w:pPr>
            <w:r>
              <w:rPr>
                <w:rFonts w:hint="eastAsia"/>
                <w:sz w:val="18"/>
                <w:szCs w:val="18"/>
                <w:lang w:val="en-US" w:eastAsia="zh-CN"/>
              </w:rPr>
              <w:t>（国市监食生〔2019〕214 号）</w:t>
            </w:r>
          </w:p>
        </w:tc>
        <w:tc>
          <w:tcPr>
            <w:tcW w:w="1305" w:type="dxa"/>
            <w:tcBorders>
              <w:top w:val="single" w:color="auto" w:sz="4" w:space="0"/>
            </w:tcBorders>
            <w:shd w:val="clear" w:color="auto" w:fill="auto"/>
            <w:vAlign w:val="center"/>
          </w:tcPr>
          <w:p w14:paraId="281B6C68">
            <w:pPr>
              <w:pStyle w:val="42"/>
              <w:keepNext w:val="0"/>
              <w:keepLines w:val="0"/>
              <w:widowControl/>
              <w:suppressLineNumbers w:val="0"/>
              <w:spacing w:before="0" w:beforeAutospacing="0" w:after="0" w:afterAutospacing="0"/>
              <w:ind w:left="0" w:leftChars="0" w:right="0" w:rightChars="0" w:firstLine="0" w:firstLineChars="0"/>
              <w:jc w:val="center"/>
              <w:rPr>
                <w:rFonts w:hint="eastAsia" w:ascii="宋体" w:hAnsi="Times New Roman" w:eastAsia="宋体" w:cs="Times New Roman"/>
                <w:sz w:val="18"/>
                <w:szCs w:val="18"/>
                <w:lang w:val="en-US" w:eastAsia="zh-CN" w:bidi="ar-SA"/>
              </w:rPr>
            </w:pPr>
            <w:r>
              <w:rPr>
                <w:rFonts w:hint="eastAsia"/>
                <w:sz w:val="18"/>
                <w:szCs w:val="18"/>
                <w:lang w:eastAsia="zh-CN"/>
              </w:rPr>
              <w:t>与文件一致</w:t>
            </w:r>
          </w:p>
        </w:tc>
      </w:tr>
    </w:tbl>
    <w:p w14:paraId="02C85711">
      <w:pPr>
        <w:spacing w:line="360" w:lineRule="auto"/>
        <w:ind w:firstLine="480" w:firstLineChars="200"/>
        <w:rPr>
          <w:rFonts w:hint="eastAsia"/>
          <w:sz w:val="24"/>
          <w:highlight w:val="none"/>
          <w:lang w:eastAsia="zh-CN"/>
        </w:rPr>
      </w:pPr>
      <w:r>
        <w:rPr>
          <w:rFonts w:hint="eastAsia"/>
          <w:sz w:val="24"/>
          <w:highlight w:val="none"/>
          <w:lang w:eastAsia="zh-CN"/>
        </w:rPr>
        <w:t>（</w:t>
      </w:r>
      <w:r>
        <w:rPr>
          <w:rFonts w:hint="eastAsia"/>
          <w:sz w:val="24"/>
          <w:highlight w:val="none"/>
          <w:lang w:val="en-US" w:eastAsia="zh-CN"/>
        </w:rPr>
        <w:t>1</w:t>
      </w:r>
      <w:r>
        <w:rPr>
          <w:rFonts w:hint="eastAsia"/>
          <w:sz w:val="24"/>
          <w:highlight w:val="none"/>
          <w:lang w:eastAsia="zh-CN"/>
        </w:rPr>
        <w:t>）铅：铅作为一种重金属，对人体健康存在潜在危害，可通过原料天然携带、生产设备（如蒸馏器、冷凝器、导管及贮酒容器）溶出、环境污染等多种途径进入白酒。依据 GB 2762</w:t>
      </w:r>
      <w:r>
        <w:rPr>
          <w:rFonts w:hint="eastAsia"/>
          <w:sz w:val="24"/>
          <w:highlight w:val="none"/>
          <w:lang w:val="en-US" w:eastAsia="zh-CN"/>
        </w:rPr>
        <w:t>-2022《</w:t>
      </w:r>
      <w:r>
        <w:rPr>
          <w:rFonts w:hint="eastAsia"/>
          <w:sz w:val="24"/>
          <w:highlight w:val="none"/>
          <w:lang w:eastAsia="zh-CN"/>
        </w:rPr>
        <w:t>食品安全国家标准</w:t>
      </w:r>
      <w:r>
        <w:rPr>
          <w:rFonts w:hint="eastAsia"/>
          <w:sz w:val="24"/>
          <w:highlight w:val="none"/>
          <w:lang w:val="en-US" w:eastAsia="zh-CN"/>
        </w:rPr>
        <w:t xml:space="preserve"> 食品中污染物限量》</w:t>
      </w:r>
      <w:r>
        <w:rPr>
          <w:rFonts w:hint="eastAsia"/>
          <w:sz w:val="24"/>
          <w:highlight w:val="none"/>
          <w:lang w:eastAsia="zh-CN"/>
        </w:rPr>
        <w:t>对白酒中铅含量的严格限制，结合企业实际数据，本标准将铅含量最高限值定为 0.4mg/kg。</w:t>
      </w:r>
    </w:p>
    <w:p w14:paraId="17D1E08B">
      <w:pPr>
        <w:spacing w:line="360" w:lineRule="auto"/>
        <w:ind w:firstLine="480" w:firstLineChars="200"/>
        <w:rPr>
          <w:rFonts w:hint="default"/>
          <w:sz w:val="24"/>
          <w:highlight w:val="none"/>
          <w:lang w:val="en-US" w:eastAsia="zh-CN"/>
        </w:rPr>
      </w:pPr>
      <w:r>
        <w:rPr>
          <w:rFonts w:hint="eastAsia"/>
          <w:sz w:val="24"/>
          <w:highlight w:val="none"/>
          <w:lang w:eastAsia="zh-CN"/>
        </w:rPr>
        <w:t>（</w:t>
      </w:r>
      <w:r>
        <w:rPr>
          <w:rFonts w:hint="eastAsia"/>
          <w:sz w:val="24"/>
          <w:highlight w:val="none"/>
          <w:lang w:val="en-US" w:eastAsia="zh-CN"/>
        </w:rPr>
        <w:t>2</w:t>
      </w:r>
      <w:r>
        <w:rPr>
          <w:rFonts w:hint="eastAsia"/>
          <w:sz w:val="24"/>
          <w:highlight w:val="none"/>
          <w:lang w:eastAsia="zh-CN"/>
        </w:rPr>
        <w:t>）甲醇：甲醇在人体内代谢产生的甲醛和甲酸，毒性较甲醇本身更强。其主要来源于原料中的果胶质，在发酵过程中分解产生。GB 2757</w:t>
      </w:r>
      <w:r>
        <w:rPr>
          <w:rFonts w:hint="eastAsia"/>
          <w:sz w:val="24"/>
          <w:highlight w:val="none"/>
          <w:lang w:val="en-US" w:eastAsia="zh-CN"/>
        </w:rPr>
        <w:t>-</w:t>
      </w:r>
      <w:r>
        <w:rPr>
          <w:rFonts w:hint="eastAsia"/>
          <w:sz w:val="24"/>
          <w:highlight w:val="none"/>
          <w:lang w:eastAsia="zh-CN"/>
        </w:rPr>
        <w:t>2012《食品安全国家标准 蒸馏酒及其配制酒》规定白酒中甲醇含量（以100% 酒精度计）不得超过0.6g/L，本标准结合企业数据，提出更严格要求，将甲醇含量最高限值定为0.5g/L。</w:t>
      </w:r>
    </w:p>
    <w:p w14:paraId="7D3650AA">
      <w:pPr>
        <w:spacing w:line="360" w:lineRule="auto"/>
        <w:ind w:firstLine="480" w:firstLineChars="200"/>
        <w:rPr>
          <w:rFonts w:hint="default"/>
          <w:sz w:val="24"/>
          <w:highlight w:val="none"/>
          <w:lang w:val="en-US" w:eastAsia="zh-CN"/>
        </w:rPr>
      </w:pPr>
      <w:r>
        <w:rPr>
          <w:rFonts w:hint="eastAsia"/>
          <w:sz w:val="24"/>
          <w:highlight w:val="none"/>
          <w:lang w:eastAsia="zh-CN"/>
        </w:rPr>
        <w:t>（</w:t>
      </w:r>
      <w:r>
        <w:rPr>
          <w:rFonts w:hint="eastAsia"/>
          <w:sz w:val="24"/>
          <w:highlight w:val="none"/>
          <w:lang w:val="en-US" w:eastAsia="zh-CN"/>
        </w:rPr>
        <w:t>3</w:t>
      </w:r>
      <w:r>
        <w:rPr>
          <w:rFonts w:hint="eastAsia"/>
          <w:sz w:val="24"/>
          <w:highlight w:val="none"/>
          <w:lang w:eastAsia="zh-CN"/>
        </w:rPr>
        <w:t>）氰化物：氰化物属剧毒物质，微量即可引发严重健康问题，其在白酒中的主要来源为原料（尤其是高粱、小麦、玉米等含植物氰甙的原料），酿造过程中氰甙可能水解产生氰化物并进入成品酒。GB 2757</w:t>
      </w:r>
      <w:r>
        <w:rPr>
          <w:rFonts w:hint="eastAsia"/>
          <w:sz w:val="24"/>
          <w:highlight w:val="none"/>
          <w:lang w:val="en-US" w:eastAsia="zh-CN"/>
        </w:rPr>
        <w:t>-2012《食品安全国家标准 蒸馏酒及其配制酒》</w:t>
      </w:r>
      <w:r>
        <w:rPr>
          <w:rFonts w:hint="eastAsia"/>
          <w:sz w:val="24"/>
          <w:highlight w:val="none"/>
          <w:lang w:eastAsia="zh-CN"/>
        </w:rPr>
        <w:t>对白酒中氰化物含量不超过8.0mg/L，本标准结合企业数据，收紧限量至4.0mg/L。</w:t>
      </w:r>
    </w:p>
    <w:p w14:paraId="5D75D12E">
      <w:pPr>
        <w:spacing w:line="360" w:lineRule="auto"/>
        <w:ind w:firstLine="480" w:firstLineChars="200"/>
        <w:rPr>
          <w:rFonts w:hint="eastAsia"/>
          <w:sz w:val="24"/>
          <w:lang w:eastAsia="zh-CN"/>
        </w:rPr>
      </w:pPr>
      <w:r>
        <w:rPr>
          <w:rFonts w:hint="eastAsia"/>
          <w:sz w:val="24"/>
          <w:lang w:eastAsia="zh-CN"/>
        </w:rPr>
        <w:t>（</w:t>
      </w:r>
      <w:r>
        <w:rPr>
          <w:rFonts w:hint="eastAsia"/>
          <w:sz w:val="24"/>
          <w:lang w:val="en-US" w:eastAsia="zh-CN"/>
        </w:rPr>
        <w:t>4</w:t>
      </w:r>
      <w:r>
        <w:rPr>
          <w:rFonts w:hint="eastAsia"/>
          <w:sz w:val="24"/>
          <w:lang w:eastAsia="zh-CN"/>
        </w:rPr>
        <w:t>）氨基甲酸乙酯：氨基甲酸乙酯（EC，又称尿烷）是发酵食品加工中产生的有害物质，被国际癌症研究机构（IARC）列为2A类致癌物（可能对人类致癌）。中国酒业协会团体标准 T/CBJ 003-2016《固态法浓香型白酒原酒》中的氨基甲酸乙酯限值为500μg/L，故本标准将该指标限值规定为不超过</w:t>
      </w:r>
      <w:r>
        <w:rPr>
          <w:rFonts w:hint="eastAsia"/>
          <w:sz w:val="24"/>
          <w:lang w:val="en-US" w:eastAsia="zh-CN"/>
        </w:rPr>
        <w:t>0.5m</w:t>
      </w:r>
      <w:r>
        <w:rPr>
          <w:rFonts w:hint="eastAsia"/>
          <w:sz w:val="24"/>
          <w:lang w:eastAsia="zh-CN"/>
        </w:rPr>
        <w:t>g/L。</w:t>
      </w:r>
    </w:p>
    <w:p w14:paraId="6E73FDB7">
      <w:pPr>
        <w:spacing w:line="360" w:lineRule="auto"/>
        <w:ind w:firstLine="480" w:firstLineChars="200"/>
        <w:rPr>
          <w:rFonts w:hint="eastAsia"/>
          <w:sz w:val="24"/>
          <w:lang w:eastAsia="zh-CN"/>
        </w:rPr>
      </w:pPr>
      <w:r>
        <w:rPr>
          <w:rFonts w:hint="eastAsia"/>
          <w:sz w:val="24"/>
          <w:lang w:eastAsia="zh-CN"/>
        </w:rPr>
        <w:t>（</w:t>
      </w:r>
      <w:r>
        <w:rPr>
          <w:rFonts w:hint="eastAsia"/>
          <w:sz w:val="24"/>
          <w:lang w:val="en-US" w:eastAsia="zh-CN"/>
        </w:rPr>
        <w:t>5</w:t>
      </w:r>
      <w:r>
        <w:rPr>
          <w:rFonts w:hint="eastAsia"/>
          <w:sz w:val="24"/>
          <w:lang w:eastAsia="zh-CN"/>
        </w:rPr>
        <w:t>）塑化剂：根据《关于食品中“塑化剂”污染风险防控的指导意见》（国市监食生〔2019〕214 号），明确要求企业生产经营的酒类食品需符合国务院卫生行政部门关于塑化剂最大残留量的规定，即白酒原酒中邻苯二甲酸二（2 -乙基己基）酯（DEHP）、邻苯二甲酸二正丁酯（DBP）、邻苯二甲酸二异壬酯(DINP)的含量分别不得超过5</w:t>
      </w:r>
      <w:r>
        <w:rPr>
          <w:rFonts w:hint="eastAsia"/>
          <w:sz w:val="24"/>
          <w:lang w:val="en-US" w:eastAsia="zh-CN"/>
        </w:rPr>
        <w:t>.0</w:t>
      </w:r>
      <w:r>
        <w:rPr>
          <w:rFonts w:hint="eastAsia"/>
          <w:sz w:val="24"/>
          <w:lang w:eastAsia="zh-CN"/>
        </w:rPr>
        <w:t>mg/kg、1</w:t>
      </w:r>
      <w:r>
        <w:rPr>
          <w:rFonts w:hint="eastAsia"/>
          <w:sz w:val="24"/>
          <w:lang w:val="en-US" w:eastAsia="zh-CN"/>
        </w:rPr>
        <w:t>.0</w:t>
      </w:r>
      <w:bookmarkStart w:id="0" w:name="_GoBack"/>
      <w:bookmarkEnd w:id="0"/>
      <w:r>
        <w:rPr>
          <w:rFonts w:hint="eastAsia"/>
          <w:sz w:val="24"/>
          <w:lang w:eastAsia="zh-CN"/>
        </w:rPr>
        <w:t>mg/kg、</w:t>
      </w:r>
      <w:r>
        <w:rPr>
          <w:rFonts w:hint="eastAsia"/>
          <w:sz w:val="24"/>
          <w:lang w:val="en-US" w:eastAsia="zh-CN"/>
        </w:rPr>
        <w:t>9.0 mg/kg</w:t>
      </w:r>
      <w:r>
        <w:rPr>
          <w:rFonts w:hint="eastAsia"/>
          <w:sz w:val="24"/>
          <w:lang w:eastAsia="zh-CN"/>
        </w:rPr>
        <w:t>。</w:t>
      </w:r>
    </w:p>
    <w:p w14:paraId="09DBC425">
      <w:pPr>
        <w:numPr>
          <w:ilvl w:val="0"/>
          <w:numId w:val="0"/>
        </w:numPr>
        <w:spacing w:line="360" w:lineRule="auto"/>
        <w:ind w:firstLine="480" w:firstLineChars="200"/>
        <w:outlineLvl w:val="1"/>
        <w:rPr>
          <w:rFonts w:hint="eastAsia" w:ascii="Times New Roman" w:hAnsi="Times New Roman" w:cs="Times New Roman"/>
          <w:sz w:val="24"/>
          <w:lang w:val="en-US" w:eastAsia="zh-CN"/>
        </w:rPr>
      </w:pPr>
      <w:r>
        <w:rPr>
          <w:rFonts w:hint="eastAsia" w:ascii="Times New Roman" w:hAnsi="Times New Roman" w:cs="Times New Roman"/>
          <w:sz w:val="24"/>
          <w:lang w:val="en-US" w:eastAsia="zh-CN"/>
        </w:rPr>
        <w:t>（八）试验方法</w:t>
      </w:r>
    </w:p>
    <w:p w14:paraId="05765817">
      <w:pPr>
        <w:numPr>
          <w:ilvl w:val="0"/>
          <w:numId w:val="0"/>
        </w:numPr>
        <w:spacing w:line="360" w:lineRule="auto"/>
        <w:ind w:firstLine="480" w:firstLineChars="200"/>
        <w:rPr>
          <w:rFonts w:hint="eastAsia" w:cs="Times New Roman"/>
          <w:sz w:val="24"/>
          <w:lang w:val="en-US" w:eastAsia="zh-CN"/>
        </w:rPr>
      </w:pPr>
      <w:r>
        <w:rPr>
          <w:rFonts w:hint="eastAsia" w:ascii="Times New Roman" w:hAnsi="Times New Roman" w:cs="Times New Roman"/>
          <w:sz w:val="24"/>
          <w:lang w:val="en-US" w:eastAsia="zh-CN"/>
        </w:rPr>
        <w:t>感官要求、固形物、总酯、已酸乙酯等指标按 GB</w:t>
      </w:r>
      <w:r>
        <w:rPr>
          <w:rFonts w:hint="eastAsia" w:cs="Times New Roman"/>
          <w:sz w:val="24"/>
          <w:lang w:val="en-US" w:eastAsia="zh-CN"/>
        </w:rPr>
        <w:t>/</w:t>
      </w:r>
      <w:r>
        <w:rPr>
          <w:rFonts w:hint="eastAsia" w:ascii="Times New Roman" w:hAnsi="Times New Roman" w:cs="Times New Roman"/>
          <w:sz w:val="24"/>
          <w:lang w:val="en-US" w:eastAsia="zh-CN"/>
        </w:rPr>
        <w:t>T 10345</w:t>
      </w:r>
      <w:r>
        <w:rPr>
          <w:rFonts w:hint="eastAsia" w:cs="Times New Roman"/>
          <w:sz w:val="24"/>
          <w:lang w:val="en-US" w:eastAsia="zh-CN"/>
        </w:rPr>
        <w:t>-2022</w:t>
      </w:r>
      <w:r>
        <w:rPr>
          <w:rFonts w:hint="eastAsia" w:ascii="Times New Roman" w:hAnsi="Times New Roman" w:cs="Times New Roman"/>
          <w:sz w:val="24"/>
          <w:lang w:val="en-US" w:eastAsia="zh-CN"/>
        </w:rPr>
        <w:t>《白酒分析方法》规定执行</w:t>
      </w:r>
      <w:r>
        <w:rPr>
          <w:rFonts w:hint="eastAsia" w:cs="Times New Roman"/>
          <w:sz w:val="24"/>
          <w:lang w:val="en-US" w:eastAsia="zh-CN"/>
        </w:rPr>
        <w:t>，</w:t>
      </w:r>
      <w:r>
        <w:rPr>
          <w:rFonts w:hint="eastAsia" w:ascii="Times New Roman" w:hAnsi="Times New Roman" w:cs="Times New Roman"/>
          <w:sz w:val="24"/>
          <w:lang w:val="en-US" w:eastAsia="zh-CN"/>
        </w:rPr>
        <w:t>酒精度GB 5009.225</w:t>
      </w:r>
      <w:r>
        <w:rPr>
          <w:rFonts w:hint="eastAsia" w:cs="Times New Roman"/>
          <w:sz w:val="24"/>
          <w:lang w:val="en-US" w:eastAsia="zh-CN"/>
        </w:rPr>
        <w:t>-2023《食品安全国家标准 酒和食用酒精中乙醇浓度的测定》</w:t>
      </w:r>
      <w:r>
        <w:rPr>
          <w:rFonts w:hint="eastAsia" w:ascii="Times New Roman" w:hAnsi="Times New Roman" w:cs="Times New Roman"/>
          <w:sz w:val="24"/>
          <w:lang w:val="en-US" w:eastAsia="zh-CN"/>
        </w:rPr>
        <w:t xml:space="preserve"> 的规定执行</w:t>
      </w:r>
      <w:r>
        <w:rPr>
          <w:rFonts w:hint="eastAsia" w:cs="Times New Roman"/>
          <w:sz w:val="24"/>
          <w:lang w:val="en-US" w:eastAsia="zh-CN"/>
        </w:rPr>
        <w:t>，</w:t>
      </w:r>
      <w:r>
        <w:rPr>
          <w:rFonts w:hint="eastAsia" w:ascii="Times New Roman" w:hAnsi="Times New Roman" w:cs="Times New Roman"/>
          <w:sz w:val="24"/>
          <w:lang w:val="en-US" w:eastAsia="zh-CN"/>
        </w:rPr>
        <w:t>总酸按 GB 12456</w:t>
      </w:r>
      <w:r>
        <w:rPr>
          <w:rFonts w:hint="eastAsia" w:cs="Times New Roman"/>
          <w:sz w:val="24"/>
          <w:lang w:val="en-US" w:eastAsia="zh-CN"/>
        </w:rPr>
        <w:t>-2021《食品安全国家标准 食品中总酸的测定》</w:t>
      </w:r>
      <w:r>
        <w:rPr>
          <w:rFonts w:hint="eastAsia" w:ascii="Times New Roman" w:hAnsi="Times New Roman" w:cs="Times New Roman"/>
          <w:sz w:val="24"/>
          <w:lang w:val="en-US" w:eastAsia="zh-CN"/>
        </w:rPr>
        <w:t>的规定执行，酸酯总量</w:t>
      </w:r>
      <w:r>
        <w:rPr>
          <w:rFonts w:hint="eastAsia" w:cs="Times New Roman"/>
          <w:sz w:val="24"/>
          <w:lang w:val="en-US" w:eastAsia="zh-CN"/>
        </w:rPr>
        <w:t>、已酸按</w:t>
      </w:r>
      <w:r>
        <w:rPr>
          <w:rFonts w:hint="eastAsia"/>
          <w:sz w:val="24"/>
          <w:lang w:eastAsia="zh-CN"/>
        </w:rPr>
        <w:t>GB/T 10781.1</w:t>
      </w:r>
      <w:r>
        <w:rPr>
          <w:rFonts w:hint="eastAsia"/>
          <w:sz w:val="24"/>
          <w:lang w:val="en-US" w:eastAsia="zh-CN"/>
        </w:rPr>
        <w:t>-2021</w:t>
      </w:r>
      <w:r>
        <w:rPr>
          <w:rFonts w:hint="eastAsia"/>
          <w:sz w:val="24"/>
          <w:lang w:eastAsia="zh-CN"/>
        </w:rPr>
        <w:t>《白酒质量要求 第 1 部分：浓香型白酒》</w:t>
      </w:r>
      <w:r>
        <w:rPr>
          <w:rFonts w:hint="eastAsia" w:ascii="Times New Roman" w:hAnsi="Times New Roman" w:cs="Times New Roman"/>
          <w:sz w:val="24"/>
          <w:lang w:val="en-US" w:eastAsia="zh-CN"/>
        </w:rPr>
        <w:t>的规定执行</w:t>
      </w:r>
      <w:r>
        <w:rPr>
          <w:rFonts w:hint="eastAsia" w:cs="Times New Roman"/>
          <w:sz w:val="24"/>
          <w:lang w:val="en-US" w:eastAsia="zh-CN"/>
        </w:rPr>
        <w:t>。</w:t>
      </w:r>
    </w:p>
    <w:p w14:paraId="2E19AFDF">
      <w:pPr>
        <w:numPr>
          <w:ilvl w:val="0"/>
          <w:numId w:val="0"/>
        </w:numPr>
        <w:spacing w:line="360" w:lineRule="auto"/>
        <w:ind w:firstLine="480" w:firstLineChars="200"/>
        <w:rPr>
          <w:rFonts w:hint="eastAsia" w:cs="Times New Roman"/>
          <w:sz w:val="24"/>
          <w:lang w:val="en-US" w:eastAsia="zh-CN"/>
        </w:rPr>
      </w:pPr>
      <w:r>
        <w:rPr>
          <w:rFonts w:hint="eastAsia" w:ascii="Times New Roman" w:hAnsi="Times New Roman" w:cs="Times New Roman"/>
          <w:sz w:val="24"/>
          <w:lang w:val="en-US" w:eastAsia="zh-CN"/>
        </w:rPr>
        <w:t>甲醇按GB 5009.266</w:t>
      </w:r>
      <w:r>
        <w:rPr>
          <w:rFonts w:hint="eastAsia" w:cs="Times New Roman"/>
          <w:sz w:val="24"/>
          <w:lang w:val="en-US" w:eastAsia="zh-CN"/>
        </w:rPr>
        <w:t>-2016《食品安全国家标准 食品中甲醇的测定》</w:t>
      </w:r>
      <w:r>
        <w:rPr>
          <w:rFonts w:hint="eastAsia" w:ascii="Times New Roman" w:hAnsi="Times New Roman" w:cs="Times New Roman"/>
          <w:sz w:val="24"/>
          <w:lang w:val="en-US" w:eastAsia="zh-CN"/>
        </w:rPr>
        <w:t>的规定执行</w:t>
      </w:r>
      <w:r>
        <w:rPr>
          <w:rFonts w:hint="eastAsia" w:cs="Times New Roman"/>
          <w:sz w:val="24"/>
          <w:lang w:val="en-US" w:eastAsia="zh-CN"/>
        </w:rPr>
        <w:t>，</w:t>
      </w:r>
      <w:r>
        <w:rPr>
          <w:rFonts w:hint="eastAsia" w:ascii="Times New Roman" w:hAnsi="Times New Roman" w:cs="Times New Roman"/>
          <w:sz w:val="24"/>
          <w:lang w:val="en-US" w:eastAsia="zh-CN"/>
        </w:rPr>
        <w:t>氰化物按GB 5009.36</w:t>
      </w:r>
      <w:r>
        <w:rPr>
          <w:rFonts w:hint="eastAsia" w:cs="Times New Roman"/>
          <w:sz w:val="24"/>
          <w:lang w:val="en-US" w:eastAsia="zh-CN"/>
        </w:rPr>
        <w:t>-2023《食品安全国家标准 食品中氰化物的测定》</w:t>
      </w:r>
      <w:r>
        <w:rPr>
          <w:rFonts w:hint="eastAsia" w:ascii="Times New Roman" w:hAnsi="Times New Roman" w:cs="Times New Roman"/>
          <w:sz w:val="24"/>
          <w:lang w:val="en-US" w:eastAsia="zh-CN"/>
        </w:rPr>
        <w:t>的规定执行</w:t>
      </w:r>
      <w:r>
        <w:rPr>
          <w:rFonts w:hint="eastAsia" w:cs="Times New Roman"/>
          <w:sz w:val="24"/>
          <w:lang w:val="en-US" w:eastAsia="zh-CN"/>
        </w:rPr>
        <w:t>，</w:t>
      </w:r>
      <w:r>
        <w:rPr>
          <w:rFonts w:hint="eastAsia" w:ascii="Times New Roman" w:hAnsi="Times New Roman" w:cs="Times New Roman"/>
          <w:sz w:val="24"/>
          <w:lang w:val="en-US" w:eastAsia="zh-CN"/>
        </w:rPr>
        <w:t>铅</w:t>
      </w:r>
      <w:r>
        <w:rPr>
          <w:rFonts w:hint="eastAsia" w:cs="Times New Roman"/>
          <w:sz w:val="24"/>
          <w:lang w:val="en-US" w:eastAsia="zh-CN"/>
        </w:rPr>
        <w:t>按</w:t>
      </w:r>
      <w:r>
        <w:rPr>
          <w:rFonts w:hint="eastAsia" w:ascii="Times New Roman" w:hAnsi="Times New Roman" w:cs="Times New Roman"/>
          <w:sz w:val="24"/>
          <w:lang w:val="en-US" w:eastAsia="zh-CN"/>
        </w:rPr>
        <w:t>GB 5009.12</w:t>
      </w:r>
      <w:r>
        <w:rPr>
          <w:rFonts w:hint="eastAsia" w:cs="Times New Roman"/>
          <w:sz w:val="24"/>
          <w:lang w:val="en-US" w:eastAsia="zh-CN"/>
        </w:rPr>
        <w:t>-2023《食品安全国家标准　食品中铅的测定》</w:t>
      </w:r>
      <w:r>
        <w:rPr>
          <w:rFonts w:hint="eastAsia" w:ascii="Times New Roman" w:hAnsi="Times New Roman" w:cs="Times New Roman"/>
          <w:sz w:val="24"/>
          <w:lang w:val="en-US" w:eastAsia="zh-CN"/>
        </w:rPr>
        <w:t>的规定执行</w:t>
      </w:r>
      <w:r>
        <w:rPr>
          <w:rFonts w:hint="eastAsia" w:cs="Times New Roman"/>
          <w:sz w:val="24"/>
          <w:lang w:val="en-US" w:eastAsia="zh-CN"/>
        </w:rPr>
        <w:t>，</w:t>
      </w:r>
      <w:r>
        <w:rPr>
          <w:rFonts w:hint="eastAsia" w:ascii="Times New Roman" w:hAnsi="Times New Roman" w:cs="Times New Roman"/>
          <w:sz w:val="24"/>
          <w:lang w:val="en-US" w:eastAsia="zh-CN"/>
        </w:rPr>
        <w:t>氨基甲酸乙酯按GB 5009.223</w:t>
      </w:r>
      <w:r>
        <w:rPr>
          <w:rFonts w:hint="eastAsia" w:cs="Times New Roman"/>
          <w:sz w:val="24"/>
          <w:lang w:val="en-US" w:eastAsia="zh-CN"/>
        </w:rPr>
        <w:t>-2014《食品安全国家标准 食品中氨基甲酸乙酯的测定》</w:t>
      </w:r>
      <w:r>
        <w:rPr>
          <w:rFonts w:hint="eastAsia" w:ascii="Times New Roman" w:hAnsi="Times New Roman" w:cs="Times New Roman"/>
          <w:sz w:val="24"/>
          <w:lang w:val="en-US" w:eastAsia="zh-CN"/>
        </w:rPr>
        <w:t>的规定执行</w:t>
      </w:r>
      <w:r>
        <w:rPr>
          <w:rFonts w:hint="eastAsia" w:cs="Times New Roman"/>
          <w:sz w:val="24"/>
          <w:lang w:val="en-US" w:eastAsia="zh-CN"/>
        </w:rPr>
        <w:t>，</w:t>
      </w:r>
      <w:r>
        <w:rPr>
          <w:rFonts w:hint="eastAsia" w:ascii="Times New Roman" w:hAnsi="Times New Roman" w:cs="Times New Roman"/>
          <w:sz w:val="24"/>
          <w:lang w:val="en-US" w:eastAsia="zh-CN"/>
        </w:rPr>
        <w:t>邻苯二甲酸二（2-乙基己基）酯、邻苯二甲酸二正丁酯、邻苯二甲酸二异壬酯</w:t>
      </w:r>
      <w:r>
        <w:rPr>
          <w:rFonts w:hint="eastAsia" w:cs="Times New Roman"/>
          <w:sz w:val="24"/>
          <w:lang w:val="en-US" w:eastAsia="zh-CN"/>
        </w:rPr>
        <w:t>按</w:t>
      </w:r>
      <w:r>
        <w:rPr>
          <w:rFonts w:hint="eastAsia" w:ascii="Times New Roman" w:hAnsi="Times New Roman" w:cs="Times New Roman"/>
          <w:sz w:val="24"/>
          <w:lang w:val="en-US" w:eastAsia="zh-CN"/>
        </w:rPr>
        <w:t>GB 5009.271</w:t>
      </w:r>
      <w:r>
        <w:rPr>
          <w:rFonts w:hint="eastAsia" w:cs="Times New Roman"/>
          <w:sz w:val="24"/>
          <w:lang w:val="en-US" w:eastAsia="zh-CN"/>
        </w:rPr>
        <w:t>-2016《食品安全国家标准 食品中邻苯二甲酸酯的测定》</w:t>
      </w:r>
      <w:r>
        <w:rPr>
          <w:rFonts w:hint="eastAsia" w:ascii="Times New Roman" w:hAnsi="Times New Roman" w:cs="Times New Roman"/>
          <w:sz w:val="24"/>
          <w:lang w:val="en-US" w:eastAsia="zh-CN"/>
        </w:rPr>
        <w:t>的规定执行。</w:t>
      </w:r>
    </w:p>
    <w:p w14:paraId="527DFE17">
      <w:pPr>
        <w:numPr>
          <w:ilvl w:val="0"/>
          <w:numId w:val="0"/>
        </w:numPr>
        <w:spacing w:line="360" w:lineRule="auto"/>
        <w:ind w:firstLine="480" w:firstLineChars="200"/>
        <w:outlineLvl w:val="1"/>
        <w:rPr>
          <w:rFonts w:hint="eastAsia" w:ascii="Times New Roman" w:hAnsi="Times New Roman" w:cs="Times New Roman"/>
          <w:sz w:val="24"/>
          <w:lang w:val="en-US" w:eastAsia="zh-CN"/>
        </w:rPr>
      </w:pPr>
      <w:r>
        <w:rPr>
          <w:rFonts w:hint="eastAsia" w:ascii="Times New Roman" w:hAnsi="Times New Roman" w:cs="Times New Roman"/>
          <w:sz w:val="24"/>
          <w:lang w:val="en-US" w:eastAsia="zh-CN"/>
        </w:rPr>
        <w:t>（九）检验规则</w:t>
      </w:r>
    </w:p>
    <w:p w14:paraId="7BDF7BB5">
      <w:pPr>
        <w:spacing w:line="360" w:lineRule="auto"/>
        <w:ind w:firstLine="480" w:firstLineChars="200"/>
        <w:rPr>
          <w:rFonts w:hint="eastAsia" w:ascii="Times New Roman" w:hAnsi="Times New Roman" w:cs="Times New Roman"/>
          <w:sz w:val="24"/>
          <w:lang w:val="en-US" w:eastAsia="zh-CN"/>
        </w:rPr>
      </w:pPr>
      <w:r>
        <w:rPr>
          <w:rFonts w:hint="eastAsia"/>
          <w:sz w:val="24"/>
        </w:rPr>
        <w:t>检验规则</w:t>
      </w:r>
      <w:r>
        <w:rPr>
          <w:rFonts w:hint="eastAsia"/>
          <w:sz w:val="24"/>
          <w:lang w:eastAsia="zh-CN"/>
        </w:rPr>
        <w:t>包括出厂检验、型式检验、组批、判定规则等内容，符合</w:t>
      </w:r>
      <w:r>
        <w:rPr>
          <w:rFonts w:hint="eastAsia"/>
          <w:sz w:val="24"/>
          <w:lang w:val="en-US" w:eastAsia="zh-CN"/>
        </w:rPr>
        <w:t>GB/T 10346-2023《白酒检验规则和标志、包装、运输、贮存》的规定</w:t>
      </w:r>
      <w:r>
        <w:rPr>
          <w:rFonts w:hint="eastAsia"/>
          <w:sz w:val="24"/>
        </w:rPr>
        <w:t>。</w:t>
      </w:r>
    </w:p>
    <w:p w14:paraId="1C535BB4">
      <w:pPr>
        <w:numPr>
          <w:ilvl w:val="0"/>
          <w:numId w:val="0"/>
        </w:numPr>
        <w:spacing w:line="360" w:lineRule="auto"/>
        <w:ind w:firstLine="480" w:firstLineChars="200"/>
        <w:outlineLvl w:val="1"/>
        <w:rPr>
          <w:rFonts w:hint="eastAsia" w:ascii="Times New Roman" w:hAnsi="Times New Roman" w:cs="Times New Roman"/>
          <w:sz w:val="24"/>
          <w:lang w:val="en-US" w:eastAsia="zh-CN"/>
        </w:rPr>
      </w:pPr>
      <w:r>
        <w:rPr>
          <w:rFonts w:hint="eastAsia" w:ascii="Times New Roman" w:hAnsi="Times New Roman" w:cs="Times New Roman"/>
          <w:sz w:val="24"/>
          <w:lang w:val="en-US" w:eastAsia="zh-CN"/>
        </w:rPr>
        <w:t>（十）标志、标签、包装、运输、贮存</w:t>
      </w:r>
    </w:p>
    <w:p w14:paraId="530EFD0F">
      <w:pPr>
        <w:spacing w:line="360" w:lineRule="auto"/>
        <w:ind w:firstLine="480" w:firstLineChars="200"/>
        <w:rPr>
          <w:rFonts w:hint="eastAsia" w:cs="Times New Roman"/>
          <w:sz w:val="24"/>
          <w:lang w:val="en-US" w:eastAsia="zh-CN"/>
        </w:rPr>
      </w:pPr>
      <w:r>
        <w:rPr>
          <w:rFonts w:hint="eastAsia"/>
          <w:sz w:val="24"/>
          <w:lang w:val="en-US" w:eastAsia="zh-CN"/>
        </w:rPr>
        <w:t>成都浓香型白酒原酒产品标志、标签应符合GB/T 10346-2023《白酒检验规则和标志、包装、运输、贮存》、GB 7718-2025《食品安全国家标准 预包装食品标签通则》、《成德眉资地区散装白酒标识规范》的规定，包装储运图示标志应符合GB/T 191-2008《包装储运图示标志》的规定；包装、运输、贮存应符合GB/T 10346-2023《白酒检验规则和标志、包装、运输、贮存》的规定。</w:t>
      </w:r>
    </w:p>
    <w:p w14:paraId="4A027EBF">
      <w:pPr>
        <w:numPr>
          <w:ilvl w:val="0"/>
          <w:numId w:val="0"/>
        </w:numPr>
        <w:spacing w:line="360" w:lineRule="auto"/>
        <w:ind w:firstLine="480" w:firstLineChars="200"/>
        <w:rPr>
          <w:rFonts w:hint="eastAsia"/>
          <w:sz w:val="24"/>
          <w:lang w:eastAsia="zh-CN"/>
        </w:rPr>
      </w:pPr>
      <w:r>
        <w:rPr>
          <w:rFonts w:hint="eastAsia" w:cs="Times New Roman"/>
          <w:sz w:val="24"/>
          <w:lang w:val="en-US" w:eastAsia="zh-CN"/>
        </w:rPr>
        <w:t>（十一）</w:t>
      </w:r>
      <w:r>
        <w:rPr>
          <w:rFonts w:hint="eastAsia" w:ascii="Times New Roman" w:hAnsi="Times New Roman" w:cs="Times New Roman"/>
          <w:sz w:val="24"/>
          <w:lang w:val="en-US" w:eastAsia="zh-CN"/>
        </w:rPr>
        <w:t>成都浓香型白酒原酒感官</w:t>
      </w:r>
      <w:r>
        <w:rPr>
          <w:rFonts w:hint="eastAsia"/>
          <w:sz w:val="24"/>
          <w:lang w:eastAsia="zh-CN"/>
        </w:rPr>
        <w:t>评分表</w:t>
      </w:r>
    </w:p>
    <w:p w14:paraId="36DFAFE5">
      <w:pPr>
        <w:numPr>
          <w:ilvl w:val="0"/>
          <w:numId w:val="0"/>
        </w:numPr>
        <w:spacing w:line="360" w:lineRule="auto"/>
        <w:ind w:firstLine="480" w:firstLineChars="200"/>
        <w:rPr>
          <w:rFonts w:hint="default"/>
          <w:sz w:val="24"/>
          <w:lang w:val="en-US" w:eastAsia="zh-CN"/>
        </w:rPr>
      </w:pPr>
      <w:r>
        <w:rPr>
          <w:rFonts w:hint="default"/>
          <w:sz w:val="24"/>
          <w:lang w:val="en-US" w:eastAsia="zh-CN"/>
        </w:rPr>
        <w:t>为直观体现不同等级浓香型白酒原酒的香气特征差异，参考T/CBJ 002-2016《固态法浓香型白酒原酒》中色泽、香气质量、入口、醇甜、酒体、爽净、回味、陈味、个性等评价项目，对成都浓香型白酒典型样品的香气特征进行评价与描述。</w:t>
      </w:r>
    </w:p>
    <w:p w14:paraId="593AFAFF">
      <w:pPr>
        <w:spacing w:line="360" w:lineRule="auto"/>
        <w:ind w:firstLine="480" w:firstLineChars="200"/>
        <w:outlineLvl w:val="0"/>
        <w:rPr>
          <w:rFonts w:hint="eastAsia" w:ascii="Times New Roman" w:hAnsi="Times New Roman" w:eastAsia="黑体" w:cs="Times New Roman"/>
          <w:sz w:val="24"/>
        </w:rPr>
      </w:pPr>
      <w:r>
        <w:rPr>
          <w:rFonts w:hint="eastAsia" w:ascii="Times New Roman" w:hAnsi="Times New Roman" w:eastAsia="黑体" w:cs="Times New Roman"/>
          <w:sz w:val="24"/>
          <w:lang w:eastAsia="zh-CN"/>
        </w:rPr>
        <w:t>四、</w:t>
      </w:r>
      <w:r>
        <w:rPr>
          <w:rFonts w:hint="eastAsia" w:ascii="Times New Roman" w:hAnsi="Times New Roman" w:eastAsia="黑体" w:cs="Times New Roman"/>
          <w:sz w:val="24"/>
        </w:rPr>
        <w:t>采用国际标准的程度及水平的简要说明</w:t>
      </w:r>
    </w:p>
    <w:p w14:paraId="396D6B55">
      <w:pPr>
        <w:numPr>
          <w:ilvl w:val="0"/>
          <w:numId w:val="0"/>
        </w:numPr>
        <w:spacing w:line="360" w:lineRule="auto"/>
        <w:ind w:firstLine="480" w:firstLineChars="200"/>
        <w:rPr>
          <w:rFonts w:hint="eastAsia"/>
          <w:sz w:val="24"/>
          <w:lang w:val="en-US" w:eastAsia="zh-CN"/>
        </w:rPr>
      </w:pPr>
      <w:r>
        <w:rPr>
          <w:rFonts w:ascii="Segoe UI" w:hAnsi="Segoe UI" w:eastAsia="Segoe UI" w:cs="Segoe UI"/>
          <w:i w:val="0"/>
          <w:iCs w:val="0"/>
          <w:caps w:val="0"/>
          <w:spacing w:val="0"/>
          <w:sz w:val="24"/>
          <w:szCs w:val="24"/>
          <w:shd w:val="clear" w:fill="FFFFFF"/>
        </w:rPr>
        <w:t>鉴于成都浓香型白酒原酒的固态酿造工艺在世界烈性蒸馏酒生产中具有独特性，且受国情民俗的独有性影响，本标准未涉及国际标准或国外先进标准。</w:t>
      </w:r>
    </w:p>
    <w:p w14:paraId="0F1AE8B2">
      <w:pPr>
        <w:spacing w:line="360" w:lineRule="auto"/>
        <w:ind w:firstLine="480" w:firstLineChars="200"/>
        <w:outlineLvl w:val="0"/>
        <w:rPr>
          <w:rFonts w:hint="eastAsia" w:ascii="Times New Roman" w:hAnsi="Times New Roman" w:eastAsia="黑体" w:cs="Times New Roman"/>
          <w:sz w:val="24"/>
        </w:rPr>
      </w:pPr>
      <w:r>
        <w:rPr>
          <w:rFonts w:hint="eastAsia" w:ascii="Times New Roman" w:hAnsi="Times New Roman" w:eastAsia="黑体" w:cs="Times New Roman"/>
          <w:sz w:val="24"/>
        </w:rPr>
        <w:t>五、重大分歧意见的处理经过和依据</w:t>
      </w:r>
    </w:p>
    <w:p w14:paraId="5EA14BE1">
      <w:pPr>
        <w:spacing w:line="360" w:lineRule="auto"/>
        <w:ind w:firstLine="480" w:firstLineChars="200"/>
        <w:rPr>
          <w:rFonts w:hint="eastAsia"/>
          <w:sz w:val="24"/>
        </w:rPr>
      </w:pPr>
      <w:r>
        <w:rPr>
          <w:rFonts w:hint="default" w:ascii="Times New Roman" w:hAnsi="Times New Roman" w:cs="Times New Roman"/>
          <w:sz w:val="24"/>
          <w:lang w:val="en-US" w:eastAsia="zh-CN"/>
        </w:rPr>
        <w:t>本标准在制定过程中未出现重大分歧意见。</w:t>
      </w:r>
    </w:p>
    <w:p w14:paraId="3378C74A">
      <w:pPr>
        <w:spacing w:line="360" w:lineRule="auto"/>
        <w:ind w:firstLine="480" w:firstLineChars="200"/>
        <w:outlineLvl w:val="0"/>
        <w:rPr>
          <w:rFonts w:hint="eastAsia" w:ascii="Times New Roman" w:hAnsi="Times New Roman" w:eastAsia="黑体" w:cs="Times New Roman"/>
          <w:sz w:val="24"/>
        </w:rPr>
      </w:pPr>
      <w:r>
        <w:rPr>
          <w:rFonts w:hint="eastAsia" w:ascii="Times New Roman" w:hAnsi="Times New Roman" w:eastAsia="黑体" w:cs="Times New Roman"/>
          <w:sz w:val="24"/>
          <w:lang w:eastAsia="zh-CN"/>
        </w:rPr>
        <w:t>六、</w:t>
      </w:r>
      <w:r>
        <w:rPr>
          <w:rFonts w:hint="eastAsia" w:ascii="Times New Roman" w:hAnsi="Times New Roman" w:eastAsia="黑体" w:cs="Times New Roman"/>
          <w:sz w:val="24"/>
        </w:rPr>
        <w:t>贯彻协会团体标准的要求和措施建议</w:t>
      </w:r>
    </w:p>
    <w:p w14:paraId="2E8FA4CD">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本标准为新制定标准，建议本标准批准发布</w:t>
      </w:r>
      <w:r>
        <w:rPr>
          <w:rFonts w:hint="eastAsia" w:cs="Times New Roman"/>
          <w:sz w:val="24"/>
          <w:lang w:val="en-US" w:eastAsia="zh-CN"/>
        </w:rPr>
        <w:t>XX</w:t>
      </w:r>
      <w:r>
        <w:rPr>
          <w:rFonts w:hint="default" w:ascii="Times New Roman" w:hAnsi="Times New Roman" w:cs="Times New Roman"/>
          <w:sz w:val="24"/>
        </w:rPr>
        <w:t>个月后</w:t>
      </w:r>
      <w:r>
        <w:rPr>
          <w:rFonts w:hint="default" w:ascii="Times New Roman" w:hAnsi="Times New Roman" w:cs="Times New Roman"/>
          <w:sz w:val="24"/>
          <w:lang w:val="en-US" w:eastAsia="zh-CN"/>
        </w:rPr>
        <w:t>正式</w:t>
      </w:r>
      <w:r>
        <w:rPr>
          <w:rFonts w:hint="default" w:ascii="Times New Roman" w:hAnsi="Times New Roman" w:cs="Times New Roman"/>
          <w:sz w:val="24"/>
        </w:rPr>
        <w:t>实施。本标准一经发布，应采用适宜的方式及时</w:t>
      </w:r>
      <w:r>
        <w:rPr>
          <w:rFonts w:hint="default" w:ascii="Times New Roman" w:hAnsi="Times New Roman" w:cs="Times New Roman"/>
          <w:sz w:val="24"/>
          <w:lang w:val="en-US" w:eastAsia="zh-CN"/>
        </w:rPr>
        <w:t>向</w:t>
      </w:r>
      <w:r>
        <w:rPr>
          <w:rFonts w:hint="default" w:ascii="Times New Roman" w:hAnsi="Times New Roman" w:cs="Times New Roman"/>
          <w:sz w:val="24"/>
        </w:rPr>
        <w:t>相关管理部门和标准实施主体进行宣传贯彻</w:t>
      </w:r>
      <w:r>
        <w:rPr>
          <w:rFonts w:hint="default" w:ascii="Times New Roman" w:hAnsi="Times New Roman" w:cs="Times New Roman"/>
          <w:sz w:val="24"/>
          <w:lang w:val="en-US" w:eastAsia="zh-CN"/>
        </w:rPr>
        <w:t>和技术指导</w:t>
      </w:r>
      <w:r>
        <w:rPr>
          <w:rFonts w:hint="default" w:ascii="Times New Roman" w:hAnsi="Times New Roman" w:cs="Times New Roman"/>
          <w:sz w:val="24"/>
        </w:rPr>
        <w:t>，并做好相关培训，推动标准落地应用。</w:t>
      </w:r>
    </w:p>
    <w:p w14:paraId="0AC35C1D">
      <w:pPr>
        <w:spacing w:line="360" w:lineRule="auto"/>
        <w:ind w:firstLine="480" w:firstLineChars="200"/>
        <w:outlineLvl w:val="0"/>
        <w:rPr>
          <w:rFonts w:hint="eastAsia" w:ascii="Times New Roman" w:hAnsi="Times New Roman" w:eastAsia="黑体" w:cs="Times New Roman"/>
          <w:sz w:val="24"/>
        </w:rPr>
      </w:pPr>
      <w:r>
        <w:rPr>
          <w:rFonts w:hint="eastAsia" w:ascii="Times New Roman" w:hAnsi="Times New Roman" w:eastAsia="黑体" w:cs="Times New Roman"/>
          <w:sz w:val="24"/>
          <w:lang w:eastAsia="zh-CN"/>
        </w:rPr>
        <w:t>七、</w:t>
      </w:r>
      <w:r>
        <w:rPr>
          <w:rFonts w:hint="eastAsia" w:ascii="Times New Roman" w:hAnsi="Times New Roman" w:eastAsia="黑体" w:cs="Times New Roman"/>
          <w:sz w:val="24"/>
        </w:rPr>
        <w:t>其它应予说明的事项</w:t>
      </w:r>
    </w:p>
    <w:p w14:paraId="163DD2BB">
      <w:pPr>
        <w:spacing w:line="360" w:lineRule="auto"/>
        <w:ind w:firstLine="480" w:firstLineChars="200"/>
        <w:rPr>
          <w:rFonts w:hint="eastAsia"/>
          <w:sz w:val="24"/>
          <w:lang w:val="en-US" w:eastAsia="zh-CN"/>
        </w:rPr>
      </w:pPr>
      <w:r>
        <w:rPr>
          <w:rFonts w:hint="eastAsia"/>
          <w:sz w:val="24"/>
          <w:lang w:val="en-US" w:eastAsia="zh-CN"/>
        </w:rPr>
        <w:t xml:space="preserve"> 无。</w:t>
      </w:r>
    </w:p>
    <w:p w14:paraId="0C2018CB">
      <w:pPr>
        <w:spacing w:line="360" w:lineRule="auto"/>
        <w:ind w:firstLine="480" w:firstLineChars="200"/>
        <w:rPr>
          <w:rFonts w:hint="eastAsia"/>
          <w:sz w:val="24"/>
          <w:lang w:val="en-US" w:eastAsia="zh-CN"/>
        </w:rPr>
      </w:pPr>
    </w:p>
    <w:p w14:paraId="06DB3D17">
      <w:pPr>
        <w:widowControl w:val="0"/>
        <w:numPr>
          <w:ilvl w:val="0"/>
          <w:numId w:val="0"/>
        </w:numPr>
        <w:spacing w:line="360" w:lineRule="auto"/>
        <w:ind w:firstLine="720" w:firstLineChars="300"/>
        <w:jc w:val="both"/>
        <w:rPr>
          <w:rFonts w:hint="default"/>
          <w:sz w:val="24"/>
          <w:lang w:val="en-US" w:eastAsia="zh-CN"/>
        </w:rPr>
      </w:pPr>
    </w:p>
    <w:sectPr>
      <w:footerReference r:id="rId6" w:type="default"/>
      <w:pgSz w:w="11906" w:h="16838"/>
      <w:pgMar w:top="1440" w:right="1800" w:bottom="1440" w:left="1800" w:header="227" w:footer="227" w:gutter="0"/>
      <w:pgBorders>
        <w:top w:val="none" w:sz="0" w:space="0"/>
        <w:left w:val="none" w:sz="0" w:space="0"/>
        <w:bottom w:val="none" w:sz="0" w:space="0"/>
        <w:right w:val="none" w:sz="0" w:space="0"/>
      </w:pgBorders>
      <w:pgNumType w:fmt="numberInDash"/>
      <w:cols w:space="720" w:num="1"/>
      <w:formProt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Segoe UI">
    <w:panose1 w:val="020B0502040204020203"/>
    <w:charset w:val="00"/>
    <w:family w:val="auto"/>
    <w:pitch w:val="default"/>
    <w:sig w:usb0="E10022FF" w:usb1="C000E47F" w:usb2="00000029" w:usb3="00000000" w:csb0="200001DF" w:csb1="20000000"/>
  </w:font>
  <w:font w:name="Helvetica">
    <w:altName w:val="Arial"/>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1FD28">
    <w:pPr>
      <w:pStyle w:val="6"/>
      <w:tabs>
        <w:tab w:val="center" w:pos="4111"/>
        <w:tab w:val="clear" w:pos="4153"/>
      </w:tabs>
      <w:rPr>
        <w:sz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E3F231">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12E3F231">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782813">
    <w:pPr>
      <w:pStyle w:val="6"/>
      <w:tabs>
        <w:tab w:val="center" w:pos="4111"/>
        <w:tab w:val="clear" w:pos="4153"/>
      </w:tabs>
      <w:rPr>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564A92">
    <w:pPr>
      <w:pStyle w:val="6"/>
      <w:tabs>
        <w:tab w:val="center" w:pos="4111"/>
        <w:tab w:val="clear" w:pos="4153"/>
      </w:tabs>
      <w:rPr>
        <w:sz w:val="24"/>
      </w:rPr>
    </w:pPr>
    <w:r>
      <w:rPr>
        <w:sz w:val="24"/>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94F8B36">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294F8B36">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4EEEB5">
    <w:pPr>
      <w:pStyle w:val="7"/>
      <w:pBdr>
        <w:bottom w:val="none" w:color="auto" w:sz="0" w:space="0"/>
      </w:pBdr>
      <w:jc w:val="right"/>
    </w:pP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548CA3"/>
    <w:multiLevelType w:val="multilevel"/>
    <w:tmpl w:val="86548CA3"/>
    <w:lvl w:ilvl="0" w:tentative="0">
      <w:start w:val="1"/>
      <w:numFmt w:val="none"/>
      <w:suff w:val="nothing"/>
      <w:lvlText w:val="%1"/>
      <w:lvlJc w:val="left"/>
      <w:pPr>
        <w:ind w:left="0" w:firstLine="0"/>
      </w:pPr>
    </w:lvl>
    <w:lvl w:ilvl="1" w:tentative="0">
      <w:start w:val="1"/>
      <w:numFmt w:val="decimal"/>
      <w:suff w:val="nothing"/>
      <w:lvlText w:val="%1%2　"/>
      <w:lvlJc w:val="left"/>
      <w:pPr>
        <w:ind w:left="0" w:firstLine="0"/>
      </w:pPr>
      <w:rPr>
        <w:rFonts w:hint="eastAsia" w:ascii="黑体" w:hAnsi="Times New Roman" w:eastAsia="黑体" w:cs="黑体"/>
        <w:b w:val="0"/>
        <w:i w:val="0"/>
        <w:sz w:val="21"/>
      </w:rPr>
    </w:lvl>
    <w:lvl w:ilvl="2" w:tentative="0">
      <w:start w:val="1"/>
      <w:numFmt w:val="decimal"/>
      <w:pStyle w:val="47"/>
      <w:suff w:val="nothing"/>
      <w:lvlText w:val="%1%2.%3　"/>
      <w:lvlJc w:val="left"/>
      <w:pPr>
        <w:ind w:left="0" w:firstLine="0"/>
        <w:textAlignment w:val="baseline"/>
      </w:pPr>
      <w:rPr>
        <w:rFonts w:hint="eastAsia" w:ascii="黑体" w:hAnsi="Times New Roman" w:eastAsia="黑体" w:cs="Times New Roman"/>
        <w:b w:val="0"/>
        <w:bCs w:val="0"/>
        <w:i w:val="0"/>
        <w:iCs w:val="0"/>
        <w:caps w:val="0"/>
        <w:strike w:val="0"/>
        <w:dstrike w:val="0"/>
        <w:vanish w:val="0"/>
        <w:color w:val="000000"/>
        <w:spacing w:val="0"/>
        <w:kern w:val="0"/>
        <w:position w:val="0"/>
        <w:sz w:val="21"/>
        <w:u w:val="none"/>
      </w:rPr>
    </w:lvl>
    <w:lvl w:ilvl="3" w:tentative="0">
      <w:start w:val="1"/>
      <w:numFmt w:val="decimal"/>
      <w:suff w:val="nothing"/>
      <w:lvlText w:val="%1%2.%3.%4　"/>
      <w:lvlJc w:val="left"/>
      <w:pPr>
        <w:ind w:left="0" w:firstLine="0"/>
      </w:pPr>
      <w:rPr>
        <w:rFonts w:hint="eastAsia" w:ascii="黑体" w:hAnsi="Times New Roman" w:eastAsia="黑体" w:cs="黑体"/>
        <w:b w:val="0"/>
        <w:i w:val="0"/>
        <w:sz w:val="21"/>
      </w:rPr>
    </w:lvl>
    <w:lvl w:ilvl="4" w:tentative="0">
      <w:start w:val="1"/>
      <w:numFmt w:val="decimal"/>
      <w:suff w:val="nothing"/>
      <w:lvlText w:val="%1%2.%3.%4.%5　"/>
      <w:lvlJc w:val="left"/>
      <w:pPr>
        <w:ind w:left="0" w:firstLine="0"/>
      </w:pPr>
      <w:rPr>
        <w:rFonts w:hint="eastAsia" w:ascii="黑体" w:hAnsi="Times New Roman" w:eastAsia="黑体" w:cs="黑体"/>
        <w:b w:val="0"/>
        <w:i w:val="0"/>
        <w:sz w:val="21"/>
      </w:rPr>
    </w:lvl>
    <w:lvl w:ilvl="5" w:tentative="0">
      <w:start w:val="1"/>
      <w:numFmt w:val="decimal"/>
      <w:suff w:val="nothing"/>
      <w:lvlText w:val="%1%2.%3.%4.%5.%6　"/>
      <w:lvlJc w:val="left"/>
      <w:pPr>
        <w:ind w:left="0" w:firstLine="0"/>
      </w:pPr>
      <w:rPr>
        <w:rFonts w:hint="eastAsia" w:ascii="黑体" w:hAnsi="Times New Roman" w:eastAsia="黑体" w:cs="黑体"/>
        <w:b w:val="0"/>
        <w:i w:val="0"/>
        <w:sz w:val="21"/>
      </w:rPr>
    </w:lvl>
    <w:lvl w:ilvl="6" w:tentative="0">
      <w:start w:val="1"/>
      <w:numFmt w:val="decimal"/>
      <w:suff w:val="nothing"/>
      <w:lvlText w:val="%1%2.%3.%4.%5.%6.%7　"/>
      <w:lvlJc w:val="left"/>
      <w:pPr>
        <w:ind w:left="0" w:firstLine="0"/>
      </w:pPr>
      <w:rPr>
        <w:rFonts w:hint="eastAsia" w:ascii="黑体" w:hAnsi="Times New Roman" w:eastAsia="黑体" w:cs="黑体"/>
        <w:b w:val="0"/>
        <w:i w:val="0"/>
        <w:sz w:val="21"/>
      </w:rPr>
    </w:lvl>
    <w:lvl w:ilvl="7" w:tentative="0">
      <w:start w:val="1"/>
      <w:numFmt w:val="decimal"/>
      <w:lvlText w:val="%1.%2.%3.%4.%5.%6.%7.%8"/>
      <w:lvlJc w:val="left"/>
      <w:pPr>
        <w:tabs>
          <w:tab w:val="left" w:pos="4351"/>
        </w:tabs>
        <w:ind w:left="3972" w:hanging="1418"/>
      </w:pPr>
    </w:lvl>
    <w:lvl w:ilvl="8" w:tentative="0">
      <w:start w:val="1"/>
      <w:numFmt w:val="decimal"/>
      <w:lvlText w:val="%1.%2.%3.%4.%5.%6.%7.%8.%9"/>
      <w:lvlJc w:val="left"/>
      <w:pPr>
        <w:tabs>
          <w:tab w:val="left" w:pos="4777"/>
        </w:tabs>
        <w:ind w:left="4677" w:hanging="1700"/>
      </w:pPr>
    </w:lvl>
  </w:abstractNum>
  <w:abstractNum w:abstractNumId="1">
    <w:nsid w:val="079102AD"/>
    <w:multiLevelType w:val="multilevel"/>
    <w:tmpl w:val="079102AD"/>
    <w:lvl w:ilvl="0" w:tentative="0">
      <w:start w:val="1"/>
      <w:numFmt w:val="decimal"/>
      <w:pStyle w:val="46"/>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2">
    <w:nsid w:val="1FC91163"/>
    <w:multiLevelType w:val="multilevel"/>
    <w:tmpl w:val="1FC91163"/>
    <w:lvl w:ilvl="0" w:tentative="0">
      <w:start w:val="1"/>
      <w:numFmt w:val="decimal"/>
      <w:pStyle w:val="23"/>
      <w:suff w:val="nothing"/>
      <w:lvlText w:val="%1　"/>
      <w:lvlJc w:val="left"/>
      <w:pPr>
        <w:ind w:left="0" w:firstLine="0"/>
      </w:pPr>
      <w:rPr>
        <w:rFonts w:hint="eastAsia" w:ascii="黑体" w:hAnsi="Times New Roman" w:eastAsia="黑体"/>
        <w:b w:val="0"/>
        <w:i w:val="0"/>
        <w:sz w:val="21"/>
        <w:szCs w:val="21"/>
      </w:rPr>
    </w:lvl>
    <w:lvl w:ilvl="1" w:tentative="0">
      <w:start w:val="1"/>
      <w:numFmt w:val="decimal"/>
      <w:suff w:val="nothing"/>
      <w:lvlText w:val="%1.%2　"/>
      <w:lvlJc w:val="left"/>
      <w:pPr>
        <w:ind w:left="0"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14:shadow w14:blurRad="0" w14:dist="0" w14:dir="0" w14:sx="0" w14:sy="0" w14:kx="0" w14:ky="0" w14:algn="none">
          <w14:srgbClr w14:val="000000"/>
        </w14:shadow>
      </w:rPr>
    </w:lvl>
    <w:lvl w:ilvl="2" w:tentative="0">
      <w:start w:val="1"/>
      <w:numFmt w:val="decimal"/>
      <w:suff w:val="nothing"/>
      <w:lvlText w:val="%1.%2.%3　"/>
      <w:lvlJc w:val="left"/>
      <w:pPr>
        <w:ind w:left="735"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3">
    <w:nsid w:val="409E27E3"/>
    <w:multiLevelType w:val="multilevel"/>
    <w:tmpl w:val="409E27E3"/>
    <w:lvl w:ilvl="0" w:tentative="0">
      <w:start w:val="1"/>
      <w:numFmt w:val="decimal"/>
      <w:lvlText w:val="%1)"/>
      <w:lvlJc w:val="left"/>
      <w:pPr>
        <w:ind w:left="420" w:hanging="420"/>
      </w:pPr>
    </w:lvl>
    <w:lvl w:ilvl="1" w:tentative="0">
      <w:start w:val="1"/>
      <w:numFmt w:val="lowerLetter"/>
      <w:pStyle w:val="29"/>
      <w:lvlText w:val="%2)"/>
      <w:lvlJc w:val="left"/>
      <w:pPr>
        <w:ind w:left="840" w:hanging="420"/>
      </w:pPr>
    </w:lvl>
    <w:lvl w:ilvl="2" w:tentative="0">
      <w:start w:val="1"/>
      <w:numFmt w:val="decimal"/>
      <w:lvlText w:val="%3)"/>
      <w:lvlJc w:val="lef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62E98590"/>
    <w:multiLevelType w:val="multilevel"/>
    <w:tmpl w:val="62E98590"/>
    <w:lvl w:ilvl="0" w:tentative="0">
      <w:start w:val="1"/>
      <w:numFmt w:val="none"/>
      <w:suff w:val="nothing"/>
      <w:lvlText w:val="%1"/>
      <w:lvlJc w:val="left"/>
      <w:pPr>
        <w:ind w:left="0" w:firstLine="0"/>
      </w:pPr>
    </w:lvl>
    <w:lvl w:ilvl="1" w:tentative="0">
      <w:start w:val="1"/>
      <w:numFmt w:val="decimal"/>
      <w:suff w:val="nothing"/>
      <w:lvlText w:val="%1%2　"/>
      <w:lvlJc w:val="left"/>
      <w:pPr>
        <w:ind w:left="0" w:firstLine="0"/>
      </w:pPr>
      <w:rPr>
        <w:rFonts w:hint="eastAsia" w:ascii="黑体" w:hAnsi="Times New Roman" w:eastAsia="黑体" w:cs="黑体"/>
        <w:b w:val="0"/>
        <w:i w:val="0"/>
        <w:sz w:val="21"/>
      </w:rPr>
    </w:lvl>
    <w:lvl w:ilvl="2" w:tentative="0">
      <w:start w:val="1"/>
      <w:numFmt w:val="decimal"/>
      <w:suff w:val="nothing"/>
      <w:lvlText w:val="%1%2.%3　"/>
      <w:lvlJc w:val="left"/>
      <w:pPr>
        <w:ind w:left="0" w:firstLine="0"/>
        <w:textAlignment w:val="baseline"/>
      </w:pPr>
      <w:rPr>
        <w:rFonts w:hint="eastAsia" w:ascii="黑体" w:hAnsi="Times New Roman" w:eastAsia="黑体" w:cs="Times New Roman"/>
        <w:b w:val="0"/>
        <w:bCs w:val="0"/>
        <w:i w:val="0"/>
        <w:iCs w:val="0"/>
        <w:caps w:val="0"/>
        <w:strike w:val="0"/>
        <w:dstrike w:val="0"/>
        <w:vanish w:val="0"/>
        <w:color w:val="000000"/>
        <w:spacing w:val="0"/>
        <w:kern w:val="0"/>
        <w:position w:val="0"/>
        <w:sz w:val="21"/>
        <w:u w:val="none"/>
      </w:rPr>
    </w:lvl>
    <w:lvl w:ilvl="3" w:tentative="0">
      <w:start w:val="1"/>
      <w:numFmt w:val="decimal"/>
      <w:pStyle w:val="49"/>
      <w:suff w:val="nothing"/>
      <w:lvlText w:val="%1%2.%3.%4　"/>
      <w:lvlJc w:val="left"/>
      <w:pPr>
        <w:ind w:left="0" w:firstLine="0"/>
      </w:pPr>
      <w:rPr>
        <w:rFonts w:hint="eastAsia" w:ascii="黑体" w:hAnsi="Times New Roman" w:eastAsia="黑体" w:cs="黑体"/>
        <w:b w:val="0"/>
        <w:i w:val="0"/>
        <w:sz w:val="21"/>
      </w:rPr>
    </w:lvl>
    <w:lvl w:ilvl="4" w:tentative="0">
      <w:start w:val="1"/>
      <w:numFmt w:val="decimal"/>
      <w:suff w:val="nothing"/>
      <w:lvlText w:val="%1%2.%3.%4.%5　"/>
      <w:lvlJc w:val="left"/>
      <w:pPr>
        <w:ind w:left="0" w:firstLine="0"/>
      </w:pPr>
      <w:rPr>
        <w:rFonts w:hint="eastAsia" w:ascii="黑体" w:hAnsi="Times New Roman" w:eastAsia="黑体" w:cs="黑体"/>
        <w:b w:val="0"/>
        <w:i w:val="0"/>
        <w:sz w:val="21"/>
      </w:rPr>
    </w:lvl>
    <w:lvl w:ilvl="5" w:tentative="0">
      <w:start w:val="1"/>
      <w:numFmt w:val="decimal"/>
      <w:suff w:val="nothing"/>
      <w:lvlText w:val="%1%2.%3.%4.%5.%6　"/>
      <w:lvlJc w:val="left"/>
      <w:pPr>
        <w:ind w:left="0" w:firstLine="0"/>
      </w:pPr>
      <w:rPr>
        <w:rFonts w:hint="eastAsia" w:ascii="黑体" w:hAnsi="Times New Roman" w:eastAsia="黑体" w:cs="黑体"/>
        <w:b w:val="0"/>
        <w:i w:val="0"/>
        <w:sz w:val="21"/>
      </w:rPr>
    </w:lvl>
    <w:lvl w:ilvl="6" w:tentative="0">
      <w:start w:val="1"/>
      <w:numFmt w:val="decimal"/>
      <w:suff w:val="nothing"/>
      <w:lvlText w:val="%1%2.%3.%4.%5.%6.%7　"/>
      <w:lvlJc w:val="left"/>
      <w:pPr>
        <w:ind w:left="0" w:firstLine="0"/>
      </w:pPr>
      <w:rPr>
        <w:rFonts w:hint="eastAsia" w:ascii="黑体" w:hAnsi="Times New Roman" w:eastAsia="黑体" w:cs="黑体"/>
        <w:b w:val="0"/>
        <w:i w:val="0"/>
        <w:sz w:val="21"/>
      </w:rPr>
    </w:lvl>
    <w:lvl w:ilvl="7" w:tentative="0">
      <w:start w:val="1"/>
      <w:numFmt w:val="decimal"/>
      <w:lvlText w:val="%1.%2.%3.%4.%5.%6.%7.%8"/>
      <w:lvlJc w:val="left"/>
      <w:pPr>
        <w:tabs>
          <w:tab w:val="left" w:pos="4351"/>
        </w:tabs>
        <w:ind w:left="3972" w:hanging="1418"/>
      </w:pPr>
    </w:lvl>
    <w:lvl w:ilvl="8" w:tentative="0">
      <w:start w:val="1"/>
      <w:numFmt w:val="decimal"/>
      <w:lvlText w:val="%1.%2.%3.%4.%5.%6.%7.%8.%9"/>
      <w:lvlJc w:val="left"/>
      <w:pPr>
        <w:tabs>
          <w:tab w:val="left" w:pos="4777"/>
        </w:tabs>
        <w:ind w:left="4677" w:hanging="1700"/>
      </w:pPr>
    </w:lvl>
  </w:abstractNum>
  <w:abstractNum w:abstractNumId="5">
    <w:nsid w:val="646260FA"/>
    <w:multiLevelType w:val="multilevel"/>
    <w:tmpl w:val="646260FA"/>
    <w:lvl w:ilvl="0" w:tentative="0">
      <w:start w:val="1"/>
      <w:numFmt w:val="decimal"/>
      <w:pStyle w:val="30"/>
      <w:suff w:val="nothing"/>
      <w:lvlText w:val="表%1　"/>
      <w:lvlJc w:val="left"/>
      <w:pPr>
        <w:ind w:left="3543" w:firstLine="0"/>
      </w:pPr>
      <w:rPr>
        <w:rFonts w:hint="eastAsia" w:ascii="黑体" w:hAnsi="Times New Roman" w:eastAsia="黑体"/>
        <w:b w:val="0"/>
        <w:i w:val="0"/>
        <w:sz w:val="21"/>
      </w:rPr>
    </w:lvl>
    <w:lvl w:ilvl="1" w:tentative="0">
      <w:start w:val="1"/>
      <w:numFmt w:val="decimal"/>
      <w:lvlText w:val="%1.%2"/>
      <w:lvlJc w:val="left"/>
      <w:pPr>
        <w:tabs>
          <w:tab w:val="left" w:pos="20"/>
        </w:tabs>
        <w:ind w:left="20" w:hanging="567"/>
      </w:pPr>
      <w:rPr>
        <w:rFonts w:hint="eastAsia"/>
      </w:rPr>
    </w:lvl>
    <w:lvl w:ilvl="2" w:tentative="0">
      <w:start w:val="1"/>
      <w:numFmt w:val="decimal"/>
      <w:lvlText w:val="%1.%2.%3"/>
      <w:lvlJc w:val="left"/>
      <w:pPr>
        <w:tabs>
          <w:tab w:val="left" w:pos="446"/>
        </w:tabs>
        <w:ind w:left="446" w:hanging="567"/>
      </w:pPr>
      <w:rPr>
        <w:rFonts w:hint="eastAsia"/>
      </w:rPr>
    </w:lvl>
    <w:lvl w:ilvl="3" w:tentative="0">
      <w:start w:val="1"/>
      <w:numFmt w:val="decimal"/>
      <w:lvlText w:val="%1.%2.%3.%4"/>
      <w:lvlJc w:val="left"/>
      <w:pPr>
        <w:tabs>
          <w:tab w:val="left" w:pos="1012"/>
        </w:tabs>
        <w:ind w:left="1012" w:hanging="708"/>
      </w:pPr>
      <w:rPr>
        <w:rFonts w:hint="eastAsia"/>
      </w:rPr>
    </w:lvl>
    <w:lvl w:ilvl="4" w:tentative="0">
      <w:start w:val="1"/>
      <w:numFmt w:val="decimal"/>
      <w:lvlText w:val="%1.%2.%3.%4.%5"/>
      <w:lvlJc w:val="left"/>
      <w:pPr>
        <w:tabs>
          <w:tab w:val="left" w:pos="1579"/>
        </w:tabs>
        <w:ind w:left="1579" w:hanging="850"/>
      </w:pPr>
      <w:rPr>
        <w:rFonts w:hint="eastAsia"/>
      </w:rPr>
    </w:lvl>
    <w:lvl w:ilvl="5" w:tentative="0">
      <w:start w:val="1"/>
      <w:numFmt w:val="decimal"/>
      <w:lvlText w:val="%1.%2.%3.%4.%5.%6"/>
      <w:lvlJc w:val="left"/>
      <w:pPr>
        <w:tabs>
          <w:tab w:val="left" w:pos="2288"/>
        </w:tabs>
        <w:ind w:left="2288" w:hanging="1134"/>
      </w:pPr>
      <w:rPr>
        <w:rFonts w:hint="eastAsia"/>
      </w:rPr>
    </w:lvl>
    <w:lvl w:ilvl="6" w:tentative="0">
      <w:start w:val="1"/>
      <w:numFmt w:val="decimal"/>
      <w:lvlText w:val="%1.%2.%3.%4.%5.%6.%7"/>
      <w:lvlJc w:val="left"/>
      <w:pPr>
        <w:tabs>
          <w:tab w:val="left" w:pos="2855"/>
        </w:tabs>
        <w:ind w:left="2855" w:hanging="1276"/>
      </w:pPr>
      <w:rPr>
        <w:rFonts w:hint="eastAsia"/>
      </w:rPr>
    </w:lvl>
    <w:lvl w:ilvl="7" w:tentative="0">
      <w:start w:val="1"/>
      <w:numFmt w:val="decimal"/>
      <w:lvlText w:val="%1.%2.%3.%4.%5.%6.%7.%8"/>
      <w:lvlJc w:val="left"/>
      <w:pPr>
        <w:tabs>
          <w:tab w:val="left" w:pos="3422"/>
        </w:tabs>
        <w:ind w:left="3422" w:hanging="1418"/>
      </w:pPr>
      <w:rPr>
        <w:rFonts w:hint="eastAsia"/>
      </w:rPr>
    </w:lvl>
    <w:lvl w:ilvl="8" w:tentative="0">
      <w:start w:val="1"/>
      <w:numFmt w:val="decimal"/>
      <w:lvlText w:val="%1.%2.%3.%4.%5.%6.%7.%8.%9"/>
      <w:lvlJc w:val="left"/>
      <w:pPr>
        <w:tabs>
          <w:tab w:val="left" w:pos="4130"/>
        </w:tabs>
        <w:ind w:left="4130" w:hanging="1700"/>
      </w:pPr>
      <w:rPr>
        <w:rFonts w:hint="eastAsia"/>
      </w:rPr>
    </w:lvl>
  </w:abstractNum>
  <w:abstractNum w:abstractNumId="6">
    <w:nsid w:val="657D3FBC"/>
    <w:multiLevelType w:val="multilevel"/>
    <w:tmpl w:val="657D3FBC"/>
    <w:lvl w:ilvl="0" w:tentative="0">
      <w:start w:val="1"/>
      <w:numFmt w:val="upperLetter"/>
      <w:pStyle w:val="41"/>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36"/>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35"/>
      <w:suff w:val="nothing"/>
      <w:lvlText w:val="%1.%2.%3　"/>
      <w:lvlJc w:val="left"/>
      <w:pPr>
        <w:ind w:left="0" w:firstLine="0"/>
      </w:pPr>
      <w:rPr>
        <w:rFonts w:hint="eastAsia" w:ascii="黑体" w:hAnsi="Times New Roman" w:eastAsia="黑体"/>
        <w:b w:val="0"/>
        <w:i w:val="0"/>
        <w:sz w:val="21"/>
      </w:rPr>
    </w:lvl>
    <w:lvl w:ilvl="3" w:tentative="0">
      <w:start w:val="1"/>
      <w:numFmt w:val="decimal"/>
      <w:pStyle w:val="39"/>
      <w:suff w:val="nothing"/>
      <w:lvlText w:val="%1.%2.%3.%4　"/>
      <w:lvlJc w:val="left"/>
      <w:pPr>
        <w:ind w:left="0" w:firstLine="0"/>
      </w:pPr>
      <w:rPr>
        <w:rFonts w:hint="eastAsia" w:ascii="黑体" w:hAnsi="Times New Roman" w:eastAsia="黑体"/>
        <w:b w:val="0"/>
        <w:i w:val="0"/>
        <w:sz w:val="21"/>
      </w:rPr>
    </w:lvl>
    <w:lvl w:ilvl="4" w:tentative="0">
      <w:start w:val="1"/>
      <w:numFmt w:val="decimal"/>
      <w:pStyle w:val="38"/>
      <w:suff w:val="nothing"/>
      <w:lvlText w:val="%1.%2.%3.%4.%5　"/>
      <w:lvlJc w:val="left"/>
      <w:pPr>
        <w:ind w:left="0" w:firstLine="0"/>
      </w:pPr>
      <w:rPr>
        <w:rFonts w:hint="eastAsia" w:ascii="黑体" w:hAnsi="Times New Roman" w:eastAsia="黑体"/>
        <w:b w:val="0"/>
        <w:i w:val="0"/>
        <w:sz w:val="21"/>
      </w:rPr>
    </w:lvl>
    <w:lvl w:ilvl="5" w:tentative="0">
      <w:start w:val="1"/>
      <w:numFmt w:val="decimal"/>
      <w:pStyle w:val="37"/>
      <w:suff w:val="nothing"/>
      <w:lvlText w:val="%1.%2.%3.%4.%5.%6　"/>
      <w:lvlJc w:val="left"/>
      <w:pPr>
        <w:ind w:left="0" w:firstLine="0"/>
      </w:pPr>
      <w:rPr>
        <w:rFonts w:hint="eastAsia" w:ascii="黑体" w:hAnsi="Times New Roman" w:eastAsia="黑体"/>
        <w:b w:val="0"/>
        <w:i w:val="0"/>
        <w:sz w:val="21"/>
      </w:rPr>
    </w:lvl>
    <w:lvl w:ilvl="6" w:tentative="0">
      <w:start w:val="1"/>
      <w:numFmt w:val="decimal"/>
      <w:pStyle w:val="40"/>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7">
    <w:nsid w:val="6DBF04F4"/>
    <w:multiLevelType w:val="multilevel"/>
    <w:tmpl w:val="6DBF04F4"/>
    <w:lvl w:ilvl="0" w:tentative="0">
      <w:start w:val="1"/>
      <w:numFmt w:val="none"/>
      <w:pStyle w:val="45"/>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num w:numId="1">
    <w:abstractNumId w:val="2"/>
  </w:num>
  <w:num w:numId="2">
    <w:abstractNumId w:val="3"/>
  </w:num>
  <w:num w:numId="3">
    <w:abstractNumId w:val="5"/>
  </w:num>
  <w:num w:numId="4">
    <w:abstractNumId w:val="6"/>
  </w:num>
  <w:num w:numId="5">
    <w:abstractNumId w:val="7"/>
  </w:num>
  <w:num w:numId="6">
    <w:abstractNumId w:val="1"/>
  </w:num>
  <w:num w:numId="7">
    <w:abstractNumId w:val="0"/>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dit="forms"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7823"/>
    <w:rsid w:val="00022B9D"/>
    <w:rsid w:val="00023509"/>
    <w:rsid w:val="00025A7E"/>
    <w:rsid w:val="000610FA"/>
    <w:rsid w:val="000634ED"/>
    <w:rsid w:val="00066C4A"/>
    <w:rsid w:val="00066CED"/>
    <w:rsid w:val="0007709F"/>
    <w:rsid w:val="00080867"/>
    <w:rsid w:val="00086EEC"/>
    <w:rsid w:val="00092B11"/>
    <w:rsid w:val="0009717A"/>
    <w:rsid w:val="000A17CB"/>
    <w:rsid w:val="000A2129"/>
    <w:rsid w:val="000B1EBB"/>
    <w:rsid w:val="000B385A"/>
    <w:rsid w:val="000B5FF7"/>
    <w:rsid w:val="000C284D"/>
    <w:rsid w:val="000C53E2"/>
    <w:rsid w:val="000D71D0"/>
    <w:rsid w:val="000D7287"/>
    <w:rsid w:val="000E4CBD"/>
    <w:rsid w:val="000E52C7"/>
    <w:rsid w:val="000E5598"/>
    <w:rsid w:val="00102A26"/>
    <w:rsid w:val="001064C8"/>
    <w:rsid w:val="00107174"/>
    <w:rsid w:val="00112CBE"/>
    <w:rsid w:val="00115818"/>
    <w:rsid w:val="0011750D"/>
    <w:rsid w:val="00123D9C"/>
    <w:rsid w:val="00125763"/>
    <w:rsid w:val="00125F6C"/>
    <w:rsid w:val="00126AEA"/>
    <w:rsid w:val="00127441"/>
    <w:rsid w:val="00132327"/>
    <w:rsid w:val="00135888"/>
    <w:rsid w:val="001365EA"/>
    <w:rsid w:val="00141CA9"/>
    <w:rsid w:val="00144BC4"/>
    <w:rsid w:val="00146F2E"/>
    <w:rsid w:val="00151911"/>
    <w:rsid w:val="00151F01"/>
    <w:rsid w:val="001556EC"/>
    <w:rsid w:val="00156CA6"/>
    <w:rsid w:val="00160B02"/>
    <w:rsid w:val="001667E3"/>
    <w:rsid w:val="00173BBB"/>
    <w:rsid w:val="0017494F"/>
    <w:rsid w:val="00177120"/>
    <w:rsid w:val="001826BA"/>
    <w:rsid w:val="00183F76"/>
    <w:rsid w:val="0018528A"/>
    <w:rsid w:val="00190C65"/>
    <w:rsid w:val="001B0463"/>
    <w:rsid w:val="001B15D8"/>
    <w:rsid w:val="001C7CDC"/>
    <w:rsid w:val="001D5627"/>
    <w:rsid w:val="001F5000"/>
    <w:rsid w:val="001F575B"/>
    <w:rsid w:val="001F767F"/>
    <w:rsid w:val="001F7981"/>
    <w:rsid w:val="001F7C7B"/>
    <w:rsid w:val="0020134B"/>
    <w:rsid w:val="00205E4F"/>
    <w:rsid w:val="00214784"/>
    <w:rsid w:val="00220FF8"/>
    <w:rsid w:val="00221B17"/>
    <w:rsid w:val="00221CC7"/>
    <w:rsid w:val="00225E3F"/>
    <w:rsid w:val="00230578"/>
    <w:rsid w:val="00231885"/>
    <w:rsid w:val="00231D24"/>
    <w:rsid w:val="002408BF"/>
    <w:rsid w:val="002472F1"/>
    <w:rsid w:val="00251961"/>
    <w:rsid w:val="002542D5"/>
    <w:rsid w:val="00254A61"/>
    <w:rsid w:val="0025574B"/>
    <w:rsid w:val="00256DCC"/>
    <w:rsid w:val="00260305"/>
    <w:rsid w:val="00261CA8"/>
    <w:rsid w:val="00266674"/>
    <w:rsid w:val="00266A21"/>
    <w:rsid w:val="00275386"/>
    <w:rsid w:val="00275A04"/>
    <w:rsid w:val="00275ABA"/>
    <w:rsid w:val="0028400A"/>
    <w:rsid w:val="0029003E"/>
    <w:rsid w:val="00290619"/>
    <w:rsid w:val="00295D28"/>
    <w:rsid w:val="002A1170"/>
    <w:rsid w:val="002A35AF"/>
    <w:rsid w:val="002A3FEB"/>
    <w:rsid w:val="002B48F3"/>
    <w:rsid w:val="002C1AA8"/>
    <w:rsid w:val="002D18AC"/>
    <w:rsid w:val="002D4FD1"/>
    <w:rsid w:val="002D636F"/>
    <w:rsid w:val="002E486A"/>
    <w:rsid w:val="002E662F"/>
    <w:rsid w:val="002E7633"/>
    <w:rsid w:val="00304DAF"/>
    <w:rsid w:val="003143E7"/>
    <w:rsid w:val="00336E87"/>
    <w:rsid w:val="00342465"/>
    <w:rsid w:val="00342A32"/>
    <w:rsid w:val="0034382D"/>
    <w:rsid w:val="00346FE6"/>
    <w:rsid w:val="0035526A"/>
    <w:rsid w:val="00357B2B"/>
    <w:rsid w:val="00361826"/>
    <w:rsid w:val="00367032"/>
    <w:rsid w:val="0037012A"/>
    <w:rsid w:val="00381B68"/>
    <w:rsid w:val="00392D6C"/>
    <w:rsid w:val="00394C3A"/>
    <w:rsid w:val="003A14AF"/>
    <w:rsid w:val="003A6B89"/>
    <w:rsid w:val="003A79A9"/>
    <w:rsid w:val="003B0B5D"/>
    <w:rsid w:val="003D1B8F"/>
    <w:rsid w:val="003D2D8D"/>
    <w:rsid w:val="003E1703"/>
    <w:rsid w:val="003E5202"/>
    <w:rsid w:val="003F4B6F"/>
    <w:rsid w:val="003F50F1"/>
    <w:rsid w:val="003F7251"/>
    <w:rsid w:val="0040728A"/>
    <w:rsid w:val="004105D9"/>
    <w:rsid w:val="00416BD8"/>
    <w:rsid w:val="00421B4E"/>
    <w:rsid w:val="0042277C"/>
    <w:rsid w:val="00424194"/>
    <w:rsid w:val="00426B31"/>
    <w:rsid w:val="00427A1D"/>
    <w:rsid w:val="00431F70"/>
    <w:rsid w:val="00432C83"/>
    <w:rsid w:val="00433A56"/>
    <w:rsid w:val="00434426"/>
    <w:rsid w:val="00456CE9"/>
    <w:rsid w:val="00463A07"/>
    <w:rsid w:val="00463E44"/>
    <w:rsid w:val="00473BF2"/>
    <w:rsid w:val="00485333"/>
    <w:rsid w:val="0049076B"/>
    <w:rsid w:val="00492E2B"/>
    <w:rsid w:val="00497895"/>
    <w:rsid w:val="004A18BA"/>
    <w:rsid w:val="004A3780"/>
    <w:rsid w:val="004A3B35"/>
    <w:rsid w:val="004A7CA2"/>
    <w:rsid w:val="004B6F1B"/>
    <w:rsid w:val="004C3C8A"/>
    <w:rsid w:val="004D041A"/>
    <w:rsid w:val="004D4FFF"/>
    <w:rsid w:val="004D5DF3"/>
    <w:rsid w:val="004E104A"/>
    <w:rsid w:val="004F374E"/>
    <w:rsid w:val="004F62EC"/>
    <w:rsid w:val="004F735D"/>
    <w:rsid w:val="005003FF"/>
    <w:rsid w:val="0050255B"/>
    <w:rsid w:val="005038D7"/>
    <w:rsid w:val="00503F48"/>
    <w:rsid w:val="00506CFD"/>
    <w:rsid w:val="00512BAA"/>
    <w:rsid w:val="005140F3"/>
    <w:rsid w:val="00521F2D"/>
    <w:rsid w:val="00524CE1"/>
    <w:rsid w:val="005259A7"/>
    <w:rsid w:val="00526B56"/>
    <w:rsid w:val="00536F03"/>
    <w:rsid w:val="00552634"/>
    <w:rsid w:val="0055586B"/>
    <w:rsid w:val="005579E2"/>
    <w:rsid w:val="00560EA5"/>
    <w:rsid w:val="00573556"/>
    <w:rsid w:val="00574DD8"/>
    <w:rsid w:val="00576055"/>
    <w:rsid w:val="00576D7D"/>
    <w:rsid w:val="005818FF"/>
    <w:rsid w:val="00586512"/>
    <w:rsid w:val="0058760D"/>
    <w:rsid w:val="00593E52"/>
    <w:rsid w:val="00595D4C"/>
    <w:rsid w:val="00596DD1"/>
    <w:rsid w:val="005A2186"/>
    <w:rsid w:val="005A390F"/>
    <w:rsid w:val="005A44F6"/>
    <w:rsid w:val="005B1D0E"/>
    <w:rsid w:val="005B2B4E"/>
    <w:rsid w:val="005B4288"/>
    <w:rsid w:val="005B4BBB"/>
    <w:rsid w:val="005B5BD3"/>
    <w:rsid w:val="005C1585"/>
    <w:rsid w:val="005C33CB"/>
    <w:rsid w:val="005C3932"/>
    <w:rsid w:val="005C700A"/>
    <w:rsid w:val="005D13A6"/>
    <w:rsid w:val="005D19A3"/>
    <w:rsid w:val="005D4EB5"/>
    <w:rsid w:val="005D7CA3"/>
    <w:rsid w:val="005E6B61"/>
    <w:rsid w:val="005E71E0"/>
    <w:rsid w:val="005E7F28"/>
    <w:rsid w:val="005F47E7"/>
    <w:rsid w:val="005F7776"/>
    <w:rsid w:val="00600A89"/>
    <w:rsid w:val="00602D40"/>
    <w:rsid w:val="0061261D"/>
    <w:rsid w:val="00624B2D"/>
    <w:rsid w:val="00627B6E"/>
    <w:rsid w:val="00627D52"/>
    <w:rsid w:val="0064796C"/>
    <w:rsid w:val="0065030B"/>
    <w:rsid w:val="00650BFC"/>
    <w:rsid w:val="006548AF"/>
    <w:rsid w:val="00655C2D"/>
    <w:rsid w:val="00656AA3"/>
    <w:rsid w:val="00657864"/>
    <w:rsid w:val="00665C4E"/>
    <w:rsid w:val="00666D46"/>
    <w:rsid w:val="00673C3E"/>
    <w:rsid w:val="0067582E"/>
    <w:rsid w:val="0067746F"/>
    <w:rsid w:val="00680C00"/>
    <w:rsid w:val="00682EFC"/>
    <w:rsid w:val="00691153"/>
    <w:rsid w:val="00694A50"/>
    <w:rsid w:val="006A119D"/>
    <w:rsid w:val="006A24B3"/>
    <w:rsid w:val="006A342B"/>
    <w:rsid w:val="006A41F5"/>
    <w:rsid w:val="006B6790"/>
    <w:rsid w:val="006B67EF"/>
    <w:rsid w:val="006C05FE"/>
    <w:rsid w:val="006C3DCC"/>
    <w:rsid w:val="006C79F4"/>
    <w:rsid w:val="006D2C4B"/>
    <w:rsid w:val="006D5B86"/>
    <w:rsid w:val="006E2C74"/>
    <w:rsid w:val="006F7B20"/>
    <w:rsid w:val="0070384D"/>
    <w:rsid w:val="00716032"/>
    <w:rsid w:val="00724D96"/>
    <w:rsid w:val="00725225"/>
    <w:rsid w:val="00731E25"/>
    <w:rsid w:val="007353E5"/>
    <w:rsid w:val="007356C0"/>
    <w:rsid w:val="007365D3"/>
    <w:rsid w:val="00752421"/>
    <w:rsid w:val="00752BDC"/>
    <w:rsid w:val="007540E5"/>
    <w:rsid w:val="00763547"/>
    <w:rsid w:val="00777CAD"/>
    <w:rsid w:val="0078622B"/>
    <w:rsid w:val="007865F3"/>
    <w:rsid w:val="0078660A"/>
    <w:rsid w:val="00787E1A"/>
    <w:rsid w:val="007A1AE1"/>
    <w:rsid w:val="007B5854"/>
    <w:rsid w:val="007B6760"/>
    <w:rsid w:val="007B7618"/>
    <w:rsid w:val="007B7FEE"/>
    <w:rsid w:val="007C0977"/>
    <w:rsid w:val="007C6026"/>
    <w:rsid w:val="007C7FC7"/>
    <w:rsid w:val="007D212D"/>
    <w:rsid w:val="007D5FD0"/>
    <w:rsid w:val="007F1203"/>
    <w:rsid w:val="0080108C"/>
    <w:rsid w:val="008024D9"/>
    <w:rsid w:val="008026BE"/>
    <w:rsid w:val="008064B3"/>
    <w:rsid w:val="00816DFA"/>
    <w:rsid w:val="00817112"/>
    <w:rsid w:val="00817D16"/>
    <w:rsid w:val="00817EC4"/>
    <w:rsid w:val="00823A7A"/>
    <w:rsid w:val="00833ED4"/>
    <w:rsid w:val="0084192B"/>
    <w:rsid w:val="00844749"/>
    <w:rsid w:val="00860C73"/>
    <w:rsid w:val="00863200"/>
    <w:rsid w:val="008633A7"/>
    <w:rsid w:val="00863CD8"/>
    <w:rsid w:val="008764C0"/>
    <w:rsid w:val="00877D11"/>
    <w:rsid w:val="00882E00"/>
    <w:rsid w:val="00882E4C"/>
    <w:rsid w:val="00884E49"/>
    <w:rsid w:val="008A44F5"/>
    <w:rsid w:val="008A6835"/>
    <w:rsid w:val="008B4B7C"/>
    <w:rsid w:val="008B6778"/>
    <w:rsid w:val="008C3127"/>
    <w:rsid w:val="008C7D5B"/>
    <w:rsid w:val="008D06EA"/>
    <w:rsid w:val="008D2F1F"/>
    <w:rsid w:val="008E1E4B"/>
    <w:rsid w:val="008F16CA"/>
    <w:rsid w:val="008F2A89"/>
    <w:rsid w:val="008F31F5"/>
    <w:rsid w:val="008F5463"/>
    <w:rsid w:val="00901529"/>
    <w:rsid w:val="009027D3"/>
    <w:rsid w:val="009133C9"/>
    <w:rsid w:val="009136D0"/>
    <w:rsid w:val="00921C9F"/>
    <w:rsid w:val="00922AE4"/>
    <w:rsid w:val="00922FF6"/>
    <w:rsid w:val="009252EB"/>
    <w:rsid w:val="009273C8"/>
    <w:rsid w:val="00932FA4"/>
    <w:rsid w:val="009359A7"/>
    <w:rsid w:val="00937CDE"/>
    <w:rsid w:val="00941A9A"/>
    <w:rsid w:val="00944A9C"/>
    <w:rsid w:val="00956754"/>
    <w:rsid w:val="00963193"/>
    <w:rsid w:val="00964302"/>
    <w:rsid w:val="00975C20"/>
    <w:rsid w:val="00980401"/>
    <w:rsid w:val="00984B24"/>
    <w:rsid w:val="009853F0"/>
    <w:rsid w:val="00991D5C"/>
    <w:rsid w:val="009A35A1"/>
    <w:rsid w:val="009B0693"/>
    <w:rsid w:val="009B210F"/>
    <w:rsid w:val="009B33E5"/>
    <w:rsid w:val="009C637F"/>
    <w:rsid w:val="009C6667"/>
    <w:rsid w:val="009C7890"/>
    <w:rsid w:val="009D0950"/>
    <w:rsid w:val="009D3317"/>
    <w:rsid w:val="009D4140"/>
    <w:rsid w:val="009D583F"/>
    <w:rsid w:val="009D60FB"/>
    <w:rsid w:val="009E1809"/>
    <w:rsid w:val="009F2CCD"/>
    <w:rsid w:val="009F7C5E"/>
    <w:rsid w:val="00A001BE"/>
    <w:rsid w:val="00A03C26"/>
    <w:rsid w:val="00A03F80"/>
    <w:rsid w:val="00A0528C"/>
    <w:rsid w:val="00A05B96"/>
    <w:rsid w:val="00A05D9F"/>
    <w:rsid w:val="00A27FA8"/>
    <w:rsid w:val="00A32793"/>
    <w:rsid w:val="00A34CEA"/>
    <w:rsid w:val="00A35462"/>
    <w:rsid w:val="00A36683"/>
    <w:rsid w:val="00A417B0"/>
    <w:rsid w:val="00A4244F"/>
    <w:rsid w:val="00A42D84"/>
    <w:rsid w:val="00A44632"/>
    <w:rsid w:val="00A452AC"/>
    <w:rsid w:val="00A610A1"/>
    <w:rsid w:val="00A64132"/>
    <w:rsid w:val="00A76025"/>
    <w:rsid w:val="00A80DE2"/>
    <w:rsid w:val="00A832FB"/>
    <w:rsid w:val="00A8344F"/>
    <w:rsid w:val="00A9092B"/>
    <w:rsid w:val="00AB14C2"/>
    <w:rsid w:val="00AB1945"/>
    <w:rsid w:val="00AC3506"/>
    <w:rsid w:val="00AC36D5"/>
    <w:rsid w:val="00AC50DE"/>
    <w:rsid w:val="00AD4501"/>
    <w:rsid w:val="00AE7B0C"/>
    <w:rsid w:val="00AF1F2D"/>
    <w:rsid w:val="00AF40E4"/>
    <w:rsid w:val="00AF4679"/>
    <w:rsid w:val="00AF4DC4"/>
    <w:rsid w:val="00B021B6"/>
    <w:rsid w:val="00B03EEC"/>
    <w:rsid w:val="00B12D23"/>
    <w:rsid w:val="00B17823"/>
    <w:rsid w:val="00B24FD2"/>
    <w:rsid w:val="00B25431"/>
    <w:rsid w:val="00B25B50"/>
    <w:rsid w:val="00B3403E"/>
    <w:rsid w:val="00B3521C"/>
    <w:rsid w:val="00B42DE1"/>
    <w:rsid w:val="00B4385F"/>
    <w:rsid w:val="00B51BF1"/>
    <w:rsid w:val="00B57FCE"/>
    <w:rsid w:val="00B6725B"/>
    <w:rsid w:val="00B8241A"/>
    <w:rsid w:val="00B83B02"/>
    <w:rsid w:val="00B909BE"/>
    <w:rsid w:val="00B9175A"/>
    <w:rsid w:val="00B967B5"/>
    <w:rsid w:val="00B97136"/>
    <w:rsid w:val="00BA5D9C"/>
    <w:rsid w:val="00BA62A0"/>
    <w:rsid w:val="00BB19B8"/>
    <w:rsid w:val="00BB598F"/>
    <w:rsid w:val="00BD4690"/>
    <w:rsid w:val="00BE69A4"/>
    <w:rsid w:val="00BF0212"/>
    <w:rsid w:val="00BF0BDC"/>
    <w:rsid w:val="00BF6337"/>
    <w:rsid w:val="00BF6B19"/>
    <w:rsid w:val="00C037DA"/>
    <w:rsid w:val="00C07F35"/>
    <w:rsid w:val="00C2094D"/>
    <w:rsid w:val="00C24BB6"/>
    <w:rsid w:val="00C374E2"/>
    <w:rsid w:val="00C46C1C"/>
    <w:rsid w:val="00C506A0"/>
    <w:rsid w:val="00C57E31"/>
    <w:rsid w:val="00C6470C"/>
    <w:rsid w:val="00C71B32"/>
    <w:rsid w:val="00C75E63"/>
    <w:rsid w:val="00C80C14"/>
    <w:rsid w:val="00C8342E"/>
    <w:rsid w:val="00C95473"/>
    <w:rsid w:val="00C96129"/>
    <w:rsid w:val="00CA1F7D"/>
    <w:rsid w:val="00CA3671"/>
    <w:rsid w:val="00CA676A"/>
    <w:rsid w:val="00CB46FC"/>
    <w:rsid w:val="00CC533E"/>
    <w:rsid w:val="00CC68BE"/>
    <w:rsid w:val="00CF0A22"/>
    <w:rsid w:val="00CF36B3"/>
    <w:rsid w:val="00CF7E11"/>
    <w:rsid w:val="00D01BE7"/>
    <w:rsid w:val="00D03FA9"/>
    <w:rsid w:val="00D102BF"/>
    <w:rsid w:val="00D10AC7"/>
    <w:rsid w:val="00D1119E"/>
    <w:rsid w:val="00D11FB7"/>
    <w:rsid w:val="00D23F85"/>
    <w:rsid w:val="00D42B96"/>
    <w:rsid w:val="00D548A3"/>
    <w:rsid w:val="00D612BA"/>
    <w:rsid w:val="00D6572B"/>
    <w:rsid w:val="00D65FD4"/>
    <w:rsid w:val="00D67FE3"/>
    <w:rsid w:val="00D765CD"/>
    <w:rsid w:val="00D876BC"/>
    <w:rsid w:val="00D927BD"/>
    <w:rsid w:val="00D9331E"/>
    <w:rsid w:val="00D9552C"/>
    <w:rsid w:val="00DA0A39"/>
    <w:rsid w:val="00DC39B5"/>
    <w:rsid w:val="00DC64D7"/>
    <w:rsid w:val="00DC79BF"/>
    <w:rsid w:val="00DD00F1"/>
    <w:rsid w:val="00DE0A56"/>
    <w:rsid w:val="00DF189D"/>
    <w:rsid w:val="00DF3B31"/>
    <w:rsid w:val="00DF6562"/>
    <w:rsid w:val="00E0124D"/>
    <w:rsid w:val="00E03444"/>
    <w:rsid w:val="00E039F7"/>
    <w:rsid w:val="00E128AD"/>
    <w:rsid w:val="00E1415E"/>
    <w:rsid w:val="00E20E04"/>
    <w:rsid w:val="00E32255"/>
    <w:rsid w:val="00E33E05"/>
    <w:rsid w:val="00E4063D"/>
    <w:rsid w:val="00E42996"/>
    <w:rsid w:val="00E44419"/>
    <w:rsid w:val="00E53EE9"/>
    <w:rsid w:val="00E54631"/>
    <w:rsid w:val="00E62964"/>
    <w:rsid w:val="00E80F8E"/>
    <w:rsid w:val="00E828CD"/>
    <w:rsid w:val="00E85E26"/>
    <w:rsid w:val="00E91A62"/>
    <w:rsid w:val="00EA7FBC"/>
    <w:rsid w:val="00EB09DB"/>
    <w:rsid w:val="00EB5946"/>
    <w:rsid w:val="00EC19FE"/>
    <w:rsid w:val="00EC1D64"/>
    <w:rsid w:val="00EC3F12"/>
    <w:rsid w:val="00EF3291"/>
    <w:rsid w:val="00F07264"/>
    <w:rsid w:val="00F10530"/>
    <w:rsid w:val="00F21BCB"/>
    <w:rsid w:val="00F2554C"/>
    <w:rsid w:val="00F2647F"/>
    <w:rsid w:val="00F26DA5"/>
    <w:rsid w:val="00F31183"/>
    <w:rsid w:val="00F33701"/>
    <w:rsid w:val="00F410E2"/>
    <w:rsid w:val="00F47655"/>
    <w:rsid w:val="00F52612"/>
    <w:rsid w:val="00F57636"/>
    <w:rsid w:val="00F60282"/>
    <w:rsid w:val="00F6471B"/>
    <w:rsid w:val="00F656D2"/>
    <w:rsid w:val="00F7077C"/>
    <w:rsid w:val="00F737FA"/>
    <w:rsid w:val="00F74D01"/>
    <w:rsid w:val="00F811D0"/>
    <w:rsid w:val="00F81E8E"/>
    <w:rsid w:val="00F8496C"/>
    <w:rsid w:val="00F908FD"/>
    <w:rsid w:val="00F9140A"/>
    <w:rsid w:val="00F936F0"/>
    <w:rsid w:val="00F949BC"/>
    <w:rsid w:val="00FA11E2"/>
    <w:rsid w:val="00FA4271"/>
    <w:rsid w:val="00FA6166"/>
    <w:rsid w:val="00FB30F7"/>
    <w:rsid w:val="00FB3FA3"/>
    <w:rsid w:val="00FB5AD2"/>
    <w:rsid w:val="00FB5B7D"/>
    <w:rsid w:val="00FC1A1A"/>
    <w:rsid w:val="00FC25D4"/>
    <w:rsid w:val="00FD498C"/>
    <w:rsid w:val="00FD71F9"/>
    <w:rsid w:val="00FE76FB"/>
    <w:rsid w:val="00FF263B"/>
    <w:rsid w:val="02355837"/>
    <w:rsid w:val="024D2427"/>
    <w:rsid w:val="04FC7459"/>
    <w:rsid w:val="0570500B"/>
    <w:rsid w:val="060C479B"/>
    <w:rsid w:val="06357858"/>
    <w:rsid w:val="06443FE6"/>
    <w:rsid w:val="0667442D"/>
    <w:rsid w:val="06BF7DC5"/>
    <w:rsid w:val="06F66BC9"/>
    <w:rsid w:val="076B1CFB"/>
    <w:rsid w:val="07746E01"/>
    <w:rsid w:val="07D77F2D"/>
    <w:rsid w:val="07DD7ED5"/>
    <w:rsid w:val="08030360"/>
    <w:rsid w:val="082445F8"/>
    <w:rsid w:val="08245805"/>
    <w:rsid w:val="08B32E54"/>
    <w:rsid w:val="0902043D"/>
    <w:rsid w:val="0A314B36"/>
    <w:rsid w:val="0A747118"/>
    <w:rsid w:val="0A763C79"/>
    <w:rsid w:val="0A943ABA"/>
    <w:rsid w:val="0ADFE238"/>
    <w:rsid w:val="0C5817A4"/>
    <w:rsid w:val="0C5965C6"/>
    <w:rsid w:val="0C601702"/>
    <w:rsid w:val="0CDC5DEF"/>
    <w:rsid w:val="0DFA69A0"/>
    <w:rsid w:val="0EBD4160"/>
    <w:rsid w:val="0F350C32"/>
    <w:rsid w:val="0F841BAC"/>
    <w:rsid w:val="104B26C9"/>
    <w:rsid w:val="11035623"/>
    <w:rsid w:val="114E27DF"/>
    <w:rsid w:val="121E5F5F"/>
    <w:rsid w:val="128B488D"/>
    <w:rsid w:val="12C624DB"/>
    <w:rsid w:val="13EB21F9"/>
    <w:rsid w:val="140212F1"/>
    <w:rsid w:val="14983F6F"/>
    <w:rsid w:val="14FA7EFC"/>
    <w:rsid w:val="15154FFB"/>
    <w:rsid w:val="15802E15"/>
    <w:rsid w:val="169923E1"/>
    <w:rsid w:val="172A0FAC"/>
    <w:rsid w:val="17A74C5B"/>
    <w:rsid w:val="181F082D"/>
    <w:rsid w:val="18695DE3"/>
    <w:rsid w:val="196842EC"/>
    <w:rsid w:val="19A97DEB"/>
    <w:rsid w:val="1A6052D4"/>
    <w:rsid w:val="1A641034"/>
    <w:rsid w:val="1A9A04D5"/>
    <w:rsid w:val="1AE50ED5"/>
    <w:rsid w:val="1AEE29A9"/>
    <w:rsid w:val="1AF14B43"/>
    <w:rsid w:val="1AF36070"/>
    <w:rsid w:val="1AF549FE"/>
    <w:rsid w:val="1BED0AD9"/>
    <w:rsid w:val="1C01652A"/>
    <w:rsid w:val="1C1E269A"/>
    <w:rsid w:val="1C8651B5"/>
    <w:rsid w:val="1CE25A21"/>
    <w:rsid w:val="1D573933"/>
    <w:rsid w:val="1D9B1619"/>
    <w:rsid w:val="1DE303E5"/>
    <w:rsid w:val="1E1D5C20"/>
    <w:rsid w:val="1E4314C7"/>
    <w:rsid w:val="1FDA66DC"/>
    <w:rsid w:val="20196340"/>
    <w:rsid w:val="205630F0"/>
    <w:rsid w:val="206E774C"/>
    <w:rsid w:val="20AA5651"/>
    <w:rsid w:val="227B0906"/>
    <w:rsid w:val="22C407E5"/>
    <w:rsid w:val="230D7DB3"/>
    <w:rsid w:val="2340479F"/>
    <w:rsid w:val="23877003"/>
    <w:rsid w:val="24C525F3"/>
    <w:rsid w:val="24FC103D"/>
    <w:rsid w:val="25102EC3"/>
    <w:rsid w:val="2529365E"/>
    <w:rsid w:val="25A95A70"/>
    <w:rsid w:val="25AF19A3"/>
    <w:rsid w:val="262275D1"/>
    <w:rsid w:val="26CB02AF"/>
    <w:rsid w:val="26D92385"/>
    <w:rsid w:val="280276BA"/>
    <w:rsid w:val="28DD039D"/>
    <w:rsid w:val="29AD44F5"/>
    <w:rsid w:val="2A187669"/>
    <w:rsid w:val="2AAC7885"/>
    <w:rsid w:val="2AF672CF"/>
    <w:rsid w:val="2B247A2A"/>
    <w:rsid w:val="2C5524AE"/>
    <w:rsid w:val="2C5A7AC4"/>
    <w:rsid w:val="2D0D6EBF"/>
    <w:rsid w:val="2D6A3D37"/>
    <w:rsid w:val="2D8C0151"/>
    <w:rsid w:val="2DC4288F"/>
    <w:rsid w:val="2DCA6ECC"/>
    <w:rsid w:val="2E0B70D6"/>
    <w:rsid w:val="2E1D349F"/>
    <w:rsid w:val="2E382087"/>
    <w:rsid w:val="2EA119DB"/>
    <w:rsid w:val="2F5B6C67"/>
    <w:rsid w:val="30A12166"/>
    <w:rsid w:val="31464ABB"/>
    <w:rsid w:val="33A65CE5"/>
    <w:rsid w:val="340F3C54"/>
    <w:rsid w:val="34D2441F"/>
    <w:rsid w:val="34EE3BA3"/>
    <w:rsid w:val="35613C72"/>
    <w:rsid w:val="3578720D"/>
    <w:rsid w:val="35FFDC31"/>
    <w:rsid w:val="36B10CBA"/>
    <w:rsid w:val="36D83E3F"/>
    <w:rsid w:val="36F79094"/>
    <w:rsid w:val="373970F4"/>
    <w:rsid w:val="37FEFEAC"/>
    <w:rsid w:val="385B3E37"/>
    <w:rsid w:val="38EF6DE0"/>
    <w:rsid w:val="38FC938F"/>
    <w:rsid w:val="396E2E01"/>
    <w:rsid w:val="39803DD5"/>
    <w:rsid w:val="39AB195F"/>
    <w:rsid w:val="39C742BF"/>
    <w:rsid w:val="39C8104F"/>
    <w:rsid w:val="39F33792"/>
    <w:rsid w:val="3AB469A8"/>
    <w:rsid w:val="3AC3717D"/>
    <w:rsid w:val="3B0D2B47"/>
    <w:rsid w:val="3B820DE6"/>
    <w:rsid w:val="3CB66F99"/>
    <w:rsid w:val="3DA212CB"/>
    <w:rsid w:val="3DB55F0C"/>
    <w:rsid w:val="3E1E0BD5"/>
    <w:rsid w:val="3E77193B"/>
    <w:rsid w:val="3ECA4190"/>
    <w:rsid w:val="3EEA2F2A"/>
    <w:rsid w:val="3F6E0F53"/>
    <w:rsid w:val="3F827606"/>
    <w:rsid w:val="3F8868C1"/>
    <w:rsid w:val="3FF75130"/>
    <w:rsid w:val="40307062"/>
    <w:rsid w:val="404B5937"/>
    <w:rsid w:val="40E4515D"/>
    <w:rsid w:val="412E1703"/>
    <w:rsid w:val="41C757A4"/>
    <w:rsid w:val="43317379"/>
    <w:rsid w:val="43A23DD3"/>
    <w:rsid w:val="443B7D84"/>
    <w:rsid w:val="44B72A72"/>
    <w:rsid w:val="44D30699"/>
    <w:rsid w:val="44D41F9A"/>
    <w:rsid w:val="45FE618C"/>
    <w:rsid w:val="47E4325C"/>
    <w:rsid w:val="48EF634C"/>
    <w:rsid w:val="49A563CB"/>
    <w:rsid w:val="4A14005E"/>
    <w:rsid w:val="4A206AE0"/>
    <w:rsid w:val="4A8A736F"/>
    <w:rsid w:val="4AAA6299"/>
    <w:rsid w:val="4AC72AD7"/>
    <w:rsid w:val="4AE447B6"/>
    <w:rsid w:val="4B217CD3"/>
    <w:rsid w:val="4B8169C4"/>
    <w:rsid w:val="4C156D36"/>
    <w:rsid w:val="4D16090A"/>
    <w:rsid w:val="4D6D377D"/>
    <w:rsid w:val="4E157C07"/>
    <w:rsid w:val="4E5606B8"/>
    <w:rsid w:val="4E821B43"/>
    <w:rsid w:val="4EFF50EA"/>
    <w:rsid w:val="4FDB77FC"/>
    <w:rsid w:val="5001010A"/>
    <w:rsid w:val="500E27F0"/>
    <w:rsid w:val="50722D7F"/>
    <w:rsid w:val="507408A5"/>
    <w:rsid w:val="50913BDC"/>
    <w:rsid w:val="50C11611"/>
    <w:rsid w:val="50DC591D"/>
    <w:rsid w:val="5196484B"/>
    <w:rsid w:val="53305F3D"/>
    <w:rsid w:val="53733096"/>
    <w:rsid w:val="540248E3"/>
    <w:rsid w:val="5495703C"/>
    <w:rsid w:val="54A61249"/>
    <w:rsid w:val="54E641B4"/>
    <w:rsid w:val="55264138"/>
    <w:rsid w:val="554B05B2"/>
    <w:rsid w:val="55BF6A67"/>
    <w:rsid w:val="56A7547E"/>
    <w:rsid w:val="57AA7B05"/>
    <w:rsid w:val="57FF837F"/>
    <w:rsid w:val="58343AE4"/>
    <w:rsid w:val="597102E2"/>
    <w:rsid w:val="597643B3"/>
    <w:rsid w:val="5B3C46B5"/>
    <w:rsid w:val="5BCD7046"/>
    <w:rsid w:val="5BD743DE"/>
    <w:rsid w:val="5D0F1086"/>
    <w:rsid w:val="5D4D12B6"/>
    <w:rsid w:val="5DE29AF0"/>
    <w:rsid w:val="5DFA7F88"/>
    <w:rsid w:val="5DFD1EE2"/>
    <w:rsid w:val="5E744166"/>
    <w:rsid w:val="5E8072DA"/>
    <w:rsid w:val="5ED3731F"/>
    <w:rsid w:val="5EEF1F5A"/>
    <w:rsid w:val="5F4F595A"/>
    <w:rsid w:val="5FD2383A"/>
    <w:rsid w:val="602B6AA7"/>
    <w:rsid w:val="60453AA2"/>
    <w:rsid w:val="60470AF6"/>
    <w:rsid w:val="607E12CC"/>
    <w:rsid w:val="612C2ADA"/>
    <w:rsid w:val="61A82AA5"/>
    <w:rsid w:val="622C6936"/>
    <w:rsid w:val="62B2525D"/>
    <w:rsid w:val="62B611F1"/>
    <w:rsid w:val="62EE2993"/>
    <w:rsid w:val="632E6FDA"/>
    <w:rsid w:val="63AB75EB"/>
    <w:rsid w:val="63D7141F"/>
    <w:rsid w:val="64033FC2"/>
    <w:rsid w:val="641066DF"/>
    <w:rsid w:val="6432791E"/>
    <w:rsid w:val="64BA3EA0"/>
    <w:rsid w:val="65040DC9"/>
    <w:rsid w:val="653A1C66"/>
    <w:rsid w:val="653B1E64"/>
    <w:rsid w:val="65D50F87"/>
    <w:rsid w:val="66FE2E8C"/>
    <w:rsid w:val="679703E1"/>
    <w:rsid w:val="682732A7"/>
    <w:rsid w:val="68395D68"/>
    <w:rsid w:val="68572F9A"/>
    <w:rsid w:val="68B735CD"/>
    <w:rsid w:val="69132EFA"/>
    <w:rsid w:val="694C025D"/>
    <w:rsid w:val="69CE40D5"/>
    <w:rsid w:val="69E20B1E"/>
    <w:rsid w:val="6B716F61"/>
    <w:rsid w:val="6B730E18"/>
    <w:rsid w:val="6D2D3779"/>
    <w:rsid w:val="6D2D3E5E"/>
    <w:rsid w:val="6D673814"/>
    <w:rsid w:val="6EA94563"/>
    <w:rsid w:val="6EC06CF5"/>
    <w:rsid w:val="6F5E29F5"/>
    <w:rsid w:val="6FC50FC5"/>
    <w:rsid w:val="6FF85FDD"/>
    <w:rsid w:val="70163F6B"/>
    <w:rsid w:val="70473489"/>
    <w:rsid w:val="7091206C"/>
    <w:rsid w:val="722021E3"/>
    <w:rsid w:val="724C122A"/>
    <w:rsid w:val="72B15531"/>
    <w:rsid w:val="72BA6194"/>
    <w:rsid w:val="72CEDE87"/>
    <w:rsid w:val="745C569E"/>
    <w:rsid w:val="745E0554"/>
    <w:rsid w:val="74955D2B"/>
    <w:rsid w:val="74D60139"/>
    <w:rsid w:val="74DF0134"/>
    <w:rsid w:val="75331A99"/>
    <w:rsid w:val="756C3D2C"/>
    <w:rsid w:val="75CA2B92"/>
    <w:rsid w:val="76232660"/>
    <w:rsid w:val="777B7DFA"/>
    <w:rsid w:val="77FC8E8F"/>
    <w:rsid w:val="787050BC"/>
    <w:rsid w:val="78777631"/>
    <w:rsid w:val="79A74F98"/>
    <w:rsid w:val="79A92498"/>
    <w:rsid w:val="79C913B2"/>
    <w:rsid w:val="7A342CD0"/>
    <w:rsid w:val="7A721A4A"/>
    <w:rsid w:val="7A785FD9"/>
    <w:rsid w:val="7B872369"/>
    <w:rsid w:val="7BA31D83"/>
    <w:rsid w:val="7BA5620B"/>
    <w:rsid w:val="7BB5399C"/>
    <w:rsid w:val="7C0C525E"/>
    <w:rsid w:val="7C4A4A2C"/>
    <w:rsid w:val="7C6E4CB3"/>
    <w:rsid w:val="7D752EBA"/>
    <w:rsid w:val="7D80447E"/>
    <w:rsid w:val="7D902913"/>
    <w:rsid w:val="7D9B3066"/>
    <w:rsid w:val="7DFEE479"/>
    <w:rsid w:val="7E9D11DA"/>
    <w:rsid w:val="7F0D3AEF"/>
    <w:rsid w:val="7F6C6A68"/>
    <w:rsid w:val="7F7DDC98"/>
    <w:rsid w:val="7F7F7D37"/>
    <w:rsid w:val="7FA7314A"/>
    <w:rsid w:val="7FE900B8"/>
    <w:rsid w:val="AF2FCA72"/>
    <w:rsid w:val="AFFB98F4"/>
    <w:rsid w:val="BDAFBF04"/>
    <w:rsid w:val="BFFFB9BC"/>
    <w:rsid w:val="CF5D2C2C"/>
    <w:rsid w:val="DD5FD0C8"/>
    <w:rsid w:val="EF25064F"/>
    <w:rsid w:val="EF5E7FF6"/>
    <w:rsid w:val="EF7F5782"/>
    <w:rsid w:val="F7ED1C7F"/>
    <w:rsid w:val="F7EF227C"/>
    <w:rsid w:val="FED728B2"/>
    <w:rsid w:val="FF7305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99"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nhideWhenUsed="0" w:uiPriority="0" w:semiHidden="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3"/>
    <w:basedOn w:val="1"/>
    <w:next w:val="1"/>
    <w:qFormat/>
    <w:uiPriority w:val="0"/>
    <w:pPr>
      <w:widowControl/>
      <w:spacing w:before="100" w:beforeAutospacing="1" w:after="100" w:afterAutospacing="1"/>
      <w:jc w:val="left"/>
      <w:outlineLvl w:val="2"/>
    </w:pPr>
    <w:rPr>
      <w:rFonts w:ascii="宋体" w:hAnsi="宋体" w:cs="宋体"/>
      <w:b/>
      <w:bCs/>
      <w:kern w:val="0"/>
      <w:sz w:val="27"/>
      <w:szCs w:val="27"/>
    </w:rPr>
  </w:style>
  <w:style w:type="character" w:default="1" w:styleId="12">
    <w:name w:val="Default Paragraph Font"/>
    <w:semiHidden/>
    <w:unhideWhenUsed/>
    <w:qFormat/>
    <w:uiPriority w:val="1"/>
  </w:style>
  <w:style w:type="table" w:default="1" w:styleId="10">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cs="Times New Roman"/>
      <w:sz w:val="20"/>
      <w:szCs w:val="20"/>
    </w:rPr>
    <w:tblPr>
      <w:tblCellMar>
        <w:top w:w="0" w:type="dxa"/>
        <w:left w:w="108" w:type="dxa"/>
        <w:bottom w:w="0" w:type="dxa"/>
        <w:right w:w="108" w:type="dxa"/>
      </w:tblCellMar>
    </w:tblPr>
  </w:style>
  <w:style w:type="paragraph" w:styleId="4">
    <w:name w:val="Date"/>
    <w:basedOn w:val="1"/>
    <w:next w:val="1"/>
    <w:qFormat/>
    <w:uiPriority w:val="0"/>
    <w:pPr>
      <w:ind w:left="100" w:leftChars="2500"/>
    </w:pPr>
  </w:style>
  <w:style w:type="paragraph" w:styleId="5">
    <w:name w:val="Balloon Text"/>
    <w:basedOn w:val="1"/>
    <w:link w:val="18"/>
    <w:qFormat/>
    <w:uiPriority w:val="0"/>
    <w:rPr>
      <w:sz w:val="18"/>
      <w:szCs w:val="18"/>
    </w:rPr>
  </w:style>
  <w:style w:type="paragraph" w:styleId="6">
    <w:name w:val="footer"/>
    <w:basedOn w:val="1"/>
    <w:link w:val="17"/>
    <w:qFormat/>
    <w:uiPriority w:val="99"/>
    <w:pPr>
      <w:tabs>
        <w:tab w:val="center" w:pos="4153"/>
        <w:tab w:val="right" w:pos="8306"/>
      </w:tabs>
      <w:snapToGrid w:val="0"/>
      <w:jc w:val="left"/>
    </w:pPr>
    <w:rPr>
      <w:sz w:val="18"/>
      <w:szCs w:val="18"/>
    </w:rPr>
  </w:style>
  <w:style w:type="paragraph" w:styleId="7">
    <w:name w:val="header"/>
    <w:basedOn w:val="1"/>
    <w:link w:val="15"/>
    <w:qFormat/>
    <w:uiPriority w:val="99"/>
    <w:pPr>
      <w:pBdr>
        <w:bottom w:val="single" w:color="auto" w:sz="6" w:space="1"/>
      </w:pBdr>
      <w:tabs>
        <w:tab w:val="center" w:pos="4153"/>
        <w:tab w:val="right" w:pos="8306"/>
      </w:tabs>
      <w:snapToGrid w:val="0"/>
      <w:jc w:val="center"/>
    </w:pPr>
    <w:rPr>
      <w:sz w:val="18"/>
      <w:szCs w:val="18"/>
    </w:rPr>
  </w:style>
  <w:style w:type="paragraph" w:styleId="8">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9">
    <w:name w:val="Normal (Web)"/>
    <w:basedOn w:val="1"/>
    <w:semiHidden/>
    <w:unhideWhenUsed/>
    <w:qFormat/>
    <w:uiPriority w:val="99"/>
    <w:pPr>
      <w:widowControl/>
      <w:spacing w:before="100" w:beforeAutospacing="1" w:after="100" w:afterAutospacing="1"/>
      <w:jc w:val="left"/>
    </w:pPr>
    <w:rPr>
      <w:rFonts w:ascii="宋体" w:hAnsi="宋体" w:cs="宋体"/>
      <w:kern w:val="0"/>
      <w:sz w:val="24"/>
    </w:rPr>
  </w:style>
  <w:style w:type="table" w:styleId="11">
    <w:name w:val="Table Grid"/>
    <w:basedOn w:val="1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Emphasis"/>
    <w:qFormat/>
    <w:uiPriority w:val="0"/>
    <w:rPr>
      <w:i/>
      <w:iCs/>
    </w:rPr>
  </w:style>
  <w:style w:type="character" w:styleId="14">
    <w:name w:val="Hyperlink"/>
    <w:qFormat/>
    <w:uiPriority w:val="0"/>
    <w:rPr>
      <w:color w:val="0000FF"/>
      <w:u w:val="single"/>
    </w:rPr>
  </w:style>
  <w:style w:type="character" w:customStyle="1" w:styleId="15">
    <w:name w:val="页眉 字符"/>
    <w:link w:val="7"/>
    <w:qFormat/>
    <w:uiPriority w:val="99"/>
    <w:rPr>
      <w:kern w:val="2"/>
      <w:sz w:val="18"/>
      <w:szCs w:val="18"/>
    </w:rPr>
  </w:style>
  <w:style w:type="character" w:customStyle="1" w:styleId="16">
    <w:name w:val="apple-converted-space"/>
    <w:basedOn w:val="12"/>
    <w:qFormat/>
    <w:uiPriority w:val="0"/>
  </w:style>
  <w:style w:type="character" w:customStyle="1" w:styleId="17">
    <w:name w:val="页脚 字符"/>
    <w:link w:val="6"/>
    <w:qFormat/>
    <w:uiPriority w:val="99"/>
    <w:rPr>
      <w:kern w:val="2"/>
      <w:sz w:val="18"/>
      <w:szCs w:val="18"/>
    </w:rPr>
  </w:style>
  <w:style w:type="character" w:customStyle="1" w:styleId="18">
    <w:name w:val="批注框文本 字符"/>
    <w:link w:val="5"/>
    <w:qFormat/>
    <w:uiPriority w:val="0"/>
    <w:rPr>
      <w:kern w:val="2"/>
      <w:sz w:val="18"/>
      <w:szCs w:val="18"/>
    </w:rPr>
  </w:style>
  <w:style w:type="paragraph" w:customStyle="1" w:styleId="19">
    <w:name w:val="列出段落1"/>
    <w:basedOn w:val="1"/>
    <w:qFormat/>
    <w:uiPriority w:val="99"/>
    <w:pPr>
      <w:ind w:firstLine="420" w:firstLineChars="200"/>
    </w:pPr>
    <w:rPr>
      <w:rFonts w:ascii="Calibri" w:hAnsi="Calibri"/>
      <w:szCs w:val="22"/>
    </w:rPr>
  </w:style>
  <w:style w:type="paragraph" w:customStyle="1" w:styleId="20">
    <w:name w:val="三级条标题"/>
    <w:basedOn w:val="21"/>
    <w:next w:val="1"/>
    <w:qFormat/>
    <w:uiPriority w:val="0"/>
    <w:pPr>
      <w:ind w:left="0"/>
      <w:outlineLvl w:val="4"/>
    </w:pPr>
  </w:style>
  <w:style w:type="paragraph" w:customStyle="1" w:styleId="21">
    <w:name w:val="二级条标题"/>
    <w:basedOn w:val="22"/>
    <w:next w:val="1"/>
    <w:link w:val="28"/>
    <w:qFormat/>
    <w:uiPriority w:val="0"/>
    <w:pPr>
      <w:spacing w:before="50" w:after="50"/>
      <w:ind w:left="210"/>
      <w:outlineLvl w:val="3"/>
    </w:pPr>
  </w:style>
  <w:style w:type="paragraph" w:customStyle="1" w:styleId="22">
    <w:name w:val="一级条标题"/>
    <w:next w:val="1"/>
    <w:link w:val="33"/>
    <w:qFormat/>
    <w:uiPriority w:val="0"/>
    <w:pPr>
      <w:spacing w:beforeLines="50" w:afterLines="50"/>
      <w:outlineLvl w:val="2"/>
    </w:pPr>
    <w:rPr>
      <w:rFonts w:ascii="黑体" w:hAnsi="Times New Roman" w:eastAsia="黑体" w:cs="Times New Roman"/>
      <w:sz w:val="21"/>
      <w:szCs w:val="21"/>
      <w:lang w:val="en-US" w:eastAsia="zh-CN" w:bidi="ar-SA"/>
    </w:rPr>
  </w:style>
  <w:style w:type="paragraph" w:customStyle="1" w:styleId="23">
    <w:name w:val="章标题"/>
    <w:next w:val="1"/>
    <w:qFormat/>
    <w:uiPriority w:val="0"/>
    <w:pPr>
      <w:numPr>
        <w:ilvl w:val="0"/>
        <w:numId w:val="1"/>
      </w:numPr>
      <w:spacing w:beforeLines="100" w:afterLines="100"/>
      <w:jc w:val="both"/>
      <w:outlineLvl w:val="1"/>
    </w:pPr>
    <w:rPr>
      <w:rFonts w:ascii="黑体" w:hAnsi="Times New Roman" w:eastAsia="黑体" w:cs="Times New Roman"/>
      <w:sz w:val="21"/>
      <w:lang w:val="en-US" w:eastAsia="zh-CN" w:bidi="ar-SA"/>
    </w:rPr>
  </w:style>
  <w:style w:type="paragraph" w:customStyle="1" w:styleId="24">
    <w:name w:val="五级条标题"/>
    <w:basedOn w:val="25"/>
    <w:next w:val="1"/>
    <w:qFormat/>
    <w:uiPriority w:val="0"/>
    <w:pPr>
      <w:outlineLvl w:val="6"/>
    </w:pPr>
  </w:style>
  <w:style w:type="paragraph" w:customStyle="1" w:styleId="25">
    <w:name w:val="四级条标题"/>
    <w:basedOn w:val="20"/>
    <w:next w:val="1"/>
    <w:qFormat/>
    <w:uiPriority w:val="0"/>
    <w:pPr>
      <w:outlineLvl w:val="5"/>
    </w:pPr>
  </w:style>
  <w:style w:type="paragraph" w:customStyle="1" w:styleId="26">
    <w:name w:val="段"/>
    <w:link w:val="27"/>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character" w:customStyle="1" w:styleId="27">
    <w:name w:val="段 Char"/>
    <w:link w:val="26"/>
    <w:qFormat/>
    <w:uiPriority w:val="0"/>
    <w:rPr>
      <w:rFonts w:ascii="宋体"/>
      <w:sz w:val="21"/>
      <w:lang w:bidi="ar-SA"/>
    </w:rPr>
  </w:style>
  <w:style w:type="character" w:customStyle="1" w:styleId="28">
    <w:name w:val="二级条标题 Char"/>
    <w:basedOn w:val="12"/>
    <w:link w:val="21"/>
    <w:qFormat/>
    <w:uiPriority w:val="0"/>
    <w:rPr>
      <w:rFonts w:ascii="黑体" w:eastAsia="黑体"/>
      <w:sz w:val="21"/>
      <w:szCs w:val="21"/>
    </w:rPr>
  </w:style>
  <w:style w:type="paragraph" w:customStyle="1" w:styleId="29">
    <w:name w:val="一级无"/>
    <w:basedOn w:val="22"/>
    <w:qFormat/>
    <w:uiPriority w:val="0"/>
    <w:pPr>
      <w:numPr>
        <w:ilvl w:val="1"/>
        <w:numId w:val="2"/>
      </w:numPr>
      <w:spacing w:beforeLines="0" w:afterLines="0"/>
    </w:pPr>
    <w:rPr>
      <w:rFonts w:ascii="宋体" w:eastAsia="宋体"/>
    </w:rPr>
  </w:style>
  <w:style w:type="paragraph" w:customStyle="1" w:styleId="30">
    <w:name w:val="正文表标题"/>
    <w:next w:val="26"/>
    <w:qFormat/>
    <w:uiPriority w:val="0"/>
    <w:pPr>
      <w:numPr>
        <w:ilvl w:val="0"/>
        <w:numId w:val="3"/>
      </w:numPr>
      <w:tabs>
        <w:tab w:val="left" w:pos="360"/>
      </w:tabs>
      <w:spacing w:before="50" w:beforeLines="50" w:after="50" w:afterLines="50"/>
      <w:jc w:val="center"/>
    </w:pPr>
    <w:rPr>
      <w:rFonts w:ascii="黑体" w:hAnsi="Times New Roman" w:eastAsia="黑体" w:cs="Times New Roman"/>
      <w:sz w:val="21"/>
      <w:lang w:val="en-US" w:eastAsia="zh-CN" w:bidi="ar-SA"/>
    </w:rPr>
  </w:style>
  <w:style w:type="paragraph" w:customStyle="1" w:styleId="31">
    <w:name w:val="章"/>
    <w:basedOn w:val="3"/>
    <w:qFormat/>
    <w:uiPriority w:val="0"/>
    <w:pPr>
      <w:keepNext/>
      <w:keepLines/>
      <w:widowControl w:val="0"/>
      <w:spacing w:before="260" w:beforeAutospacing="0" w:after="260" w:afterAutospacing="0" w:line="410" w:lineRule="auto"/>
      <w:jc w:val="both"/>
    </w:pPr>
    <w:rPr>
      <w:rFonts w:ascii="Times New Roman" w:hAnsi="Times New Roman" w:eastAsia="黑体" w:cs="Times New Roman"/>
      <w:b w:val="0"/>
      <w:kern w:val="2"/>
      <w:sz w:val="21"/>
      <w:szCs w:val="32"/>
    </w:rPr>
  </w:style>
  <w:style w:type="paragraph" w:customStyle="1" w:styleId="32">
    <w:name w:val="Char1"/>
    <w:basedOn w:val="1"/>
    <w:qFormat/>
    <w:uiPriority w:val="0"/>
    <w:pPr>
      <w:widowControl/>
      <w:spacing w:after="160" w:line="240" w:lineRule="exact"/>
      <w:jc w:val="left"/>
    </w:pPr>
    <w:rPr>
      <w:rFonts w:ascii="宋体" w:hAnsi="宋体"/>
      <w:kern w:val="0"/>
      <w:sz w:val="18"/>
      <w:szCs w:val="18"/>
      <w:lang w:eastAsia="en-US"/>
    </w:rPr>
  </w:style>
  <w:style w:type="character" w:customStyle="1" w:styleId="33">
    <w:name w:val="一级条标题 Char"/>
    <w:link w:val="22"/>
    <w:qFormat/>
    <w:locked/>
    <w:uiPriority w:val="0"/>
    <w:rPr>
      <w:rFonts w:ascii="黑体" w:eastAsia="黑体"/>
      <w:sz w:val="21"/>
      <w:szCs w:val="21"/>
    </w:rPr>
  </w:style>
  <w:style w:type="paragraph" w:customStyle="1" w:styleId="34">
    <w:name w:val="Revision"/>
    <w:hidden/>
    <w:semiHidden/>
    <w:qFormat/>
    <w:uiPriority w:val="99"/>
    <w:rPr>
      <w:rFonts w:ascii="Times New Roman" w:hAnsi="Times New Roman" w:eastAsia="宋体" w:cs="Times New Roman"/>
      <w:kern w:val="2"/>
      <w:sz w:val="21"/>
      <w:szCs w:val="24"/>
      <w:lang w:val="en-US" w:eastAsia="zh-CN" w:bidi="ar-SA"/>
    </w:rPr>
  </w:style>
  <w:style w:type="paragraph" w:customStyle="1" w:styleId="35">
    <w:name w:val="附录一级条标题"/>
    <w:basedOn w:val="36"/>
    <w:next w:val="26"/>
    <w:qFormat/>
    <w:uiPriority w:val="0"/>
    <w:pPr>
      <w:numPr>
        <w:ilvl w:val="2"/>
      </w:numPr>
      <w:tabs>
        <w:tab w:val="left" w:pos="360"/>
      </w:tabs>
      <w:autoSpaceDN w:val="0"/>
      <w:spacing w:beforeLines="50" w:afterLines="50"/>
      <w:outlineLvl w:val="2"/>
    </w:pPr>
  </w:style>
  <w:style w:type="paragraph" w:customStyle="1" w:styleId="36">
    <w:name w:val="附录章标题"/>
    <w:next w:val="26"/>
    <w:qFormat/>
    <w:uiPriority w:val="0"/>
    <w:pPr>
      <w:numPr>
        <w:ilvl w:val="1"/>
        <w:numId w:val="4"/>
      </w:numPr>
      <w:tabs>
        <w:tab w:val="left" w:pos="360"/>
      </w:tabs>
      <w:wordWrap w:val="0"/>
      <w:overflowPunct w:val="0"/>
      <w:autoSpaceDE w:val="0"/>
      <w:spacing w:beforeLines="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37">
    <w:name w:val="附录四级条标题"/>
    <w:basedOn w:val="38"/>
    <w:next w:val="26"/>
    <w:qFormat/>
    <w:uiPriority w:val="0"/>
    <w:pPr>
      <w:numPr>
        <w:ilvl w:val="5"/>
      </w:numPr>
      <w:tabs>
        <w:tab w:val="left" w:pos="360"/>
      </w:tabs>
      <w:outlineLvl w:val="5"/>
    </w:pPr>
  </w:style>
  <w:style w:type="paragraph" w:customStyle="1" w:styleId="38">
    <w:name w:val="附录三级条标题"/>
    <w:basedOn w:val="39"/>
    <w:next w:val="26"/>
    <w:qFormat/>
    <w:uiPriority w:val="0"/>
    <w:pPr>
      <w:numPr>
        <w:ilvl w:val="4"/>
      </w:numPr>
      <w:tabs>
        <w:tab w:val="left" w:pos="360"/>
      </w:tabs>
      <w:outlineLvl w:val="4"/>
    </w:pPr>
  </w:style>
  <w:style w:type="paragraph" w:customStyle="1" w:styleId="39">
    <w:name w:val="附录二级条标题"/>
    <w:basedOn w:val="1"/>
    <w:next w:val="26"/>
    <w:qFormat/>
    <w:uiPriority w:val="0"/>
    <w:pPr>
      <w:widowControl/>
      <w:numPr>
        <w:ilvl w:val="3"/>
        <w:numId w:val="4"/>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40">
    <w:name w:val="附录五级条标题"/>
    <w:basedOn w:val="37"/>
    <w:next w:val="26"/>
    <w:qFormat/>
    <w:uiPriority w:val="0"/>
    <w:pPr>
      <w:numPr>
        <w:ilvl w:val="6"/>
      </w:numPr>
      <w:outlineLvl w:val="6"/>
    </w:pPr>
  </w:style>
  <w:style w:type="paragraph" w:customStyle="1" w:styleId="41">
    <w:name w:val="附录标识"/>
    <w:basedOn w:val="1"/>
    <w:next w:val="26"/>
    <w:qFormat/>
    <w:uiPriority w:val="0"/>
    <w:pPr>
      <w:keepNext/>
      <w:widowControl/>
      <w:numPr>
        <w:ilvl w:val="0"/>
        <w:numId w:val="4"/>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42">
    <w:name w:val="标准文件_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43">
    <w:name w:val="标准文件_正文表标题"/>
    <w:next w:val="42"/>
    <w:qFormat/>
    <w:uiPriority w:val="0"/>
    <w:pPr>
      <w:tabs>
        <w:tab w:val="left" w:pos="0"/>
      </w:tabs>
      <w:spacing w:before="50" w:beforeLines="50" w:after="50" w:afterLines="50"/>
      <w:ind w:left="3827"/>
      <w:jc w:val="center"/>
    </w:pPr>
    <w:rPr>
      <w:rFonts w:ascii="黑体" w:hAnsi="Times New Roman" w:eastAsia="黑体" w:cs="Times New Roman"/>
      <w:sz w:val="21"/>
      <w:lang w:val="en-US" w:eastAsia="zh-CN" w:bidi="ar-SA"/>
    </w:rPr>
  </w:style>
  <w:style w:type="paragraph" w:customStyle="1" w:styleId="44">
    <w:name w:val="标准文件_表格"/>
    <w:basedOn w:val="42"/>
    <w:qFormat/>
    <w:uiPriority w:val="0"/>
    <w:pPr>
      <w:ind w:firstLine="0" w:firstLineChars="0"/>
      <w:jc w:val="center"/>
    </w:pPr>
    <w:rPr>
      <w:sz w:val="18"/>
    </w:rPr>
  </w:style>
  <w:style w:type="paragraph" w:customStyle="1" w:styleId="45">
    <w:name w:val="标准文件_注："/>
    <w:next w:val="42"/>
    <w:qFormat/>
    <w:uiPriority w:val="0"/>
    <w:pPr>
      <w:widowControl w:val="0"/>
      <w:numPr>
        <w:ilvl w:val="0"/>
        <w:numId w:val="5"/>
      </w:numPr>
      <w:autoSpaceDE w:val="0"/>
      <w:autoSpaceDN w:val="0"/>
      <w:jc w:val="both"/>
    </w:pPr>
    <w:rPr>
      <w:rFonts w:ascii="宋体" w:hAnsi="Times New Roman" w:eastAsia="宋体" w:cs="Times New Roman"/>
      <w:sz w:val="18"/>
      <w:szCs w:val="18"/>
      <w:lang w:val="en-US" w:eastAsia="zh-CN" w:bidi="ar-SA"/>
    </w:rPr>
  </w:style>
  <w:style w:type="paragraph" w:customStyle="1" w:styleId="46">
    <w:name w:val="标准文件_注×："/>
    <w:qFormat/>
    <w:uiPriority w:val="0"/>
    <w:pPr>
      <w:widowControl w:val="0"/>
      <w:numPr>
        <w:ilvl w:val="0"/>
        <w:numId w:val="6"/>
      </w:numPr>
      <w:autoSpaceDE w:val="0"/>
      <w:autoSpaceDN w:val="0"/>
      <w:jc w:val="both"/>
    </w:pPr>
    <w:rPr>
      <w:rFonts w:ascii="宋体" w:hAnsi="Times New Roman" w:eastAsia="宋体" w:cs="Times New Roman"/>
      <w:sz w:val="18"/>
      <w:szCs w:val="18"/>
      <w:lang w:val="en-US" w:eastAsia="zh-CN" w:bidi="ar-SA"/>
    </w:rPr>
  </w:style>
  <w:style w:type="paragraph" w:customStyle="1" w:styleId="47">
    <w:name w:val="标准文件_一级条标题"/>
    <w:qFormat/>
    <w:uiPriority w:val="0"/>
    <w:pPr>
      <w:keepNext w:val="0"/>
      <w:keepLines w:val="0"/>
      <w:widowControl/>
      <w:numPr>
        <w:ilvl w:val="2"/>
        <w:numId w:val="7"/>
      </w:numPr>
      <w:suppressLineNumbers w:val="0"/>
      <w:spacing w:before="50" w:beforeLines="50" w:beforeAutospacing="0" w:after="50" w:afterLines="50" w:afterAutospacing="0"/>
      <w:ind w:left="0" w:right="0" w:firstLine="0"/>
      <w:jc w:val="both"/>
      <w:outlineLvl w:val="1"/>
    </w:pPr>
    <w:rPr>
      <w:rFonts w:hint="eastAsia" w:ascii="黑体" w:hAnsi="Times New Roman" w:eastAsia="黑体" w:cs="Times New Roman"/>
      <w:kern w:val="0"/>
      <w:sz w:val="21"/>
      <w:szCs w:val="20"/>
      <w:lang w:val="en-US" w:eastAsia="zh-CN" w:bidi="ar"/>
    </w:rPr>
  </w:style>
  <w:style w:type="character" w:customStyle="1" w:styleId="48">
    <w:name w:val="标准文件_段 Char"/>
    <w:basedOn w:val="12"/>
    <w:qFormat/>
    <w:uiPriority w:val="0"/>
    <w:rPr>
      <w:rFonts w:hint="eastAsia" w:ascii="宋体" w:hAnsi="Times New Roman" w:eastAsia="宋体" w:cs="宋体"/>
      <w:sz w:val="21"/>
    </w:rPr>
  </w:style>
  <w:style w:type="paragraph" w:customStyle="1" w:styleId="49">
    <w:name w:val="标准文件_二级条标题"/>
    <w:basedOn w:val="1"/>
    <w:next w:val="1"/>
    <w:qFormat/>
    <w:uiPriority w:val="0"/>
    <w:pPr>
      <w:keepNext w:val="0"/>
      <w:keepLines w:val="0"/>
      <w:widowControl w:val="0"/>
      <w:numPr>
        <w:ilvl w:val="3"/>
        <w:numId w:val="8"/>
      </w:numPr>
      <w:suppressLineNumbers w:val="0"/>
      <w:adjustRightInd/>
      <w:spacing w:before="50" w:beforeLines="50" w:beforeAutospacing="0" w:after="50" w:afterLines="50" w:afterAutospacing="0" w:line="240" w:lineRule="auto"/>
      <w:ind w:left="0" w:right="0" w:firstLine="0"/>
      <w:jc w:val="both"/>
      <w:outlineLvl w:val="2"/>
    </w:pPr>
    <w:rPr>
      <w:rFonts w:hint="eastAsia" w:ascii="黑体" w:hAnsi="Times New Roman" w:eastAsia="黑体" w:cs="Times New Roman"/>
      <w:kern w:val="0"/>
      <w:sz w:val="21"/>
      <w:szCs w:val="20"/>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9</Pages>
  <Words>4230</Words>
  <Characters>4740</Characters>
  <Lines>1</Lines>
  <Paragraphs>1</Paragraphs>
  <TotalTime>0</TotalTime>
  <ScaleCrop>false</ScaleCrop>
  <LinksUpToDate>false</LinksUpToDate>
  <CharactersWithSpaces>4819</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2019-01-21T14:47:00Z</dcterms:created>
  <dc:creator>刘华</dc:creator>
  <cp:lastModifiedBy>chenz</cp:lastModifiedBy>
  <cp:lastPrinted>2018-09-04T17:00:00Z</cp:lastPrinted>
  <dcterms:modified xsi:type="dcterms:W3CDTF">2025-07-29T08:01:54Z</dcterms:modified>
  <dc:title>《电容器端面用无铅锡基喷金线》标准编制说明</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KSOTemplateDocerSaveRecord">
    <vt:lpwstr>eyJoZGlkIjoiN2YzYTgxNGJlMGNmNjRjZmIyMTYxYWY2YWIwMmU3NzMifQ==</vt:lpwstr>
  </property>
  <property fmtid="{D5CDD505-2E9C-101B-9397-08002B2CF9AE}" pid="4" name="ICV">
    <vt:lpwstr>B1F234ED414A4CFE9B744D7BF810E43A_13</vt:lpwstr>
  </property>
</Properties>
</file>