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1CEAE">
      <w:pPr>
        <w:spacing w:line="500" w:lineRule="exact"/>
        <w:jc w:val="center"/>
        <w:rPr>
          <w:rFonts w:hint="default" w:ascii="Times New Roman" w:hAnsi="Times New Roman" w:eastAsia="黑体" w:cs="Times New Roman"/>
          <w:sz w:val="32"/>
          <w:szCs w:val="28"/>
        </w:rPr>
      </w:pPr>
      <w:r>
        <w:rPr>
          <w:rFonts w:hint="default" w:ascii="Times New Roman" w:hAnsi="Times New Roman" w:eastAsia="黑体" w:cs="Times New Roman"/>
          <w:sz w:val="32"/>
          <w:szCs w:val="28"/>
        </w:rPr>
        <w:t>《餐饮食品加工环境卫生评价指南》团体标准</w:t>
      </w:r>
    </w:p>
    <w:p w14:paraId="47EE9CB1">
      <w:pPr>
        <w:spacing w:line="500" w:lineRule="exact"/>
        <w:jc w:val="center"/>
        <w:rPr>
          <w:rFonts w:hint="default" w:ascii="Times New Roman" w:hAnsi="Times New Roman" w:eastAsia="黑体" w:cs="Times New Roman"/>
          <w:sz w:val="32"/>
          <w:szCs w:val="28"/>
        </w:rPr>
      </w:pPr>
      <w:r>
        <w:rPr>
          <w:rFonts w:hint="default" w:ascii="Times New Roman" w:hAnsi="Times New Roman" w:eastAsia="黑体" w:cs="Times New Roman"/>
          <w:sz w:val="32"/>
          <w:szCs w:val="28"/>
        </w:rPr>
        <w:t>编制说明</w:t>
      </w:r>
    </w:p>
    <w:p w14:paraId="24963247">
      <w:pPr>
        <w:spacing w:line="360" w:lineRule="auto"/>
        <w:rPr>
          <w:rFonts w:hint="default" w:ascii="Times New Roman" w:hAnsi="Times New Roman" w:eastAsia="黑体" w:cs="Times New Roman"/>
          <w:szCs w:val="21"/>
        </w:rPr>
      </w:pPr>
    </w:p>
    <w:p w14:paraId="3D75396F">
      <w:pPr>
        <w:shd w:val="clear"/>
        <w:spacing w:line="360" w:lineRule="auto"/>
        <w:rPr>
          <w:rFonts w:hint="default" w:ascii="Times New Roman" w:hAnsi="Times New Roman" w:eastAsia="黑体" w:cs="Times New Roman"/>
          <w:sz w:val="24"/>
          <w:highlight w:val="yellow"/>
        </w:rPr>
      </w:pPr>
      <w:r>
        <w:rPr>
          <w:rFonts w:hint="default" w:ascii="Times New Roman" w:hAnsi="Times New Roman" w:eastAsia="黑体" w:cs="Times New Roman"/>
          <w:sz w:val="24"/>
          <w:highlight w:val="none"/>
          <w:shd w:val="clear"/>
        </w:rPr>
        <w:t>一、任务来源及工作过程</w:t>
      </w:r>
    </w:p>
    <w:p w14:paraId="2979B425">
      <w:pPr>
        <w:spacing w:line="360" w:lineRule="auto"/>
        <w:ind w:firstLine="480" w:firstLineChars="200"/>
        <w:rPr>
          <w:rFonts w:hint="default" w:ascii="Times New Roman" w:hAnsi="Times New Roman" w:cs="Times New Roman"/>
          <w:sz w:val="24"/>
        </w:rPr>
      </w:pPr>
      <w:bookmarkStart w:id="0" w:name="OLE_LINK6"/>
      <w:r>
        <w:rPr>
          <w:rFonts w:hint="default" w:ascii="Times New Roman" w:hAnsi="Times New Roman" w:cs="Times New Roman"/>
          <w:sz w:val="24"/>
        </w:rPr>
        <w:t>根据四川省食品生产经营安全协会《关于对</w:t>
      </w:r>
      <w:bookmarkStart w:id="1" w:name="OLE_LINK4"/>
      <w:bookmarkStart w:id="2" w:name="OLE_LINK5"/>
      <w:r>
        <w:rPr>
          <w:rFonts w:hint="eastAsia" w:cs="Times New Roman"/>
          <w:sz w:val="24"/>
          <w:lang w:val="en-US" w:eastAsia="zh-CN"/>
        </w:rPr>
        <w:t>&lt;</w:t>
      </w:r>
      <w:r>
        <w:rPr>
          <w:rFonts w:hint="default" w:ascii="Times New Roman" w:hAnsi="Times New Roman" w:cs="Times New Roman"/>
          <w:sz w:val="24"/>
        </w:rPr>
        <w:t>餐饮食品加工环境卫生评价指南</w:t>
      </w:r>
      <w:bookmarkEnd w:id="1"/>
      <w:r>
        <w:rPr>
          <w:rFonts w:hint="default" w:ascii="Times New Roman" w:hAnsi="Times New Roman" w:cs="Times New Roman"/>
          <w:sz w:val="24"/>
        </w:rPr>
        <w:t>制订立项申请书</w:t>
      </w:r>
      <w:bookmarkEnd w:id="2"/>
      <w:r>
        <w:rPr>
          <w:rFonts w:hint="eastAsia" w:cs="Times New Roman"/>
          <w:sz w:val="24"/>
          <w:lang w:val="en-US" w:eastAsia="zh-CN"/>
        </w:rPr>
        <w:t>&gt;</w:t>
      </w:r>
      <w:r>
        <w:rPr>
          <w:rFonts w:hint="default" w:ascii="Times New Roman" w:hAnsi="Times New Roman" w:cs="Times New Roman"/>
          <w:sz w:val="24"/>
        </w:rPr>
        <w:t>进行公示的通知》</w:t>
      </w:r>
      <w:bookmarkEnd w:id="0"/>
      <w:r>
        <w:rPr>
          <w:rFonts w:hint="default" w:ascii="Times New Roman" w:hAnsi="Times New Roman" w:cs="Times New Roman"/>
          <w:sz w:val="24"/>
        </w:rPr>
        <w:t>，《餐饮食品加工环境卫生评价指南》团体标准予以立项，由四川省食品检验研究院牵头、四川省食品生产经营安全协会、四川省市场监督管理局餐饮服务食品监督管理处</w:t>
      </w:r>
      <w:r>
        <w:rPr>
          <w:rFonts w:hint="eastAsia" w:cs="Times New Roman"/>
          <w:sz w:val="24"/>
          <w:lang w:val="en-US" w:eastAsia="zh-CN"/>
        </w:rPr>
        <w:t>、</w:t>
      </w:r>
      <w:r>
        <w:rPr>
          <w:rFonts w:hint="default" w:ascii="Times New Roman" w:hAnsi="Times New Roman" w:cs="Times New Roman"/>
          <w:sz w:val="24"/>
        </w:rPr>
        <w:t>成</w:t>
      </w:r>
      <w:bookmarkStart w:id="36" w:name="_GoBack"/>
      <w:bookmarkEnd w:id="36"/>
      <w:r>
        <w:rPr>
          <w:rFonts w:hint="default" w:ascii="Times New Roman" w:hAnsi="Times New Roman" w:cs="Times New Roman"/>
          <w:sz w:val="24"/>
        </w:rPr>
        <w:t>都市高新区市场监督管理局等承担起草。</w:t>
      </w:r>
    </w:p>
    <w:p w14:paraId="32974FE8">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2024年10月</w:t>
      </w:r>
      <w:r>
        <w:rPr>
          <w:rFonts w:hint="eastAsia" w:cs="Times New Roman"/>
          <w:sz w:val="24"/>
          <w:lang w:eastAsia="zh-CN"/>
        </w:rPr>
        <w:t>—</w:t>
      </w:r>
      <w:r>
        <w:rPr>
          <w:rFonts w:hint="default" w:ascii="Times New Roman" w:hAnsi="Times New Roman" w:cs="Times New Roman"/>
          <w:sz w:val="24"/>
        </w:rPr>
        <w:t>2025年</w:t>
      </w:r>
      <w:r>
        <w:rPr>
          <w:rFonts w:hint="default" w:ascii="Times New Roman" w:hAnsi="Times New Roman" w:cs="Times New Roman"/>
          <w:sz w:val="24"/>
          <w:lang w:val="en-US" w:eastAsia="zh-CN"/>
        </w:rPr>
        <w:t>6</w:t>
      </w:r>
      <w:r>
        <w:rPr>
          <w:rFonts w:hint="default" w:ascii="Times New Roman" w:hAnsi="Times New Roman" w:cs="Times New Roman"/>
          <w:sz w:val="24"/>
        </w:rPr>
        <w:t>月，起草组研讨确定了本标准的定位和适用性，讨论初步技术路线，形成了标准稿。</w:t>
      </w:r>
    </w:p>
    <w:p w14:paraId="7F30779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202</w:t>
      </w:r>
      <w:r>
        <w:rPr>
          <w:rFonts w:hint="eastAsia" w:cs="Times New Roman"/>
          <w:sz w:val="24"/>
          <w:lang w:val="en-US" w:eastAsia="zh-CN"/>
        </w:rPr>
        <w:t>6</w:t>
      </w:r>
      <w:r>
        <w:rPr>
          <w:rFonts w:hint="default" w:ascii="Times New Roman" w:hAnsi="Times New Roman" w:cs="Times New Roman"/>
          <w:sz w:val="24"/>
        </w:rPr>
        <w:t>年</w:t>
      </w:r>
      <w:r>
        <w:rPr>
          <w:rFonts w:hint="default" w:ascii="Times New Roman" w:hAnsi="Times New Roman" w:cs="Times New Roman"/>
          <w:sz w:val="24"/>
          <w:lang w:val="en-US" w:eastAsia="zh-CN"/>
        </w:rPr>
        <w:t>xx</w:t>
      </w:r>
      <w:r>
        <w:rPr>
          <w:rFonts w:hint="default" w:ascii="Times New Roman" w:hAnsi="Times New Roman" w:cs="Times New Roman"/>
          <w:sz w:val="24"/>
        </w:rPr>
        <w:t>月</w:t>
      </w:r>
      <w:r>
        <w:rPr>
          <w:rFonts w:hint="default" w:ascii="Times New Roman" w:hAnsi="Times New Roman" w:cs="Times New Roman"/>
          <w:sz w:val="24"/>
          <w:lang w:val="en-US" w:eastAsia="zh-CN"/>
        </w:rPr>
        <w:t>xx</w:t>
      </w:r>
      <w:r>
        <w:rPr>
          <w:rFonts w:hint="default" w:ascii="Times New Roman" w:hAnsi="Times New Roman" w:cs="Times New Roman"/>
          <w:sz w:val="24"/>
        </w:rPr>
        <w:t>日，四川省食品生产经营安全协会召开《餐饮食品加工环境卫生评价指南》团体标准评审会，经过评审最终形成标准报批稿。</w:t>
      </w:r>
    </w:p>
    <w:p w14:paraId="5EB85808">
      <w:pPr>
        <w:spacing w:line="360" w:lineRule="auto"/>
        <w:rPr>
          <w:rFonts w:hint="default" w:ascii="Times New Roman" w:hAnsi="Times New Roman" w:eastAsia="黑体" w:cs="Times New Roman"/>
          <w:sz w:val="24"/>
          <w:highlight w:val="yellow"/>
        </w:rPr>
      </w:pPr>
      <w:r>
        <w:rPr>
          <w:rFonts w:hint="default" w:ascii="Times New Roman" w:hAnsi="Times New Roman" w:eastAsia="黑体" w:cs="Times New Roman"/>
          <w:sz w:val="24"/>
          <w:highlight w:val="none"/>
        </w:rPr>
        <w:t>二、本标准立项的必要性</w:t>
      </w:r>
    </w:p>
    <w:p w14:paraId="776B9CF5">
      <w:pPr>
        <w:spacing w:line="360" w:lineRule="auto"/>
        <w:ind w:firstLine="480" w:firstLineChars="200"/>
        <w:rPr>
          <w:rFonts w:hint="default" w:ascii="Times New Roman" w:hAnsi="Times New Roman" w:cs="Times New Roman"/>
          <w:sz w:val="24"/>
          <w:lang w:eastAsia="zh-CN"/>
        </w:rPr>
      </w:pPr>
      <w:r>
        <w:rPr>
          <w:rFonts w:hint="eastAsia" w:cs="Times New Roman"/>
          <w:sz w:val="24"/>
          <w:lang w:val="en-US" w:eastAsia="zh-CN"/>
        </w:rPr>
        <w:t>“</w:t>
      </w:r>
      <w:r>
        <w:rPr>
          <w:rFonts w:hint="default" w:ascii="Times New Roman" w:hAnsi="Times New Roman" w:cs="Times New Roman"/>
          <w:sz w:val="24"/>
          <w:lang w:val="en-US" w:eastAsia="zh-CN"/>
        </w:rPr>
        <w:t>民以食为天，食以安为先</w:t>
      </w:r>
      <w:r>
        <w:rPr>
          <w:rFonts w:hint="eastAsia" w:cs="Times New Roman"/>
          <w:sz w:val="24"/>
          <w:lang w:val="en-US" w:eastAsia="zh-CN"/>
        </w:rPr>
        <w:t>”</w:t>
      </w:r>
      <w:r>
        <w:rPr>
          <w:rFonts w:hint="default" w:ascii="Times New Roman" w:hAnsi="Times New Roman" w:cs="Times New Roman"/>
          <w:sz w:val="24"/>
          <w:lang w:val="en-US" w:eastAsia="zh-CN"/>
        </w:rPr>
        <w:t>，餐饮食品安全是</w:t>
      </w:r>
      <w:r>
        <w:rPr>
          <w:rFonts w:hint="eastAsia" w:cs="Times New Roman"/>
          <w:sz w:val="24"/>
          <w:lang w:val="en-US" w:eastAsia="zh-CN"/>
        </w:rPr>
        <w:t>“</w:t>
      </w:r>
      <w:r>
        <w:rPr>
          <w:rFonts w:hint="default" w:ascii="Times New Roman" w:hAnsi="Times New Roman" w:cs="Times New Roman"/>
          <w:sz w:val="24"/>
          <w:lang w:val="en-US" w:eastAsia="zh-CN"/>
        </w:rPr>
        <w:t>健康中国</w:t>
      </w:r>
      <w:r>
        <w:rPr>
          <w:rFonts w:hint="eastAsia" w:cs="Times New Roman"/>
          <w:sz w:val="24"/>
          <w:lang w:val="en-US" w:eastAsia="zh-CN"/>
        </w:rPr>
        <w:t>”</w:t>
      </w:r>
      <w:r>
        <w:rPr>
          <w:rFonts w:hint="default" w:ascii="Times New Roman" w:hAnsi="Times New Roman" w:cs="Times New Roman"/>
          <w:sz w:val="24"/>
          <w:lang w:val="en-US" w:eastAsia="zh-CN"/>
        </w:rPr>
        <w:t>的重要内容，越来越受到老百姓广泛关注。</w:t>
      </w:r>
      <w:r>
        <w:rPr>
          <w:rFonts w:hint="default" w:ascii="Times New Roman" w:hAnsi="Times New Roman" w:cs="Times New Roman"/>
          <w:sz w:val="24"/>
        </w:rPr>
        <w:t>现阶段餐饮食品标准体系建设方面，我国餐饮业管理主要遵循GB 31654-2021《食品安全国家标准 餐饮服务通用卫生规范》、GB/T 27306-2008《食品安全管理体系 餐饮业要求》等标准，这些标准主要侧重于提出餐饮</w:t>
      </w:r>
      <w:r>
        <w:rPr>
          <w:rFonts w:hint="eastAsia" w:cs="Times New Roman"/>
          <w:sz w:val="24"/>
          <w:lang w:val="en-US" w:eastAsia="zh-CN"/>
        </w:rPr>
        <w:t>加工</w:t>
      </w:r>
      <w:r>
        <w:rPr>
          <w:rFonts w:hint="default" w:ascii="Times New Roman" w:hAnsi="Times New Roman" w:cs="Times New Roman"/>
          <w:sz w:val="24"/>
        </w:rPr>
        <w:t>各环节规范性要求。</w:t>
      </w:r>
      <w:r>
        <w:rPr>
          <w:rFonts w:hint="default" w:ascii="Times New Roman" w:hAnsi="Times New Roman" w:cs="Times New Roman"/>
          <w:sz w:val="24"/>
          <w:lang w:eastAsia="zh-CN"/>
        </w:rPr>
        <w:t>除此之外，</w:t>
      </w:r>
      <w:r>
        <w:rPr>
          <w:rFonts w:hint="default" w:ascii="Times New Roman" w:hAnsi="Times New Roman" w:cs="Times New Roman"/>
          <w:sz w:val="24"/>
          <w:lang w:val="en-US" w:eastAsia="zh-CN"/>
        </w:rPr>
        <w:t>餐饮食品是导致各类食物中毒和食源性疾病发生的主要原因，且由交叉污染、误食误用、加工不当、原料变质、存储不当导致的食品污染是影响餐饮食品安全的主要因素。</w:t>
      </w:r>
    </w:p>
    <w:p w14:paraId="67511AD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因此，该标准的制定既填补了餐饮食品加工环境卫生缺乏相适应标准的空白，又为餐饮食品加工环境如何采样、检测、结果分析、风险研判提供了可操作借鉴的方法，有利于餐饮服务行业长远发展和行政部门的科学监管</w:t>
      </w:r>
      <w:r>
        <w:rPr>
          <w:rFonts w:hint="default" w:ascii="Times New Roman" w:hAnsi="Times New Roman" w:cs="Times New Roman"/>
          <w:sz w:val="24"/>
          <w:lang w:eastAsia="zh-CN"/>
        </w:rPr>
        <w:t>，从而保障我国餐饮食品行业的安全可靠性</w:t>
      </w:r>
      <w:r>
        <w:rPr>
          <w:rFonts w:hint="default" w:ascii="Times New Roman" w:hAnsi="Times New Roman" w:cs="Times New Roman"/>
          <w:sz w:val="24"/>
        </w:rPr>
        <w:t>。</w:t>
      </w:r>
    </w:p>
    <w:p w14:paraId="14BA7AEB">
      <w:pPr>
        <w:spacing w:line="360" w:lineRule="auto"/>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三、确定主要技术指标的依据</w:t>
      </w:r>
    </w:p>
    <w:p w14:paraId="0A1F4D35">
      <w:pPr>
        <w:spacing w:line="360" w:lineRule="auto"/>
        <w:ind w:firstLine="480" w:firstLineChars="200"/>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none"/>
        </w:rPr>
        <w:t>本标准制定的主要依据有GB 31654-2021《食品安全国家标准 餐饮服务通用卫生规范》、</w:t>
      </w:r>
      <w:bookmarkStart w:id="3" w:name="OLE_LINK8"/>
      <w:r>
        <w:rPr>
          <w:rFonts w:hint="default" w:ascii="Times New Roman" w:hAnsi="Times New Roman" w:cs="Times New Roman"/>
          <w:color w:val="auto"/>
          <w:sz w:val="24"/>
          <w:highlight w:val="none"/>
        </w:rPr>
        <w:t>GB/T 27306-2008《食品安全管理体系 餐饮业要求》</w:t>
      </w:r>
      <w:bookmarkEnd w:id="3"/>
      <w:r>
        <w:rPr>
          <w:rFonts w:hint="default" w:ascii="Times New Roman" w:hAnsi="Times New Roman" w:cs="Times New Roman"/>
          <w:color w:val="auto"/>
          <w:sz w:val="24"/>
          <w:highlight w:val="none"/>
        </w:rPr>
        <w:t>、GB 14881</w:t>
      </w:r>
      <w:r>
        <w:rPr>
          <w:rFonts w:hint="default" w:ascii="Times New Roman" w:hAnsi="Times New Roman" w:cs="Times New Roman"/>
          <w:color w:val="auto"/>
          <w:sz w:val="24"/>
          <w:highlight w:val="none"/>
          <w:lang w:val="en-US" w:eastAsia="zh-CN"/>
        </w:rPr>
        <w:t>-2013</w:t>
      </w:r>
      <w:r>
        <w:rPr>
          <w:rFonts w:hint="default" w:ascii="Times New Roman" w:hAnsi="Times New Roman" w:cs="Times New Roman"/>
          <w:color w:val="auto"/>
          <w:sz w:val="24"/>
          <w:highlight w:val="none"/>
        </w:rPr>
        <w:t>《食品安全国家标准 食品生产通用卫生规范》</w:t>
      </w:r>
      <w:r>
        <w:rPr>
          <w:rFonts w:hint="default" w:ascii="Times New Roman" w:hAnsi="Times New Roman" w:cs="Times New Roman"/>
          <w:color w:val="auto"/>
          <w:sz w:val="24"/>
          <w:highlight w:val="none"/>
          <w:lang w:eastAsia="zh-CN"/>
        </w:rPr>
        <w:t>、</w:t>
      </w:r>
      <w:bookmarkStart w:id="4" w:name="OLE_LINK23"/>
      <w:r>
        <w:rPr>
          <w:rFonts w:hint="default" w:ascii="Times New Roman" w:hAnsi="Times New Roman" w:cs="Times New Roman"/>
          <w:color w:val="auto"/>
          <w:sz w:val="24"/>
          <w:highlight w:val="none"/>
          <w:lang w:val="en-US" w:eastAsia="zh-CN"/>
        </w:rPr>
        <w:t>DBS 44/006-2024</w:t>
      </w:r>
      <w:bookmarkEnd w:id="4"/>
      <w:r>
        <w:rPr>
          <w:rFonts w:hint="default" w:ascii="Times New Roman" w:hAnsi="Times New Roman" w:cs="Times New Roman"/>
          <w:color w:val="auto"/>
          <w:sz w:val="24"/>
          <w:highlight w:val="none"/>
          <w:lang w:val="en-US" w:eastAsia="zh-CN"/>
        </w:rPr>
        <w:t>《餐饮服务非预包装即食食品 微生物限量》</w:t>
      </w:r>
      <w:r>
        <w:rPr>
          <w:rFonts w:hint="default" w:ascii="Times New Roman" w:hAnsi="Times New Roman" w:cs="Times New Roman"/>
          <w:color w:val="auto"/>
          <w:sz w:val="24"/>
          <w:highlight w:val="none"/>
        </w:rPr>
        <w:t>等。</w:t>
      </w:r>
    </w:p>
    <w:p w14:paraId="3CBDAA9E">
      <w:pPr>
        <w:spacing w:line="360" w:lineRule="auto"/>
        <w:ind w:firstLine="480" w:firstLineChars="200"/>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none"/>
        </w:rPr>
        <w:t>（一）标准名称</w:t>
      </w:r>
    </w:p>
    <w:p w14:paraId="15DD5801">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rPr>
        <w:t>本团体标准名称为根据四川省食品生产经营安全协会《关于对</w:t>
      </w:r>
      <w:bookmarkStart w:id="5" w:name="OLE_LINK7"/>
      <w:r>
        <w:rPr>
          <w:rFonts w:hint="eastAsia" w:cs="Times New Roman"/>
          <w:sz w:val="24"/>
          <w:lang w:val="en-US" w:eastAsia="zh-CN"/>
        </w:rPr>
        <w:t>&lt;</w:t>
      </w:r>
      <w:r>
        <w:rPr>
          <w:rFonts w:hint="default" w:ascii="Times New Roman" w:hAnsi="Times New Roman" w:cs="Times New Roman"/>
          <w:sz w:val="24"/>
        </w:rPr>
        <w:t>餐饮食品加工环境卫生评价指南</w:t>
      </w:r>
      <w:bookmarkEnd w:id="5"/>
      <w:r>
        <w:rPr>
          <w:rFonts w:hint="default" w:ascii="Times New Roman" w:hAnsi="Times New Roman" w:cs="Times New Roman"/>
          <w:sz w:val="24"/>
        </w:rPr>
        <w:t>制订立项申请书</w:t>
      </w:r>
      <w:r>
        <w:rPr>
          <w:rFonts w:hint="eastAsia" w:cs="Times New Roman"/>
          <w:sz w:val="24"/>
          <w:lang w:val="en-US" w:eastAsia="zh-CN"/>
        </w:rPr>
        <w:t>&gt;</w:t>
      </w:r>
      <w:r>
        <w:rPr>
          <w:rFonts w:hint="default" w:ascii="Times New Roman" w:hAnsi="Times New Roman" w:cs="Times New Roman"/>
          <w:sz w:val="24"/>
        </w:rPr>
        <w:t>进行公示的通知》中的立项名称——《餐饮</w:t>
      </w:r>
      <w:r>
        <w:rPr>
          <w:rFonts w:hint="default" w:ascii="Times New Roman" w:hAnsi="Times New Roman" w:cs="Times New Roman"/>
          <w:sz w:val="24"/>
          <w:highlight w:val="none"/>
        </w:rPr>
        <w:t>食品加工环境卫生评价指南》。</w:t>
      </w:r>
    </w:p>
    <w:p w14:paraId="36ABC45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（二）标准适用范围</w:t>
      </w:r>
    </w:p>
    <w:p w14:paraId="7F3EC58D">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本</w:t>
      </w:r>
      <w:r>
        <w:rPr>
          <w:rFonts w:hint="default" w:ascii="Times New Roman" w:hAnsi="Times New Roman" w:cs="Times New Roman"/>
          <w:sz w:val="24"/>
          <w:highlight w:val="none"/>
          <w:lang w:eastAsia="zh-CN"/>
        </w:rPr>
        <w:t>标准</w:t>
      </w:r>
      <w:r>
        <w:rPr>
          <w:rFonts w:hint="default" w:ascii="Times New Roman" w:hAnsi="Times New Roman" w:cs="Times New Roman"/>
          <w:sz w:val="24"/>
          <w:highlight w:val="none"/>
          <w:lang w:val="en-US" w:eastAsia="zh-CN"/>
        </w:rPr>
        <w:t>适用范围明确</w:t>
      </w:r>
      <w:r>
        <w:rPr>
          <w:rFonts w:hint="default" w:ascii="Times New Roman" w:hAnsi="Times New Roman" w:cs="Times New Roman"/>
          <w:sz w:val="24"/>
          <w:highlight w:val="none"/>
        </w:rPr>
        <w:t>规定了</w:t>
      </w:r>
      <w:r>
        <w:rPr>
          <w:rFonts w:hint="default" w:ascii="Times New Roman" w:hAnsi="Times New Roman" w:cs="Times New Roman"/>
          <w:sz w:val="24"/>
          <w:highlight w:val="none"/>
          <w:lang w:val="en-US" w:eastAsia="zh-CN"/>
        </w:rPr>
        <w:t>3</w:t>
      </w:r>
      <w:r>
        <w:rPr>
          <w:rFonts w:hint="default" w:ascii="Times New Roman" w:hAnsi="Times New Roman" w:cs="Times New Roman"/>
          <w:sz w:val="24"/>
          <w:highlight w:val="none"/>
        </w:rPr>
        <w:t>.1所定义的食品加工及服务机构</w:t>
      </w:r>
      <w:r>
        <w:rPr>
          <w:rFonts w:hint="eastAsia" w:cs="Times New Roman"/>
          <w:sz w:val="24"/>
          <w:highlight w:val="none"/>
          <w:lang w:val="en-US" w:eastAsia="zh-CN"/>
        </w:rPr>
        <w:t>食品加工</w:t>
      </w:r>
      <w:r>
        <w:rPr>
          <w:rFonts w:hint="default" w:ascii="Times New Roman" w:hAnsi="Times New Roman" w:cs="Times New Roman"/>
          <w:sz w:val="24"/>
          <w:highlight w:val="none"/>
          <w:lang w:val="en-US" w:eastAsia="zh-CN"/>
        </w:rPr>
        <w:t>环境卫生监测和评价</w:t>
      </w:r>
      <w:r>
        <w:rPr>
          <w:rFonts w:hint="default" w:ascii="Times New Roman" w:hAnsi="Times New Roman" w:cs="Times New Roman"/>
          <w:sz w:val="24"/>
          <w:highlight w:val="none"/>
          <w:lang w:eastAsia="zh-CN"/>
        </w:rPr>
        <w:t>。</w:t>
      </w:r>
    </w:p>
    <w:p w14:paraId="069E8891">
      <w:pPr>
        <w:spacing w:line="360" w:lineRule="auto"/>
        <w:ind w:firstLine="480" w:firstLineChars="200"/>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none"/>
        </w:rPr>
        <w:t>（三）术语和定义</w:t>
      </w:r>
    </w:p>
    <w:p w14:paraId="7178B20F">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eastAsia="zh-CN"/>
        </w:rPr>
        <w:t>根据</w:t>
      </w:r>
      <w:bookmarkStart w:id="6" w:name="OLE_LINK11"/>
      <w:bookmarkStart w:id="7" w:name="OLE_LINK12"/>
      <w:r>
        <w:rPr>
          <w:rFonts w:hint="default" w:ascii="Times New Roman" w:hAnsi="Times New Roman" w:cs="Times New Roman"/>
          <w:sz w:val="24"/>
          <w:lang w:val="en-US" w:eastAsia="zh-CN"/>
        </w:rPr>
        <w:t>GB 31654</w:t>
      </w:r>
      <w:bookmarkEnd w:id="6"/>
      <w:r>
        <w:rPr>
          <w:rFonts w:hint="default" w:ascii="Times New Roman" w:hAnsi="Times New Roman" w:cs="Times New Roman"/>
          <w:sz w:val="24"/>
          <w:lang w:val="en-US" w:eastAsia="zh-CN"/>
        </w:rPr>
        <w:t>-2021</w:t>
      </w:r>
      <w:bookmarkEnd w:id="7"/>
      <w:r>
        <w:rPr>
          <w:rFonts w:hint="default" w:ascii="Times New Roman" w:hAnsi="Times New Roman" w:cs="Times New Roman"/>
          <w:sz w:val="24"/>
          <w:lang w:val="en-US" w:eastAsia="zh-CN"/>
        </w:rPr>
        <w:t>、</w:t>
      </w:r>
      <w:bookmarkStart w:id="8" w:name="OLE_LINK14"/>
      <w:r>
        <w:rPr>
          <w:rFonts w:hint="default" w:ascii="Times New Roman" w:hAnsi="Times New Roman" w:cs="Times New Roman"/>
          <w:sz w:val="24"/>
          <w:lang w:val="en-US" w:eastAsia="zh-CN"/>
        </w:rPr>
        <w:t>GB/T 27306-2008</w:t>
      </w:r>
      <w:bookmarkEnd w:id="8"/>
      <w:r>
        <w:rPr>
          <w:rFonts w:hint="default" w:ascii="Times New Roman" w:hAnsi="Times New Roman" w:cs="Times New Roman"/>
          <w:sz w:val="24"/>
          <w:lang w:val="en-US" w:eastAsia="zh-CN"/>
        </w:rPr>
        <w:t>、</w:t>
      </w:r>
      <w:bookmarkStart w:id="9" w:name="OLE_LINK33"/>
      <w:r>
        <w:rPr>
          <w:rFonts w:hint="default" w:ascii="Times New Roman" w:hAnsi="Times New Roman" w:cs="Times New Roman"/>
          <w:sz w:val="24"/>
          <w:lang w:val="en-US" w:eastAsia="zh-CN"/>
        </w:rPr>
        <w:t>GB 14881-2013</w:t>
      </w:r>
      <w:bookmarkEnd w:id="9"/>
      <w:r>
        <w:rPr>
          <w:rFonts w:hint="eastAsia" w:cs="Times New Roman"/>
          <w:sz w:val="24"/>
          <w:lang w:val="en-US" w:eastAsia="zh-CN"/>
        </w:rPr>
        <w:t>中</w:t>
      </w:r>
      <w:r>
        <w:rPr>
          <w:rFonts w:hint="default" w:ascii="Times New Roman" w:hAnsi="Times New Roman" w:cs="Times New Roman"/>
          <w:sz w:val="24"/>
          <w:lang w:val="en-US" w:eastAsia="zh-CN"/>
        </w:rPr>
        <w:t>餐饮服务场所、专间、区域卫生要求等内容，同时参照</w:t>
      </w:r>
      <w:bookmarkStart w:id="10" w:name="OLE_LINK17"/>
      <w:bookmarkStart w:id="11" w:name="OLE_LINK10"/>
      <w:r>
        <w:rPr>
          <w:rFonts w:hint="default" w:ascii="Times New Roman" w:hAnsi="Times New Roman" w:cs="Times New Roman"/>
          <w:sz w:val="24"/>
          <w:lang w:val="en-US" w:eastAsia="zh-CN"/>
        </w:rPr>
        <w:t>国家市场监督管理总局</w:t>
      </w:r>
      <w:bookmarkStart w:id="12" w:name="OLE_LINK64"/>
      <w:r>
        <w:rPr>
          <w:rFonts w:hint="default" w:ascii="Times New Roman" w:hAnsi="Times New Roman" w:cs="Times New Roman"/>
          <w:sz w:val="24"/>
          <w:lang w:val="en-US" w:eastAsia="zh-CN"/>
        </w:rPr>
        <w:t>〔2018〕</w:t>
      </w:r>
      <w:bookmarkEnd w:id="12"/>
      <w:r>
        <w:rPr>
          <w:rFonts w:hint="default" w:ascii="Times New Roman" w:hAnsi="Times New Roman" w:cs="Times New Roman"/>
          <w:sz w:val="24"/>
          <w:lang w:val="en-US" w:eastAsia="zh-CN"/>
        </w:rPr>
        <w:t>12号《餐饮服务食品安全操作规范》</w:t>
      </w:r>
      <w:bookmarkEnd w:id="10"/>
      <w:bookmarkEnd w:id="11"/>
      <w:r>
        <w:rPr>
          <w:rFonts w:hint="default" w:ascii="Times New Roman" w:hAnsi="Times New Roman" w:cs="Times New Roman"/>
          <w:sz w:val="24"/>
          <w:lang w:val="en-US" w:eastAsia="zh-CN"/>
        </w:rPr>
        <w:t>，对本标准的相关术语定义及说明如下：</w:t>
      </w:r>
    </w:p>
    <w:p w14:paraId="0F8C5908">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（1）</w:t>
      </w:r>
      <w:bookmarkStart w:id="13" w:name="OLE_LINK15"/>
      <w:r>
        <w:rPr>
          <w:rFonts w:hint="default" w:ascii="Times New Roman" w:hAnsi="Times New Roman" w:cs="Times New Roman"/>
          <w:sz w:val="24"/>
          <w:lang w:val="en-US" w:eastAsia="zh-CN"/>
        </w:rPr>
        <w:t>食</w:t>
      </w:r>
      <w:r>
        <w:rPr>
          <w:rFonts w:hint="default" w:ascii="Times New Roman" w:hAnsi="Times New Roman" w:cs="Times New Roman"/>
          <w:sz w:val="24"/>
          <w:lang w:eastAsia="zh-CN"/>
        </w:rPr>
        <w:t>品加工及服务机构：通过即时加工制作、商业销售和服务性劳动等，向消费者提供食品、消费场所及设施的食品加工、销售和消费服务的机构，包括集体用餐配送单位和食堂。</w:t>
      </w:r>
      <w:r>
        <w:rPr>
          <w:rFonts w:hint="default" w:ascii="Times New Roman" w:hAnsi="Times New Roman" w:cs="Times New Roman"/>
          <w:sz w:val="24"/>
          <w:lang w:val="en-US" w:eastAsia="zh-CN"/>
        </w:rPr>
        <w:t>此定义参照</w:t>
      </w:r>
      <w:bookmarkStart w:id="14" w:name="OLE_LINK21"/>
      <w:r>
        <w:rPr>
          <w:rFonts w:hint="default" w:ascii="Times New Roman" w:hAnsi="Times New Roman" w:cs="Times New Roman"/>
          <w:sz w:val="24"/>
          <w:lang w:val="en-US" w:eastAsia="zh-CN"/>
        </w:rPr>
        <w:t>GB 31654-2021</w:t>
      </w:r>
      <w:bookmarkEnd w:id="14"/>
      <w:r>
        <w:rPr>
          <w:rFonts w:hint="default" w:ascii="Times New Roman" w:hAnsi="Times New Roman" w:cs="Times New Roman"/>
          <w:sz w:val="24"/>
          <w:lang w:val="en-US" w:eastAsia="zh-CN"/>
        </w:rPr>
        <w:t xml:space="preserve">对餐饮服务和GB/T </w:t>
      </w:r>
      <w:bookmarkStart w:id="15" w:name="OLE_LINK9"/>
      <w:r>
        <w:rPr>
          <w:rFonts w:hint="default" w:ascii="Times New Roman" w:hAnsi="Times New Roman" w:cs="Times New Roman"/>
          <w:sz w:val="24"/>
          <w:lang w:val="en-US" w:eastAsia="zh-CN"/>
        </w:rPr>
        <w:t>27306</w:t>
      </w:r>
      <w:bookmarkEnd w:id="15"/>
      <w:r>
        <w:rPr>
          <w:rFonts w:hint="default" w:ascii="Times New Roman" w:hAnsi="Times New Roman" w:cs="Times New Roman"/>
          <w:sz w:val="24"/>
          <w:lang w:val="en-US" w:eastAsia="zh-CN"/>
        </w:rPr>
        <w:t>-2008对餐饮业的定义，结合本标准的具体适用范围</w:t>
      </w:r>
      <w:r>
        <w:rPr>
          <w:rFonts w:hint="eastAsia" w:ascii="Times New Roman" w:hAnsi="Times New Roman" w:cs="Times New Roman"/>
          <w:sz w:val="24"/>
          <w:lang w:val="en-US" w:eastAsia="zh-CN"/>
        </w:rPr>
        <w:t>制定</w:t>
      </w:r>
      <w:r>
        <w:rPr>
          <w:rFonts w:hint="default" w:ascii="Times New Roman" w:hAnsi="Times New Roman" w:cs="Times New Roman"/>
          <w:sz w:val="24"/>
          <w:lang w:val="en-US" w:eastAsia="zh-CN"/>
        </w:rPr>
        <w:t>。</w:t>
      </w:r>
      <w:bookmarkEnd w:id="13"/>
    </w:p>
    <w:p w14:paraId="3E8AFE74">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shd w:val="clear"/>
          <w:lang w:val="en-US" w:eastAsia="zh-CN"/>
        </w:rPr>
        <w:t>（2）食品加工环境卫生评价：是一种采用微生物现场采样和仪器检测相结合，对食品加工过程环境卫生进行多维度食源性致病菌污染风险评价的方法。</w:t>
      </w:r>
      <w:r>
        <w:rPr>
          <w:rFonts w:hint="eastAsia" w:ascii="Times New Roman" w:hAnsi="Times New Roman" w:cs="Times New Roman"/>
          <w:sz w:val="24"/>
          <w:shd w:val="clear"/>
          <w:lang w:val="en-US" w:eastAsia="zh-CN"/>
        </w:rPr>
        <w:t>参照GB 14881-2013、GB/T 27341-2009《危害分析与关键控制点（HACCP）体系 食品生产企业通用要求》及本标准方法内容、目的意义等自行定义。</w:t>
      </w:r>
    </w:p>
    <w:p w14:paraId="21C1E114">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（3）对于清洁操作区、准清洁操作区、一般操作区</w:t>
      </w:r>
      <w:bookmarkStart w:id="16" w:name="OLE_LINK1"/>
      <w:r>
        <w:rPr>
          <w:rFonts w:hint="default" w:ascii="Times New Roman" w:hAnsi="Times New Roman" w:cs="Times New Roman"/>
          <w:sz w:val="24"/>
          <w:lang w:val="en-US" w:eastAsia="zh-CN"/>
        </w:rPr>
        <w:t>的定义，参照《餐饮服务食品安全操作规范》的相关定义及采样实际情况，特别规定备餐间、分餐区、鲜榨果汁、水果拼盘、分餐售卖等为清洁操作区，有生熟食品存在的操作区域为准清洁操作区。</w:t>
      </w:r>
    </w:p>
    <w:p w14:paraId="2D2138A2">
      <w:pPr>
        <w:spacing w:line="360" w:lineRule="auto"/>
        <w:ind w:firstLine="480" w:firstLineChars="200"/>
        <w:rPr>
          <w:rFonts w:hint="default" w:ascii="Times New Roman" w:hAnsi="Times New Roman" w:cs="Times New Roman"/>
          <w:color w:val="auto"/>
          <w:sz w:val="24"/>
          <w:highlight w:val="none"/>
          <w:shd w:val="clear"/>
        </w:rPr>
      </w:pPr>
      <w:r>
        <w:rPr>
          <w:rFonts w:hint="default" w:ascii="Times New Roman" w:hAnsi="Times New Roman" w:cs="Times New Roman"/>
          <w:color w:val="auto"/>
          <w:sz w:val="24"/>
          <w:highlight w:val="none"/>
          <w:shd w:val="clear"/>
        </w:rPr>
        <w:t>（四）</w:t>
      </w:r>
      <w:bookmarkEnd w:id="16"/>
      <w:r>
        <w:rPr>
          <w:rFonts w:hint="default" w:ascii="Times New Roman" w:hAnsi="Times New Roman" w:cs="Times New Roman"/>
          <w:color w:val="auto"/>
          <w:sz w:val="24"/>
          <w:highlight w:val="none"/>
          <w:shd w:val="clear"/>
        </w:rPr>
        <w:t>生物安全措施</w:t>
      </w:r>
    </w:p>
    <w:p w14:paraId="292AE763">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餐饮食品加工环境卫生评价</w:t>
      </w:r>
      <w:r>
        <w:rPr>
          <w:rFonts w:hint="default" w:ascii="Times New Roman" w:hAnsi="Times New Roman" w:cs="Times New Roman"/>
          <w:sz w:val="24"/>
          <w:lang w:val="en-US" w:eastAsia="zh-CN"/>
        </w:rPr>
        <w:t>项目均属于实验室生物检验活动范畴，评价涉及生物安全环节</w:t>
      </w:r>
      <w:r>
        <w:rPr>
          <w:rFonts w:hint="default" w:ascii="Times New Roman" w:hAnsi="Times New Roman" w:cs="Times New Roman"/>
          <w:sz w:val="24"/>
        </w:rPr>
        <w:t>应按照GB 19489</w:t>
      </w:r>
      <w:r>
        <w:rPr>
          <w:rFonts w:hint="default" w:ascii="Times New Roman" w:hAnsi="Times New Roman" w:cs="Times New Roman"/>
          <w:sz w:val="24"/>
          <w:lang w:val="en-US" w:eastAsia="zh-CN"/>
        </w:rPr>
        <w:t>-2008</w:t>
      </w:r>
      <w:r>
        <w:rPr>
          <w:rFonts w:hint="default" w:ascii="Times New Roman" w:hAnsi="Times New Roman" w:cs="Times New Roman"/>
          <w:sz w:val="24"/>
        </w:rPr>
        <w:t>有关规定执行。</w:t>
      </w:r>
    </w:p>
    <w:p w14:paraId="0A0DF46E">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五</w:t>
      </w:r>
      <w:r>
        <w:rPr>
          <w:rFonts w:hint="default" w:ascii="Times New Roman" w:hAnsi="Times New Roman" w:cs="Times New Roman"/>
          <w:sz w:val="24"/>
          <w:lang w:val="en-US" w:eastAsia="zh-CN"/>
        </w:rPr>
        <w:t>）点位</w:t>
      </w:r>
      <w:bookmarkStart w:id="17" w:name="OLE_LINK20"/>
      <w:r>
        <w:rPr>
          <w:rFonts w:hint="default" w:ascii="Times New Roman" w:hAnsi="Times New Roman" w:cs="Times New Roman"/>
          <w:sz w:val="24"/>
          <w:lang w:val="en-US" w:eastAsia="zh-CN"/>
        </w:rPr>
        <w:t>设计</w:t>
      </w:r>
      <w:bookmarkEnd w:id="17"/>
    </w:p>
    <w:p w14:paraId="23FAA55C">
      <w:pPr>
        <w:spacing w:line="360" w:lineRule="auto"/>
        <w:ind w:firstLine="480" w:firstLineChars="200"/>
        <w:rPr>
          <w:rFonts w:hint="default" w:ascii="Times New Roman" w:hAnsi="Times New Roman" w:cs="Times New Roman"/>
          <w:color w:val="auto"/>
          <w:sz w:val="18"/>
          <w:szCs w:val="18"/>
        </w:rPr>
      </w:pPr>
      <w:r>
        <w:rPr>
          <w:rFonts w:hint="default" w:ascii="Times New Roman" w:hAnsi="Times New Roman" w:cs="Times New Roman"/>
          <w:color w:val="auto"/>
          <w:sz w:val="24"/>
          <w:lang w:val="en-US" w:eastAsia="zh-CN"/>
        </w:rPr>
        <w:t>采样点位设计参照GB 14881-2013、T/CNHFA 232-2023</w:t>
      </w:r>
      <w:bookmarkStart w:id="18" w:name="OLE_LINK13"/>
      <w:r>
        <w:rPr>
          <w:rFonts w:hint="eastAsia" w:ascii="Times New Roman" w:hAnsi="Times New Roman" w:cs="Times New Roman"/>
          <w:color w:val="auto"/>
          <w:sz w:val="24"/>
          <w:lang w:val="en-US" w:eastAsia="zh-CN"/>
        </w:rPr>
        <w:t>制定</w:t>
      </w:r>
      <w:r>
        <w:rPr>
          <w:rFonts w:hint="default" w:ascii="Times New Roman" w:hAnsi="Times New Roman" w:cs="Times New Roman"/>
          <w:color w:val="auto"/>
          <w:sz w:val="24"/>
          <w:lang w:val="en-US" w:eastAsia="zh-CN"/>
        </w:rPr>
        <w:t>，并针对餐饮食品加工及服务机构对采样类别及具体点位进行了细化。检验项目主要参照DBS 44/006-2024、GB/T 27306-2008，并结合</w:t>
      </w:r>
      <w:bookmarkStart w:id="19" w:name="OLE_LINK26"/>
      <w:bookmarkStart w:id="20" w:name="OLE_LINK24"/>
      <w:r>
        <w:rPr>
          <w:rFonts w:hint="default" w:ascii="Times New Roman" w:hAnsi="Times New Roman" w:cs="Times New Roman"/>
          <w:color w:val="auto"/>
          <w:sz w:val="24"/>
          <w:lang w:val="en-US" w:eastAsia="zh-CN"/>
        </w:rPr>
        <w:t>GB 29921-2021</w:t>
      </w:r>
      <w:bookmarkEnd w:id="19"/>
      <w:r>
        <w:rPr>
          <w:rFonts w:hint="default" w:ascii="Times New Roman" w:hAnsi="Times New Roman" w:cs="Times New Roman"/>
          <w:color w:val="auto"/>
          <w:sz w:val="24"/>
          <w:lang w:val="en-US" w:eastAsia="zh-CN"/>
        </w:rPr>
        <w:t>《食品安全国家标准 预包装食品中致病菌限量》、GB 19298</w:t>
      </w:r>
      <w:bookmarkEnd w:id="20"/>
      <w:bookmarkStart w:id="21" w:name="OLE_LINK25"/>
      <w:r>
        <w:rPr>
          <w:rFonts w:hint="default" w:ascii="Times New Roman" w:hAnsi="Times New Roman" w:cs="Times New Roman"/>
          <w:color w:val="auto"/>
          <w:sz w:val="24"/>
          <w:lang w:val="en-US" w:eastAsia="zh-CN"/>
        </w:rPr>
        <w:t>-201</w:t>
      </w:r>
      <w:bookmarkEnd w:id="21"/>
      <w:r>
        <w:rPr>
          <w:rFonts w:hint="default" w:ascii="Times New Roman" w:hAnsi="Times New Roman" w:cs="Times New Roman"/>
          <w:color w:val="auto"/>
          <w:sz w:val="24"/>
          <w:lang w:val="en-US" w:eastAsia="zh-CN"/>
        </w:rPr>
        <w:t>4《食品安全国家标准 包装饮用水》、</w:t>
      </w:r>
      <w:bookmarkStart w:id="22" w:name="OLE_LINK43"/>
      <w:r>
        <w:rPr>
          <w:rFonts w:hint="default" w:ascii="Times New Roman" w:hAnsi="Times New Roman" w:cs="Times New Roman"/>
          <w:color w:val="auto"/>
          <w:sz w:val="24"/>
          <w:lang w:val="en-US" w:eastAsia="zh-CN"/>
        </w:rPr>
        <w:t>GB 7099-2015</w:t>
      </w:r>
      <w:bookmarkEnd w:id="22"/>
      <w:r>
        <w:rPr>
          <w:rFonts w:hint="default" w:ascii="Times New Roman" w:hAnsi="Times New Roman" w:cs="Times New Roman"/>
          <w:color w:val="auto"/>
          <w:sz w:val="24"/>
          <w:lang w:val="en-US" w:eastAsia="zh-CN"/>
        </w:rPr>
        <w:t>《食品安全国家标准 糕点、面包》、</w:t>
      </w:r>
      <w:bookmarkStart w:id="23" w:name="OLE_LINK29"/>
      <w:r>
        <w:rPr>
          <w:rFonts w:hint="default" w:ascii="Times New Roman" w:hAnsi="Times New Roman" w:cs="Times New Roman"/>
          <w:color w:val="auto"/>
          <w:sz w:val="24"/>
          <w:lang w:val="en-US" w:eastAsia="zh-CN"/>
        </w:rPr>
        <w:t>GB 2759-2015</w:t>
      </w:r>
      <w:bookmarkEnd w:id="23"/>
      <w:r>
        <w:rPr>
          <w:rFonts w:hint="default" w:ascii="Times New Roman" w:hAnsi="Times New Roman" w:cs="Times New Roman"/>
          <w:color w:val="auto"/>
          <w:sz w:val="24"/>
          <w:lang w:val="en-US" w:eastAsia="zh-CN"/>
        </w:rPr>
        <w:t>《食品安全国家标准 冷冻饮品和制作料》等相关产品标准</w:t>
      </w:r>
      <w:r>
        <w:rPr>
          <w:rFonts w:hint="eastAsia" w:ascii="Times New Roman" w:hAnsi="Times New Roman" w:cs="Times New Roman"/>
          <w:color w:val="auto"/>
          <w:sz w:val="24"/>
          <w:lang w:val="en-US" w:eastAsia="zh-CN"/>
        </w:rPr>
        <w:t>制定</w:t>
      </w:r>
      <w:r>
        <w:rPr>
          <w:rFonts w:hint="default" w:ascii="Times New Roman" w:hAnsi="Times New Roman" w:cs="Times New Roman"/>
          <w:color w:val="auto"/>
          <w:sz w:val="24"/>
          <w:lang w:val="en-US" w:eastAsia="zh-CN"/>
        </w:rPr>
        <w:t>。</w:t>
      </w:r>
      <w:bookmarkEnd w:id="18"/>
    </w:p>
    <w:p w14:paraId="0B3DF56E">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color w:val="auto"/>
          <w:sz w:val="24"/>
          <w:highlight w:val="none"/>
          <w:shd w:val="clear"/>
        </w:rPr>
        <w:t>（</w:t>
      </w:r>
      <w:r>
        <w:rPr>
          <w:rFonts w:hint="eastAsia" w:cs="Times New Roman"/>
          <w:color w:val="auto"/>
          <w:sz w:val="24"/>
          <w:highlight w:val="none"/>
          <w:shd w:val="clear"/>
          <w:lang w:val="en-US" w:eastAsia="zh-CN"/>
        </w:rPr>
        <w:t>六</w:t>
      </w:r>
      <w:r>
        <w:rPr>
          <w:rFonts w:hint="default" w:ascii="Times New Roman" w:hAnsi="Times New Roman" w:cs="Times New Roman"/>
          <w:color w:val="auto"/>
          <w:sz w:val="24"/>
          <w:highlight w:val="none"/>
          <w:shd w:val="clear"/>
        </w:rPr>
        <w:t>）</w:t>
      </w:r>
      <w:r>
        <w:rPr>
          <w:rFonts w:hint="default" w:ascii="Times New Roman" w:hAnsi="Times New Roman" w:cs="Times New Roman"/>
          <w:color w:val="auto"/>
          <w:sz w:val="24"/>
          <w:highlight w:val="none"/>
          <w:shd w:val="clear"/>
          <w:lang w:val="en-US" w:eastAsia="zh-CN"/>
        </w:rPr>
        <w:t>采样</w:t>
      </w:r>
      <w:r>
        <w:rPr>
          <w:rFonts w:hint="eastAsia" w:cs="Times New Roman"/>
          <w:color w:val="auto"/>
          <w:sz w:val="24"/>
          <w:highlight w:val="none"/>
          <w:shd w:val="clear"/>
          <w:lang w:val="en-US" w:eastAsia="zh-CN"/>
        </w:rPr>
        <w:t>及检测</w:t>
      </w:r>
    </w:p>
    <w:p w14:paraId="0CE644DC">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为保证结果的准确性，参照GB 4789.28《食品安全国家标准 食品微生物学检验 培养基和试剂的质量要求》，规定“所有直接接触采样对象的材料均须经过验收合格后使用”。</w:t>
      </w:r>
    </w:p>
    <w:p w14:paraId="18DBAE2E">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由于在清洁和消毒后，部分环境微生物受到损伤或杀灭，立即采集样品，可能会影响检出率</w:t>
      </w:r>
      <w:r>
        <w:rPr>
          <w:rFonts w:hint="eastAsia" w:cs="Times New Roman"/>
          <w:sz w:val="24"/>
          <w:lang w:val="en-US" w:eastAsia="zh-CN"/>
        </w:rPr>
        <w:t>真实性与准确性</w:t>
      </w:r>
      <w:r>
        <w:rPr>
          <w:rFonts w:hint="default" w:ascii="Times New Roman" w:hAnsi="Times New Roman" w:cs="Times New Roman"/>
          <w:sz w:val="24"/>
          <w:lang w:val="en-US" w:eastAsia="zh-CN"/>
        </w:rPr>
        <w:t>，</w:t>
      </w:r>
      <w:r>
        <w:rPr>
          <w:rFonts w:hint="eastAsia" w:cs="Times New Roman"/>
          <w:sz w:val="24"/>
          <w:lang w:val="en-US" w:eastAsia="zh-CN"/>
        </w:rPr>
        <w:t>出现</w:t>
      </w:r>
      <w:r>
        <w:rPr>
          <w:rFonts w:hint="default" w:ascii="Times New Roman" w:hAnsi="Times New Roman" w:cs="Times New Roman"/>
          <w:sz w:val="24"/>
          <w:lang w:val="en-US" w:eastAsia="zh-CN"/>
        </w:rPr>
        <w:t>假阴性结果。因此参照</w:t>
      </w:r>
      <w:bookmarkStart w:id="24" w:name="OLE_LINK18"/>
      <w:r>
        <w:rPr>
          <w:rFonts w:hint="default" w:ascii="Times New Roman" w:hAnsi="Times New Roman" w:cs="Times New Roman"/>
          <w:sz w:val="24"/>
          <w:lang w:val="en-US" w:eastAsia="zh-CN"/>
        </w:rPr>
        <w:t>ISO 18593：2018</w:t>
      </w:r>
      <w:bookmarkEnd w:id="24"/>
      <w:r>
        <w:rPr>
          <w:rFonts w:hint="default" w:ascii="Times New Roman" w:hAnsi="Times New Roman" w:cs="Times New Roman"/>
          <w:sz w:val="24"/>
          <w:lang w:val="en-US" w:eastAsia="zh-CN"/>
        </w:rPr>
        <w:t>《Microbiology of the food chain-Horizontal methods for surface sampling》规定及GB 14881-2013 表A.1要求：“加工过程采样应在开班第一时间及连续生产中，或在生产结束停机后（清洁消毒前）或者根据工厂实际生产情况，评估所采集样品的高风险时段来进行采样”。</w:t>
      </w:r>
    </w:p>
    <w:p w14:paraId="38C14C0D">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为避免操作人员带入外部污染源，参照GB 31654-2021及GB 14881-2013对人员卫生要求，特别规定“进场前操作人员须规范穿戴一次性防护服、口罩、手套及鞋套等个人防护装备”。《餐饮服务食品安全监督抽检工作规范》（国食药监食〔2010〕342号）中要求，标准化记录表必须满足检验结果可追溯。</w:t>
      </w:r>
    </w:p>
    <w:p w14:paraId="3EDA80C2">
      <w:pPr>
        <w:spacing w:line="360" w:lineRule="auto"/>
        <w:ind w:firstLine="480" w:firstLineChars="20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采样面积及表面擦拭法、贴片法、触碟法采样方法参照ISO 18593：2018和</w:t>
      </w:r>
      <w:bookmarkStart w:id="25" w:name="OLE_LINK19"/>
      <w:r>
        <w:rPr>
          <w:rFonts w:hint="default" w:ascii="Times New Roman" w:hAnsi="Times New Roman" w:cs="Times New Roman"/>
          <w:sz w:val="24"/>
          <w:lang w:val="en-US" w:eastAsia="zh-CN"/>
        </w:rPr>
        <w:t>T/CNHFA 232-2023《粉状婴幼儿配方食品生产环境中 克罗诺杆菌属的监控指南》</w:t>
      </w:r>
      <w:bookmarkEnd w:id="25"/>
      <w:r>
        <w:rPr>
          <w:rFonts w:hint="eastAsia" w:ascii="Times New Roman" w:hAnsi="Times New Roman" w:cs="Times New Roman"/>
          <w:sz w:val="24"/>
          <w:lang w:val="en-US" w:eastAsia="zh-CN"/>
        </w:rPr>
        <w:t>制定</w:t>
      </w:r>
      <w:r>
        <w:rPr>
          <w:rFonts w:hint="default" w:ascii="Times New Roman" w:hAnsi="Times New Roman" w:cs="Times New Roman"/>
          <w:sz w:val="24"/>
          <w:lang w:val="en-US" w:eastAsia="zh-CN"/>
        </w:rPr>
        <w:t>；直接取样法参照GB 4789.1-2016《食品安全国家标准 食品微生物学检验 总则》；人员采样参照</w:t>
      </w:r>
      <w:bookmarkStart w:id="26" w:name="OLE_LINK16"/>
      <w:r>
        <w:rPr>
          <w:rFonts w:hint="default" w:ascii="Times New Roman" w:hAnsi="Times New Roman" w:cs="Times New Roman"/>
          <w:sz w:val="24"/>
          <w:lang w:val="en-US" w:eastAsia="zh-CN"/>
        </w:rPr>
        <w:t>GB 15982-2012《医院消毒卫生标准》</w:t>
      </w:r>
      <w:bookmarkEnd w:id="26"/>
      <w:r>
        <w:rPr>
          <w:rFonts w:hint="default" w:ascii="Times New Roman" w:hAnsi="Times New Roman" w:cs="Times New Roman"/>
          <w:sz w:val="24"/>
          <w:lang w:val="en-US" w:eastAsia="zh-CN"/>
        </w:rPr>
        <w:t>附录A</w:t>
      </w:r>
      <w:r>
        <w:rPr>
          <w:rFonts w:hint="eastAsia" w:ascii="Times New Roman" w:hAnsi="Times New Roman" w:cs="Times New Roman"/>
          <w:sz w:val="24"/>
          <w:lang w:val="en-US" w:eastAsia="zh-CN"/>
        </w:rPr>
        <w:t>制定</w:t>
      </w:r>
      <w:r>
        <w:rPr>
          <w:rFonts w:hint="default" w:ascii="Times New Roman" w:hAnsi="Times New Roman" w:cs="Times New Roman"/>
          <w:sz w:val="24"/>
          <w:lang w:val="en-US" w:eastAsia="zh-CN"/>
        </w:rPr>
        <w:t>；消毒餐饮具采样和检测按照GB 14934-2016《消毒餐饮具卫生标准》中附录A的规定执行；沉降菌检测按照GB/T 18204.3中3.3的规定执行。</w:t>
      </w:r>
    </w:p>
    <w:p w14:paraId="3360DAD0">
      <w:pPr>
        <w:spacing w:line="360" w:lineRule="auto"/>
        <w:ind w:firstLine="480" w:firstLineChars="200"/>
        <w:rPr>
          <w:rFonts w:hint="eastAsia" w:ascii="Times New Roman" w:hAnsi="Times New Roman" w:cs="Times New Roman"/>
          <w:sz w:val="24"/>
          <w:highlight w:val="none"/>
          <w:lang w:val="en-US" w:eastAsia="zh-CN"/>
        </w:rPr>
      </w:pPr>
      <w:bookmarkStart w:id="27" w:name="OLE_LINK2"/>
      <w:r>
        <w:rPr>
          <w:rFonts w:hint="eastAsia" w:ascii="Times New Roman" w:hAnsi="Times New Roman" w:cs="Times New Roman"/>
          <w:sz w:val="24"/>
          <w:lang w:val="en-US" w:eastAsia="zh-CN"/>
        </w:rPr>
        <w:t>检测方法参照现行国家标准及行业标准（如GB 4789系列、GB 8538-2022、SN/T 3872-2014 出口食品中四种致病菌检测方法 MALDI-TOF-MS法、SN/T 5228.9-2019系列 出口食品中病原微生物快速筛选方法 MALDI-TOF MS法等），采用国家标准方法与经过实验室内部质量控制符合检验要求的快检方法（如测试</w:t>
      </w:r>
      <w:r>
        <w:rPr>
          <w:rFonts w:hint="eastAsia" w:ascii="Times New Roman" w:hAnsi="Times New Roman" w:cs="Times New Roman"/>
          <w:sz w:val="24"/>
          <w:highlight w:val="none"/>
          <w:lang w:val="en-US" w:eastAsia="zh-CN"/>
        </w:rPr>
        <w:t>片法、MALDI-TOF MS</w:t>
      </w:r>
      <w:r>
        <w:rPr>
          <w:rFonts w:hint="eastAsia" w:cs="Times New Roman"/>
          <w:sz w:val="24"/>
          <w:highlight w:val="none"/>
          <w:lang w:val="en-US" w:eastAsia="zh-CN"/>
        </w:rPr>
        <w:t>法</w:t>
      </w:r>
      <w:r>
        <w:rPr>
          <w:rFonts w:hint="eastAsia" w:ascii="Times New Roman" w:hAnsi="Times New Roman" w:cs="Times New Roman"/>
          <w:sz w:val="24"/>
          <w:highlight w:val="none"/>
          <w:lang w:val="en-US" w:eastAsia="zh-CN"/>
        </w:rPr>
        <w:t>等）相结合的方式，确保检测的准确性与高效性。</w:t>
      </w:r>
    </w:p>
    <w:p w14:paraId="297523E4">
      <w:pPr>
        <w:spacing w:line="360" w:lineRule="auto"/>
        <w:ind w:firstLine="480" w:firstLineChars="200"/>
        <w:rPr>
          <w:rFonts w:hint="default" w:ascii="Times New Roman" w:hAnsi="Times New Roman" w:cs="Times New Roman"/>
          <w:sz w:val="24"/>
          <w:highlight w:val="red"/>
          <w:lang w:val="en-US"/>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七</w:t>
      </w:r>
      <w:r>
        <w:rPr>
          <w:rFonts w:hint="default" w:ascii="Times New Roman" w:hAnsi="Times New Roman" w:cs="Times New Roman"/>
          <w:sz w:val="24"/>
          <w:highlight w:val="none"/>
          <w:lang w:eastAsia="zh-CN"/>
        </w:rPr>
        <w:t>）结果</w:t>
      </w:r>
      <w:r>
        <w:rPr>
          <w:rFonts w:hint="eastAsia" w:cs="Times New Roman"/>
          <w:sz w:val="24"/>
          <w:highlight w:val="none"/>
          <w:lang w:val="en-US" w:eastAsia="zh-CN"/>
        </w:rPr>
        <w:t>评价</w:t>
      </w:r>
    </w:p>
    <w:bookmarkEnd w:id="27"/>
    <w:p w14:paraId="3FFACB8B">
      <w:pPr>
        <w:spacing w:line="360" w:lineRule="auto"/>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检测项目包括食品、直接/间接接触食品表面、人员手部、餐用具等，检测项目结果评价限量值参考DBS 44/006-2024、</w:t>
      </w:r>
      <w:bookmarkStart w:id="28" w:name="OLE_LINK37"/>
      <w:r>
        <w:rPr>
          <w:rFonts w:hint="default" w:ascii="Times New Roman" w:hAnsi="Times New Roman" w:cs="Times New Roman"/>
          <w:sz w:val="24"/>
          <w:lang w:val="en-US" w:eastAsia="zh-CN"/>
        </w:rPr>
        <w:t>GB 29921-2021</w:t>
      </w:r>
      <w:bookmarkEnd w:id="28"/>
      <w:r>
        <w:rPr>
          <w:rFonts w:hint="default" w:ascii="Times New Roman" w:hAnsi="Times New Roman" w:cs="Times New Roman"/>
          <w:sz w:val="24"/>
          <w:lang w:val="en-US" w:eastAsia="zh-CN"/>
        </w:rPr>
        <w:t>、GB 7099-2015、GB 2759-2015</w:t>
      </w:r>
      <w:r>
        <w:rPr>
          <w:rFonts w:hint="eastAsia" w:ascii="Times New Roman" w:hAnsi="Times New Roman" w:cs="Times New Roman"/>
          <w:sz w:val="24"/>
          <w:lang w:val="en-US" w:eastAsia="zh-CN"/>
        </w:rPr>
        <w:t>、</w:t>
      </w:r>
      <w:bookmarkStart w:id="29" w:name="OLE_LINK32"/>
      <w:r>
        <w:rPr>
          <w:rFonts w:hint="default" w:ascii="Times New Roman" w:hAnsi="Times New Roman" w:cs="Times New Roman"/>
          <w:sz w:val="24"/>
          <w:lang w:val="en-US" w:eastAsia="zh-CN"/>
        </w:rPr>
        <w:t>GB 19298</w:t>
      </w:r>
      <w:bookmarkEnd w:id="29"/>
      <w:r>
        <w:rPr>
          <w:rFonts w:hint="default" w:ascii="Times New Roman" w:hAnsi="Times New Roman" w:cs="Times New Roman"/>
          <w:sz w:val="24"/>
          <w:lang w:val="en-US" w:eastAsia="zh-CN"/>
        </w:rPr>
        <w:t>-2014、</w:t>
      </w:r>
      <w:bookmarkStart w:id="30" w:name="OLE_LINK30"/>
      <w:r>
        <w:rPr>
          <w:rFonts w:hint="default" w:ascii="Times New Roman" w:hAnsi="Times New Roman" w:cs="Times New Roman"/>
          <w:sz w:val="24"/>
          <w:lang w:val="en-US" w:eastAsia="zh-CN"/>
        </w:rPr>
        <w:t>T/CCA 003-2017</w:t>
      </w:r>
      <w:bookmarkEnd w:id="30"/>
      <w:r>
        <w:rPr>
          <w:rFonts w:hint="default" w:ascii="Times New Roman" w:hAnsi="Times New Roman" w:cs="Times New Roman"/>
          <w:sz w:val="24"/>
          <w:lang w:val="en-US" w:eastAsia="zh-CN"/>
        </w:rPr>
        <w:t>《消毒餐饮配送箱（包）》、</w:t>
      </w:r>
      <w:bookmarkStart w:id="31" w:name="OLE_LINK39"/>
      <w:r>
        <w:rPr>
          <w:rFonts w:hint="default" w:ascii="Times New Roman" w:hAnsi="Times New Roman" w:cs="Times New Roman"/>
          <w:sz w:val="24"/>
          <w:lang w:val="en-US" w:eastAsia="zh-CN"/>
        </w:rPr>
        <w:t xml:space="preserve">GB </w:t>
      </w:r>
      <w:bookmarkStart w:id="32" w:name="OLE_LINK27"/>
      <w:r>
        <w:rPr>
          <w:rFonts w:hint="default" w:ascii="Times New Roman" w:hAnsi="Times New Roman" w:cs="Times New Roman"/>
          <w:sz w:val="24"/>
          <w:lang w:val="en-US" w:eastAsia="zh-CN"/>
        </w:rPr>
        <w:t>37488</w:t>
      </w:r>
      <w:bookmarkEnd w:id="31"/>
      <w:bookmarkEnd w:id="32"/>
      <w:r>
        <w:rPr>
          <w:rFonts w:hint="default" w:ascii="Times New Roman" w:hAnsi="Times New Roman" w:cs="Times New Roman"/>
          <w:sz w:val="24"/>
          <w:lang w:val="en-US" w:eastAsia="zh-CN"/>
        </w:rPr>
        <w:t>-2019《公共场所卫生指标及限量要求》等标准，详见下表。</w:t>
      </w:r>
    </w:p>
    <w:p w14:paraId="6B71F402">
      <w:pPr>
        <w:spacing w:line="360" w:lineRule="auto"/>
        <w:ind w:firstLine="480" w:firstLineChars="200"/>
        <w:jc w:val="center"/>
        <w:rPr>
          <w:rFonts w:hint="default" w:ascii="Times New Roman" w:hAnsi="Times New Roman" w:cs="Times New Roman"/>
          <w:sz w:val="24"/>
          <w:lang w:val="en-US" w:eastAsia="zh-CN"/>
        </w:rPr>
      </w:pPr>
    </w:p>
    <w:p w14:paraId="3E5596C9">
      <w:pPr>
        <w:spacing w:line="360" w:lineRule="auto"/>
        <w:ind w:firstLine="420" w:firstLineChars="200"/>
        <w:jc w:val="center"/>
        <w:rPr>
          <w:rFonts w:hint="default" w:ascii="Times New Roman" w:hAnsi="Times New Roman" w:eastAsia="黑体" w:cs="Times New Roman"/>
          <w:kern w:val="0"/>
          <w:sz w:val="21"/>
          <w:szCs w:val="22"/>
          <w:lang w:val="en-US" w:eastAsia="zh-CN" w:bidi="ar-SA"/>
        </w:rPr>
      </w:pPr>
      <w:r>
        <w:rPr>
          <w:rFonts w:hint="default" w:ascii="Times New Roman" w:hAnsi="Times New Roman" w:eastAsia="黑体" w:cs="Times New Roman"/>
          <w:kern w:val="0"/>
          <w:sz w:val="21"/>
          <w:szCs w:val="22"/>
          <w:lang w:val="en-US" w:eastAsia="zh-CN" w:bidi="ar-SA"/>
        </w:rPr>
        <w:t>表1 检测项目结果评价限量值参考依据</w:t>
      </w:r>
    </w:p>
    <w:p w14:paraId="37261CF9">
      <w:pPr>
        <w:spacing w:line="360" w:lineRule="auto"/>
        <w:jc w:val="both"/>
        <w:rPr>
          <w:rFonts w:hint="default" w:ascii="Times New Roman" w:hAnsi="Times New Roman" w:eastAsia="黑体" w:cs="Times New Roman"/>
          <w:kern w:val="0"/>
          <w:sz w:val="21"/>
          <w:szCs w:val="22"/>
          <w:lang w:val="en-US" w:eastAsia="zh-CN" w:bidi="ar-SA"/>
        </w:rPr>
      </w:pPr>
    </w:p>
    <w:tbl>
      <w:tblPr>
        <w:tblStyle w:val="13"/>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467"/>
        <w:gridCol w:w="1440"/>
        <w:gridCol w:w="1009"/>
        <w:gridCol w:w="960"/>
        <w:gridCol w:w="1511"/>
      </w:tblGrid>
      <w:tr w14:paraId="03B5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51BB77B9">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color w:val="000000"/>
                <w:sz w:val="18"/>
                <w:szCs w:val="18"/>
                <w:lang w:val="en-US" w:eastAsia="zh-CN"/>
              </w:rPr>
            </w:pPr>
            <w:bookmarkStart w:id="33" w:name="OLE_LINK57"/>
            <w:r>
              <w:rPr>
                <w:rFonts w:hint="eastAsia" w:eastAsia="宋体" w:cs="宋体"/>
                <w:b/>
                <w:color w:val="000000"/>
                <w:sz w:val="18"/>
                <w:szCs w:val="18"/>
                <w:lang w:val="en-US" w:eastAsia="zh-CN"/>
              </w:rPr>
              <w:t>类别</w:t>
            </w: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39482D58">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rPr>
            </w:pPr>
            <w:r>
              <w:rPr>
                <w:rFonts w:hint="eastAsia" w:ascii="宋体" w:hAnsi="宋体" w:eastAsia="宋体" w:cs="宋体"/>
                <w:b/>
                <w:color w:val="000000"/>
                <w:sz w:val="18"/>
                <w:szCs w:val="18"/>
              </w:rPr>
              <w:t>检测项目</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4B3EBA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sz w:val="18"/>
                <w:szCs w:val="18"/>
                <w:lang w:eastAsia="zh-CN"/>
              </w:rPr>
            </w:pPr>
            <w:r>
              <w:rPr>
                <w:rFonts w:hint="eastAsia" w:ascii="宋体" w:hAnsi="宋体" w:eastAsia="宋体" w:cs="宋体"/>
                <w:b/>
                <w:bCs/>
                <w:color w:val="000000"/>
                <w:sz w:val="18"/>
                <w:szCs w:val="18"/>
                <w:lang w:val="en-US" w:eastAsia="zh-CN"/>
              </w:rPr>
              <w:t>满意</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74C35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sz w:val="18"/>
                <w:szCs w:val="18"/>
                <w:lang w:val="en-US" w:eastAsia="zh-CN"/>
              </w:rPr>
            </w:pPr>
            <w:r>
              <w:rPr>
                <w:rFonts w:hint="eastAsia" w:ascii="宋体" w:hAnsi="宋体" w:eastAsia="宋体" w:cs="宋体"/>
                <w:b/>
                <w:bCs/>
                <w:color w:val="000000"/>
                <w:sz w:val="18"/>
                <w:szCs w:val="18"/>
                <w:lang w:val="en-US" w:eastAsia="zh-CN"/>
              </w:rPr>
              <w:t>存在风险</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013B15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sz w:val="18"/>
                <w:szCs w:val="18"/>
                <w:lang w:val="en-US" w:eastAsia="zh-CN"/>
              </w:rPr>
            </w:pPr>
            <w:r>
              <w:rPr>
                <w:rFonts w:hint="default" w:ascii="Times New Roman" w:hAnsi="Times New Roman" w:eastAsia="宋体" w:cs="Times New Roman"/>
                <w:b/>
                <w:bCs/>
                <w:color w:val="000000"/>
                <w:sz w:val="18"/>
                <w:szCs w:val="18"/>
                <w:lang w:val="en-US" w:eastAsia="zh-CN"/>
              </w:rPr>
              <w:t>参考依据</w:t>
            </w:r>
          </w:p>
        </w:tc>
      </w:tr>
      <w:tr w14:paraId="7ACA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34" w:type="dxa"/>
            <w:vMerge w:val="restart"/>
            <w:tcBorders>
              <w:top w:val="single" w:color="auto" w:sz="4" w:space="0"/>
              <w:left w:val="single" w:color="auto" w:sz="4" w:space="0"/>
              <w:right w:val="single" w:color="auto" w:sz="4" w:space="0"/>
            </w:tcBorders>
            <w:noWrap w:val="0"/>
            <w:vAlign w:val="center"/>
          </w:tcPr>
          <w:p w14:paraId="212AD2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食品</w:t>
            </w:r>
          </w:p>
        </w:tc>
        <w:tc>
          <w:tcPr>
            <w:tcW w:w="2467" w:type="dxa"/>
            <w:vMerge w:val="restart"/>
            <w:tcBorders>
              <w:top w:val="single" w:color="auto" w:sz="4" w:space="0"/>
              <w:left w:val="single" w:color="auto" w:sz="4" w:space="0"/>
              <w:right w:val="single" w:color="auto" w:sz="4" w:space="0"/>
            </w:tcBorders>
            <w:noWrap w:val="0"/>
            <w:vAlign w:val="center"/>
          </w:tcPr>
          <w:p w14:paraId="1F865F8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菌落总数CFU/g（mL）</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63D3759">
            <w:pPr>
              <w:tabs>
                <w:tab w:val="left" w:pos="6720"/>
              </w:tabs>
              <w:jc w:val="center"/>
              <w:rPr>
                <w:rFonts w:hint="eastAsia" w:ascii="宋体" w:hAnsi="宋体" w:eastAsia="宋体" w:cs="宋体"/>
                <w:sz w:val="18"/>
                <w:szCs w:val="18"/>
                <w:lang w:val="en-US" w:eastAsia="zh-CN"/>
              </w:rPr>
            </w:pPr>
            <w:r>
              <w:rPr>
                <w:rFonts w:hint="eastAsia" w:ascii="宋体" w:hAnsi="宋体" w:eastAsia="宋体" w:cs="宋体"/>
                <w:color w:val="000000"/>
                <w:sz w:val="18"/>
                <w:szCs w:val="18"/>
                <w:lang w:val="en-US" w:eastAsia="zh-CN"/>
              </w:rPr>
              <w:t>第一类</w:t>
            </w:r>
            <w:r>
              <w:rPr>
                <w:rFonts w:hint="eastAsia" w:ascii="宋体" w:hAnsi="宋体" w:eastAsia="宋体" w:cs="宋体"/>
                <w:color w:val="000000"/>
                <w:sz w:val="18"/>
                <w:szCs w:val="18"/>
                <w:vertAlign w:val="superscript"/>
                <w:lang w:val="en-US" w:eastAsia="zh-CN"/>
              </w:rPr>
              <w:t>a</w:t>
            </w:r>
          </w:p>
        </w:tc>
        <w:tc>
          <w:tcPr>
            <w:tcW w:w="1009" w:type="dxa"/>
            <w:tcBorders>
              <w:top w:val="single" w:color="auto" w:sz="4" w:space="0"/>
              <w:left w:val="single" w:color="auto" w:sz="4" w:space="0"/>
              <w:right w:val="single" w:color="auto" w:sz="4" w:space="0"/>
            </w:tcBorders>
            <w:noWrap w:val="0"/>
            <w:vAlign w:val="center"/>
          </w:tcPr>
          <w:p w14:paraId="76193AE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＜10</w:t>
            </w:r>
            <w:r>
              <w:rPr>
                <w:rFonts w:hint="eastAsia" w:ascii="宋体" w:hAnsi="宋体" w:eastAsia="宋体" w:cs="宋体"/>
                <w:color w:val="000000"/>
                <w:sz w:val="18"/>
                <w:szCs w:val="18"/>
                <w:vertAlign w:val="superscript"/>
                <w:lang w:val="en-US" w:eastAsia="zh-CN"/>
              </w:rPr>
              <w:t>5</w:t>
            </w:r>
          </w:p>
        </w:tc>
        <w:tc>
          <w:tcPr>
            <w:tcW w:w="960" w:type="dxa"/>
            <w:tcBorders>
              <w:top w:val="single" w:color="auto" w:sz="4" w:space="0"/>
              <w:left w:val="single" w:color="auto" w:sz="4" w:space="0"/>
              <w:right w:val="single" w:color="auto" w:sz="4" w:space="0"/>
            </w:tcBorders>
            <w:noWrap w:val="0"/>
            <w:vAlign w:val="center"/>
          </w:tcPr>
          <w:p w14:paraId="088FB5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color w:val="000000"/>
                <w:sz w:val="18"/>
                <w:szCs w:val="18"/>
                <w:lang w:val="en-US" w:eastAsia="zh-CN"/>
              </w:rPr>
              <w:t>≥10</w:t>
            </w:r>
            <w:r>
              <w:rPr>
                <w:rFonts w:hint="eastAsia" w:ascii="宋体" w:hAnsi="宋体" w:eastAsia="宋体" w:cs="宋体"/>
                <w:color w:val="000000"/>
                <w:sz w:val="18"/>
                <w:szCs w:val="18"/>
                <w:vertAlign w:val="superscript"/>
                <w:lang w:val="en-US" w:eastAsia="zh-CN"/>
              </w:rPr>
              <w:t>5</w:t>
            </w:r>
          </w:p>
        </w:tc>
        <w:tc>
          <w:tcPr>
            <w:tcW w:w="1511" w:type="dxa"/>
            <w:vMerge w:val="restart"/>
            <w:tcBorders>
              <w:top w:val="single" w:color="auto" w:sz="4" w:space="0"/>
              <w:left w:val="single" w:color="auto" w:sz="4" w:space="0"/>
              <w:right w:val="single" w:color="auto" w:sz="4" w:space="0"/>
            </w:tcBorders>
            <w:noWrap w:val="0"/>
            <w:vAlign w:val="center"/>
          </w:tcPr>
          <w:p w14:paraId="524047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default" w:ascii="Times New Roman" w:hAnsi="Times New Roman" w:eastAsia="宋体" w:cs="Times New Roman"/>
                <w:color w:val="000000"/>
                <w:sz w:val="18"/>
                <w:szCs w:val="18"/>
                <w:lang w:val="en-US" w:eastAsia="zh-CN"/>
              </w:rPr>
              <w:t>DBS 44/006-2024</w:t>
            </w:r>
          </w:p>
        </w:tc>
      </w:tr>
      <w:tr w14:paraId="0AC4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34" w:type="dxa"/>
            <w:vMerge w:val="continue"/>
            <w:tcBorders>
              <w:left w:val="single" w:color="auto" w:sz="4" w:space="0"/>
              <w:right w:val="single" w:color="auto" w:sz="4" w:space="0"/>
            </w:tcBorders>
            <w:noWrap w:val="0"/>
            <w:vAlign w:val="center"/>
          </w:tcPr>
          <w:p w14:paraId="20A66D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2467" w:type="dxa"/>
            <w:vMerge w:val="continue"/>
            <w:tcBorders>
              <w:left w:val="single" w:color="auto" w:sz="4" w:space="0"/>
              <w:right w:val="single" w:color="auto" w:sz="4" w:space="0"/>
            </w:tcBorders>
            <w:noWrap w:val="0"/>
            <w:vAlign w:val="center"/>
          </w:tcPr>
          <w:p w14:paraId="41EED0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A403D87">
            <w:pPr>
              <w:tabs>
                <w:tab w:val="left" w:pos="6720"/>
              </w:tabs>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第二类</w:t>
            </w:r>
            <w:r>
              <w:rPr>
                <w:rFonts w:hint="eastAsia" w:ascii="宋体" w:hAnsi="宋体" w:eastAsia="宋体" w:cs="宋体"/>
                <w:color w:val="000000"/>
                <w:sz w:val="18"/>
                <w:szCs w:val="18"/>
                <w:vertAlign w:val="superscript"/>
                <w:lang w:val="en-US" w:eastAsia="zh-CN"/>
              </w:rPr>
              <w:t>b</w:t>
            </w:r>
          </w:p>
        </w:tc>
        <w:tc>
          <w:tcPr>
            <w:tcW w:w="1009" w:type="dxa"/>
            <w:tcBorders>
              <w:top w:val="single" w:color="auto" w:sz="4" w:space="0"/>
              <w:left w:val="single" w:color="auto" w:sz="4" w:space="0"/>
              <w:right w:val="single" w:color="auto" w:sz="4" w:space="0"/>
            </w:tcBorders>
            <w:noWrap w:val="0"/>
            <w:vAlign w:val="center"/>
          </w:tcPr>
          <w:p w14:paraId="2A4F32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r>
              <w:rPr>
                <w:rFonts w:hint="eastAsia" w:ascii="宋体" w:hAnsi="宋体" w:eastAsia="宋体" w:cs="宋体"/>
                <w:color w:val="000000"/>
                <w:sz w:val="18"/>
                <w:szCs w:val="18"/>
                <w:vertAlign w:val="superscript"/>
                <w:lang w:val="en-US" w:eastAsia="zh-CN"/>
              </w:rPr>
              <w:t>6</w:t>
            </w:r>
          </w:p>
        </w:tc>
        <w:tc>
          <w:tcPr>
            <w:tcW w:w="960" w:type="dxa"/>
            <w:tcBorders>
              <w:top w:val="single" w:color="auto" w:sz="4" w:space="0"/>
              <w:left w:val="single" w:color="auto" w:sz="4" w:space="0"/>
              <w:right w:val="single" w:color="auto" w:sz="4" w:space="0"/>
            </w:tcBorders>
            <w:noWrap w:val="0"/>
            <w:vAlign w:val="center"/>
          </w:tcPr>
          <w:p w14:paraId="18B055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r>
              <w:rPr>
                <w:rFonts w:hint="eastAsia" w:ascii="宋体" w:hAnsi="宋体" w:eastAsia="宋体" w:cs="宋体"/>
                <w:color w:val="000000"/>
                <w:sz w:val="18"/>
                <w:szCs w:val="18"/>
                <w:vertAlign w:val="superscript"/>
                <w:lang w:val="en-US" w:eastAsia="zh-CN"/>
              </w:rPr>
              <w:t>6</w:t>
            </w:r>
          </w:p>
        </w:tc>
        <w:tc>
          <w:tcPr>
            <w:tcW w:w="1511" w:type="dxa"/>
            <w:vMerge w:val="continue"/>
            <w:tcBorders>
              <w:left w:val="single" w:color="auto" w:sz="4" w:space="0"/>
              <w:right w:val="single" w:color="auto" w:sz="4" w:space="0"/>
            </w:tcBorders>
            <w:noWrap w:val="0"/>
            <w:vAlign w:val="center"/>
          </w:tcPr>
          <w:p w14:paraId="1418B9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r>
      <w:tr w14:paraId="29A0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34" w:type="dxa"/>
            <w:vMerge w:val="continue"/>
            <w:tcBorders>
              <w:left w:val="single" w:color="auto" w:sz="4" w:space="0"/>
              <w:right w:val="single" w:color="auto" w:sz="4" w:space="0"/>
            </w:tcBorders>
            <w:noWrap w:val="0"/>
            <w:vAlign w:val="center"/>
          </w:tcPr>
          <w:p w14:paraId="000CCA91">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p>
        </w:tc>
        <w:tc>
          <w:tcPr>
            <w:tcW w:w="2467" w:type="dxa"/>
            <w:vMerge w:val="continue"/>
            <w:tcBorders>
              <w:left w:val="single" w:color="auto" w:sz="4" w:space="0"/>
              <w:right w:val="single" w:color="auto" w:sz="4" w:space="0"/>
            </w:tcBorders>
            <w:noWrap w:val="0"/>
            <w:vAlign w:val="center"/>
          </w:tcPr>
          <w:p w14:paraId="679D0A9D">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7758206">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第三类</w:t>
            </w:r>
            <w:r>
              <w:rPr>
                <w:rFonts w:hint="eastAsia" w:ascii="宋体" w:hAnsi="宋体" w:eastAsia="宋体" w:cs="宋体"/>
                <w:color w:val="000000"/>
                <w:sz w:val="18"/>
                <w:szCs w:val="18"/>
                <w:vertAlign w:val="superscript"/>
                <w:lang w:val="en-US" w:eastAsia="zh-CN"/>
              </w:rPr>
              <w:t>c</w:t>
            </w:r>
          </w:p>
        </w:tc>
        <w:tc>
          <w:tcPr>
            <w:tcW w:w="1009" w:type="dxa"/>
            <w:tcBorders>
              <w:left w:val="single" w:color="auto" w:sz="4" w:space="0"/>
              <w:bottom w:val="single" w:color="auto" w:sz="4" w:space="0"/>
              <w:right w:val="single" w:color="auto" w:sz="4" w:space="0"/>
            </w:tcBorders>
            <w:noWrap w:val="0"/>
            <w:vAlign w:val="center"/>
          </w:tcPr>
          <w:p w14:paraId="2C9B3A3E">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r>
              <w:rPr>
                <w:rFonts w:hint="eastAsia" w:ascii="宋体" w:hAnsi="宋体" w:eastAsia="宋体" w:cs="宋体"/>
                <w:color w:val="000000"/>
                <w:sz w:val="18"/>
                <w:szCs w:val="18"/>
                <w:vertAlign w:val="superscript"/>
                <w:lang w:val="en-US" w:eastAsia="zh-CN"/>
              </w:rPr>
              <w:t>7</w:t>
            </w:r>
          </w:p>
        </w:tc>
        <w:tc>
          <w:tcPr>
            <w:tcW w:w="960" w:type="dxa"/>
            <w:tcBorders>
              <w:left w:val="single" w:color="auto" w:sz="4" w:space="0"/>
              <w:bottom w:val="single" w:color="auto" w:sz="4" w:space="0"/>
              <w:right w:val="single" w:color="auto" w:sz="4" w:space="0"/>
            </w:tcBorders>
            <w:noWrap w:val="0"/>
            <w:vAlign w:val="center"/>
          </w:tcPr>
          <w:p w14:paraId="73DFC18C">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w:t>
            </w:r>
            <w:r>
              <w:rPr>
                <w:rFonts w:hint="eastAsia" w:ascii="宋体" w:hAnsi="宋体" w:eastAsia="宋体" w:cs="宋体"/>
                <w:color w:val="000000"/>
                <w:sz w:val="18"/>
                <w:szCs w:val="18"/>
                <w:vertAlign w:val="superscript"/>
                <w:lang w:val="en-US" w:eastAsia="zh-CN"/>
              </w:rPr>
              <w:t>7</w:t>
            </w:r>
          </w:p>
        </w:tc>
        <w:tc>
          <w:tcPr>
            <w:tcW w:w="1511" w:type="dxa"/>
            <w:vMerge w:val="continue"/>
            <w:tcBorders>
              <w:left w:val="single" w:color="auto" w:sz="4" w:space="0"/>
              <w:bottom w:val="single" w:color="auto" w:sz="4" w:space="0"/>
              <w:right w:val="single" w:color="auto" w:sz="4" w:space="0"/>
            </w:tcBorders>
            <w:noWrap w:val="0"/>
            <w:vAlign w:val="center"/>
          </w:tcPr>
          <w:p w14:paraId="602D0AD2">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p>
        </w:tc>
      </w:tr>
      <w:tr w14:paraId="493A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134" w:type="dxa"/>
            <w:vMerge w:val="continue"/>
            <w:tcBorders>
              <w:left w:val="single" w:color="auto" w:sz="4" w:space="0"/>
              <w:right w:val="single" w:color="auto" w:sz="4" w:space="0"/>
            </w:tcBorders>
            <w:noWrap w:val="0"/>
            <w:vAlign w:val="center"/>
          </w:tcPr>
          <w:p w14:paraId="387C9EC5">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p>
        </w:tc>
        <w:tc>
          <w:tcPr>
            <w:tcW w:w="2467" w:type="dxa"/>
            <w:vMerge w:val="continue"/>
            <w:tcBorders>
              <w:left w:val="single" w:color="auto" w:sz="4" w:space="0"/>
              <w:right w:val="single" w:color="auto" w:sz="4" w:space="0"/>
            </w:tcBorders>
            <w:noWrap w:val="0"/>
            <w:vAlign w:val="center"/>
          </w:tcPr>
          <w:p w14:paraId="7CC05891">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9A3C0E2">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FF0000"/>
                <w:sz w:val="18"/>
                <w:szCs w:val="18"/>
                <w:lang w:val="en-US" w:eastAsia="zh-CN"/>
              </w:rPr>
            </w:pPr>
            <w:r>
              <w:rPr>
                <w:rFonts w:hint="eastAsia" w:ascii="宋体" w:hAnsi="宋体" w:eastAsia="宋体" w:cs="宋体"/>
                <w:color w:val="auto"/>
                <w:sz w:val="18"/>
                <w:szCs w:val="18"/>
                <w:lang w:val="en-US" w:eastAsia="zh-CN"/>
              </w:rPr>
              <w:t>食用冰</w:t>
            </w:r>
          </w:p>
        </w:tc>
        <w:tc>
          <w:tcPr>
            <w:tcW w:w="1009" w:type="dxa"/>
            <w:tcBorders>
              <w:left w:val="single" w:color="auto" w:sz="4" w:space="0"/>
              <w:bottom w:val="single" w:color="auto" w:sz="4" w:space="0"/>
              <w:right w:val="single" w:color="auto" w:sz="4" w:space="0"/>
            </w:tcBorders>
            <w:noWrap w:val="0"/>
            <w:vAlign w:val="center"/>
          </w:tcPr>
          <w:p w14:paraId="1B5A1E55">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＜100</w:t>
            </w:r>
          </w:p>
        </w:tc>
        <w:tc>
          <w:tcPr>
            <w:tcW w:w="960" w:type="dxa"/>
            <w:tcBorders>
              <w:left w:val="single" w:color="auto" w:sz="4" w:space="0"/>
              <w:bottom w:val="single" w:color="auto" w:sz="4" w:space="0"/>
              <w:right w:val="single" w:color="auto" w:sz="4" w:space="0"/>
            </w:tcBorders>
            <w:noWrap w:val="0"/>
            <w:vAlign w:val="center"/>
          </w:tcPr>
          <w:p w14:paraId="14F37592">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≥100</w:t>
            </w:r>
          </w:p>
        </w:tc>
        <w:tc>
          <w:tcPr>
            <w:tcW w:w="1511" w:type="dxa"/>
            <w:tcBorders>
              <w:left w:val="single" w:color="auto" w:sz="4" w:space="0"/>
              <w:bottom w:val="single" w:color="auto" w:sz="4" w:space="0"/>
              <w:right w:val="single" w:color="auto" w:sz="4" w:space="0"/>
            </w:tcBorders>
            <w:noWrap w:val="0"/>
            <w:vAlign w:val="center"/>
          </w:tcPr>
          <w:p w14:paraId="601BC886">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FF0000"/>
                <w:sz w:val="18"/>
                <w:szCs w:val="18"/>
                <w:lang w:val="en-US" w:eastAsia="zh-CN"/>
              </w:rPr>
            </w:pPr>
            <w:r>
              <w:rPr>
                <w:rFonts w:hint="default" w:ascii="Times New Roman" w:hAnsi="Times New Roman" w:eastAsia="宋体" w:cs="Times New Roman"/>
                <w:color w:val="000000"/>
                <w:kern w:val="2"/>
                <w:sz w:val="18"/>
                <w:szCs w:val="18"/>
                <w:lang w:val="en-US" w:eastAsia="zh-CN" w:bidi="ar-SA"/>
              </w:rPr>
              <w:t>GB 2759-2015</w:t>
            </w:r>
          </w:p>
        </w:tc>
      </w:tr>
      <w:tr w14:paraId="58CA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34" w:type="dxa"/>
            <w:vMerge w:val="continue"/>
            <w:tcBorders>
              <w:left w:val="single" w:color="auto" w:sz="4" w:space="0"/>
              <w:right w:val="single" w:color="auto" w:sz="4" w:space="0"/>
            </w:tcBorders>
            <w:noWrap w:val="0"/>
            <w:vAlign w:val="center"/>
          </w:tcPr>
          <w:p w14:paraId="1BA7BE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2467" w:type="dxa"/>
            <w:vMerge w:val="restart"/>
            <w:tcBorders>
              <w:top w:val="single" w:color="auto" w:sz="4" w:space="0"/>
              <w:left w:val="single" w:color="auto" w:sz="4" w:space="0"/>
              <w:right w:val="single" w:color="auto" w:sz="4" w:space="0"/>
            </w:tcBorders>
            <w:noWrap w:val="0"/>
            <w:vAlign w:val="center"/>
          </w:tcPr>
          <w:p w14:paraId="420C002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大肠菌群</w:t>
            </w:r>
            <w:r>
              <w:rPr>
                <w:rFonts w:hint="eastAsia" w:ascii="宋体" w:hAnsi="宋体" w:eastAsia="宋体" w:cs="宋体"/>
                <w:color w:val="auto"/>
                <w:sz w:val="18"/>
                <w:szCs w:val="18"/>
                <w:lang w:val="en-US" w:eastAsia="zh-CN"/>
              </w:rPr>
              <w:t>（mL）</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891DD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食用冰</w:t>
            </w:r>
          </w:p>
        </w:tc>
        <w:tc>
          <w:tcPr>
            <w:tcW w:w="1009" w:type="dxa"/>
            <w:tcBorders>
              <w:top w:val="single" w:color="auto" w:sz="4" w:space="0"/>
              <w:left w:val="single" w:color="auto" w:sz="4" w:space="0"/>
              <w:right w:val="single" w:color="auto" w:sz="4" w:space="0"/>
            </w:tcBorders>
            <w:noWrap w:val="0"/>
            <w:vAlign w:val="center"/>
          </w:tcPr>
          <w:p w14:paraId="6C36CDA7">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lang w:val="en-US" w:eastAsia="zh-CN"/>
              </w:rPr>
              <w:t>＜10</w:t>
            </w:r>
          </w:p>
        </w:tc>
        <w:tc>
          <w:tcPr>
            <w:tcW w:w="960" w:type="dxa"/>
            <w:tcBorders>
              <w:top w:val="single" w:color="auto" w:sz="4" w:space="0"/>
              <w:left w:val="single" w:color="auto" w:sz="4" w:space="0"/>
              <w:right w:val="single" w:color="auto" w:sz="4" w:space="0"/>
            </w:tcBorders>
            <w:noWrap w:val="0"/>
            <w:vAlign w:val="center"/>
          </w:tcPr>
          <w:p w14:paraId="191A82EE">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lang w:val="en-US" w:eastAsia="zh-CN"/>
              </w:rPr>
              <w:t>≥10</w:t>
            </w:r>
          </w:p>
        </w:tc>
        <w:tc>
          <w:tcPr>
            <w:tcW w:w="1511" w:type="dxa"/>
            <w:tcBorders>
              <w:top w:val="single" w:color="auto" w:sz="4" w:space="0"/>
              <w:left w:val="single" w:color="auto" w:sz="4" w:space="0"/>
              <w:right w:val="single" w:color="auto" w:sz="4" w:space="0"/>
            </w:tcBorders>
            <w:noWrap w:val="0"/>
            <w:vAlign w:val="center"/>
          </w:tcPr>
          <w:p w14:paraId="2A108298">
            <w:pPr>
              <w:pStyle w:val="2"/>
              <w:keepNext w:val="0"/>
              <w:keepLines w:val="0"/>
              <w:pageBreakBefore w:val="0"/>
              <w:widowControl w:val="0"/>
              <w:tabs>
                <w:tab w:val="left" w:pos="6720"/>
              </w:tabs>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000000"/>
                <w:sz w:val="18"/>
                <w:szCs w:val="18"/>
                <w:lang w:val="en-US" w:eastAsia="zh-CN"/>
              </w:rPr>
            </w:pPr>
            <w:r>
              <w:rPr>
                <w:rFonts w:hint="default" w:ascii="Times New Roman" w:hAnsi="Times New Roman" w:eastAsia="宋体" w:cs="Times New Roman"/>
                <w:color w:val="000000"/>
                <w:kern w:val="2"/>
                <w:sz w:val="18"/>
                <w:szCs w:val="18"/>
                <w:lang w:val="en-US" w:eastAsia="zh-CN" w:bidi="ar-SA"/>
              </w:rPr>
              <w:t>GB 2759-2015</w:t>
            </w:r>
          </w:p>
        </w:tc>
      </w:tr>
      <w:tr w14:paraId="5C5B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34" w:type="dxa"/>
            <w:vMerge w:val="continue"/>
            <w:tcBorders>
              <w:left w:val="single" w:color="auto" w:sz="4" w:space="0"/>
              <w:right w:val="single" w:color="auto" w:sz="4" w:space="0"/>
            </w:tcBorders>
            <w:noWrap w:val="0"/>
            <w:vAlign w:val="center"/>
          </w:tcPr>
          <w:p w14:paraId="2894D20E">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p>
        </w:tc>
        <w:tc>
          <w:tcPr>
            <w:tcW w:w="2467" w:type="dxa"/>
            <w:vMerge w:val="continue"/>
            <w:tcBorders>
              <w:left w:val="single" w:color="auto" w:sz="4" w:space="0"/>
              <w:right w:val="single" w:color="auto" w:sz="4" w:space="0"/>
            </w:tcBorders>
            <w:noWrap w:val="0"/>
            <w:vAlign w:val="center"/>
          </w:tcPr>
          <w:p w14:paraId="7426EC7A">
            <w:pPr>
              <w:keepNext w:val="0"/>
              <w:keepLines w:val="0"/>
              <w:pageBreakBefore w:val="0"/>
              <w:widowControl w:val="0"/>
              <w:kinsoku/>
              <w:wordWrap/>
              <w:overflowPunct/>
              <w:topLinePunct w:val="0"/>
              <w:autoSpaceDE/>
              <w:autoSpaceDN/>
              <w:bidi w:val="0"/>
              <w:adjustRightInd/>
              <w:snapToGrid/>
              <w:spacing w:line="240" w:lineRule="exact"/>
              <w:jc w:val="center"/>
              <w:textAlignment w:val="auto"/>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480DD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直饮水</w:t>
            </w:r>
          </w:p>
        </w:tc>
        <w:tc>
          <w:tcPr>
            <w:tcW w:w="1009" w:type="dxa"/>
            <w:tcBorders>
              <w:left w:val="single" w:color="auto" w:sz="4" w:space="0"/>
              <w:right w:val="single" w:color="auto" w:sz="4" w:space="0"/>
            </w:tcBorders>
            <w:noWrap w:val="0"/>
            <w:vAlign w:val="center"/>
          </w:tcPr>
          <w:p w14:paraId="595A92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w:t>
            </w:r>
          </w:p>
        </w:tc>
        <w:tc>
          <w:tcPr>
            <w:tcW w:w="960" w:type="dxa"/>
            <w:tcBorders>
              <w:left w:val="single" w:color="auto" w:sz="4" w:space="0"/>
              <w:right w:val="single" w:color="auto" w:sz="4" w:space="0"/>
            </w:tcBorders>
            <w:noWrap w:val="0"/>
            <w:vAlign w:val="center"/>
          </w:tcPr>
          <w:p w14:paraId="461BD3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w:t>
            </w:r>
          </w:p>
        </w:tc>
        <w:tc>
          <w:tcPr>
            <w:tcW w:w="1511" w:type="dxa"/>
            <w:tcBorders>
              <w:left w:val="single" w:color="auto" w:sz="4" w:space="0"/>
              <w:right w:val="single" w:color="auto" w:sz="4" w:space="0"/>
            </w:tcBorders>
            <w:noWrap w:val="0"/>
            <w:vAlign w:val="center"/>
          </w:tcPr>
          <w:p w14:paraId="05C520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default" w:ascii="Times New Roman" w:hAnsi="Times New Roman" w:eastAsia="宋体" w:cs="Times New Roman"/>
                <w:color w:val="000000"/>
                <w:sz w:val="18"/>
                <w:szCs w:val="18"/>
                <w:lang w:val="en-US" w:eastAsia="zh-CN"/>
              </w:rPr>
              <w:t>GB 19298</w:t>
            </w:r>
            <w:r>
              <w:rPr>
                <w:rFonts w:hint="eastAsia" w:ascii="Times New Roman" w:hAnsi="Times New Roman" w:cs="Times New Roman"/>
                <w:color w:val="000000"/>
                <w:sz w:val="18"/>
                <w:szCs w:val="18"/>
                <w:lang w:val="en-US" w:eastAsia="zh-CN"/>
              </w:rPr>
              <w:t>-2014</w:t>
            </w:r>
          </w:p>
        </w:tc>
      </w:tr>
      <w:tr w14:paraId="1490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044B88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2467" w:type="dxa"/>
            <w:tcBorders>
              <w:top w:val="single" w:color="auto" w:sz="4" w:space="0"/>
              <w:left w:val="single" w:color="auto" w:sz="4" w:space="0"/>
              <w:bottom w:val="single" w:color="auto" w:sz="4" w:space="0"/>
              <w:right w:val="single" w:color="auto" w:sz="4" w:space="0"/>
            </w:tcBorders>
            <w:noWrap w:val="0"/>
            <w:vAlign w:val="center"/>
          </w:tcPr>
          <w:p w14:paraId="23C184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lang w:eastAsia="zh-CN"/>
              </w:rPr>
            </w:pPr>
            <w:r>
              <w:rPr>
                <w:rFonts w:hint="eastAsia" w:ascii="宋体" w:hAnsi="宋体" w:eastAsia="宋体" w:cs="宋体"/>
                <w:color w:val="000000"/>
                <w:sz w:val="18"/>
                <w:szCs w:val="18"/>
              </w:rPr>
              <w:t>金黄色葡萄球菌</w:t>
            </w:r>
            <w:r>
              <w:rPr>
                <w:rFonts w:hint="eastAsia" w:ascii="宋体" w:hAnsi="宋体" w:eastAsia="宋体" w:cs="宋体"/>
                <w:color w:val="000000"/>
                <w:sz w:val="18"/>
                <w:szCs w:val="18"/>
                <w:lang w:val="en-US" w:eastAsia="zh-CN"/>
              </w:rPr>
              <w:t>CFU</w:t>
            </w:r>
            <w:r>
              <w:rPr>
                <w:rFonts w:hint="eastAsia" w:ascii="宋体" w:hAnsi="宋体" w:eastAsia="宋体" w:cs="宋体"/>
                <w:color w:val="000000"/>
                <w:sz w:val="18"/>
                <w:szCs w:val="18"/>
              </w:rPr>
              <w:t>/g</w:t>
            </w:r>
            <w:r>
              <w:rPr>
                <w:rFonts w:hint="eastAsia" w:ascii="宋体" w:hAnsi="宋体" w:eastAsia="宋体" w:cs="宋体"/>
                <w:b w:val="0"/>
                <w:bCs w:val="0"/>
                <w:color w:val="000000"/>
                <w:sz w:val="18"/>
                <w:szCs w:val="18"/>
                <w:lang w:val="en-US" w:eastAsia="zh-CN"/>
              </w:rPr>
              <w:t>（mL）</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74A473E">
            <w:pPr>
              <w:spacing w:line="240" w:lineRule="exact"/>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食品</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1540A176">
            <w:pPr>
              <w:spacing w:line="240" w:lineRule="exact"/>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w:t>
            </w:r>
            <w:r>
              <w:rPr>
                <w:rFonts w:hint="eastAsia" w:ascii="宋体" w:hAnsi="宋体" w:eastAsia="宋体" w:cs="宋体"/>
                <w:color w:val="000000"/>
                <w:sz w:val="18"/>
                <w:szCs w:val="18"/>
                <w:vertAlign w:val="superscript"/>
                <w:lang w:val="en-US" w:eastAsia="zh-CN"/>
              </w:rPr>
              <w:t>3</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E37F2CE">
            <w:pPr>
              <w:spacing w:line="240" w:lineRule="exact"/>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w:t>
            </w:r>
            <w:r>
              <w:rPr>
                <w:rFonts w:hint="eastAsia" w:ascii="宋体" w:hAnsi="宋体" w:eastAsia="宋体" w:cs="宋体"/>
                <w:color w:val="000000"/>
                <w:sz w:val="18"/>
                <w:szCs w:val="18"/>
                <w:vertAlign w:val="superscript"/>
                <w:lang w:val="en-US" w:eastAsia="zh-CN"/>
              </w:rPr>
              <w:t>3</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3D56E4D2">
            <w:pPr>
              <w:spacing w:line="240" w:lineRule="exact"/>
              <w:jc w:val="center"/>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DBS 44/006-2024</w:t>
            </w:r>
            <w:r>
              <w:rPr>
                <w:rFonts w:hint="eastAsia" w:cs="Times New Roman"/>
                <w:color w:val="000000"/>
                <w:sz w:val="18"/>
                <w:szCs w:val="18"/>
                <w:lang w:val="en-US" w:eastAsia="zh-CN"/>
              </w:rPr>
              <w:t>、</w:t>
            </w:r>
            <w:r>
              <w:rPr>
                <w:rFonts w:hint="eastAsia" w:ascii="Times New Roman" w:hAnsi="Times New Roman" w:cs="Times New Roman"/>
                <w:color w:val="000000"/>
                <w:sz w:val="18"/>
                <w:szCs w:val="18"/>
                <w:lang w:val="en-US" w:eastAsia="zh-CN"/>
              </w:rPr>
              <w:t>GB 29921-2021</w:t>
            </w:r>
          </w:p>
        </w:tc>
      </w:tr>
      <w:tr w14:paraId="24F9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6F4DFF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sz w:val="18"/>
                <w:szCs w:val="18"/>
                <w:lang w:val="en-US"/>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01709F9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沙门氏菌/25g</w:t>
            </w:r>
            <w:r>
              <w:rPr>
                <w:rFonts w:hint="eastAsia" w:ascii="宋体" w:hAnsi="宋体" w:eastAsia="宋体" w:cs="宋体"/>
                <w:color w:val="000000"/>
                <w:sz w:val="18"/>
                <w:szCs w:val="18"/>
                <w:lang w:val="en-US" w:eastAsia="zh-CN"/>
              </w:rPr>
              <w:t>（mL）</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7E5C3A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3B705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061680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DBS 44/006-2024</w:t>
            </w:r>
            <w:r>
              <w:rPr>
                <w:rFonts w:hint="eastAsia" w:ascii="Times New Roman" w:hAnsi="Times New Roman" w:cs="Times New Roman"/>
                <w:color w:val="000000"/>
                <w:sz w:val="18"/>
                <w:szCs w:val="18"/>
                <w:lang w:val="en-US" w:eastAsia="zh-CN"/>
              </w:rPr>
              <w:t>、GB 29921-2021</w:t>
            </w:r>
          </w:p>
        </w:tc>
      </w:tr>
      <w:tr w14:paraId="7CCB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3E86DE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326B1F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单核细胞增生李斯特氏菌/25</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g</w:t>
            </w:r>
            <w:r>
              <w:rPr>
                <w:rFonts w:hint="eastAsia" w:ascii="宋体" w:hAnsi="宋体" w:eastAsia="宋体" w:cs="宋体"/>
                <w:color w:val="000000"/>
                <w:sz w:val="18"/>
                <w:szCs w:val="18"/>
                <w:lang w:val="en-US" w:eastAsia="zh-CN"/>
              </w:rPr>
              <w:t>（mL）</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46406C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CA820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7120B4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DBS 44/006-2024、GB 29921-2021</w:t>
            </w:r>
          </w:p>
        </w:tc>
      </w:tr>
      <w:tr w14:paraId="622F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41A85B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227E87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大肠埃希氏菌CFU/g（mL）</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385B6A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C7D29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100</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2398A6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DBS 44/006-2024</w:t>
            </w:r>
          </w:p>
        </w:tc>
      </w:tr>
      <w:tr w14:paraId="044A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5032B7A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3BF889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霉菌</w:t>
            </w:r>
            <w:r>
              <w:rPr>
                <w:rFonts w:hint="eastAsia" w:ascii="宋体" w:hAnsi="宋体" w:eastAsia="宋体" w:cs="宋体"/>
                <w:color w:val="000000"/>
                <w:sz w:val="18"/>
                <w:szCs w:val="18"/>
                <w:lang w:val="en-US" w:eastAsia="zh-CN"/>
              </w:rPr>
              <w:t>CFU/g（mL）</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48D3DC5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150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CDBE1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150</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019134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7099-2015</w:t>
            </w:r>
          </w:p>
        </w:tc>
      </w:tr>
      <w:tr w14:paraId="6E08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0087AE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5A0E2B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i w:val="0"/>
                <w:iCs w:val="0"/>
                <w:color w:val="000000"/>
                <w:kern w:val="2"/>
                <w:sz w:val="18"/>
                <w:szCs w:val="18"/>
                <w:u w:val="none"/>
                <w:lang w:val="en-US" w:eastAsia="zh-CN" w:bidi="ar"/>
              </w:rPr>
              <w:t>铜绿假单胞菌</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250</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lang w:val="en-US" w:eastAsia="zh-CN"/>
              </w:rPr>
              <w:t>mL</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7066AF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6C216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5751EC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19298-2014</w:t>
            </w:r>
          </w:p>
        </w:tc>
      </w:tr>
      <w:tr w14:paraId="6C52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34" w:type="dxa"/>
            <w:vMerge w:val="continue"/>
            <w:tcBorders>
              <w:left w:val="single" w:color="auto" w:sz="4" w:space="0"/>
              <w:right w:val="single" w:color="auto" w:sz="4" w:space="0"/>
            </w:tcBorders>
            <w:noWrap w:val="0"/>
            <w:vAlign w:val="center"/>
          </w:tcPr>
          <w:p w14:paraId="20A84C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4A7B169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18"/>
                <w:szCs w:val="18"/>
                <w:u w:val="none"/>
                <w:lang w:val="en-US" w:eastAsia="zh-CN" w:bidi="ar"/>
              </w:rPr>
            </w:pPr>
            <w:r>
              <w:rPr>
                <w:rFonts w:hint="eastAsia" w:ascii="宋体" w:hAnsi="宋体" w:eastAsia="宋体" w:cs="宋体"/>
                <w:color w:val="000000"/>
                <w:sz w:val="18"/>
                <w:szCs w:val="18"/>
              </w:rPr>
              <w:t>蜡样芽胞杆菌CFU/g</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28B9E1F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w:t>
            </w:r>
            <w:r>
              <w:rPr>
                <w:rFonts w:hint="eastAsia" w:ascii="宋体" w:hAnsi="宋体" w:cs="宋体"/>
                <w:color w:val="000000"/>
                <w:sz w:val="18"/>
                <w:szCs w:val="18"/>
                <w:vertAlign w:val="superscript"/>
                <w:lang w:val="en-US" w:eastAsia="zh-CN"/>
              </w:rPr>
              <w:t>4</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0AA7C3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w:t>
            </w:r>
            <w:r>
              <w:rPr>
                <w:rFonts w:hint="eastAsia" w:ascii="宋体" w:hAnsi="宋体" w:cs="宋体"/>
                <w:color w:val="000000"/>
                <w:sz w:val="18"/>
                <w:szCs w:val="18"/>
                <w:vertAlign w:val="superscript"/>
                <w:lang w:val="en-US" w:eastAsia="zh-CN"/>
              </w:rPr>
              <w:t>4</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34AC32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DBS 44/006-2024</w:t>
            </w:r>
          </w:p>
        </w:tc>
      </w:tr>
      <w:tr w14:paraId="3CC6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38C7F9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0A9A9A8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000000"/>
                <w:kern w:val="2"/>
                <w:sz w:val="18"/>
                <w:szCs w:val="18"/>
                <w:u w:val="none"/>
                <w:lang w:val="en-US" w:eastAsia="zh-CN" w:bidi="ar"/>
              </w:rPr>
            </w:pPr>
            <w:r>
              <w:rPr>
                <w:rFonts w:hint="eastAsia" w:ascii="宋体" w:hAnsi="宋体" w:eastAsia="宋体" w:cs="宋体"/>
                <w:i w:val="0"/>
                <w:iCs w:val="0"/>
                <w:color w:val="000000"/>
                <w:kern w:val="2"/>
                <w:sz w:val="18"/>
                <w:szCs w:val="18"/>
                <w:u w:val="none"/>
                <w:lang w:val="en-US" w:eastAsia="zh-CN" w:bidi="ar"/>
              </w:rPr>
              <w:t>致泻大肠埃希氏菌</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25</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g</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721676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0C9C4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04D99B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29921-2021</w:t>
            </w:r>
          </w:p>
        </w:tc>
      </w:tr>
      <w:tr w14:paraId="1715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bottom w:val="single" w:color="auto" w:sz="4" w:space="0"/>
              <w:right w:val="single" w:color="auto" w:sz="4" w:space="0"/>
            </w:tcBorders>
            <w:noWrap w:val="0"/>
            <w:vAlign w:val="center"/>
          </w:tcPr>
          <w:p w14:paraId="758946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03A183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副溶血性弧菌/</w:t>
            </w:r>
            <w:r>
              <w:rPr>
                <w:rFonts w:hint="eastAsia" w:ascii="宋体" w:hAnsi="宋体" w:eastAsia="宋体" w:cs="宋体"/>
                <w:color w:val="000000"/>
                <w:sz w:val="18"/>
                <w:szCs w:val="18"/>
                <w:lang w:val="en-US" w:eastAsia="zh-CN"/>
              </w:rPr>
              <w:t>25</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g</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34E5BE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EB3F7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297BCB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DBS 44/006-2024</w:t>
            </w:r>
          </w:p>
        </w:tc>
      </w:tr>
      <w:tr w14:paraId="386E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restart"/>
            <w:tcBorders>
              <w:top w:val="single" w:color="auto" w:sz="4" w:space="0"/>
              <w:left w:val="single" w:color="auto" w:sz="4" w:space="0"/>
              <w:right w:val="single" w:color="auto" w:sz="4" w:space="0"/>
            </w:tcBorders>
            <w:noWrap w:val="0"/>
            <w:vAlign w:val="center"/>
          </w:tcPr>
          <w:p w14:paraId="65C2FBB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环境（包括人员）</w:t>
            </w: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28F88B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大肠菌群</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50</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lang w:val="en-US" w:eastAsia="zh-CN"/>
              </w:rPr>
              <w:t>cm</w:t>
            </w:r>
            <w:r>
              <w:rPr>
                <w:rFonts w:hint="eastAsia" w:ascii="宋体" w:hAnsi="宋体" w:eastAsia="宋体" w:cs="宋体"/>
                <w:color w:val="000000"/>
                <w:sz w:val="18"/>
                <w:szCs w:val="18"/>
                <w:vertAlign w:val="superscript"/>
                <w:lang w:val="en-US" w:eastAsia="zh-CN"/>
              </w:rPr>
              <w:t>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手</w:t>
            </w:r>
            <w:r>
              <w:rPr>
                <w:rFonts w:hint="eastAsia" w:ascii="宋体" w:hAnsi="宋体" w:eastAsia="宋体" w:cs="宋体"/>
                <w:color w:val="000000"/>
                <w:sz w:val="18"/>
                <w:szCs w:val="18"/>
                <w:lang w:eastAsia="zh-CN"/>
              </w:rPr>
              <w:t>）</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428A1C9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48A9B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3FA1D3D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Times New Roman" w:hAnsi="Times New Roman" w:cs="Times New Roman"/>
                <w:color w:val="000000"/>
                <w:sz w:val="18"/>
                <w:szCs w:val="18"/>
                <w:lang w:val="en-US" w:eastAsia="zh-CN"/>
              </w:rPr>
              <w:t>GB 15979-2002</w:t>
            </w:r>
            <w:r>
              <w:rPr>
                <w:rFonts w:hint="eastAsia" w:cs="Times New Roman"/>
                <w:color w:val="000000"/>
                <w:sz w:val="18"/>
                <w:szCs w:val="18"/>
                <w:lang w:val="en-US" w:eastAsia="zh-CN"/>
              </w:rPr>
              <w:t>、</w:t>
            </w:r>
            <w:r>
              <w:rPr>
                <w:rFonts w:hint="eastAsia" w:ascii="Times New Roman" w:hAnsi="Times New Roman" w:cs="Times New Roman"/>
                <w:color w:val="000000"/>
                <w:sz w:val="18"/>
                <w:szCs w:val="18"/>
                <w:lang w:val="en-US" w:eastAsia="zh-CN"/>
              </w:rPr>
              <w:t>GB 14934-2016</w:t>
            </w:r>
          </w:p>
        </w:tc>
      </w:tr>
      <w:tr w14:paraId="26CB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737D37D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7D1B93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金黄色葡萄球菌</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手</w:t>
            </w:r>
            <w:r>
              <w:rPr>
                <w:rFonts w:hint="eastAsia" w:ascii="宋体" w:hAnsi="宋体" w:eastAsia="宋体" w:cs="宋体"/>
                <w:color w:val="000000"/>
                <w:sz w:val="18"/>
                <w:szCs w:val="18"/>
                <w:lang w:eastAsia="zh-CN"/>
              </w:rPr>
              <w:t>）</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3EFA32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88C9F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2A90B5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15979-2002</w:t>
            </w:r>
          </w:p>
        </w:tc>
      </w:tr>
      <w:tr w14:paraId="681E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645508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23FC8A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沙门氏菌</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50</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lang w:val="en-US" w:eastAsia="zh-CN"/>
              </w:rPr>
              <w:t>cm</w:t>
            </w:r>
            <w:r>
              <w:rPr>
                <w:rFonts w:hint="eastAsia" w:ascii="宋体" w:hAnsi="宋体" w:eastAsia="宋体" w:cs="宋体"/>
                <w:color w:val="000000"/>
                <w:sz w:val="18"/>
                <w:szCs w:val="18"/>
                <w:vertAlign w:val="superscript"/>
                <w:lang w:val="en-US" w:eastAsia="zh-CN"/>
              </w:rPr>
              <w:t>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(900</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cm</w:t>
            </w:r>
            <w:r>
              <w:rPr>
                <w:rFonts w:hint="eastAsia" w:ascii="宋体" w:hAnsi="宋体" w:eastAsia="宋体" w:cs="宋体"/>
                <w:color w:val="000000"/>
                <w:sz w:val="18"/>
                <w:szCs w:val="18"/>
                <w:vertAlign w:val="superscript"/>
              </w:rPr>
              <w:t>2</w:t>
            </w:r>
            <w:r>
              <w:rPr>
                <w:rFonts w:hint="eastAsia" w:ascii="宋体" w:hAnsi="宋体" w:eastAsia="宋体" w:cs="宋体"/>
                <w:color w:val="000000"/>
                <w:sz w:val="18"/>
                <w:szCs w:val="18"/>
              </w:rPr>
              <w:t>)</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65E73F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0D5D34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1BB7E6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Times New Roman" w:hAnsi="Times New Roman" w:cs="Times New Roman"/>
                <w:color w:val="000000"/>
                <w:sz w:val="18"/>
                <w:szCs w:val="18"/>
                <w:lang w:val="en-US" w:eastAsia="zh-CN"/>
              </w:rPr>
              <w:t>GB 15979-2002</w:t>
            </w:r>
            <w:r>
              <w:rPr>
                <w:rFonts w:hint="eastAsia" w:cs="Times New Roman"/>
                <w:color w:val="000000"/>
                <w:sz w:val="18"/>
                <w:szCs w:val="18"/>
                <w:lang w:val="en-US" w:eastAsia="zh-CN"/>
              </w:rPr>
              <w:t>、</w:t>
            </w:r>
            <w:r>
              <w:rPr>
                <w:rFonts w:hint="eastAsia" w:ascii="Times New Roman" w:hAnsi="Times New Roman" w:cs="Times New Roman"/>
                <w:color w:val="000000"/>
                <w:sz w:val="18"/>
                <w:szCs w:val="18"/>
                <w:lang w:val="en-US" w:eastAsia="zh-CN"/>
              </w:rPr>
              <w:t>GB 14934-2016</w:t>
            </w:r>
          </w:p>
        </w:tc>
      </w:tr>
      <w:tr w14:paraId="479D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0D8F0A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7C6C56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单核细胞增生李斯特氏菌</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900</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cm</w:t>
            </w:r>
            <w:r>
              <w:rPr>
                <w:rFonts w:hint="eastAsia" w:ascii="宋体" w:hAnsi="宋体" w:eastAsia="宋体" w:cs="宋体"/>
                <w:color w:val="000000"/>
                <w:sz w:val="18"/>
                <w:szCs w:val="18"/>
                <w:vertAlign w:val="superscript"/>
              </w:rPr>
              <w:t>2</w:t>
            </w:r>
            <w:r>
              <w:rPr>
                <w:rFonts w:hint="eastAsia" w:ascii="宋体" w:hAnsi="宋体" w:eastAsia="宋体" w:cs="宋体"/>
                <w:color w:val="000000"/>
                <w:sz w:val="18"/>
                <w:szCs w:val="18"/>
                <w:lang w:eastAsia="zh-CN"/>
              </w:rPr>
              <w:t>）</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7F1E5A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C94E6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69DC8E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15979-2002</w:t>
            </w:r>
          </w:p>
        </w:tc>
      </w:tr>
      <w:tr w14:paraId="5F6B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23913C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2B3DF56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副溶血性弧菌</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900</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cm</w:t>
            </w:r>
            <w:r>
              <w:rPr>
                <w:rFonts w:hint="eastAsia" w:ascii="宋体" w:hAnsi="宋体" w:eastAsia="宋体" w:cs="宋体"/>
                <w:color w:val="000000"/>
                <w:sz w:val="18"/>
                <w:szCs w:val="18"/>
                <w:vertAlign w:val="superscript"/>
              </w:rPr>
              <w:t>2</w:t>
            </w:r>
            <w:r>
              <w:rPr>
                <w:rFonts w:hint="eastAsia" w:ascii="宋体" w:hAnsi="宋体" w:eastAsia="宋体" w:cs="宋体"/>
                <w:color w:val="000000"/>
                <w:sz w:val="18"/>
                <w:szCs w:val="18"/>
                <w:lang w:eastAsia="zh-CN"/>
              </w:rPr>
              <w:t>）</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1F8F9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未检出</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84749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检出</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4E191F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15979-2002</w:t>
            </w:r>
          </w:p>
        </w:tc>
      </w:tr>
      <w:tr w14:paraId="775A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right w:val="single" w:color="auto" w:sz="4" w:space="0"/>
            </w:tcBorders>
            <w:noWrap w:val="0"/>
            <w:vAlign w:val="center"/>
          </w:tcPr>
          <w:p w14:paraId="7A0ECC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10031E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大肠埃希氏菌（cm</w:t>
            </w:r>
            <w:r>
              <w:rPr>
                <w:rFonts w:hint="eastAsia" w:ascii="宋体" w:hAnsi="宋体" w:eastAsia="宋体" w:cs="宋体"/>
                <w:color w:val="000000"/>
                <w:sz w:val="18"/>
                <w:szCs w:val="18"/>
                <w:vertAlign w:val="superscript"/>
                <w:lang w:val="en-US" w:eastAsia="zh-CN"/>
              </w:rPr>
              <w:t>2</w:t>
            </w:r>
            <w:r>
              <w:rPr>
                <w:rFonts w:hint="eastAsia" w:ascii="宋体" w:hAnsi="宋体" w:eastAsia="宋体" w:cs="宋体"/>
                <w:color w:val="000000"/>
                <w:sz w:val="18"/>
                <w:szCs w:val="18"/>
                <w:lang w:val="en-US" w:eastAsia="zh-CN"/>
              </w:rPr>
              <w:t>）</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1FE600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D1DA4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100</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69DC78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r>
              <w:rPr>
                <w:rFonts w:hint="default" w:ascii="Times New Roman" w:hAnsi="Times New Roman" w:eastAsia="宋体" w:cs="Times New Roman"/>
                <w:color w:val="000000"/>
                <w:sz w:val="18"/>
                <w:szCs w:val="18"/>
                <w:lang w:val="en-US" w:eastAsia="zh-CN"/>
              </w:rPr>
              <w:t>GB 15979-2002</w:t>
            </w:r>
          </w:p>
        </w:tc>
      </w:tr>
      <w:tr w14:paraId="57E6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34" w:type="dxa"/>
            <w:vMerge w:val="continue"/>
            <w:tcBorders>
              <w:left w:val="single" w:color="auto" w:sz="4" w:space="0"/>
              <w:bottom w:val="single" w:color="auto" w:sz="4" w:space="0"/>
              <w:right w:val="single" w:color="auto" w:sz="4" w:space="0"/>
            </w:tcBorders>
            <w:noWrap w:val="0"/>
            <w:vAlign w:val="center"/>
          </w:tcPr>
          <w:p w14:paraId="789AD4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rPr>
            </w:pPr>
          </w:p>
        </w:tc>
        <w:tc>
          <w:tcPr>
            <w:tcW w:w="3907" w:type="dxa"/>
            <w:gridSpan w:val="2"/>
            <w:tcBorders>
              <w:top w:val="single" w:color="auto" w:sz="4" w:space="0"/>
              <w:left w:val="single" w:color="auto" w:sz="4" w:space="0"/>
              <w:bottom w:val="single" w:color="auto" w:sz="4" w:space="0"/>
              <w:right w:val="single" w:color="auto" w:sz="4" w:space="0"/>
            </w:tcBorders>
            <w:noWrap w:val="0"/>
            <w:vAlign w:val="center"/>
          </w:tcPr>
          <w:p w14:paraId="48A552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沉降菌CFU/皿/5</w:t>
            </w:r>
            <w:r>
              <w:rPr>
                <w:rFonts w:hint="eastAsia" w:ascii="宋体" w:hAnsi="宋体" w:cs="宋体"/>
                <w:color w:val="000000"/>
                <w:sz w:val="18"/>
                <w:szCs w:val="18"/>
                <w:lang w:val="en-US" w:eastAsia="zh-CN"/>
              </w:rPr>
              <w:t xml:space="preserve"> </w:t>
            </w:r>
            <w:r>
              <w:rPr>
                <w:rFonts w:hint="eastAsia" w:ascii="宋体" w:hAnsi="宋体" w:eastAsia="宋体" w:cs="宋体"/>
                <w:color w:val="000000"/>
                <w:sz w:val="18"/>
                <w:szCs w:val="18"/>
              </w:rPr>
              <w:t>min</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39E01B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≤20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514A9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＞20</w:t>
            </w:r>
          </w:p>
        </w:tc>
        <w:tc>
          <w:tcPr>
            <w:tcW w:w="1511" w:type="dxa"/>
            <w:tcBorders>
              <w:top w:val="single" w:color="auto" w:sz="4" w:space="0"/>
              <w:left w:val="single" w:color="auto" w:sz="4" w:space="0"/>
              <w:bottom w:val="single" w:color="auto" w:sz="4" w:space="0"/>
              <w:right w:val="single" w:color="auto" w:sz="4" w:space="0"/>
            </w:tcBorders>
            <w:noWrap w:val="0"/>
            <w:vAlign w:val="center"/>
          </w:tcPr>
          <w:p w14:paraId="0A414B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sz w:val="18"/>
                <w:szCs w:val="18"/>
                <w:lang w:val="en-US"/>
              </w:rPr>
            </w:pPr>
            <w:r>
              <w:rPr>
                <w:rFonts w:hint="default" w:ascii="Times New Roman" w:hAnsi="Times New Roman" w:eastAsia="宋体" w:cs="Times New Roman"/>
                <w:color w:val="000000"/>
                <w:sz w:val="18"/>
                <w:szCs w:val="18"/>
                <w:lang w:val="en-US" w:eastAsia="zh-CN"/>
              </w:rPr>
              <w:t>GB 37488</w:t>
            </w:r>
            <w:r>
              <w:rPr>
                <w:rFonts w:hint="eastAsia" w:cs="Times New Roman"/>
                <w:color w:val="000000"/>
                <w:sz w:val="18"/>
                <w:szCs w:val="18"/>
                <w:lang w:val="en-US" w:eastAsia="zh-CN"/>
              </w:rPr>
              <w:t>-2019</w:t>
            </w:r>
          </w:p>
        </w:tc>
      </w:tr>
      <w:bookmarkEnd w:id="33"/>
    </w:tbl>
    <w:p w14:paraId="44111DDE">
      <w:pPr>
        <w:spacing w:line="360" w:lineRule="auto"/>
        <w:rPr>
          <w:rFonts w:hint="default" w:ascii="Times New Roman" w:hAnsi="Times New Roman" w:cs="Times New Roman"/>
          <w:sz w:val="24"/>
          <w:highlight w:val="red"/>
          <w:lang w:eastAsia="zh-CN"/>
        </w:rPr>
      </w:pPr>
      <w:bookmarkStart w:id="34" w:name="OLE_LINK3"/>
    </w:p>
    <w:p w14:paraId="650067F0">
      <w:pPr>
        <w:spacing w:line="360" w:lineRule="auto"/>
        <w:ind w:firstLine="480" w:firstLineChars="200"/>
        <w:rPr>
          <w:rFonts w:hint="default" w:ascii="Times New Roman" w:hAnsi="Times New Roman" w:cs="Times New Roman"/>
          <w:sz w:val="24"/>
          <w:highlight w:val="none"/>
          <w:lang w:eastAsia="zh-CN"/>
        </w:rPr>
      </w:pPr>
    </w:p>
    <w:p w14:paraId="5A57A3EA">
      <w:pPr>
        <w:spacing w:line="360" w:lineRule="auto"/>
        <w:ind w:firstLine="480" w:firstLineChars="200"/>
        <w:rPr>
          <w:rFonts w:hint="default" w:ascii="Times New Roman" w:hAnsi="Times New Roman" w:cs="Times New Roman"/>
          <w:sz w:val="24"/>
          <w:highlight w:val="red"/>
          <w:lang w:val="en-US"/>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八</w:t>
      </w:r>
      <w:r>
        <w:rPr>
          <w:rFonts w:hint="default" w:ascii="Times New Roman" w:hAnsi="Times New Roman" w:cs="Times New Roman"/>
          <w:sz w:val="24"/>
          <w:highlight w:val="none"/>
          <w:lang w:eastAsia="zh-CN"/>
        </w:rPr>
        <w:t>）</w:t>
      </w:r>
      <w:r>
        <w:rPr>
          <w:rFonts w:hint="eastAsia" w:cs="Times New Roman"/>
          <w:sz w:val="24"/>
          <w:highlight w:val="none"/>
          <w:lang w:val="en-US" w:eastAsia="zh-CN"/>
        </w:rPr>
        <w:t>风险评估</w:t>
      </w:r>
    </w:p>
    <w:bookmarkEnd w:id="34"/>
    <w:p w14:paraId="090A5E9C">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结果分析</w:t>
      </w:r>
      <w:r>
        <w:rPr>
          <w:rFonts w:hint="eastAsia" w:ascii="Times New Roman" w:hAnsi="Times New Roman" w:cs="Times New Roman"/>
          <w:sz w:val="24"/>
          <w:lang w:val="en-US" w:eastAsia="zh-CN"/>
        </w:rPr>
        <w:t>基于</w:t>
      </w:r>
      <w:r>
        <w:rPr>
          <w:rFonts w:hint="default" w:ascii="Times New Roman" w:hAnsi="Times New Roman" w:cs="Times New Roman"/>
          <w:sz w:val="24"/>
        </w:rPr>
        <w:t>快速微生物定量风险评估</w:t>
      </w:r>
      <w:r>
        <w:rPr>
          <w:rFonts w:hint="eastAsia" w:ascii="Times New Roman" w:hAnsi="Times New Roman" w:cs="Times New Roman"/>
          <w:sz w:val="24"/>
          <w:lang w:val="en-US" w:eastAsia="zh-CN"/>
        </w:rPr>
        <w:t>模型</w:t>
      </w:r>
      <w:r>
        <w:rPr>
          <w:rFonts w:hint="eastAsia" w:ascii="Times New Roman" w:hAnsi="Times New Roman" w:cs="Times New Roman"/>
          <w:sz w:val="24"/>
          <w:lang w:eastAsia="zh-CN"/>
        </w:rPr>
        <w:t>（</w:t>
      </w:r>
      <w:r>
        <w:rPr>
          <w:rFonts w:hint="default" w:ascii="Times New Roman" w:hAnsi="Times New Roman" w:cs="Times New Roman"/>
          <w:sz w:val="24"/>
        </w:rPr>
        <w:t>swift quantitative</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assessment，microbiological risk</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assessment</w:t>
      </w:r>
      <w:r>
        <w:rPr>
          <w:rFonts w:hint="eastAsia" w:ascii="Times New Roman" w:hAnsi="Times New Roman" w:cs="Times New Roman"/>
          <w:sz w:val="24"/>
          <w:lang w:eastAsia="zh-CN"/>
        </w:rPr>
        <w:t>，sQM</w:t>
      </w:r>
      <w:r>
        <w:rPr>
          <w:rFonts w:hint="eastAsia" w:ascii="Times New Roman" w:hAnsi="Times New Roman" w:cs="Times New Roman"/>
          <w:sz w:val="24"/>
          <w:lang w:val="en-US" w:eastAsia="zh-CN"/>
        </w:rPr>
        <w:t>RA</w:t>
      </w:r>
      <w:r>
        <w:rPr>
          <w:rFonts w:hint="eastAsia" w:ascii="Times New Roman" w:hAnsi="Times New Roman" w:cs="Times New Roman"/>
          <w:sz w:val="24"/>
          <w:lang w:eastAsia="zh-CN"/>
        </w:rPr>
        <w:t>），</w:t>
      </w:r>
      <w:r>
        <w:rPr>
          <w:rFonts w:hint="default" w:ascii="Times New Roman" w:hAnsi="Times New Roman" w:cs="Times New Roman"/>
          <w:sz w:val="24"/>
        </w:rPr>
        <w:t>从</w:t>
      </w:r>
      <w:r>
        <w:rPr>
          <w:rFonts w:hint="eastAsia" w:cs="Times New Roman"/>
          <w:sz w:val="24"/>
          <w:lang w:eastAsia="zh-CN"/>
        </w:rPr>
        <w:t>功能区清洁程度</w:t>
      </w:r>
      <w:r>
        <w:rPr>
          <w:rFonts w:hint="default" w:ascii="Times New Roman" w:hAnsi="Times New Roman" w:cs="Times New Roman"/>
          <w:sz w:val="24"/>
        </w:rPr>
        <w:t>、食品接触关系、食源性致病菌导致的健康损害的分级等三个维度进行评价分析。各区域采样点位风险值结合</w:t>
      </w:r>
      <w:r>
        <w:rPr>
          <w:rFonts w:hint="eastAsia" w:cs="Times New Roman"/>
          <w:sz w:val="24"/>
          <w:lang w:eastAsia="zh-CN"/>
        </w:rPr>
        <w:t>功能区清洁程度</w:t>
      </w:r>
      <w:r>
        <w:rPr>
          <w:rFonts w:hint="default" w:ascii="Times New Roman" w:hAnsi="Times New Roman" w:cs="Times New Roman"/>
          <w:sz w:val="24"/>
        </w:rPr>
        <w:t>、食品接触关系两个维度</w:t>
      </w:r>
      <w:bookmarkStart w:id="35" w:name="OLE_LINK28"/>
      <w:r>
        <w:rPr>
          <w:rFonts w:hint="default" w:ascii="Times New Roman" w:hAnsi="Times New Roman" w:cs="Times New Roman"/>
          <w:sz w:val="24"/>
        </w:rPr>
        <w:t>进行赋值</w:t>
      </w:r>
      <w:bookmarkEnd w:id="35"/>
      <w:r>
        <w:rPr>
          <w:rFonts w:hint="eastAsia" w:ascii="Times New Roman" w:hAnsi="Times New Roman" w:cs="Times New Roman"/>
          <w:sz w:val="24"/>
          <w:lang w:eastAsia="zh-CN"/>
        </w:rPr>
        <w:t>。</w:t>
      </w:r>
      <w:r>
        <w:rPr>
          <w:rFonts w:hint="default" w:ascii="Times New Roman" w:hAnsi="Times New Roman" w:cs="Times New Roman"/>
          <w:sz w:val="24"/>
        </w:rPr>
        <w:t>食源性致病菌危害等级参考国际食品微生物标准委员会（ICMSF）食品微生物丛书《微生物检验与食品安全控制》，将监测微生物</w:t>
      </w:r>
      <w:r>
        <w:rPr>
          <w:rFonts w:hint="eastAsia" w:cs="Times New Roman"/>
          <w:sz w:val="24"/>
          <w:lang w:eastAsia="zh-CN"/>
        </w:rPr>
        <w:t>按</w:t>
      </w:r>
      <w:r>
        <w:rPr>
          <w:rFonts w:hint="default" w:ascii="Times New Roman" w:hAnsi="Times New Roman" w:cs="Times New Roman"/>
          <w:sz w:val="24"/>
        </w:rPr>
        <w:t>对人体健康损害的分级分为3级，进行赋值。最后将各区域采样点位风险值和食源性致病菌危害等级分值相乘，得到餐饮加工环境微生物风险分级最终分值，即餐饮加工环境微生物风险分级矩阵。本标准采用半定量风险分级矩阵方法，主要用于不同采样点位和污染问题的相对风险排序及整改优先级判断，不代表食源性疾病发生概率的精确定量估算。该方法适用于餐饮加工环境中样本量有限、污染波动较大的应用场景</w:t>
      </w:r>
    </w:p>
    <w:p w14:paraId="458F12C8">
      <w:pPr>
        <w:spacing w:line="360" w:lineRule="auto"/>
        <w:ind w:firstLine="480" w:firstLineChars="200"/>
        <w:rPr>
          <w:rFonts w:hint="default" w:ascii="Times New Roman" w:hAnsi="Times New Roman" w:cs="Times New Roman"/>
          <w:sz w:val="24"/>
          <w:highlight w:val="red"/>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九</w:t>
      </w:r>
      <w:r>
        <w:rPr>
          <w:rFonts w:hint="default" w:ascii="Times New Roman" w:hAnsi="Times New Roman" w:cs="Times New Roman"/>
          <w:sz w:val="24"/>
          <w:highlight w:val="none"/>
          <w:lang w:eastAsia="zh-CN"/>
        </w:rPr>
        <w:t>）</w:t>
      </w:r>
      <w:r>
        <w:rPr>
          <w:rFonts w:hint="eastAsia" w:cs="Times New Roman"/>
          <w:sz w:val="24"/>
          <w:highlight w:val="none"/>
          <w:lang w:val="en-US" w:eastAsia="zh-CN"/>
        </w:rPr>
        <w:t>其他</w:t>
      </w:r>
    </w:p>
    <w:p w14:paraId="2B971A77">
      <w:pPr>
        <w:spacing w:line="360" w:lineRule="auto"/>
        <w:ind w:firstLine="480" w:firstLineChars="200"/>
        <w:rPr>
          <w:rFonts w:hint="default" w:ascii="Times New Roman" w:hAnsi="Times New Roman" w:cs="Times New Roman"/>
          <w:sz w:val="24"/>
          <w:lang w:val="en-US"/>
        </w:rPr>
      </w:pPr>
      <w:r>
        <w:rPr>
          <w:rFonts w:hint="eastAsia" w:ascii="Times New Roman" w:hAnsi="Times New Roman" w:cs="Times New Roman"/>
          <w:sz w:val="24"/>
          <w:lang w:val="en-US" w:eastAsia="zh-CN"/>
        </w:rPr>
        <w:t>参照</w:t>
      </w:r>
      <w:r>
        <w:rPr>
          <w:rFonts w:hint="default" w:ascii="Times New Roman" w:hAnsi="Times New Roman" w:cs="Times New Roman"/>
          <w:sz w:val="24"/>
          <w:lang w:val="en-US" w:eastAsia="zh-CN"/>
        </w:rPr>
        <w:t>GB 31654-2021</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GB 14881-2013</w:t>
      </w:r>
      <w:r>
        <w:rPr>
          <w:rFonts w:hint="eastAsia" w:ascii="Times New Roman" w:hAnsi="Times New Roman" w:cs="Times New Roman"/>
          <w:sz w:val="24"/>
          <w:lang w:val="en-US" w:eastAsia="zh-CN"/>
        </w:rPr>
        <w:t>、国家质量监督检验检疫总局〔2015〕163号</w:t>
      </w:r>
      <w:r>
        <w:rPr>
          <w:rFonts w:hint="default" w:ascii="Times New Roman" w:hAnsi="Times New Roman" w:cs="Times New Roman"/>
          <w:sz w:val="24"/>
          <w:lang w:val="en-US" w:eastAsia="zh-CN"/>
        </w:rPr>
        <w:t>《检验检测机构资质认定管理办法》</w:t>
      </w:r>
      <w:r>
        <w:rPr>
          <w:rFonts w:hint="eastAsia" w:ascii="Times New Roman" w:hAnsi="Times New Roman" w:cs="Times New Roman"/>
          <w:sz w:val="24"/>
          <w:lang w:val="en-US" w:eastAsia="zh-CN"/>
        </w:rPr>
        <w:t>制定。</w:t>
      </w:r>
    </w:p>
    <w:p w14:paraId="2FB4CCB3">
      <w:pPr>
        <w:spacing w:line="360" w:lineRule="auto"/>
        <w:ind w:firstLine="480" w:firstLineChars="200"/>
        <w:rPr>
          <w:rFonts w:hint="eastAsia" w:ascii="Times New Roman" w:hAnsi="Times New Roman" w:eastAsia="宋体" w:cs="Times New Roman"/>
          <w:sz w:val="24"/>
          <w:lang w:val="en-US" w:eastAsia="zh-CN"/>
        </w:rPr>
      </w:pPr>
    </w:p>
    <w:p w14:paraId="1AD19EA8">
      <w:pPr>
        <w:spacing w:line="360" w:lineRule="auto"/>
        <w:rPr>
          <w:rFonts w:hint="default" w:ascii="Times New Roman" w:hAnsi="Times New Roman" w:eastAsia="黑体" w:cs="Times New Roman"/>
          <w:sz w:val="24"/>
        </w:rPr>
      </w:pPr>
      <w:r>
        <w:rPr>
          <w:rFonts w:hint="default" w:ascii="Times New Roman" w:hAnsi="Times New Roman" w:eastAsia="黑体" w:cs="Times New Roman"/>
          <w:sz w:val="24"/>
        </w:rPr>
        <w:t>四、社会征求意见及采纳情况</w:t>
      </w:r>
    </w:p>
    <w:p w14:paraId="44F8E3FA">
      <w:pPr>
        <w:spacing w:line="360" w:lineRule="auto"/>
        <w:rPr>
          <w:rFonts w:hint="default" w:ascii="Times New Roman" w:hAnsi="Times New Roman" w:eastAsia="黑体" w:cs="Times New Roman"/>
          <w:sz w:val="24"/>
        </w:rPr>
      </w:pPr>
    </w:p>
    <w:p w14:paraId="458C8DCB">
      <w:pPr>
        <w:spacing w:line="360" w:lineRule="auto"/>
        <w:rPr>
          <w:rFonts w:hint="default" w:ascii="Times New Roman" w:hAnsi="Times New Roman" w:eastAsia="黑体" w:cs="Times New Roman"/>
          <w:sz w:val="24"/>
        </w:rPr>
      </w:pPr>
    </w:p>
    <w:p w14:paraId="38A7728F">
      <w:pPr>
        <w:spacing w:line="360" w:lineRule="auto"/>
        <w:rPr>
          <w:rFonts w:hint="default" w:ascii="Times New Roman" w:hAnsi="Times New Roman" w:eastAsia="黑体" w:cs="Times New Roman"/>
          <w:sz w:val="24"/>
        </w:rPr>
      </w:pPr>
      <w:r>
        <w:rPr>
          <w:rFonts w:hint="default" w:ascii="Times New Roman" w:hAnsi="Times New Roman" w:eastAsia="黑体" w:cs="Times New Roman"/>
          <w:sz w:val="24"/>
        </w:rPr>
        <w:t>五、标准实施日期和实施建议</w:t>
      </w:r>
    </w:p>
    <w:p w14:paraId="4C55FDE1">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建议本标准自发布之日起2周后实施。在2周的时间内，企业可以进行实施的准备工作，鼓励有条件的企业提前实施本标准。</w:t>
      </w:r>
    </w:p>
    <w:p w14:paraId="3470DB54">
      <w:pPr>
        <w:spacing w:line="360" w:lineRule="auto"/>
        <w:rPr>
          <w:rFonts w:hint="default" w:ascii="Times New Roman" w:hAnsi="Times New Roman" w:eastAsia="黑体" w:cs="Times New Roman"/>
          <w:sz w:val="24"/>
        </w:rPr>
      </w:pPr>
      <w:r>
        <w:rPr>
          <w:rFonts w:hint="default" w:ascii="Times New Roman" w:hAnsi="Times New Roman" w:eastAsia="黑体" w:cs="Times New Roman"/>
          <w:sz w:val="24"/>
        </w:rPr>
        <w:t>六、其他需要说明的事项</w:t>
      </w:r>
    </w:p>
    <w:p w14:paraId="7EEF2D49">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无。</w:t>
      </w:r>
    </w:p>
    <w:p w14:paraId="58609091">
      <w:pPr>
        <w:spacing w:line="360" w:lineRule="auto"/>
        <w:ind w:firstLine="480" w:firstLineChars="200"/>
        <w:rPr>
          <w:rFonts w:hint="default" w:ascii="Times New Roman" w:hAnsi="Times New Roman" w:cs="Times New Roman"/>
          <w:sz w:val="24"/>
        </w:rPr>
      </w:pPr>
    </w:p>
    <w:sectPr>
      <w:headerReference r:id="rId3" w:type="default"/>
      <w:footerReference r:id="rId4" w:type="default"/>
      <w:pgSz w:w="11906" w:h="16838"/>
      <w:pgMar w:top="1440" w:right="1800" w:bottom="779" w:left="1800" w:header="227" w:footer="227"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08208">
    <w:pPr>
      <w:pStyle w:val="9"/>
      <w:tabs>
        <w:tab w:val="center" w:pos="4111"/>
        <w:tab w:val="clear" w:pos="4153"/>
      </w:tabs>
      <w:jc w:val="right"/>
      <w:rPr>
        <w:sz w:val="24"/>
      </w:rPr>
    </w:pPr>
    <w:r>
      <w:rPr>
        <w:rFonts w:hint="eastAsia"/>
        <w:sz w:val="24"/>
      </w:rPr>
      <w:t xml:space="preserve">               </w:t>
    </w:r>
    <w:r>
      <w:rPr>
        <w:rFonts w:hint="eastAsia"/>
        <w:position w:val="80"/>
        <w:sz w:val="24"/>
      </w:rPr>
      <w:t xml:space="preserve"> </w:t>
    </w:r>
    <w:r>
      <w:rPr>
        <w:position w:val="40"/>
        <w:sz w:val="24"/>
      </w:rPr>
      <w:fldChar w:fldCharType="begin"/>
    </w:r>
    <w:r>
      <w:rPr>
        <w:position w:val="40"/>
        <w:sz w:val="24"/>
      </w:rPr>
      <w:instrText xml:space="preserve"> PAGE   \* MERGEFORMAT </w:instrText>
    </w:r>
    <w:r>
      <w:rPr>
        <w:position w:val="40"/>
        <w:sz w:val="24"/>
      </w:rPr>
      <w:fldChar w:fldCharType="separate"/>
    </w:r>
    <w:r>
      <w:rPr>
        <w:position w:val="40"/>
        <w:sz w:val="24"/>
        <w:lang w:val="zh-CN"/>
      </w:rPr>
      <w:t>7</w:t>
    </w:r>
    <w:r>
      <w:rPr>
        <w:position w:val="40"/>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0A037">
    <w:pPr>
      <w:pStyle w:val="10"/>
      <w:pBdr>
        <w:bottom w:val="none" w:color="auto" w:sz="0" w:space="0"/>
      </w:pBdr>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28"/>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735"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09E27E3"/>
    <w:multiLevelType w:val="multilevel"/>
    <w:tmpl w:val="409E27E3"/>
    <w:lvl w:ilvl="0" w:tentative="0">
      <w:start w:val="1"/>
      <w:numFmt w:val="decimal"/>
      <w:lvlText w:val="%1)"/>
      <w:lvlJc w:val="left"/>
      <w:pPr>
        <w:ind w:left="420" w:hanging="420"/>
      </w:pPr>
    </w:lvl>
    <w:lvl w:ilvl="1" w:tentative="0">
      <w:start w:val="1"/>
      <w:numFmt w:val="lowerLetter"/>
      <w:pStyle w:val="33"/>
      <w:lvlText w:val="%2)"/>
      <w:lvlJc w:val="left"/>
      <w:pPr>
        <w:ind w:left="840" w:hanging="420"/>
      </w:pPr>
    </w:lvl>
    <w:lvl w:ilvl="2" w:tentative="0">
      <w:start w:val="1"/>
      <w:numFmt w:val="decimal"/>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46260FA"/>
    <w:multiLevelType w:val="multilevel"/>
    <w:tmpl w:val="646260FA"/>
    <w:lvl w:ilvl="0" w:tentative="0">
      <w:start w:val="1"/>
      <w:numFmt w:val="decimal"/>
      <w:pStyle w:val="34"/>
      <w:suff w:val="nothing"/>
      <w:lvlText w:val="表%1　"/>
      <w:lvlJc w:val="left"/>
      <w:pPr>
        <w:ind w:left="3543" w:firstLine="0"/>
      </w:pPr>
      <w:rPr>
        <w:rFonts w:hint="eastAsia" w:ascii="黑体" w:hAnsi="Times New Roman" w:eastAsia="黑体"/>
        <w:b w:val="0"/>
        <w:i w:val="0"/>
        <w:sz w:val="21"/>
      </w:rPr>
    </w:lvl>
    <w:lvl w:ilvl="1" w:tentative="0">
      <w:start w:val="1"/>
      <w:numFmt w:val="decimal"/>
      <w:lvlText w:val="%1.%2"/>
      <w:lvlJc w:val="left"/>
      <w:pPr>
        <w:tabs>
          <w:tab w:val="left" w:pos="20"/>
        </w:tabs>
        <w:ind w:left="20" w:hanging="567"/>
      </w:pPr>
      <w:rPr>
        <w:rFonts w:hint="eastAsia"/>
      </w:rPr>
    </w:lvl>
    <w:lvl w:ilvl="2" w:tentative="0">
      <w:start w:val="1"/>
      <w:numFmt w:val="decimal"/>
      <w:lvlText w:val="%1.%2.%3"/>
      <w:lvlJc w:val="left"/>
      <w:pPr>
        <w:tabs>
          <w:tab w:val="left" w:pos="446"/>
        </w:tabs>
        <w:ind w:left="446" w:hanging="567"/>
      </w:pPr>
      <w:rPr>
        <w:rFonts w:hint="eastAsia"/>
      </w:rPr>
    </w:lvl>
    <w:lvl w:ilvl="3" w:tentative="0">
      <w:start w:val="1"/>
      <w:numFmt w:val="decimal"/>
      <w:lvlText w:val="%1.%2.%3.%4"/>
      <w:lvlJc w:val="left"/>
      <w:pPr>
        <w:tabs>
          <w:tab w:val="left" w:pos="1012"/>
        </w:tabs>
        <w:ind w:left="1012" w:hanging="708"/>
      </w:pPr>
      <w:rPr>
        <w:rFonts w:hint="eastAsia"/>
      </w:rPr>
    </w:lvl>
    <w:lvl w:ilvl="4" w:tentative="0">
      <w:start w:val="1"/>
      <w:numFmt w:val="decimal"/>
      <w:lvlText w:val="%1.%2.%3.%4.%5"/>
      <w:lvlJc w:val="left"/>
      <w:pPr>
        <w:tabs>
          <w:tab w:val="left" w:pos="1579"/>
        </w:tabs>
        <w:ind w:left="1579" w:hanging="850"/>
      </w:pPr>
      <w:rPr>
        <w:rFonts w:hint="eastAsia"/>
      </w:rPr>
    </w:lvl>
    <w:lvl w:ilvl="5" w:tentative="0">
      <w:start w:val="1"/>
      <w:numFmt w:val="decimal"/>
      <w:lvlText w:val="%1.%2.%3.%4.%5.%6"/>
      <w:lvlJc w:val="left"/>
      <w:pPr>
        <w:tabs>
          <w:tab w:val="left" w:pos="2288"/>
        </w:tabs>
        <w:ind w:left="2288" w:hanging="1134"/>
      </w:pPr>
      <w:rPr>
        <w:rFonts w:hint="eastAsia"/>
      </w:rPr>
    </w:lvl>
    <w:lvl w:ilvl="6" w:tentative="0">
      <w:start w:val="1"/>
      <w:numFmt w:val="decimal"/>
      <w:lvlText w:val="%1.%2.%3.%4.%5.%6.%7"/>
      <w:lvlJc w:val="left"/>
      <w:pPr>
        <w:tabs>
          <w:tab w:val="left" w:pos="2855"/>
        </w:tabs>
        <w:ind w:left="2855" w:hanging="1276"/>
      </w:pPr>
      <w:rPr>
        <w:rFonts w:hint="eastAsia"/>
      </w:rPr>
    </w:lvl>
    <w:lvl w:ilvl="7" w:tentative="0">
      <w:start w:val="1"/>
      <w:numFmt w:val="decimal"/>
      <w:lvlText w:val="%1.%2.%3.%4.%5.%6.%7.%8"/>
      <w:lvlJc w:val="left"/>
      <w:pPr>
        <w:tabs>
          <w:tab w:val="left" w:pos="3422"/>
        </w:tabs>
        <w:ind w:left="3422" w:hanging="1418"/>
      </w:pPr>
      <w:rPr>
        <w:rFonts w:hint="eastAsia"/>
      </w:rPr>
    </w:lvl>
    <w:lvl w:ilvl="8" w:tentative="0">
      <w:start w:val="1"/>
      <w:numFmt w:val="decimal"/>
      <w:lvlText w:val="%1.%2.%3.%4.%5.%6.%7.%8.%9"/>
      <w:lvlJc w:val="left"/>
      <w:pPr>
        <w:tabs>
          <w:tab w:val="left" w:pos="4130"/>
        </w:tabs>
        <w:ind w:left="4130" w:hanging="1700"/>
      </w:pPr>
      <w:rPr>
        <w:rFonts w:hint="eastAsia"/>
      </w:rPr>
    </w:lvl>
  </w:abstractNum>
  <w:abstractNum w:abstractNumId="3">
    <w:nsid w:val="657D3FBC"/>
    <w:multiLevelType w:val="multilevel"/>
    <w:tmpl w:val="657D3FBC"/>
    <w:lvl w:ilvl="0" w:tentative="0">
      <w:start w:val="1"/>
      <w:numFmt w:val="upperLetter"/>
      <w:pStyle w:val="4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4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9"/>
      <w:suff w:val="nothing"/>
      <w:lvlText w:val="%1.%2.%3　"/>
      <w:lvlJc w:val="left"/>
      <w:pPr>
        <w:ind w:left="0" w:firstLine="0"/>
      </w:pPr>
      <w:rPr>
        <w:rFonts w:hint="eastAsia" w:ascii="黑体" w:hAnsi="Times New Roman" w:eastAsia="黑体"/>
        <w:b w:val="0"/>
        <w:i w:val="0"/>
        <w:sz w:val="21"/>
      </w:rPr>
    </w:lvl>
    <w:lvl w:ilvl="3" w:tentative="0">
      <w:start w:val="1"/>
      <w:numFmt w:val="decimal"/>
      <w:pStyle w:val="43"/>
      <w:suff w:val="nothing"/>
      <w:lvlText w:val="%1.%2.%3.%4　"/>
      <w:lvlJc w:val="left"/>
      <w:pPr>
        <w:ind w:left="0" w:firstLine="0"/>
      </w:pPr>
      <w:rPr>
        <w:rFonts w:hint="eastAsia" w:ascii="黑体" w:hAnsi="Times New Roman" w:eastAsia="黑体"/>
        <w:b w:val="0"/>
        <w:i w:val="0"/>
        <w:sz w:val="21"/>
      </w:rPr>
    </w:lvl>
    <w:lvl w:ilvl="4" w:tentative="0">
      <w:start w:val="1"/>
      <w:numFmt w:val="decimal"/>
      <w:pStyle w:val="42"/>
      <w:suff w:val="nothing"/>
      <w:lvlText w:val="%1.%2.%3.%4.%5　"/>
      <w:lvlJc w:val="left"/>
      <w:pPr>
        <w:ind w:left="0" w:firstLine="0"/>
      </w:pPr>
      <w:rPr>
        <w:rFonts w:hint="eastAsia" w:ascii="黑体" w:hAnsi="Times New Roman" w:eastAsia="黑体"/>
        <w:b w:val="0"/>
        <w:i w:val="0"/>
        <w:sz w:val="21"/>
      </w:rPr>
    </w:lvl>
    <w:lvl w:ilvl="5" w:tentative="0">
      <w:start w:val="1"/>
      <w:numFmt w:val="decimal"/>
      <w:pStyle w:val="41"/>
      <w:suff w:val="nothing"/>
      <w:lvlText w:val="%1.%2.%3.%4.%5.%6　"/>
      <w:lvlJc w:val="left"/>
      <w:pPr>
        <w:ind w:left="0" w:firstLine="0"/>
      </w:pPr>
      <w:rPr>
        <w:rFonts w:hint="eastAsia" w:ascii="黑体" w:hAnsi="Times New Roman" w:eastAsia="黑体"/>
        <w:b w:val="0"/>
        <w:i w:val="0"/>
        <w:sz w:val="21"/>
      </w:rPr>
    </w:lvl>
    <w:lvl w:ilvl="6" w:tentative="0">
      <w:start w:val="1"/>
      <w:numFmt w:val="decimal"/>
      <w:pStyle w:val="4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2B9D"/>
    <w:rsid w:val="00023509"/>
    <w:rsid w:val="00025A7E"/>
    <w:rsid w:val="000610FA"/>
    <w:rsid w:val="000634ED"/>
    <w:rsid w:val="00066C4A"/>
    <w:rsid w:val="00066CED"/>
    <w:rsid w:val="0007709F"/>
    <w:rsid w:val="00080867"/>
    <w:rsid w:val="00086EEC"/>
    <w:rsid w:val="00092B11"/>
    <w:rsid w:val="0009717A"/>
    <w:rsid w:val="000A17CB"/>
    <w:rsid w:val="000A2129"/>
    <w:rsid w:val="000B1EBB"/>
    <w:rsid w:val="000B385A"/>
    <w:rsid w:val="000B5FF7"/>
    <w:rsid w:val="000C284D"/>
    <w:rsid w:val="000C53E2"/>
    <w:rsid w:val="000D71D0"/>
    <w:rsid w:val="000D7287"/>
    <w:rsid w:val="000E4CBD"/>
    <w:rsid w:val="000E52C7"/>
    <w:rsid w:val="000E5598"/>
    <w:rsid w:val="00102A26"/>
    <w:rsid w:val="001064C8"/>
    <w:rsid w:val="00107174"/>
    <w:rsid w:val="00112CBE"/>
    <w:rsid w:val="00115818"/>
    <w:rsid w:val="0011750D"/>
    <w:rsid w:val="00123D9C"/>
    <w:rsid w:val="00125763"/>
    <w:rsid w:val="00125F6C"/>
    <w:rsid w:val="00126AEA"/>
    <w:rsid w:val="00127441"/>
    <w:rsid w:val="00132327"/>
    <w:rsid w:val="00135888"/>
    <w:rsid w:val="001365EA"/>
    <w:rsid w:val="00141CA9"/>
    <w:rsid w:val="00144BC4"/>
    <w:rsid w:val="00146F2E"/>
    <w:rsid w:val="00151911"/>
    <w:rsid w:val="00151F01"/>
    <w:rsid w:val="001556EC"/>
    <w:rsid w:val="00156CA6"/>
    <w:rsid w:val="00160B02"/>
    <w:rsid w:val="001667E3"/>
    <w:rsid w:val="00173BBB"/>
    <w:rsid w:val="0017494F"/>
    <w:rsid w:val="00177120"/>
    <w:rsid w:val="001826BA"/>
    <w:rsid w:val="00183F76"/>
    <w:rsid w:val="0018528A"/>
    <w:rsid w:val="00190C65"/>
    <w:rsid w:val="001B0463"/>
    <w:rsid w:val="001B15D8"/>
    <w:rsid w:val="001C7CDC"/>
    <w:rsid w:val="001D5627"/>
    <w:rsid w:val="001F5000"/>
    <w:rsid w:val="001F575B"/>
    <w:rsid w:val="001F767F"/>
    <w:rsid w:val="001F7981"/>
    <w:rsid w:val="001F7C7B"/>
    <w:rsid w:val="0020134B"/>
    <w:rsid w:val="00205E4F"/>
    <w:rsid w:val="00214784"/>
    <w:rsid w:val="00220FF8"/>
    <w:rsid w:val="00221B17"/>
    <w:rsid w:val="00221CC7"/>
    <w:rsid w:val="00225E3F"/>
    <w:rsid w:val="00230578"/>
    <w:rsid w:val="00231885"/>
    <w:rsid w:val="00231D24"/>
    <w:rsid w:val="002408BF"/>
    <w:rsid w:val="002472F1"/>
    <w:rsid w:val="00251961"/>
    <w:rsid w:val="002542D5"/>
    <w:rsid w:val="00254A61"/>
    <w:rsid w:val="0025574B"/>
    <w:rsid w:val="00256DCC"/>
    <w:rsid w:val="00260305"/>
    <w:rsid w:val="00261CA8"/>
    <w:rsid w:val="00266674"/>
    <w:rsid w:val="00266A21"/>
    <w:rsid w:val="00275386"/>
    <w:rsid w:val="00275A04"/>
    <w:rsid w:val="00275ABA"/>
    <w:rsid w:val="0028400A"/>
    <w:rsid w:val="0029003E"/>
    <w:rsid w:val="00290619"/>
    <w:rsid w:val="00295D28"/>
    <w:rsid w:val="002A1170"/>
    <w:rsid w:val="002A35AF"/>
    <w:rsid w:val="002A3FEB"/>
    <w:rsid w:val="002B48F3"/>
    <w:rsid w:val="002C1AA8"/>
    <w:rsid w:val="002D18AC"/>
    <w:rsid w:val="002D4FD1"/>
    <w:rsid w:val="002D636F"/>
    <w:rsid w:val="002E486A"/>
    <w:rsid w:val="002E662F"/>
    <w:rsid w:val="002E7633"/>
    <w:rsid w:val="00304DAF"/>
    <w:rsid w:val="003143E7"/>
    <w:rsid w:val="00336E87"/>
    <w:rsid w:val="00342465"/>
    <w:rsid w:val="00342A32"/>
    <w:rsid w:val="0034382D"/>
    <w:rsid w:val="00346FE6"/>
    <w:rsid w:val="0035526A"/>
    <w:rsid w:val="00357B2B"/>
    <w:rsid w:val="00361826"/>
    <w:rsid w:val="00367032"/>
    <w:rsid w:val="0037012A"/>
    <w:rsid w:val="00381B68"/>
    <w:rsid w:val="00392D6C"/>
    <w:rsid w:val="00394C3A"/>
    <w:rsid w:val="003A14AF"/>
    <w:rsid w:val="003A6B89"/>
    <w:rsid w:val="003A79A9"/>
    <w:rsid w:val="003B0B5D"/>
    <w:rsid w:val="003D1B8F"/>
    <w:rsid w:val="003D2D8D"/>
    <w:rsid w:val="003E1703"/>
    <w:rsid w:val="003E5202"/>
    <w:rsid w:val="003F4B6F"/>
    <w:rsid w:val="003F7251"/>
    <w:rsid w:val="0040728A"/>
    <w:rsid w:val="004105D9"/>
    <w:rsid w:val="00416BD8"/>
    <w:rsid w:val="00421B4E"/>
    <w:rsid w:val="0042277C"/>
    <w:rsid w:val="00424194"/>
    <w:rsid w:val="00426B31"/>
    <w:rsid w:val="00427A1D"/>
    <w:rsid w:val="00431F70"/>
    <w:rsid w:val="00432C83"/>
    <w:rsid w:val="00433A56"/>
    <w:rsid w:val="00434426"/>
    <w:rsid w:val="00456CE9"/>
    <w:rsid w:val="00463A07"/>
    <w:rsid w:val="00463E44"/>
    <w:rsid w:val="00473BF2"/>
    <w:rsid w:val="00485333"/>
    <w:rsid w:val="0049076B"/>
    <w:rsid w:val="00492E2B"/>
    <w:rsid w:val="00497895"/>
    <w:rsid w:val="004A18BA"/>
    <w:rsid w:val="004A3780"/>
    <w:rsid w:val="004A3B35"/>
    <w:rsid w:val="004A7CA2"/>
    <w:rsid w:val="004B6F1B"/>
    <w:rsid w:val="004C3C8A"/>
    <w:rsid w:val="004D041A"/>
    <w:rsid w:val="004D4FFF"/>
    <w:rsid w:val="004D5DF3"/>
    <w:rsid w:val="004E104A"/>
    <w:rsid w:val="004F374E"/>
    <w:rsid w:val="004F62EC"/>
    <w:rsid w:val="004F735D"/>
    <w:rsid w:val="005003FF"/>
    <w:rsid w:val="0050255B"/>
    <w:rsid w:val="005038D7"/>
    <w:rsid w:val="00503F48"/>
    <w:rsid w:val="00506CFD"/>
    <w:rsid w:val="00512BAA"/>
    <w:rsid w:val="005140F3"/>
    <w:rsid w:val="00521F2D"/>
    <w:rsid w:val="00524CE1"/>
    <w:rsid w:val="005259A7"/>
    <w:rsid w:val="00526B56"/>
    <w:rsid w:val="00536F03"/>
    <w:rsid w:val="00552634"/>
    <w:rsid w:val="0055586B"/>
    <w:rsid w:val="005579E2"/>
    <w:rsid w:val="00560EA5"/>
    <w:rsid w:val="00573556"/>
    <w:rsid w:val="00574DD8"/>
    <w:rsid w:val="00576055"/>
    <w:rsid w:val="00576D7D"/>
    <w:rsid w:val="005818FF"/>
    <w:rsid w:val="00586512"/>
    <w:rsid w:val="0058760D"/>
    <w:rsid w:val="00593E52"/>
    <w:rsid w:val="00595D4C"/>
    <w:rsid w:val="00596DD1"/>
    <w:rsid w:val="005A2186"/>
    <w:rsid w:val="005A390F"/>
    <w:rsid w:val="005A44F6"/>
    <w:rsid w:val="005B1D0E"/>
    <w:rsid w:val="005B2B4E"/>
    <w:rsid w:val="005B4288"/>
    <w:rsid w:val="005B4BBB"/>
    <w:rsid w:val="005B5BD3"/>
    <w:rsid w:val="005C1585"/>
    <w:rsid w:val="005C33CB"/>
    <w:rsid w:val="005C3932"/>
    <w:rsid w:val="005C700A"/>
    <w:rsid w:val="005D13A6"/>
    <w:rsid w:val="005D19A3"/>
    <w:rsid w:val="005D4EB5"/>
    <w:rsid w:val="005D7CA3"/>
    <w:rsid w:val="005E6B61"/>
    <w:rsid w:val="005E71E0"/>
    <w:rsid w:val="005E7F28"/>
    <w:rsid w:val="005F47E7"/>
    <w:rsid w:val="005F7776"/>
    <w:rsid w:val="00600A89"/>
    <w:rsid w:val="00602D40"/>
    <w:rsid w:val="0061261D"/>
    <w:rsid w:val="00624B2D"/>
    <w:rsid w:val="00627B6E"/>
    <w:rsid w:val="00627D52"/>
    <w:rsid w:val="0064796C"/>
    <w:rsid w:val="0065030B"/>
    <w:rsid w:val="00650BFC"/>
    <w:rsid w:val="006548AF"/>
    <w:rsid w:val="00655C2D"/>
    <w:rsid w:val="00656AA3"/>
    <w:rsid w:val="00657864"/>
    <w:rsid w:val="00665C4E"/>
    <w:rsid w:val="00666D46"/>
    <w:rsid w:val="00673C3E"/>
    <w:rsid w:val="0067582E"/>
    <w:rsid w:val="0067746F"/>
    <w:rsid w:val="00680C00"/>
    <w:rsid w:val="00682EFC"/>
    <w:rsid w:val="00691153"/>
    <w:rsid w:val="00694A50"/>
    <w:rsid w:val="006A119D"/>
    <w:rsid w:val="006A24B3"/>
    <w:rsid w:val="006A342B"/>
    <w:rsid w:val="006A41F5"/>
    <w:rsid w:val="006B6790"/>
    <w:rsid w:val="006B67EF"/>
    <w:rsid w:val="006C05FE"/>
    <w:rsid w:val="006C3DCC"/>
    <w:rsid w:val="006C79F4"/>
    <w:rsid w:val="006D2C4B"/>
    <w:rsid w:val="006D5B86"/>
    <w:rsid w:val="006E2C74"/>
    <w:rsid w:val="006F7B20"/>
    <w:rsid w:val="0070384D"/>
    <w:rsid w:val="00716032"/>
    <w:rsid w:val="00724D96"/>
    <w:rsid w:val="00725225"/>
    <w:rsid w:val="00731E25"/>
    <w:rsid w:val="007353E5"/>
    <w:rsid w:val="007356C0"/>
    <w:rsid w:val="007365D3"/>
    <w:rsid w:val="00752421"/>
    <w:rsid w:val="00752BDC"/>
    <w:rsid w:val="007540E5"/>
    <w:rsid w:val="00763547"/>
    <w:rsid w:val="00777CAD"/>
    <w:rsid w:val="0078622B"/>
    <w:rsid w:val="007865F3"/>
    <w:rsid w:val="0078660A"/>
    <w:rsid w:val="00787E1A"/>
    <w:rsid w:val="007A1AE1"/>
    <w:rsid w:val="007B5854"/>
    <w:rsid w:val="007B6760"/>
    <w:rsid w:val="007B7618"/>
    <w:rsid w:val="007B7FEE"/>
    <w:rsid w:val="007C0977"/>
    <w:rsid w:val="007C6026"/>
    <w:rsid w:val="007C7FC7"/>
    <w:rsid w:val="007D212D"/>
    <w:rsid w:val="007D5FD0"/>
    <w:rsid w:val="007F1203"/>
    <w:rsid w:val="0080108C"/>
    <w:rsid w:val="008024D9"/>
    <w:rsid w:val="008026BE"/>
    <w:rsid w:val="008064B3"/>
    <w:rsid w:val="00816DFA"/>
    <w:rsid w:val="00817112"/>
    <w:rsid w:val="00817D16"/>
    <w:rsid w:val="00817EC4"/>
    <w:rsid w:val="00823A7A"/>
    <w:rsid w:val="00833ED4"/>
    <w:rsid w:val="0084192B"/>
    <w:rsid w:val="00844749"/>
    <w:rsid w:val="00860C73"/>
    <w:rsid w:val="00863200"/>
    <w:rsid w:val="008633A7"/>
    <w:rsid w:val="00863CD8"/>
    <w:rsid w:val="008764C0"/>
    <w:rsid w:val="00877D11"/>
    <w:rsid w:val="00882E00"/>
    <w:rsid w:val="00882E4C"/>
    <w:rsid w:val="00884E49"/>
    <w:rsid w:val="008A44F5"/>
    <w:rsid w:val="008A6835"/>
    <w:rsid w:val="008B4B7C"/>
    <w:rsid w:val="008B6778"/>
    <w:rsid w:val="008C3127"/>
    <w:rsid w:val="008C7D5B"/>
    <w:rsid w:val="008D06EA"/>
    <w:rsid w:val="008D2F1F"/>
    <w:rsid w:val="008E1E4B"/>
    <w:rsid w:val="008F16CA"/>
    <w:rsid w:val="008F2A89"/>
    <w:rsid w:val="008F31F5"/>
    <w:rsid w:val="008F5463"/>
    <w:rsid w:val="00901529"/>
    <w:rsid w:val="009027D3"/>
    <w:rsid w:val="009133C9"/>
    <w:rsid w:val="009136D0"/>
    <w:rsid w:val="00921C9F"/>
    <w:rsid w:val="00922AE4"/>
    <w:rsid w:val="00922FF6"/>
    <w:rsid w:val="009252EB"/>
    <w:rsid w:val="009273C8"/>
    <w:rsid w:val="00932FA4"/>
    <w:rsid w:val="009359A7"/>
    <w:rsid w:val="00937CDE"/>
    <w:rsid w:val="00941A9A"/>
    <w:rsid w:val="00944A9C"/>
    <w:rsid w:val="00956754"/>
    <w:rsid w:val="00963193"/>
    <w:rsid w:val="00964302"/>
    <w:rsid w:val="00975C20"/>
    <w:rsid w:val="00980401"/>
    <w:rsid w:val="00984B24"/>
    <w:rsid w:val="009853F0"/>
    <w:rsid w:val="00991D5C"/>
    <w:rsid w:val="009A35A1"/>
    <w:rsid w:val="009B0693"/>
    <w:rsid w:val="009B210F"/>
    <w:rsid w:val="009B33E5"/>
    <w:rsid w:val="009C637F"/>
    <w:rsid w:val="009C6667"/>
    <w:rsid w:val="009C7890"/>
    <w:rsid w:val="009D0950"/>
    <w:rsid w:val="009D3317"/>
    <w:rsid w:val="009D4140"/>
    <w:rsid w:val="009D583F"/>
    <w:rsid w:val="009D60FB"/>
    <w:rsid w:val="009E1809"/>
    <w:rsid w:val="009F2CCD"/>
    <w:rsid w:val="009F7C5E"/>
    <w:rsid w:val="00A001BE"/>
    <w:rsid w:val="00A03C26"/>
    <w:rsid w:val="00A03F80"/>
    <w:rsid w:val="00A0528C"/>
    <w:rsid w:val="00A05B96"/>
    <w:rsid w:val="00A05D9F"/>
    <w:rsid w:val="00A27FA8"/>
    <w:rsid w:val="00A32793"/>
    <w:rsid w:val="00A34CEA"/>
    <w:rsid w:val="00A35462"/>
    <w:rsid w:val="00A36683"/>
    <w:rsid w:val="00A417B0"/>
    <w:rsid w:val="00A4244F"/>
    <w:rsid w:val="00A42D84"/>
    <w:rsid w:val="00A44632"/>
    <w:rsid w:val="00A452AC"/>
    <w:rsid w:val="00A610A1"/>
    <w:rsid w:val="00A64132"/>
    <w:rsid w:val="00A76025"/>
    <w:rsid w:val="00A80DE2"/>
    <w:rsid w:val="00A832FB"/>
    <w:rsid w:val="00A8344F"/>
    <w:rsid w:val="00A9092B"/>
    <w:rsid w:val="00AB14C2"/>
    <w:rsid w:val="00AB1945"/>
    <w:rsid w:val="00AC3506"/>
    <w:rsid w:val="00AC36D5"/>
    <w:rsid w:val="00AC50DE"/>
    <w:rsid w:val="00AD4501"/>
    <w:rsid w:val="00AE7B0C"/>
    <w:rsid w:val="00AF1F2D"/>
    <w:rsid w:val="00AF40E4"/>
    <w:rsid w:val="00AF4679"/>
    <w:rsid w:val="00AF4DC4"/>
    <w:rsid w:val="00B021B6"/>
    <w:rsid w:val="00B03EEC"/>
    <w:rsid w:val="00B12D23"/>
    <w:rsid w:val="00B17823"/>
    <w:rsid w:val="00B24FD2"/>
    <w:rsid w:val="00B25431"/>
    <w:rsid w:val="00B25B50"/>
    <w:rsid w:val="00B3403E"/>
    <w:rsid w:val="00B3521C"/>
    <w:rsid w:val="00B42DE1"/>
    <w:rsid w:val="00B4385F"/>
    <w:rsid w:val="00B51BF1"/>
    <w:rsid w:val="00B57FCE"/>
    <w:rsid w:val="00B6725B"/>
    <w:rsid w:val="00B8241A"/>
    <w:rsid w:val="00B83B02"/>
    <w:rsid w:val="00B909BE"/>
    <w:rsid w:val="00B9175A"/>
    <w:rsid w:val="00B967B5"/>
    <w:rsid w:val="00B97136"/>
    <w:rsid w:val="00BA5D9C"/>
    <w:rsid w:val="00BA62A0"/>
    <w:rsid w:val="00BB19B8"/>
    <w:rsid w:val="00BB598F"/>
    <w:rsid w:val="00BD4690"/>
    <w:rsid w:val="00BE69A4"/>
    <w:rsid w:val="00BF0212"/>
    <w:rsid w:val="00BF0BDC"/>
    <w:rsid w:val="00BF6337"/>
    <w:rsid w:val="00BF6B19"/>
    <w:rsid w:val="00C037DA"/>
    <w:rsid w:val="00C07F35"/>
    <w:rsid w:val="00C2094D"/>
    <w:rsid w:val="00C24BB6"/>
    <w:rsid w:val="00C374E2"/>
    <w:rsid w:val="00C46C1C"/>
    <w:rsid w:val="00C506A0"/>
    <w:rsid w:val="00C57E31"/>
    <w:rsid w:val="00C6470C"/>
    <w:rsid w:val="00C71B32"/>
    <w:rsid w:val="00C75E63"/>
    <w:rsid w:val="00C80C14"/>
    <w:rsid w:val="00C8342E"/>
    <w:rsid w:val="00C95473"/>
    <w:rsid w:val="00C96129"/>
    <w:rsid w:val="00CA1F7D"/>
    <w:rsid w:val="00CA3671"/>
    <w:rsid w:val="00CA676A"/>
    <w:rsid w:val="00CB46FC"/>
    <w:rsid w:val="00CC533E"/>
    <w:rsid w:val="00CC68BE"/>
    <w:rsid w:val="00CF0A22"/>
    <w:rsid w:val="00CF36B3"/>
    <w:rsid w:val="00CF7E11"/>
    <w:rsid w:val="00D01BE7"/>
    <w:rsid w:val="00D03FA9"/>
    <w:rsid w:val="00D102BF"/>
    <w:rsid w:val="00D10AC7"/>
    <w:rsid w:val="00D1119E"/>
    <w:rsid w:val="00D11FB7"/>
    <w:rsid w:val="00D23F85"/>
    <w:rsid w:val="00D42B96"/>
    <w:rsid w:val="00D548A3"/>
    <w:rsid w:val="00D612BA"/>
    <w:rsid w:val="00D6572B"/>
    <w:rsid w:val="00D65FD4"/>
    <w:rsid w:val="00D67FE3"/>
    <w:rsid w:val="00D765CD"/>
    <w:rsid w:val="00D876BC"/>
    <w:rsid w:val="00D927BD"/>
    <w:rsid w:val="00D9331E"/>
    <w:rsid w:val="00D9552C"/>
    <w:rsid w:val="00DA0A39"/>
    <w:rsid w:val="00DC39B5"/>
    <w:rsid w:val="00DC64D7"/>
    <w:rsid w:val="00DC79BF"/>
    <w:rsid w:val="00DD00F1"/>
    <w:rsid w:val="00DE0A56"/>
    <w:rsid w:val="00DF189D"/>
    <w:rsid w:val="00DF3B31"/>
    <w:rsid w:val="00DF6562"/>
    <w:rsid w:val="00E0124D"/>
    <w:rsid w:val="00E03444"/>
    <w:rsid w:val="00E039F7"/>
    <w:rsid w:val="00E128AD"/>
    <w:rsid w:val="00E1415E"/>
    <w:rsid w:val="00E20E04"/>
    <w:rsid w:val="00E32255"/>
    <w:rsid w:val="00E33E05"/>
    <w:rsid w:val="00E4063D"/>
    <w:rsid w:val="00E42996"/>
    <w:rsid w:val="00E44419"/>
    <w:rsid w:val="00E53EE9"/>
    <w:rsid w:val="00E54631"/>
    <w:rsid w:val="00E62964"/>
    <w:rsid w:val="00E80F8E"/>
    <w:rsid w:val="00E828CD"/>
    <w:rsid w:val="00E91A62"/>
    <w:rsid w:val="00EA7FBC"/>
    <w:rsid w:val="00EB09DB"/>
    <w:rsid w:val="00EB5946"/>
    <w:rsid w:val="00EC19FE"/>
    <w:rsid w:val="00EC1D64"/>
    <w:rsid w:val="00EC3F12"/>
    <w:rsid w:val="00EF3291"/>
    <w:rsid w:val="00F07264"/>
    <w:rsid w:val="00F10530"/>
    <w:rsid w:val="00F21BCB"/>
    <w:rsid w:val="00F2554C"/>
    <w:rsid w:val="00F2647F"/>
    <w:rsid w:val="00F26DA5"/>
    <w:rsid w:val="00F31183"/>
    <w:rsid w:val="00F33701"/>
    <w:rsid w:val="00F410E2"/>
    <w:rsid w:val="00F47655"/>
    <w:rsid w:val="00F52612"/>
    <w:rsid w:val="00F57636"/>
    <w:rsid w:val="00F60282"/>
    <w:rsid w:val="00F6471B"/>
    <w:rsid w:val="00F656D2"/>
    <w:rsid w:val="00F7077C"/>
    <w:rsid w:val="00F737FA"/>
    <w:rsid w:val="00F74D01"/>
    <w:rsid w:val="00F811D0"/>
    <w:rsid w:val="00F81E8E"/>
    <w:rsid w:val="00F8496C"/>
    <w:rsid w:val="00F908FD"/>
    <w:rsid w:val="00F9140A"/>
    <w:rsid w:val="00F936F0"/>
    <w:rsid w:val="00F949BC"/>
    <w:rsid w:val="00FA11E2"/>
    <w:rsid w:val="00FA4271"/>
    <w:rsid w:val="00FA6166"/>
    <w:rsid w:val="00FB30F7"/>
    <w:rsid w:val="00FB3FA3"/>
    <w:rsid w:val="00FB5AD2"/>
    <w:rsid w:val="00FB5B7D"/>
    <w:rsid w:val="00FC1A1A"/>
    <w:rsid w:val="00FC25D4"/>
    <w:rsid w:val="00FD498C"/>
    <w:rsid w:val="00FD71F9"/>
    <w:rsid w:val="00FE76FB"/>
    <w:rsid w:val="00FF263B"/>
    <w:rsid w:val="03EE4D4A"/>
    <w:rsid w:val="074303A1"/>
    <w:rsid w:val="082445F8"/>
    <w:rsid w:val="08B32E54"/>
    <w:rsid w:val="0A943ABA"/>
    <w:rsid w:val="0E7D3DDC"/>
    <w:rsid w:val="128B488D"/>
    <w:rsid w:val="13B4582B"/>
    <w:rsid w:val="16F27048"/>
    <w:rsid w:val="181B67A8"/>
    <w:rsid w:val="18B45906"/>
    <w:rsid w:val="1934361F"/>
    <w:rsid w:val="199C5D44"/>
    <w:rsid w:val="1AF549FE"/>
    <w:rsid w:val="1CE25A21"/>
    <w:rsid w:val="1D5242CE"/>
    <w:rsid w:val="1E0B585A"/>
    <w:rsid w:val="2340479F"/>
    <w:rsid w:val="2529365E"/>
    <w:rsid w:val="257C690D"/>
    <w:rsid w:val="2E064ED5"/>
    <w:rsid w:val="304B31E1"/>
    <w:rsid w:val="320A4A57"/>
    <w:rsid w:val="325920F5"/>
    <w:rsid w:val="3271156E"/>
    <w:rsid w:val="3ECA4190"/>
    <w:rsid w:val="4294370A"/>
    <w:rsid w:val="44EE129A"/>
    <w:rsid w:val="47EA5405"/>
    <w:rsid w:val="5001010A"/>
    <w:rsid w:val="51DA4B19"/>
    <w:rsid w:val="540248E3"/>
    <w:rsid w:val="5B54657A"/>
    <w:rsid w:val="5D2C6C65"/>
    <w:rsid w:val="5ED3731F"/>
    <w:rsid w:val="5FCA3550"/>
    <w:rsid w:val="65040DC9"/>
    <w:rsid w:val="6B716F61"/>
    <w:rsid w:val="6CE8627A"/>
    <w:rsid w:val="6F2B0809"/>
    <w:rsid w:val="6FED7B07"/>
    <w:rsid w:val="700E1CD1"/>
    <w:rsid w:val="756C3D2C"/>
    <w:rsid w:val="76232660"/>
    <w:rsid w:val="763428FA"/>
    <w:rsid w:val="77055488"/>
    <w:rsid w:val="78777631"/>
    <w:rsid w:val="7AC86299"/>
    <w:rsid w:val="7BBC2A21"/>
    <w:rsid w:val="7C6E4CB3"/>
    <w:rsid w:val="7FBF55B8"/>
    <w:rsid w:val="FCCFE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6">
    <w:name w:val="annotation text"/>
    <w:basedOn w:val="1"/>
    <w:semiHidden/>
    <w:unhideWhenUsed/>
    <w:qFormat/>
    <w:uiPriority w:val="0"/>
    <w:pPr>
      <w:jc w:val="left"/>
    </w:pPr>
  </w:style>
  <w:style w:type="paragraph" w:styleId="7">
    <w:name w:val="Date"/>
    <w:basedOn w:val="1"/>
    <w:next w:val="1"/>
    <w:qFormat/>
    <w:uiPriority w:val="0"/>
    <w:pPr>
      <w:ind w:left="100" w:leftChars="2500"/>
    </w:pPr>
  </w:style>
  <w:style w:type="paragraph" w:styleId="8">
    <w:name w:val="Balloon Text"/>
    <w:basedOn w:val="1"/>
    <w:link w:val="22"/>
    <w:qFormat/>
    <w:uiPriority w:val="0"/>
    <w:rPr>
      <w:sz w:val="18"/>
      <w:szCs w:val="18"/>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qFormat/>
    <w:uiPriority w:val="0"/>
    <w:rPr>
      <w:i/>
      <w:iCs/>
    </w:rPr>
  </w:style>
  <w:style w:type="character" w:styleId="18">
    <w:name w:val="Hyperlink"/>
    <w:qFormat/>
    <w:uiPriority w:val="0"/>
    <w:rPr>
      <w:color w:val="0000FF"/>
      <w:u w:val="single"/>
    </w:rPr>
  </w:style>
  <w:style w:type="character" w:customStyle="1" w:styleId="19">
    <w:name w:val="页眉 字符"/>
    <w:link w:val="10"/>
    <w:qFormat/>
    <w:uiPriority w:val="99"/>
    <w:rPr>
      <w:kern w:val="2"/>
      <w:sz w:val="18"/>
      <w:szCs w:val="18"/>
    </w:rPr>
  </w:style>
  <w:style w:type="character" w:customStyle="1" w:styleId="20">
    <w:name w:val="apple-converted-space"/>
    <w:basedOn w:val="15"/>
    <w:qFormat/>
    <w:uiPriority w:val="0"/>
  </w:style>
  <w:style w:type="character" w:customStyle="1" w:styleId="21">
    <w:name w:val="页脚 字符"/>
    <w:link w:val="9"/>
    <w:qFormat/>
    <w:uiPriority w:val="99"/>
    <w:rPr>
      <w:kern w:val="2"/>
      <w:sz w:val="18"/>
      <w:szCs w:val="18"/>
    </w:rPr>
  </w:style>
  <w:style w:type="character" w:customStyle="1" w:styleId="22">
    <w:name w:val="批注框文本 字符"/>
    <w:link w:val="8"/>
    <w:qFormat/>
    <w:uiPriority w:val="0"/>
    <w:rPr>
      <w:kern w:val="2"/>
      <w:sz w:val="18"/>
      <w:szCs w:val="18"/>
    </w:rPr>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三级条标题"/>
    <w:basedOn w:val="25"/>
    <w:next w:val="1"/>
    <w:qFormat/>
    <w:uiPriority w:val="0"/>
    <w:pPr>
      <w:ind w:left="0"/>
      <w:outlineLvl w:val="4"/>
    </w:pPr>
  </w:style>
  <w:style w:type="paragraph" w:customStyle="1" w:styleId="25">
    <w:name w:val="二级条标题"/>
    <w:basedOn w:val="26"/>
    <w:next w:val="1"/>
    <w:link w:val="32"/>
    <w:qFormat/>
    <w:uiPriority w:val="0"/>
    <w:pPr>
      <w:spacing w:before="50" w:after="50"/>
      <w:ind w:left="210"/>
      <w:outlineLvl w:val="3"/>
    </w:pPr>
  </w:style>
  <w:style w:type="paragraph" w:customStyle="1" w:styleId="26">
    <w:name w:val="一级条标题"/>
    <w:next w:val="27"/>
    <w:link w:val="37"/>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7">
    <w:name w:val="段"/>
    <w:link w:val="3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8">
    <w:name w:val="章标题"/>
    <w:next w:val="27"/>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29">
    <w:name w:val="五级条标题"/>
    <w:basedOn w:val="30"/>
    <w:next w:val="1"/>
    <w:qFormat/>
    <w:uiPriority w:val="0"/>
    <w:pPr>
      <w:outlineLvl w:val="6"/>
    </w:pPr>
  </w:style>
  <w:style w:type="paragraph" w:customStyle="1" w:styleId="30">
    <w:name w:val="四级条标题"/>
    <w:basedOn w:val="24"/>
    <w:next w:val="1"/>
    <w:qFormat/>
    <w:uiPriority w:val="0"/>
    <w:pPr>
      <w:outlineLvl w:val="5"/>
    </w:pPr>
  </w:style>
  <w:style w:type="character" w:customStyle="1" w:styleId="31">
    <w:name w:val="段 Char"/>
    <w:link w:val="27"/>
    <w:qFormat/>
    <w:uiPriority w:val="0"/>
    <w:rPr>
      <w:rFonts w:ascii="宋体"/>
      <w:sz w:val="21"/>
      <w:lang w:bidi="ar-SA"/>
    </w:rPr>
  </w:style>
  <w:style w:type="character" w:customStyle="1" w:styleId="32">
    <w:name w:val="二级条标题 Char"/>
    <w:basedOn w:val="15"/>
    <w:link w:val="25"/>
    <w:qFormat/>
    <w:uiPriority w:val="0"/>
    <w:rPr>
      <w:rFonts w:ascii="黑体" w:eastAsia="黑体"/>
      <w:sz w:val="21"/>
      <w:szCs w:val="21"/>
    </w:rPr>
  </w:style>
  <w:style w:type="paragraph" w:customStyle="1" w:styleId="33">
    <w:name w:val="一级无"/>
    <w:basedOn w:val="26"/>
    <w:qFormat/>
    <w:uiPriority w:val="0"/>
    <w:pPr>
      <w:numPr>
        <w:ilvl w:val="1"/>
        <w:numId w:val="2"/>
      </w:numPr>
      <w:spacing w:beforeLines="0" w:afterLines="0"/>
    </w:pPr>
    <w:rPr>
      <w:rFonts w:ascii="宋体" w:eastAsia="宋体"/>
    </w:rPr>
  </w:style>
  <w:style w:type="paragraph" w:customStyle="1" w:styleId="34">
    <w:name w:val="正文表标题"/>
    <w:next w:val="27"/>
    <w:qFormat/>
    <w:uiPriority w:val="0"/>
    <w:pPr>
      <w:numPr>
        <w:ilvl w:val="0"/>
        <w:numId w:val="3"/>
      </w:numPr>
      <w:tabs>
        <w:tab w:val="left" w:pos="360"/>
      </w:tabs>
      <w:spacing w:before="50" w:beforeLines="50" w:after="50" w:afterLines="50"/>
      <w:jc w:val="center"/>
    </w:pPr>
    <w:rPr>
      <w:rFonts w:ascii="黑体" w:hAnsi="Times New Roman" w:eastAsia="黑体" w:cs="Times New Roman"/>
      <w:sz w:val="21"/>
      <w:lang w:val="en-US" w:eastAsia="zh-CN" w:bidi="ar-SA"/>
    </w:rPr>
  </w:style>
  <w:style w:type="paragraph" w:customStyle="1" w:styleId="35">
    <w:name w:val="章"/>
    <w:basedOn w:val="5"/>
    <w:qFormat/>
    <w:uiPriority w:val="0"/>
    <w:pPr>
      <w:keepNext/>
      <w:keepLines/>
      <w:widowControl w:val="0"/>
      <w:spacing w:before="260" w:beforeAutospacing="0" w:after="260" w:afterAutospacing="0" w:line="410" w:lineRule="auto"/>
      <w:jc w:val="both"/>
    </w:pPr>
    <w:rPr>
      <w:rFonts w:ascii="Times New Roman" w:hAnsi="Times New Roman" w:eastAsia="黑体" w:cs="Times New Roman"/>
      <w:b w:val="0"/>
      <w:kern w:val="2"/>
      <w:sz w:val="21"/>
      <w:szCs w:val="32"/>
    </w:rPr>
  </w:style>
  <w:style w:type="paragraph" w:customStyle="1" w:styleId="36">
    <w:name w:val="Char1"/>
    <w:basedOn w:val="1"/>
    <w:qFormat/>
    <w:uiPriority w:val="0"/>
    <w:pPr>
      <w:widowControl/>
      <w:spacing w:after="160" w:line="240" w:lineRule="exact"/>
      <w:jc w:val="left"/>
    </w:pPr>
    <w:rPr>
      <w:rFonts w:ascii="宋体" w:hAnsi="宋体"/>
      <w:kern w:val="0"/>
      <w:sz w:val="18"/>
      <w:szCs w:val="18"/>
      <w:lang w:eastAsia="en-US"/>
    </w:rPr>
  </w:style>
  <w:style w:type="character" w:customStyle="1" w:styleId="37">
    <w:name w:val="一级条标题 Char"/>
    <w:link w:val="26"/>
    <w:qFormat/>
    <w:locked/>
    <w:uiPriority w:val="0"/>
    <w:rPr>
      <w:rFonts w:ascii="黑体" w:eastAsia="黑体"/>
      <w:sz w:val="21"/>
      <w:szCs w:val="21"/>
    </w:rPr>
  </w:style>
  <w:style w:type="paragraph" w:customStyle="1" w:styleId="38">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39">
    <w:name w:val="附录一级条标题"/>
    <w:basedOn w:val="40"/>
    <w:next w:val="27"/>
    <w:qFormat/>
    <w:uiPriority w:val="0"/>
    <w:pPr>
      <w:numPr>
        <w:ilvl w:val="2"/>
      </w:numPr>
      <w:tabs>
        <w:tab w:val="left" w:pos="360"/>
      </w:tabs>
      <w:autoSpaceDN w:val="0"/>
      <w:spacing w:beforeLines="50" w:afterLines="50"/>
      <w:outlineLvl w:val="2"/>
    </w:pPr>
  </w:style>
  <w:style w:type="paragraph" w:customStyle="1" w:styleId="40">
    <w:name w:val="附录章标题"/>
    <w:next w:val="27"/>
    <w:qFormat/>
    <w:uiPriority w:val="0"/>
    <w:pPr>
      <w:numPr>
        <w:ilvl w:val="1"/>
        <w:numId w:val="4"/>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1">
    <w:name w:val="附录四级条标题"/>
    <w:basedOn w:val="42"/>
    <w:next w:val="27"/>
    <w:qFormat/>
    <w:uiPriority w:val="0"/>
    <w:pPr>
      <w:numPr>
        <w:ilvl w:val="5"/>
      </w:numPr>
      <w:tabs>
        <w:tab w:val="left" w:pos="360"/>
      </w:tabs>
      <w:outlineLvl w:val="5"/>
    </w:pPr>
  </w:style>
  <w:style w:type="paragraph" w:customStyle="1" w:styleId="42">
    <w:name w:val="附录三级条标题"/>
    <w:basedOn w:val="43"/>
    <w:next w:val="27"/>
    <w:qFormat/>
    <w:uiPriority w:val="0"/>
    <w:pPr>
      <w:numPr>
        <w:ilvl w:val="4"/>
      </w:numPr>
      <w:tabs>
        <w:tab w:val="left" w:pos="360"/>
      </w:tabs>
      <w:outlineLvl w:val="4"/>
    </w:pPr>
  </w:style>
  <w:style w:type="paragraph" w:customStyle="1" w:styleId="43">
    <w:name w:val="附录二级条标题"/>
    <w:basedOn w:val="1"/>
    <w:next w:val="27"/>
    <w:qFormat/>
    <w:uiPriority w:val="0"/>
    <w:pPr>
      <w:widowControl/>
      <w:numPr>
        <w:ilvl w:val="3"/>
        <w:numId w:val="4"/>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44">
    <w:name w:val="附录五级条标题"/>
    <w:basedOn w:val="41"/>
    <w:next w:val="27"/>
    <w:qFormat/>
    <w:uiPriority w:val="0"/>
    <w:pPr>
      <w:numPr>
        <w:ilvl w:val="6"/>
      </w:numPr>
      <w:outlineLvl w:val="6"/>
    </w:pPr>
  </w:style>
  <w:style w:type="paragraph" w:customStyle="1" w:styleId="45">
    <w:name w:val="附录标识"/>
    <w:basedOn w:val="1"/>
    <w:next w:val="27"/>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4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7">
    <w:name w:val="标准文件_正文表标题"/>
    <w:next w:val="46"/>
    <w:qFormat/>
    <w:uiPriority w:val="0"/>
    <w:pPr>
      <w:tabs>
        <w:tab w:val="left" w:pos="0"/>
      </w:tabs>
      <w:spacing w:before="50" w:beforeLines="50" w:after="50" w:afterLines="50"/>
      <w:ind w:left="3827"/>
      <w:jc w:val="center"/>
    </w:pPr>
    <w:rPr>
      <w:rFonts w:ascii="黑体" w:hAnsi="Times New Roman" w:eastAsia="黑体" w:cs="Times New Roman"/>
      <w:sz w:val="21"/>
      <w:lang w:val="en-US" w:eastAsia="zh-CN" w:bidi="ar-SA"/>
    </w:rPr>
  </w:style>
  <w:style w:type="paragraph" w:customStyle="1" w:styleId="48">
    <w:name w:val="标准文件_表格"/>
    <w:basedOn w:val="46"/>
    <w:qFormat/>
    <w:uiPriority w:val="0"/>
    <w:pPr>
      <w:ind w:firstLine="0" w:firstLineChars="0"/>
      <w:jc w:val="center"/>
    </w:pPr>
    <w:rPr>
      <w:sz w:val="18"/>
    </w:rPr>
  </w:style>
  <w:style w:type="paragraph" w:customStyle="1" w:styleId="4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0">
    <w:name w:val="Default"/>
    <w:unhideWhenUsed/>
    <w:qFormat/>
    <w:uiPriority w:val="99"/>
    <w:pPr>
      <w:widowControl w:val="0"/>
      <w:autoSpaceDE w:val="0"/>
      <w:autoSpaceDN w:val="0"/>
      <w:adjustRightInd w:val="0"/>
      <w:spacing w:beforeLines="0" w:afterLines="0"/>
    </w:pPr>
    <w:rPr>
      <w:rFonts w:hint="eastAsia" w:ascii="黑体" w:hAnsi="黑体" w:eastAsia="黑体" w:cs="Times New Roman"/>
      <w:color w:val="00000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3189</Words>
  <Characters>4208</Characters>
  <Lines>39</Lines>
  <Paragraphs>11</Paragraphs>
  <TotalTime>1</TotalTime>
  <ScaleCrop>false</ScaleCrop>
  <LinksUpToDate>false</LinksUpToDate>
  <CharactersWithSpaces>4325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2019-01-21T22:47:00Z</dcterms:created>
  <dc:creator>刘华</dc:creator>
  <cp:lastModifiedBy>晶晶</cp:lastModifiedBy>
  <cp:lastPrinted>2025-05-12T18:04:00Z</cp:lastPrinted>
  <dcterms:modified xsi:type="dcterms:W3CDTF">2026-04-14T12:14:39Z</dcterms:modified>
  <dc:title>《电容器端面用无铅锡基喷金线》标准编制说明</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eyJoZGlkIjoiNGEzOWFkZjIzMjZmY2IzZjQ2ZTE4MDEzMjAxYmM1ZDIiLCJ1c2VySWQiOiI5Nzc5MjMxNDkifQ==</vt:lpwstr>
  </property>
  <property fmtid="{D5CDD505-2E9C-101B-9397-08002B2CF9AE}" pid="4" name="ICV">
    <vt:lpwstr>B357D66546EF1A587BD9DC694950853E_43</vt:lpwstr>
  </property>
</Properties>
</file>