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CA921">
      <w:pPr>
        <w:pStyle w:val="38"/>
        <w:framePr w:wrap="around"/>
        <w:rPr>
          <w:rFonts w:hint="default" w:ascii="Times New Roman" w:hAnsi="Times New Roman" w:cs="Times New Roman"/>
        </w:rPr>
      </w:pPr>
      <w:r>
        <w:rPr>
          <w:rFonts w:hint="default" w:ascii="Times New Roman" w:hAnsi="Times New Roman" w:cs="Times New Roman"/>
        </w:rPr>
        <w:t>ICS</w:t>
      </w:r>
      <w:r>
        <w:rPr>
          <w:rFonts w:hint="default" w:ascii="Times New Roman" w:hAnsi="Times New Roman" w:cs="Times New Roman"/>
        </w:rPr>
        <w:t> </w:t>
      </w:r>
      <w:r>
        <w:rPr>
          <w:rFonts w:hint="default" w:ascii="Times New Roman" w:hAnsi="Times New Roman" w:cs="Times New Roman"/>
          <w:lang w:val="en-US" w:eastAsia="zh-CN"/>
        </w:rPr>
        <w:t>67</w:t>
      </w:r>
      <w:r>
        <w:rPr>
          <w:rFonts w:hint="default" w:ascii="Times New Roman" w:hAnsi="Times New Roman" w:cs="Times New Roman"/>
        </w:rPr>
        <w:t>.1</w:t>
      </w:r>
      <w:r>
        <w:rPr>
          <w:rFonts w:hint="default" w:ascii="Times New Roman" w:hAnsi="Times New Roman" w:cs="Times New Roman"/>
          <w:lang w:val="en-US" w:eastAsia="zh-CN"/>
        </w:rPr>
        <w:t>6</w:t>
      </w:r>
      <w:r>
        <w:rPr>
          <w:rFonts w:hint="default" w:ascii="Times New Roman" w:hAnsi="Times New Roman" w:cs="Times New Roman"/>
        </w:rPr>
        <w:t>0</w:t>
      </w:r>
    </w:p>
    <w:p w14:paraId="77D13EB0">
      <w:pPr>
        <w:pStyle w:val="38"/>
        <w:framePr w:wrap="around"/>
        <w:rPr>
          <w:rFonts w:hint="default" w:ascii="Times New Roman" w:hAnsi="Times New Roman" w:cs="Times New Roman"/>
        </w:rPr>
      </w:pPr>
      <w:r>
        <w:rPr>
          <w:rFonts w:hint="default" w:ascii="Times New Roman" w:hAnsi="Times New Roman" w:cs="Times New Roman"/>
        </w:rPr>
        <w:t xml:space="preserve">CCS  </w:t>
      </w:r>
      <w:r>
        <w:rPr>
          <w:rFonts w:hint="default" w:ascii="Times New Roman" w:hAnsi="Times New Roman" w:cs="Times New Roman"/>
          <w:lang w:val="en-US" w:eastAsia="zh-CN"/>
        </w:rPr>
        <w:t>X5</w:t>
      </w:r>
      <w:r>
        <w:rPr>
          <w:rFonts w:hint="default" w:ascii="Times New Roman" w:hAnsi="Times New Roman" w:cs="Times New Roman"/>
        </w:rPr>
        <w:t>0</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28"/>
      </w:tblGrid>
      <w:tr w14:paraId="1D2EE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8" w:type="dxa"/>
            <w:tcBorders>
              <w:top w:val="nil"/>
              <w:left w:val="nil"/>
              <w:bottom w:val="nil"/>
              <w:right w:val="nil"/>
            </w:tcBorders>
            <w:shd w:val="clear" w:color="auto" w:fill="auto"/>
          </w:tcPr>
          <w:p w14:paraId="315ECEC3">
            <w:pPr>
              <w:pStyle w:val="38"/>
              <w:framePr w:wrap="around"/>
              <w:jc w:val="both"/>
            </w:pPr>
          </w:p>
        </w:tc>
      </w:tr>
    </w:tbl>
    <w:p w14:paraId="2C4DA520">
      <w:pPr>
        <w:pStyle w:val="39"/>
        <w:framePr w:wrap="around"/>
        <w:wordWrap w:val="0"/>
      </w:pPr>
      <w:r>
        <w:t xml:space="preserve">  </w:t>
      </w:r>
    </w:p>
    <w:p w14:paraId="39C484EE">
      <w:pPr>
        <w:pStyle w:val="40"/>
        <w:framePr w:w="8038" w:wrap="around" w:x="2104"/>
        <w:rPr>
          <w:rFonts w:ascii="Times New Roman" w:hAnsi="Times New Roman"/>
          <w:sz w:val="72"/>
          <w:szCs w:val="72"/>
        </w:rPr>
      </w:pPr>
      <w:r>
        <w:rPr>
          <w:rFonts w:hint="eastAsia" w:ascii="Times New Roman" w:hAnsi="Times New Roman"/>
          <w:sz w:val="72"/>
          <w:szCs w:val="72"/>
        </w:rPr>
        <w:t>团体标准</w:t>
      </w:r>
    </w:p>
    <w:p w14:paraId="432C832A">
      <w:pPr>
        <w:pStyle w:val="41"/>
        <w:framePr w:wrap="around"/>
        <w:rPr>
          <w:rFonts w:hAnsi="黑体" w:cs="黑体"/>
        </w:rPr>
      </w:pPr>
      <w:r>
        <w:rPr>
          <w:rFonts w:hint="eastAsia" w:hAnsi="黑体" w:cs="黑体"/>
        </w:rPr>
        <w:t>T/</w:t>
      </w:r>
      <w:r>
        <w:rPr>
          <w:rFonts w:hint="eastAsia" w:hAnsi="黑体" w:cs="黑体"/>
          <w:lang w:val="en-US" w:eastAsia="zh-CN"/>
        </w:rPr>
        <w:t>SPAQ</w:t>
      </w:r>
      <w:r>
        <w:rPr>
          <w:rFonts w:hint="eastAsia" w:hAnsi="黑体" w:cs="黑体"/>
        </w:rPr>
        <w:t xml:space="preserve"> XX</w:t>
      </w:r>
      <w:r>
        <w:rPr>
          <w:rFonts w:hint="eastAsia" w:hAnsi="黑体" w:cs="黑体"/>
          <w:lang w:val="en-US" w:eastAsia="zh-CN"/>
        </w:rPr>
        <w:t>XX</w:t>
      </w:r>
      <w:r>
        <w:rPr>
          <w:rFonts w:hint="eastAsia" w:hAnsi="黑体" w:cs="黑体"/>
        </w:rPr>
        <w:t>—XXXX</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30"/>
      </w:tblGrid>
      <w:tr w14:paraId="20E4D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130" w:type="dxa"/>
            <w:tcBorders>
              <w:top w:val="nil"/>
              <w:left w:val="nil"/>
              <w:bottom w:val="nil"/>
              <w:right w:val="nil"/>
            </w:tcBorders>
            <w:shd w:val="clear" w:color="auto" w:fill="auto"/>
          </w:tcPr>
          <w:p w14:paraId="1DB0C0E5">
            <w:pPr>
              <w:pStyle w:val="42"/>
              <w:framePr w:wrap="around"/>
              <w:widowControl w:val="0"/>
            </w:pPr>
            <w:r>
              <mc:AlternateContent>
                <mc:Choice Requires="wps">
                  <w:drawing>
                    <wp:anchor distT="0" distB="0" distL="114300" distR="114300" simplePos="0" relativeHeight="251663360" behindDoc="1" locked="0" layoutInCell="1" allowOverlap="1">
                      <wp:simplePos x="0" y="0"/>
                      <wp:positionH relativeFrom="column">
                        <wp:posOffset>4665980</wp:posOffset>
                      </wp:positionH>
                      <wp:positionV relativeFrom="paragraph">
                        <wp:posOffset>34290</wp:posOffset>
                      </wp:positionV>
                      <wp:extent cx="1143000" cy="228600"/>
                      <wp:effectExtent l="0" t="0" r="0" b="0"/>
                      <wp:wrapNone/>
                      <wp:docPr id="5"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w="25400" cap="flat" cmpd="sng" algn="ctr">
                                <a:noFill/>
                                <a:prstDash val="solid"/>
                              </a:ln>
                              <a:effectLst/>
                            </wps:spPr>
                            <wps:txbx>
                              <w:txbxContent>
                                <w:p w14:paraId="6C3B3C0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DT" o:spid="_x0000_s1026" o:spt="1" style="position:absolute;left:0pt;margin-left:367.4pt;margin-top:2.7pt;height:18pt;width:90pt;z-index:-251653120;v-text-anchor:middle;mso-width-relative:page;mso-height-relative:page;" fillcolor="#FFFFFF" filled="t" stroked="f" coordsize="21600,21600" o:gfxdata="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MWe5P/TAAAACAEA&#10;AA8AAAAAAAAAAQAgAAAAIgAAAGRycy9kb3ducmV2LnhtbFBLAQIUABQAAAAIAIdO4kCpIlCfWAIA&#10;AMcEAAAOAAAAAAAAAAEAIAAAACIBAABkcnMvZTJvRG9jLnhtbFBLBQYAAAAABgAGAFkBAADsBQAA&#10;AAA=&#10;">
                      <v:fill on="t" focussize="0,0"/>
                      <v:stroke on="f" weight="2pt"/>
                      <v:imagedata o:title=""/>
                      <o:lock v:ext="edit" aspectratio="f"/>
                      <v:textbox>
                        <w:txbxContent>
                          <w:p w14:paraId="6C3B3C0A">
                            <w:pPr>
                              <w:jc w:val="center"/>
                            </w:pPr>
                          </w:p>
                        </w:txbxContent>
                      </v:textbox>
                    </v:rect>
                  </w:pict>
                </mc:Fallback>
              </mc:AlternateContent>
            </w:r>
          </w:p>
        </w:tc>
      </w:tr>
    </w:tbl>
    <w:p w14:paraId="05B82A82">
      <w:pPr>
        <w:pStyle w:val="41"/>
        <w:framePr w:wrap="around"/>
        <w:rPr>
          <w:rFonts w:hAnsi="黑体"/>
        </w:rPr>
      </w:pPr>
    </w:p>
    <w:p w14:paraId="05437D12">
      <w:pPr>
        <w:pStyle w:val="41"/>
        <w:framePr w:wrap="around"/>
        <w:rPr>
          <w:rFonts w:hAnsi="黑体"/>
        </w:rPr>
      </w:pPr>
    </w:p>
    <w:p w14:paraId="0921C5BA">
      <w:pPr>
        <w:pStyle w:val="29"/>
        <w:framePr w:wrap="around"/>
        <w:rPr>
          <w:rFonts w:hAnsi="黑体"/>
          <w:b/>
          <w:color w:val="000000" w:themeColor="text1"/>
          <w:sz w:val="48"/>
          <w:szCs w:val="48"/>
          <w14:textFill>
            <w14:solidFill>
              <w14:schemeClr w14:val="tx1"/>
            </w14:solidFill>
          </w14:textFill>
        </w:rPr>
      </w:pPr>
      <w:r>
        <w:rPr>
          <w:rFonts w:hint="eastAsia" w:hAnsi="黑体"/>
          <w:b w:val="0"/>
          <w:bCs/>
          <w:color w:val="000000" w:themeColor="text1"/>
          <w:sz w:val="48"/>
          <w:szCs w:val="48"/>
          <w14:textFill>
            <w14:solidFill>
              <w14:schemeClr w14:val="tx1"/>
            </w14:solidFill>
          </w14:textFill>
        </w:rPr>
        <w:t>温室气体 产品碳足迹量化方法与要求 软饮料</w:t>
      </w:r>
    </w:p>
    <w:p w14:paraId="002750EA">
      <w:pPr>
        <w:framePr w:w="9639" w:h="6917" w:hRule="exact" w:wrap="around" w:vAnchor="page" w:hAnchor="page" w:xAlign="center" w:y="6408" w:anchorLock="1"/>
        <w:spacing w:before="81" w:line="192" w:lineRule="auto"/>
        <w:ind w:left="687"/>
        <w:jc w:val="center"/>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sz w:val="36"/>
          <w:szCs w:val="36"/>
          <w14:textFill>
            <w14:solidFill>
              <w14:schemeClr w14:val="tx1"/>
            </w14:solidFill>
          </w14:textFill>
        </w:rPr>
        <w:t>Greenhouse gases — Quantification methods and requirements of product carbon footprint — Soft drinks</w:t>
      </w:r>
    </w:p>
    <w:p w14:paraId="5359FF39">
      <w:pPr>
        <w:framePr w:w="9639" w:h="6917" w:hRule="exact" w:wrap="around" w:vAnchor="page" w:hAnchor="page" w:xAlign="center" w:y="6408" w:anchorLock="1"/>
        <w:spacing w:before="81" w:line="192" w:lineRule="auto"/>
        <w:ind w:left="687"/>
        <w:jc w:val="center"/>
        <w:rPr>
          <w:rFonts w:hint="eastAsia"/>
          <w:b/>
          <w:color w:val="000000" w:themeColor="text1"/>
          <w14:textFill>
            <w14:solidFill>
              <w14:schemeClr w14:val="tx1"/>
            </w14:solidFill>
          </w14:textFill>
        </w:rPr>
      </w:pP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29"/>
      </w:tblGrid>
      <w:tr w14:paraId="71F17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9" w:type="dxa"/>
            <w:tcBorders>
              <w:top w:val="nil"/>
              <w:left w:val="nil"/>
              <w:bottom w:val="nil"/>
              <w:right w:val="nil"/>
            </w:tcBorders>
            <w:shd w:val="clear" w:color="auto" w:fill="auto"/>
          </w:tcPr>
          <w:p w14:paraId="7BE0CDB2">
            <w:pPr>
              <w:pStyle w:val="44"/>
              <w:framePr w:wrap="around"/>
            </w:pPr>
            <w:r>
              <mc:AlternateContent>
                <mc:Choice Requires="wps">
                  <w:drawing>
                    <wp:anchor distT="0" distB="0" distL="114300" distR="114300" simplePos="0" relativeHeight="251666432" behindDoc="1" locked="1" layoutInCell="1" allowOverlap="1">
                      <wp:simplePos x="0" y="0"/>
                      <wp:positionH relativeFrom="column">
                        <wp:posOffset>2132330</wp:posOffset>
                      </wp:positionH>
                      <wp:positionV relativeFrom="paragraph">
                        <wp:posOffset>573405</wp:posOffset>
                      </wp:positionV>
                      <wp:extent cx="1905000" cy="254000"/>
                      <wp:effectExtent l="0" t="0" r="0" b="12700"/>
                      <wp:wrapNone/>
                      <wp:docPr id="7"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w="25400" cap="flat" cmpd="sng" algn="ctr">
                                <a:noFill/>
                                <a:prstDash val="solid"/>
                              </a:ln>
                              <a:effectLst/>
                            </wps:spPr>
                            <wps:txbx>
                              <w:txbxContent>
                                <w:p w14:paraId="48FD589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Q" o:spid="_x0000_s1026" o:spt="1" style="position:absolute;left:0pt;margin-left:167.9pt;margin-top:45.15pt;height:20pt;width:150pt;z-index:-251650048;v-text-anchor:middle;mso-width-relative:page;mso-height-relative:page;" fillcolor="#FFFFFF" filled="t" stroked="f" coordsize="21600,21600" o:gfxdata="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iiOF3TAAAACgEAAA8A&#10;AAAAAAAAAQAgAAAAIgAAAGRycy9kb3ducmV2LnhtbFBLAQIUABQAAAAIAIdO4kC90npGVQIAAMcE&#10;AAAOAAAAAAAAAAEAIAAAACIBAABkcnMvZTJvRG9jLnhtbFBLBQYAAAAABgAGAFkBAADpBQAAAAA=&#10;">
                      <v:fill on="t" focussize="0,0"/>
                      <v:stroke on="f" weight="2pt"/>
                      <v:imagedata o:title=""/>
                      <o:lock v:ext="edit" aspectratio="f"/>
                      <v:textbox>
                        <w:txbxContent>
                          <w:p w14:paraId="48FD5892">
                            <w:pPr>
                              <w:jc w:val="center"/>
                            </w:pPr>
                          </w:p>
                        </w:txbxContent>
                      </v:textbox>
                      <w10:anchorlock/>
                    </v:rect>
                  </w:pict>
                </mc:Fallback>
              </mc:AlternateContent>
            </w:r>
            <w:r>
              <mc:AlternateContent>
                <mc:Choice Requires="wps">
                  <w:drawing>
                    <wp:anchor distT="0" distB="0" distL="114300" distR="114300" simplePos="0" relativeHeight="251665408" behindDoc="1" locked="0" layoutInCell="1" allowOverlap="1">
                      <wp:simplePos x="0" y="0"/>
                      <wp:positionH relativeFrom="column">
                        <wp:posOffset>2386330</wp:posOffset>
                      </wp:positionH>
                      <wp:positionV relativeFrom="paragraph">
                        <wp:posOffset>255905</wp:posOffset>
                      </wp:positionV>
                      <wp:extent cx="1270000" cy="304800"/>
                      <wp:effectExtent l="0" t="0" r="6350" b="0"/>
                      <wp:wrapNone/>
                      <wp:docPr id="6"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w="25400" cap="flat" cmpd="sng" algn="ctr">
                                <a:noFill/>
                                <a:prstDash val="solid"/>
                              </a:ln>
                              <a:effectLst/>
                            </wps:spPr>
                            <wps:txbx>
                              <w:txbxContent>
                                <w:p w14:paraId="52A0E83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LB" o:spid="_x0000_s1026" o:spt="1" style="position:absolute;left:0pt;margin-left:187.9pt;margin-top:20.15pt;height:24pt;width:100pt;z-index:-251651072;v-text-anchor:middle;mso-width-relative:page;mso-height-relative:page;" fillcolor="#FFFFFF" filled="t" stroked="f" coordsize="21600,21600" o:gfxdata="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NIEcv1AAAAAkB&#10;AAAPAAAAAAAAAAEAIAAAACIAAABkcnMvZG93bnJldi54bWxQSwECFAAUAAAACACHTuJA7GlKnlgC&#10;AADHBAAADgAAAAAAAAABACAAAAAjAQAAZHJzL2Uyb0RvYy54bWxQSwUGAAAAAAYABgBZAQAA7QUA&#10;AAAA&#10;">
                      <v:fill on="t" focussize="0,0"/>
                      <v:stroke on="f" weight="2pt"/>
                      <v:imagedata o:title=""/>
                      <o:lock v:ext="edit" aspectratio="f"/>
                      <v:textbox>
                        <w:txbxContent>
                          <w:p w14:paraId="52A0E830">
                            <w:pPr>
                              <w:jc w:val="center"/>
                            </w:pPr>
                          </w:p>
                        </w:txbxContent>
                      </v:textbox>
                    </v:rect>
                  </w:pict>
                </mc:Fallback>
              </mc:AlternateConten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征求意见稿</w:t>
            </w:r>
            <w:r>
              <w:rPr>
                <w:rFonts w:hint="eastAsia"/>
                <w:color w:val="000000" w:themeColor="text1"/>
                <w14:textFill>
                  <w14:solidFill>
                    <w14:schemeClr w14:val="tx1"/>
                  </w14:solidFill>
                </w14:textFill>
              </w:rPr>
              <w:t>）</w:t>
            </w:r>
          </w:p>
        </w:tc>
      </w:tr>
      <w:tr w14:paraId="1888E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9" w:type="dxa"/>
            <w:tcBorders>
              <w:top w:val="nil"/>
              <w:left w:val="nil"/>
              <w:bottom w:val="nil"/>
              <w:right w:val="nil"/>
            </w:tcBorders>
            <w:shd w:val="clear" w:color="auto" w:fill="auto"/>
          </w:tcPr>
          <w:p w14:paraId="00051B0B">
            <w:pPr>
              <w:pStyle w:val="45"/>
              <w:framePr w:wrap="around"/>
            </w:pPr>
          </w:p>
        </w:tc>
      </w:tr>
    </w:tbl>
    <w:p w14:paraId="7161CC00">
      <w:pPr>
        <w:framePr w:w="9639" w:h="6917" w:hRule="exact" w:wrap="around" w:vAnchor="page" w:hAnchor="page" w:xAlign="center" w:y="6408" w:anchorLock="1"/>
        <w:spacing w:before="81" w:line="192" w:lineRule="auto"/>
        <w:ind w:left="687"/>
        <w:jc w:val="center"/>
        <w:rPr>
          <w:rFonts w:hint="eastAsia"/>
          <w:b/>
          <w:color w:val="000000" w:themeColor="text1"/>
          <w14:textFill>
            <w14:solidFill>
              <w14:schemeClr w14:val="tx1"/>
            </w14:solidFill>
          </w14:textFill>
        </w:rPr>
      </w:pPr>
    </w:p>
    <w:p w14:paraId="59A179A3">
      <w:pPr>
        <w:pStyle w:val="30"/>
        <w:framePr w:wrap="around"/>
      </w:pPr>
      <w:r>
        <w:rPr>
          <w:rFonts w:hint="default" w:ascii="Times New Roman" w:hAnsi="Times New Roman" w:cs="Times New Roman"/>
        </w:rPr>
        <w:t>202X-XX-XX</w:t>
      </w:r>
      <w:r>
        <w:rPr>
          <w:rFonts w:hint="eastAsia"/>
          <w:sz w:val="30"/>
          <w:szCs w:val="30"/>
        </w:rPr>
        <w:t>发布</w: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2338705</wp:posOffset>
                </wp:positionV>
                <wp:extent cx="6120130" cy="0"/>
                <wp:effectExtent l="0" t="4445" r="0" b="5080"/>
                <wp:wrapNone/>
                <wp:docPr id="1876520258" name="直接连接符 7"/>
                <wp:cNvGraphicFramePr/>
                <a:graphic xmlns:a="http://schemas.openxmlformats.org/drawingml/2006/main">
                  <a:graphicData uri="http://schemas.microsoft.com/office/word/2010/wordprocessingShape">
                    <wps:wsp>
                      <wps:cNvCnPr/>
                      <wps:spPr>
                        <a:xfrm>
                          <a:off x="0" y="0"/>
                          <a:ext cx="6120130" cy="0"/>
                        </a:xfrm>
                        <a:prstGeom prst="line">
                          <a:avLst/>
                        </a:prstGeom>
                        <a:noFill/>
                        <a:ln w="9525" cap="flat" cmpd="sng" algn="ctr">
                          <a:solidFill>
                            <a:srgbClr val="000000"/>
                          </a:solidFill>
                          <a:prstDash val="solid"/>
                        </a:ln>
                      </wps:spPr>
                      <wps:bodyPr/>
                    </wps:wsp>
                  </a:graphicData>
                </a:graphic>
              </wp:anchor>
            </w:drawing>
          </mc:Choice>
          <mc:Fallback>
            <w:pict>
              <v:line id="直接连接符 7" o:spid="_x0000_s1026" o:spt="20" style="position:absolute;left:0pt;margin-left:0pt;margin-top:184.15pt;height:0pt;width:481.9pt;z-index:251660288;mso-width-relative:page;mso-height-relative:page;" filled="f" stroked="t" coordsize="21600,21600" o:gfxdata="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ZPSXN1QAAAAgBAAAPAAAA&#10;AAAAAAEAIAAAACIAAABkcnMvZG93bnJldi54bWxQSwECFAAUAAAACACHTuJAbK6FSt8BAACjAwAA&#10;DgAAAAAAAAABACAAAAAkAQAAZHJzL2Uyb0RvYy54bWxQSwUGAAAAAAYABgBZAQAAd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8891270</wp:posOffset>
                </wp:positionV>
                <wp:extent cx="6120130" cy="0"/>
                <wp:effectExtent l="0" t="4445" r="0" b="5080"/>
                <wp:wrapNone/>
                <wp:docPr id="628628715" name="直接连接符 6"/>
                <wp:cNvGraphicFramePr/>
                <a:graphic xmlns:a="http://schemas.openxmlformats.org/drawingml/2006/main">
                  <a:graphicData uri="http://schemas.microsoft.com/office/word/2010/wordprocessingShape">
                    <wps:wsp>
                      <wps:cNvCnPr/>
                      <wps:spPr>
                        <a:xfrm>
                          <a:off x="0" y="0"/>
                          <a:ext cx="6120130" cy="0"/>
                        </a:xfrm>
                        <a:prstGeom prst="line">
                          <a:avLst/>
                        </a:prstGeom>
                        <a:noFill/>
                        <a:ln w="9525" cap="flat" cmpd="sng" algn="ctr">
                          <a:solidFill>
                            <a:srgbClr val="000000"/>
                          </a:solidFill>
                          <a:prstDash val="solid"/>
                        </a:ln>
                      </wps:spPr>
                      <wps:bodyPr/>
                    </wps:wsp>
                  </a:graphicData>
                </a:graphic>
              </wp:anchor>
            </w:drawing>
          </mc:Choice>
          <mc:Fallback>
            <w:pict>
              <v:line id="直接连接符 6" o:spid="_x0000_s1026" o:spt="20" style="position:absolute;left:0pt;margin-left:0pt;margin-top:700.1pt;height:0pt;width:481.9pt;z-index:251659264;mso-width-relative:page;mso-height-relative:page;" filled="f" stroked="t" coordsize="21600,21600" o:gfxdata="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edK78tUAAAAKAQAADwAAAAAA&#10;AAABACAAAAAiAAAAZHJzL2Rvd25yZXYueG1sUEsBAhQAFAAAAAgAh07iQGiDV67dAQAAogMAAA4A&#10;AAAAAAAAAQAgAAAAJAEAAGRycy9lMm9Eb2MueG1sUEsFBgAAAAAGAAYAWQEAAHMFAAAAAA==&#10;">
                <v:fill on="f" focussize="0,0"/>
                <v:stroke color="#000000" joinstyle="round"/>
                <v:imagedata o:title=""/>
                <o:lock v:ext="edit" aspectratio="f"/>
              </v:line>
            </w:pict>
          </mc:Fallback>
        </mc:AlternateContent>
      </w:r>
    </w:p>
    <w:p w14:paraId="22C449EB">
      <w:pPr>
        <w:pStyle w:val="32"/>
        <w:framePr w:wrap="around"/>
      </w:pPr>
      <w:r>
        <w:rPr>
          <w:rFonts w:hint="default" w:ascii="Times New Roman" w:hAnsi="Times New Roman" w:cs="Times New Roman"/>
        </w:rPr>
        <w:t>202X-XX-XX</w:t>
      </w:r>
      <w:r>
        <w:rPr>
          <w:rFonts w:hint="eastAsia"/>
          <w:sz w:val="30"/>
          <w:szCs w:val="30"/>
        </w:rPr>
        <w:t>实施</w:t>
      </w:r>
    </w:p>
    <w:p w14:paraId="5F547ED5">
      <w:pPr>
        <w:pStyle w:val="34"/>
        <w:framePr w:w="8138" w:wrap="around" w:vAnchor="margin" w:hAnchor="page" w:x="2146"/>
      </w:pPr>
      <w:r>
        <w:rPr>
          <w:rFonts w:hint="eastAsia" w:ascii="宋体" w:hAnsi="宋体" w:eastAsia="宋体" w:cs="宋体"/>
        </w:rPr>
        <w:t>四川省食品生产经营安全协</w:t>
      </w:r>
      <w:r>
        <w:rPr>
          <w:rFonts w:hint="eastAsia" w:ascii="宋体" w:hAnsi="宋体" w:eastAsia="宋体" w:cs="宋体"/>
          <w:lang w:val="en-US" w:eastAsia="zh-CN"/>
        </w:rPr>
        <w:t>会</w:t>
      </w:r>
      <w:r>
        <w:rPr>
          <w:rStyle w:val="37"/>
        </w:rPr>
        <w:t xml:space="preserve"> </w:t>
      </w:r>
      <w:r>
        <w:rPr>
          <w:rStyle w:val="37"/>
          <w:rFonts w:hint="eastAsia"/>
          <w:lang w:val="en-US" w:eastAsia="zh-CN"/>
        </w:rPr>
        <w:t xml:space="preserve"> </w:t>
      </w:r>
      <w:r>
        <w:rPr>
          <w:rStyle w:val="37"/>
          <w:rFonts w:hint="eastAsia"/>
          <w:sz w:val="30"/>
          <w:szCs w:val="30"/>
        </w:rPr>
        <w:t>发布</w:t>
      </w:r>
    </w:p>
    <w:p w14:paraId="47928FA3">
      <w:pPr>
        <w:pStyle w:val="36"/>
        <w:ind w:firstLine="0" w:firstLineChars="0"/>
        <w:sectPr>
          <w:headerReference r:id="rId3" w:type="even"/>
          <w:pgSz w:w="11906" w:h="16838"/>
          <w:pgMar w:top="567" w:right="850" w:bottom="1134" w:left="1418" w:header="0" w:footer="0" w:gutter="0"/>
          <w:pgNumType w:fmt="upperRoman" w:start="1"/>
          <w:cols w:space="425" w:num="1"/>
          <w:docGrid w:type="lines" w:linePitch="312" w:charSpace="0"/>
        </w:sectPr>
      </w:pPr>
      <w:r>
        <mc:AlternateContent>
          <mc:Choice Requires="wps">
            <w:drawing>
              <wp:anchor distT="0" distB="0" distL="114300" distR="114300" simplePos="0" relativeHeight="251664384" behindDoc="1" locked="0" layoutInCell="1" allowOverlap="1">
                <wp:simplePos x="0" y="0"/>
                <wp:positionH relativeFrom="column">
                  <wp:posOffset>-66675</wp:posOffset>
                </wp:positionH>
                <wp:positionV relativeFrom="paragraph">
                  <wp:posOffset>396240</wp:posOffset>
                </wp:positionV>
                <wp:extent cx="866775" cy="198120"/>
                <wp:effectExtent l="0" t="0" r="9525" b="11430"/>
                <wp:wrapNone/>
                <wp:docPr id="8" name="BAH"/>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FFFFFF"/>
                        </a:solidFill>
                        <a:ln w="25400" cap="flat" cmpd="sng" algn="ctr">
                          <a:noFill/>
                          <a:prstDash val="solid"/>
                        </a:ln>
                        <a:effectLst/>
                      </wps:spPr>
                      <wps:txbx>
                        <w:txbxContent>
                          <w:p w14:paraId="294FA6B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BAH" o:spid="_x0000_s1026" o:spt="1" style="position:absolute;left:0pt;margin-left:-5.25pt;margin-top:31.2pt;height:15.6pt;width:68.25pt;z-index:-251652096;v-text-anchor:middle;mso-width-relative:page;mso-height-relative:page;" fillcolor="#FFFFFF" filled="t" stroked="f" coordsize="21600,21600" o:gfxdata="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Wm2xzV&#10;AAAACQEAAA8AAAAAAAAAAQAgAAAAIgAAAGRycy9kb3ducmV2LnhtbFBLAQIUABQAAAAIAIdO4kAs&#10;2cSyXAIAAMcEAAAOAAAAAAAAAAEAIAAAACQBAABkcnMvZTJvRG9jLnhtbFBLBQYAAAAABgAGAFkB&#10;AADyBQAAAAA=&#10;">
                <v:fill on="t" focussize="0,0"/>
                <v:stroke on="f" weight="2pt"/>
                <v:imagedata o:title=""/>
                <o:lock v:ext="edit" aspectratio="f"/>
                <v:textbox>
                  <w:txbxContent>
                    <w:p w14:paraId="294FA6B4">
                      <w:pPr>
                        <w:jc w:val="center"/>
                      </w:pPr>
                    </w:p>
                  </w:txbxContent>
                </v:textbox>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2338705</wp:posOffset>
                </wp:positionV>
                <wp:extent cx="6120130" cy="0"/>
                <wp:effectExtent l="0" t="4445" r="0" b="5080"/>
                <wp:wrapNone/>
                <wp:docPr id="929165813" name="直接连接符 5"/>
                <wp:cNvGraphicFramePr/>
                <a:graphic xmlns:a="http://schemas.openxmlformats.org/drawingml/2006/main">
                  <a:graphicData uri="http://schemas.microsoft.com/office/word/2010/wordprocessingShape">
                    <wps:wsp>
                      <wps:cNvCnPr/>
                      <wps:spPr>
                        <a:xfrm>
                          <a:off x="0" y="0"/>
                          <a:ext cx="6120130" cy="0"/>
                        </a:xfrm>
                        <a:prstGeom prst="line">
                          <a:avLst/>
                        </a:prstGeom>
                        <a:noFill/>
                        <a:ln w="9525" cap="flat" cmpd="sng" algn="ctr">
                          <a:solidFill>
                            <a:srgbClr val="000000"/>
                          </a:solidFill>
                          <a:prstDash val="solid"/>
                        </a:ln>
                      </wps:spPr>
                      <wps:bodyPr/>
                    </wps:wsp>
                  </a:graphicData>
                </a:graphic>
              </wp:anchor>
            </w:drawing>
          </mc:Choice>
          <mc:Fallback>
            <w:pict>
              <v:line id="直接连接符 5" o:spid="_x0000_s1026" o:spt="20" style="position:absolute;left:0pt;margin-left:0pt;margin-top:184.15pt;height:0pt;width:481.9pt;z-index:251662336;mso-width-relative:page;mso-height-relative:page;" filled="f" stroked="t" coordsize="21600,21600" o:gfxdata="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k9Jc3VAAAACAEAAA8AAAAA&#10;AAAAAQAgAAAAIgAAAGRycy9kb3ducmV2LnhtbFBLAQIUABQAAAAIAIdO4kA4odAE3gEAAKIDAAAO&#10;AAAAAAAAAAEAIAAAACQBAABkcnMvZTJvRG9jLnhtbFBLBQYAAAAABgAGAFkBAAB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8891270</wp:posOffset>
                </wp:positionV>
                <wp:extent cx="6120130" cy="0"/>
                <wp:effectExtent l="0" t="4445" r="0" b="5080"/>
                <wp:wrapNone/>
                <wp:docPr id="1376807488" name="直接连接符 4"/>
                <wp:cNvGraphicFramePr/>
                <a:graphic xmlns:a="http://schemas.openxmlformats.org/drawingml/2006/main">
                  <a:graphicData uri="http://schemas.microsoft.com/office/word/2010/wordprocessingShape">
                    <wps:wsp>
                      <wps:cNvCnPr/>
                      <wps:spPr>
                        <a:xfrm>
                          <a:off x="0" y="0"/>
                          <a:ext cx="6120130" cy="0"/>
                        </a:xfrm>
                        <a:prstGeom prst="line">
                          <a:avLst/>
                        </a:prstGeom>
                        <a:noFill/>
                        <a:ln w="9525" cap="flat" cmpd="sng" algn="ctr">
                          <a:solidFill>
                            <a:srgbClr val="000000"/>
                          </a:solidFill>
                          <a:prstDash val="solid"/>
                        </a:ln>
                      </wps:spPr>
                      <wps:bodyPr/>
                    </wps:wsp>
                  </a:graphicData>
                </a:graphic>
              </wp:anchor>
            </w:drawing>
          </mc:Choice>
          <mc:Fallback>
            <w:pict>
              <v:line id="直接连接符 4" o:spid="_x0000_s1026" o:spt="20" style="position:absolute;left:0pt;margin-left:0pt;margin-top:700.1pt;height:0pt;width:481.9pt;z-index:251661312;mso-width-relative:page;mso-height-relative:page;" filled="f" stroked="t" coordsize="21600,21600" o:gfxdata="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50rvy1QAAAAoBAAAPAAAA&#10;AAAAAAEAIAAAACIAAABkcnMvZG93bnJldi54bWxQSwECFAAUAAAACACHTuJAbnkn5N8BAACjAwAA&#10;DgAAAAAAAAABACAAAAAkAQAAZHJzL2Uyb0RvYy54bWxQSwUGAAAAAAYABgBZAQAAdQUAAAAA&#10;">
                <v:fill on="f" focussize="0,0"/>
                <v:stroke color="#000000" joinstyle="round"/>
                <v:imagedata o:title=""/>
                <o:lock v:ext="edit" aspectratio="f"/>
              </v:line>
            </w:pict>
          </mc:Fallback>
        </mc:AlternateContent>
      </w:r>
    </w:p>
    <w:sdt>
      <w:sdtPr>
        <w:rPr>
          <w:rFonts w:hint="eastAsia" w:ascii="黑体" w:hAnsi="黑体" w:eastAsia="黑体" w:cs="黑体"/>
          <w:kern w:val="2"/>
          <w:sz w:val="32"/>
          <w:szCs w:val="32"/>
          <w:lang w:val="en-US" w:eastAsia="zh-CN" w:bidi="ar-SA"/>
        </w:rPr>
        <w:id w:val="147459400"/>
        <w15:color w:val="DBDBDB"/>
        <w:docPartObj>
          <w:docPartGallery w:val="Table of Contents"/>
          <w:docPartUnique/>
        </w:docPartObj>
      </w:sdtPr>
      <w:sdtEndPr>
        <w:rPr>
          <w:rFonts w:hint="eastAsia" w:ascii="黑体" w:hAnsi="黑体" w:eastAsia="黑体" w:cs="黑体"/>
          <w:kern w:val="2"/>
          <w:sz w:val="21"/>
          <w:szCs w:val="40"/>
          <w:lang w:val="en-US" w:eastAsia="zh-CN" w:bidi="ar-SA"/>
        </w:rPr>
      </w:sdtEndPr>
      <w:sdtContent>
        <w:p w14:paraId="5CD0A328">
          <w:pPr>
            <w:spacing w:before="0" w:beforeLines="0" w:after="0" w:afterLines="0" w:line="240" w:lineRule="auto"/>
            <w:ind w:left="0" w:leftChars="0" w:right="0" w:rightChars="0" w:firstLine="0" w:firstLineChars="0"/>
            <w:jc w:val="center"/>
            <w:rPr>
              <w:rFonts w:hint="eastAsia" w:ascii="黑体" w:hAnsi="黑体" w:eastAsia="黑体" w:cs="黑体"/>
              <w:sz w:val="32"/>
              <w:szCs w:val="32"/>
              <w:lang w:eastAsia="zh-CN"/>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次</w:t>
          </w:r>
        </w:p>
        <w:p w14:paraId="3B1F0E68">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 w:val="21"/>
              <w:szCs w:val="40"/>
              <w:lang w:val="en-US" w:eastAsia="zh-CN" w:bidi="ar-SA"/>
            </w:rPr>
            <w:fldChar w:fldCharType="begin"/>
          </w:r>
          <w:r>
            <w:rPr>
              <w:rFonts w:hint="default" w:ascii="Times New Roman" w:hAnsi="Times New Roman" w:eastAsia="宋体" w:cs="Times New Roman"/>
              <w:kern w:val="2"/>
              <w:sz w:val="21"/>
              <w:szCs w:val="40"/>
              <w:lang w:val="en-US" w:eastAsia="zh-CN" w:bidi="ar-SA"/>
            </w:rPr>
            <w:instrText xml:space="preserve">TOC \o "1-3" \h \u </w:instrText>
          </w:r>
          <w:r>
            <w:rPr>
              <w:rFonts w:hint="default" w:ascii="Times New Roman" w:hAnsi="Times New Roman" w:eastAsia="宋体" w:cs="Times New Roman"/>
              <w:kern w:val="2"/>
              <w:sz w:val="21"/>
              <w:szCs w:val="40"/>
              <w:lang w:val="en-US" w:eastAsia="zh-CN" w:bidi="ar-SA"/>
            </w:rPr>
            <w:fldChar w:fldCharType="separate"/>
          </w: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_Toc24444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40"/>
              <w:lang w:val="en-US" w:eastAsia="zh-CN"/>
            </w:rPr>
            <w:t>前    言</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_Toc24444 \h </w:instrText>
          </w:r>
          <w:r>
            <w:rPr>
              <w:rFonts w:hint="default" w:ascii="Times New Roman" w:hAnsi="Times New Roman" w:eastAsia="宋体" w:cs="Times New Roman"/>
            </w:rPr>
            <w:fldChar w:fldCharType="separate"/>
          </w:r>
          <w:r>
            <w:rPr>
              <w:rFonts w:hint="default" w:ascii="Times New Roman" w:hAnsi="Times New Roman" w:eastAsia="宋体" w:cs="Times New Roman"/>
            </w:rPr>
            <w:t>IV</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036F8704">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_Toc6708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40"/>
              <w:lang w:val="en-US" w:eastAsia="zh-CN"/>
            </w:rPr>
            <w:t>引    言</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_Toc6708 \h </w:instrText>
          </w:r>
          <w:r>
            <w:rPr>
              <w:rFonts w:hint="default" w:ascii="Times New Roman" w:hAnsi="Times New Roman" w:eastAsia="宋体" w:cs="Times New Roman"/>
            </w:rPr>
            <w:fldChar w:fldCharType="separate"/>
          </w:r>
          <w:r>
            <w:rPr>
              <w:rFonts w:hint="default" w:ascii="Times New Roman" w:hAnsi="Times New Roman" w:eastAsia="宋体" w:cs="Times New Roman"/>
            </w:rPr>
            <w:t>V</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0DCF8FB7">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_Toc10606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 xml:space="preserve">1  </w:t>
          </w:r>
          <w:r>
            <w:rPr>
              <w:rFonts w:hint="default" w:ascii="Times New Roman" w:hAnsi="Times New Roman" w:eastAsia="宋体" w:cs="Times New Roman"/>
              <w:bCs w:val="0"/>
              <w:i w:val="0"/>
              <w:iCs w:val="0"/>
              <w:caps w:val="0"/>
              <w:spacing w:val="-2"/>
              <w:szCs w:val="21"/>
              <w:shd w:val="clear" w:fill="FFFFFF"/>
              <w:vertAlign w:val="baseline"/>
            </w:rPr>
            <w:t>范围</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_Toc10606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0E759384">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_Toc7115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2  规范性引用文件</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_Toc7115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487A2970">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_Toc2565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3  术语和定义</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_Toc2565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039556D5">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_Toc16151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4  量化目的</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_Toc16151 \h </w:instrText>
          </w:r>
          <w:r>
            <w:rPr>
              <w:rFonts w:hint="default" w:ascii="Times New Roman" w:hAnsi="Times New Roman" w:eastAsia="宋体" w:cs="Times New Roman"/>
            </w:rPr>
            <w:fldChar w:fldCharType="separate"/>
          </w:r>
          <w:r>
            <w:rPr>
              <w:rFonts w:hint="default" w:ascii="Times New Roman" w:hAnsi="Times New Roman" w:eastAsia="宋体" w:cs="Times New Roman"/>
            </w:rPr>
            <w:t>4</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16D00F2A">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_Toc29073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5  量化范围</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_Toc29073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73DA700F">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_Toc12864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5.1  产品描述</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_Toc12864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3312133D">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_Toc16463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5.2  声明单位</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_Toc16463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1B4CE1E6">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_Toc23673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5.3  系统边界</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_Toc23673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5B20874D">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_Toc20713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5.3.1 边界设定</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_Toc20713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2DD4F675">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_Toc1282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5.3.2 原材料获取阶段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_Toc1282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067A2FFA">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_Toc12270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5.3.3 生产阶段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_Toc12270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466867A8">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_Toc10035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5.3.4 分销阶段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_Toc10035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425D0E0B">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_Toc12346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highlight w:val="none"/>
              <w:lang w:val="en-US" w:eastAsia="zh-CN"/>
            </w:rPr>
            <w:t>5.3.5 使用阶段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_Toc12346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0B4AE6AB">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_Toc982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5.3.6 生命末期阶段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_Toc982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3C004BDA">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_Toc19294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5.4 取舍准则</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_Toc19294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46B5D437">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_Toc16988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6  清单分析</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_Toc16988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5BF2B566">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_Toc30348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6.1 数据选择</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_Toc30348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4460554B">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_Toc18611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6.2 数据收集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_Toc18611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19401E9F">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_Toc6029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6.2.1 原材料获取阶段数据收集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_Toc6029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5D757B03">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_Toc26304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6.2.2 生产阶段数据收集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_Toc26304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1CC98B08">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_Toc25297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6.2.3 运输（交付阶段）数据收集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_Toc25297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26108E8F">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_Toc6867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6.2.4 使用阶段数据收集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_Toc6867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1DC53642">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_Toc29338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6.2.5 生命末期阶段数据收集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_Toc29338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289EBDE7">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_Toc7821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highlight w:val="none"/>
              <w:lang w:val="en-US" w:eastAsia="zh-CN"/>
            </w:rPr>
            <w:t>6.3 数据质量要求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_Toc7821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3F5A4B88">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_Toc10441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6.4 数据审定</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_Toc10441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20D4FAE4">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_Toc10250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6.5 分配原则</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_Toc10250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7A795395">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_Toc14301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7  影响评价</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_Toc14301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28044993">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_Toc26960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7.1 产品碳足迹计算</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_Toc26960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3F4D0A5C">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_Toc21795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7.2 原材料获取阶段碳足迹</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_Toc21795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4D4C97F3">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_Toc26711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7.3 生产阶段碳足迹</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_Toc26711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13B936A3">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_Toc25895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7.4 分销阶段碳足迹</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_Toc25895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37AF301D">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_Toc23584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7.5 生命末期阶段碳足迹</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_Toc23584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328CC00C">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_Toc15589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8  结果解释</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_Toc15589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4AD6CC31">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_Toc24505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8.1 解释步骤</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_Toc24505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3126EDE4">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_Toc9547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8.2 内容要求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_Toc9547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4EAC745A">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_Toc4633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9  产品碳足迹报告</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_Toc4633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24C290C9">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_Toc31757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9.1 报告内容</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_Toc31757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6431A9E2">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_Toc12867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9.1.1 基本情况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_Toc12867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5A495172">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_Toc25565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9.1.2 量化目的</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_Toc25565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602174C7">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_Toc269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9.1.3 量化范围</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_Toc269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11BFCF0E">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_Toc18296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9.1.4 清单分析</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_Toc18296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569E8602">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_Toc15987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9.1.5 影响评价</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_Toc15987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304B05C6">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_Toc20025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9.1.6 结果解释</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_Toc20025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5F151B17">
          <w:pPr>
            <w:pStyle w:val="5"/>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_Toc1653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9.1.7 补充说明</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_Toc1653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5BC5E8E6">
          <w:pPr>
            <w:pStyle w:val="9"/>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_Toc5636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szCs w:val="21"/>
              <w:lang w:val="en-US" w:eastAsia="zh-CN"/>
            </w:rPr>
            <w:t>9.2 报告模板</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_Toc5636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556B29A9">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_Toc12736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10 产品碳足迹声明</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_Toc12736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76C7755E">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_Toc26055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附  录  A</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_Toc26055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15</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06266582">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_Toc16558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附  录  B</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_Toc16558 \h </w:instrText>
          </w:r>
          <w:r>
            <w:rPr>
              <w:rFonts w:hint="default" w:ascii="Times New Roman" w:hAnsi="Times New Roman" w:eastAsia="宋体" w:cs="Times New Roman"/>
            </w:rPr>
            <w:fldChar w:fldCharType="separate"/>
          </w:r>
          <w:r>
            <w:rPr>
              <w:rFonts w:hint="default" w:ascii="Times New Roman" w:hAnsi="Times New Roman" w:eastAsia="宋体" w:cs="Times New Roman"/>
            </w:rPr>
            <w:t>17</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2BAEAAB6">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_Toc25842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附  录  C</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_Toc25842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18</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21FF8863">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_Toc19314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附  录  D</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_Toc19314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19</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1857C9B1">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_Toc1918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附  录  E</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_Toc1918 \h </w:instrText>
          </w:r>
          <w:r>
            <w:rPr>
              <w:rFonts w:hint="default" w:ascii="Times New Roman" w:hAnsi="Times New Roman" w:eastAsia="宋体" w:cs="Times New Roman"/>
            </w:rPr>
            <w:fldChar w:fldCharType="separate"/>
          </w:r>
          <w:r>
            <w:rPr>
              <w:rFonts w:hint="default" w:ascii="Times New Roman" w:hAnsi="Times New Roman" w:eastAsia="宋体" w:cs="Times New Roman"/>
            </w:rPr>
            <w:t>20</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480776E7">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_Toc2146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附  录  F</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_Toc2146 \h </w:instrText>
          </w:r>
          <w:r>
            <w:rPr>
              <w:rFonts w:hint="default" w:ascii="Times New Roman" w:hAnsi="Times New Roman" w:eastAsia="宋体" w:cs="Times New Roman"/>
            </w:rPr>
            <w:fldChar w:fldCharType="separate"/>
          </w:r>
          <w:r>
            <w:rPr>
              <w:rFonts w:hint="default" w:ascii="Times New Roman" w:hAnsi="Times New Roman" w:eastAsia="宋体" w:cs="Times New Roman"/>
            </w:rPr>
            <w:t>21</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0BFA6BF9">
          <w:pPr>
            <w:pStyle w:val="8"/>
            <w:tabs>
              <w:tab w:val="right" w:leader="dot" w:pos="8972"/>
            </w:tabs>
            <w:rPr>
              <w:rFonts w:hint="default" w:ascii="Times New Roman" w:hAnsi="Times New Roman" w:eastAsia="宋体" w:cs="Times New Roman"/>
            </w:rPr>
          </w:pPr>
          <w:r>
            <w:rPr>
              <w:rFonts w:hint="default" w:ascii="Times New Roman" w:hAnsi="Times New Roman" w:eastAsia="宋体" w:cs="Times New Roman"/>
              <w:kern w:val="2"/>
              <w:szCs w:val="40"/>
              <w:lang w:val="en-US" w:eastAsia="zh-CN" w:bidi="ar-SA"/>
            </w:rPr>
            <w:fldChar w:fldCharType="begin"/>
          </w:r>
          <w:r>
            <w:rPr>
              <w:rFonts w:hint="default" w:ascii="Times New Roman" w:hAnsi="Times New Roman" w:eastAsia="宋体" w:cs="Times New Roman"/>
              <w:kern w:val="2"/>
              <w:szCs w:val="40"/>
              <w:lang w:val="en-US" w:eastAsia="zh-CN" w:bidi="ar-SA"/>
            </w:rPr>
            <w:instrText xml:space="preserve"> HYPERLINK \l _Toc7054 </w:instrText>
          </w:r>
          <w:r>
            <w:rPr>
              <w:rFonts w:hint="default" w:ascii="Times New Roman" w:hAnsi="Times New Roman" w:eastAsia="宋体" w:cs="Times New Roman"/>
              <w:kern w:val="2"/>
              <w:szCs w:val="40"/>
              <w:lang w:val="en-US" w:eastAsia="zh-CN" w:bidi="ar-SA"/>
            </w:rPr>
            <w:fldChar w:fldCharType="separate"/>
          </w:r>
          <w:r>
            <w:rPr>
              <w:rFonts w:hint="default" w:ascii="Times New Roman" w:hAnsi="Times New Roman" w:eastAsia="宋体" w:cs="Times New Roman"/>
              <w:bCs w:val="0"/>
              <w:i w:val="0"/>
              <w:iCs w:val="0"/>
              <w:caps w:val="0"/>
              <w:spacing w:val="-2"/>
              <w:szCs w:val="21"/>
              <w:shd w:val="clear" w:fill="FFFFFF"/>
              <w:vertAlign w:val="baseline"/>
              <w:lang w:val="en-US" w:eastAsia="zh-CN"/>
            </w:rPr>
            <w:t>参考文献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_Toc7054 \h </w:instrText>
          </w:r>
          <w:r>
            <w:rPr>
              <w:rFonts w:hint="default" w:ascii="Times New Roman" w:hAnsi="Times New Roman" w:eastAsia="宋体" w:cs="Times New Roman"/>
            </w:rPr>
            <w:fldChar w:fldCharType="separate"/>
          </w:r>
          <w:r>
            <w:rPr>
              <w:rFonts w:hint="default" w:ascii="Times New Roman" w:hAnsi="Times New Roman" w:eastAsia="宋体" w:cs="Times New Roman"/>
            </w:rPr>
            <w:t>25</w:t>
          </w:r>
          <w:r>
            <w:rPr>
              <w:rFonts w:hint="default" w:ascii="Times New Roman" w:hAnsi="Times New Roman" w:eastAsia="宋体" w:cs="Times New Roman"/>
            </w:rPr>
            <w:fldChar w:fldCharType="end"/>
          </w:r>
          <w:r>
            <w:rPr>
              <w:rFonts w:hint="default" w:ascii="Times New Roman" w:hAnsi="Times New Roman" w:eastAsia="宋体" w:cs="Times New Roman"/>
              <w:kern w:val="2"/>
              <w:szCs w:val="40"/>
              <w:lang w:val="en-US" w:eastAsia="zh-CN" w:bidi="ar-SA"/>
            </w:rPr>
            <w:fldChar w:fldCharType="end"/>
          </w:r>
        </w:p>
        <w:p w14:paraId="59EAB3AB">
          <w:pPr>
            <w:jc w:val="center"/>
            <w:rPr>
              <w:rFonts w:hint="eastAsia" w:ascii="黑体" w:hAnsi="黑体" w:eastAsia="黑体" w:cs="黑体"/>
              <w:kern w:val="2"/>
              <w:sz w:val="21"/>
              <w:szCs w:val="40"/>
              <w:lang w:val="en-US" w:eastAsia="zh-CN" w:bidi="ar-SA"/>
            </w:rPr>
          </w:pPr>
          <w:r>
            <w:rPr>
              <w:rFonts w:hint="default" w:ascii="Times New Roman" w:hAnsi="Times New Roman" w:eastAsia="宋体" w:cs="Times New Roman"/>
              <w:kern w:val="2"/>
              <w:szCs w:val="40"/>
              <w:lang w:val="en-US" w:eastAsia="zh-CN" w:bidi="ar-SA"/>
            </w:rPr>
            <w:fldChar w:fldCharType="end"/>
          </w:r>
        </w:p>
      </w:sdtContent>
    </w:sdt>
    <w:p w14:paraId="28CEFB21">
      <w:pPr>
        <w:jc w:val="center"/>
        <w:rPr>
          <w:rFonts w:hint="eastAsia" w:ascii="黑体" w:hAnsi="黑体" w:eastAsia="黑体" w:cs="黑体"/>
          <w:kern w:val="2"/>
          <w:sz w:val="21"/>
          <w:szCs w:val="40"/>
          <w:lang w:val="en-US" w:eastAsia="zh-CN" w:bidi="ar-SA"/>
        </w:rPr>
        <w:sectPr>
          <w:headerReference r:id="rId4" w:type="default"/>
          <w:footerReference r:id="rId6" w:type="default"/>
          <w:headerReference r:id="rId5" w:type="even"/>
          <w:footerReference r:id="rId7" w:type="even"/>
          <w:pgSz w:w="11906" w:h="16838"/>
          <w:pgMar w:top="1440" w:right="1134" w:bottom="1440" w:left="1800" w:header="851" w:footer="992" w:gutter="0"/>
          <w:pgNumType w:fmt="upperRoman" w:start="1"/>
          <w:cols w:space="425" w:num="1"/>
          <w:docGrid w:type="lines" w:linePitch="312" w:charSpace="0"/>
        </w:sectPr>
      </w:pPr>
    </w:p>
    <w:p w14:paraId="4B22DF80">
      <w:pPr>
        <w:jc w:val="center"/>
        <w:outlineLvl w:val="0"/>
        <w:rPr>
          <w:rFonts w:hint="eastAsia" w:ascii="黑体" w:hAnsi="黑体" w:eastAsia="黑体" w:cs="黑体"/>
          <w:sz w:val="32"/>
          <w:szCs w:val="40"/>
          <w:lang w:val="en-US" w:eastAsia="zh-CN"/>
        </w:rPr>
      </w:pPr>
      <w:bookmarkStart w:id="0" w:name="_Toc24444"/>
      <w:r>
        <w:rPr>
          <w:rFonts w:hint="eastAsia" w:ascii="黑体" w:hAnsi="黑体" w:eastAsia="黑体" w:cs="黑体"/>
          <w:sz w:val="32"/>
          <w:szCs w:val="40"/>
          <w:lang w:val="en-US" w:eastAsia="zh-CN"/>
        </w:rPr>
        <w:t>前    言</w:t>
      </w:r>
      <w:bookmarkEnd w:id="0"/>
    </w:p>
    <w:p w14:paraId="4F49F8E1">
      <w:pPr>
        <w:jc w:val="center"/>
        <w:rPr>
          <w:rFonts w:hint="eastAsia" w:ascii="黑体" w:hAnsi="黑体" w:eastAsia="黑体" w:cs="黑体"/>
          <w:sz w:val="32"/>
          <w:szCs w:val="40"/>
          <w:lang w:val="en-US" w:eastAsia="zh-CN"/>
        </w:rPr>
      </w:pPr>
    </w:p>
    <w:p w14:paraId="32346ED9">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240"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本文件按照GB/T 1.1-2020《标准化工作导则  第1部分：标准化文件的结构和起草规则》的规定起草。</w:t>
      </w:r>
    </w:p>
    <w:p w14:paraId="6A742841">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240"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本文件由XXX提出。</w:t>
      </w:r>
    </w:p>
    <w:p w14:paraId="40556DE2">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240"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本文件由XXX归口。</w:t>
      </w:r>
    </w:p>
    <w:p w14:paraId="520754C9">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240"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本文件起草单位：XXX。</w:t>
      </w:r>
    </w:p>
    <w:p w14:paraId="3FD1EB96">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240" w:lineRule="auto"/>
        <w:ind w:left="0" w:right="0" w:firstLine="420" w:firstLineChars="200"/>
        <w:jc w:val="left"/>
        <w:textAlignment w:val="baseline"/>
        <w:rPr>
          <w:rFonts w:hint="default" w:ascii="Times New Roman" w:hAnsi="Times New Roman" w:eastAsia="宋体" w:cs="Times New Roman"/>
          <w:sz w:val="21"/>
          <w:szCs w:val="21"/>
          <w:lang w:val="en-US" w:eastAsia="zh-CN"/>
        </w:rPr>
        <w:sectPr>
          <w:footerReference r:id="rId8" w:type="default"/>
          <w:footerReference r:id="rId9" w:type="even"/>
          <w:pgSz w:w="11906" w:h="16838"/>
          <w:pgMar w:top="1440" w:right="1134" w:bottom="1440" w:left="1800" w:header="851" w:footer="992" w:gutter="0"/>
          <w:pgNumType w:fmt="upperRoman"/>
          <w:cols w:space="425" w:num="1"/>
          <w:docGrid w:type="lines" w:linePitch="312" w:charSpace="0"/>
        </w:sectPr>
      </w:pPr>
      <w:r>
        <w:rPr>
          <w:rFonts w:hint="eastAsia" w:ascii="Times New Roman" w:hAnsi="Times New Roman" w:eastAsia="宋体" w:cs="Times New Roman"/>
          <w:sz w:val="21"/>
          <w:szCs w:val="21"/>
          <w:lang w:val="en-US" w:eastAsia="zh-CN"/>
        </w:rPr>
        <w:t>本文件主要起草人：XXX。</w:t>
      </w:r>
    </w:p>
    <w:p w14:paraId="7E6EDAA8">
      <w:pPr>
        <w:jc w:val="center"/>
        <w:outlineLvl w:val="0"/>
        <w:rPr>
          <w:rFonts w:hint="eastAsia" w:ascii="黑体" w:hAnsi="黑体" w:eastAsia="黑体" w:cs="黑体"/>
          <w:sz w:val="32"/>
          <w:szCs w:val="40"/>
          <w:lang w:val="en-US" w:eastAsia="zh-CN"/>
        </w:rPr>
      </w:pPr>
      <w:bookmarkStart w:id="1" w:name="_Toc6708"/>
      <w:r>
        <w:rPr>
          <w:rFonts w:hint="eastAsia" w:ascii="黑体" w:hAnsi="黑体" w:eastAsia="黑体" w:cs="黑体"/>
          <w:sz w:val="32"/>
          <w:szCs w:val="40"/>
          <w:lang w:val="en-US" w:eastAsia="zh-CN"/>
        </w:rPr>
        <w:t>引    言</w:t>
      </w:r>
      <w:bookmarkEnd w:id="1"/>
    </w:p>
    <w:p w14:paraId="2FBD4D69">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360" w:lineRule="auto"/>
        <w:ind w:left="0" w:right="0" w:firstLine="420" w:firstLineChars="200"/>
        <w:jc w:val="left"/>
        <w:textAlignment w:val="baseline"/>
        <w:rPr>
          <w:rFonts w:hint="default" w:ascii="Times New Roman" w:hAnsi="Times New Roman" w:eastAsia="宋体" w:cs="Times New Roman"/>
          <w:sz w:val="21"/>
          <w:szCs w:val="21"/>
          <w:lang w:val="en-US" w:eastAsia="zh-CN"/>
        </w:rPr>
      </w:pPr>
    </w:p>
    <w:p w14:paraId="38704CD0">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240"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近年来，随着全球气候变暖问题的日益严重，各国纷纷采取行动，通过制定和实施各种政策方针来减少温室气体排放。2020年我国政府提出</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3060</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目标，即力争2030年前达到碳达峰，2060年前实现碳中和。</w:t>
      </w:r>
    </w:p>
    <w:p w14:paraId="7718336D">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240"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2024年6月，生态环境部会同国家发展改革委、工业和信息化部等15个部</w:t>
      </w:r>
      <w:r>
        <w:rPr>
          <w:rFonts w:hint="eastAsia" w:ascii="Times New Roman" w:hAnsi="Times New Roman" w:eastAsia="宋体" w:cs="Times New Roman"/>
          <w:sz w:val="21"/>
          <w:szCs w:val="21"/>
          <w:lang w:val="en-US" w:eastAsia="zh-CN"/>
        </w:rPr>
        <w:t>门</w:t>
      </w:r>
      <w:r>
        <w:rPr>
          <w:rFonts w:hint="default" w:ascii="Times New Roman" w:hAnsi="Times New Roman" w:eastAsia="宋体" w:cs="Times New Roman"/>
          <w:sz w:val="21"/>
          <w:szCs w:val="21"/>
          <w:lang w:val="en-US" w:eastAsia="zh-CN"/>
        </w:rPr>
        <w:t>，联合发布《关于建立碳足迹管理体系的实施方案》，方案紧扣碳达峰碳中和目标任务，分阶段明确碳足迹管理体系的建设</w:t>
      </w:r>
      <w:r>
        <w:rPr>
          <w:rFonts w:hint="eastAsia" w:ascii="Times New Roman" w:hAnsi="Times New Roman" w:eastAsia="宋体" w:cs="Times New Roman"/>
          <w:sz w:val="21"/>
          <w:szCs w:val="21"/>
          <w:lang w:val="en-US" w:eastAsia="zh-CN"/>
        </w:rPr>
        <w:t>目标，方案提出到2027年制定出台100个</w:t>
      </w:r>
      <w:r>
        <w:rPr>
          <w:rFonts w:hint="default" w:ascii="Times New Roman" w:hAnsi="Times New Roman" w:eastAsia="宋体" w:cs="Times New Roman"/>
          <w:sz w:val="21"/>
          <w:szCs w:val="21"/>
          <w:lang w:val="en-US" w:eastAsia="zh-CN"/>
        </w:rPr>
        <w:t>左右重点产品碳足迹核算规则标准。</w:t>
      </w:r>
      <w:r>
        <w:rPr>
          <w:rFonts w:hint="eastAsia" w:ascii="Times New Roman" w:hAnsi="Times New Roman" w:eastAsia="宋体" w:cs="Times New Roman"/>
          <w:sz w:val="21"/>
          <w:szCs w:val="21"/>
          <w:lang w:val="en-US" w:eastAsia="zh-CN"/>
        </w:rPr>
        <w:t>到2030年制定出台200个</w:t>
      </w:r>
      <w:r>
        <w:rPr>
          <w:rFonts w:hint="default" w:ascii="Times New Roman" w:hAnsi="Times New Roman" w:eastAsia="宋体" w:cs="Times New Roman"/>
          <w:sz w:val="21"/>
          <w:szCs w:val="21"/>
          <w:lang w:val="en-US" w:eastAsia="zh-CN"/>
        </w:rPr>
        <w:t>左右重点产品碳足迹核算规则标准。</w:t>
      </w:r>
    </w:p>
    <w:p w14:paraId="54BBD6AD">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240"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2024年8月，</w:t>
      </w:r>
      <w:r>
        <w:rPr>
          <w:rFonts w:hint="default" w:ascii="Times New Roman" w:hAnsi="Times New Roman" w:eastAsia="宋体" w:cs="Times New Roman"/>
          <w:sz w:val="21"/>
          <w:szCs w:val="21"/>
          <w:lang w:val="en-US" w:eastAsia="zh-CN"/>
        </w:rPr>
        <w:t>《温室气体</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产品碳足迹量化要求</w:t>
      </w:r>
      <w:r>
        <w:rPr>
          <w:rFonts w:hint="eastAsia" w:ascii="Times New Roman" w:hAnsi="Times New Roman" w:eastAsia="宋体" w:cs="Times New Roman"/>
          <w:sz w:val="21"/>
          <w:szCs w:val="21"/>
          <w:lang w:val="en-US" w:eastAsia="zh-CN"/>
        </w:rPr>
        <w:t>和指南</w:t>
      </w:r>
      <w:r>
        <w:rPr>
          <w:rFonts w:hint="default" w:ascii="Times New Roman" w:hAnsi="Times New Roman" w:eastAsia="宋体" w:cs="Times New Roman"/>
          <w:sz w:val="21"/>
          <w:szCs w:val="21"/>
          <w:lang w:val="en-US" w:eastAsia="zh-CN"/>
        </w:rPr>
        <w:t>》（GB/</w:t>
      </w:r>
      <w:r>
        <w:rPr>
          <w:rFonts w:hint="eastAsia" w:ascii="Times New Roman" w:hAnsi="Times New Roman" w:eastAsia="宋体" w:cs="Times New Roman"/>
          <w:sz w:val="21"/>
          <w:szCs w:val="21"/>
          <w:lang w:val="en-US" w:eastAsia="zh-CN"/>
        </w:rPr>
        <w:t xml:space="preserve">T </w:t>
      </w:r>
      <w:r>
        <w:rPr>
          <w:rFonts w:hint="default" w:ascii="Times New Roman" w:hAnsi="Times New Roman" w:eastAsia="宋体" w:cs="Times New Roman"/>
          <w:sz w:val="21"/>
          <w:szCs w:val="21"/>
          <w:lang w:val="en-US" w:eastAsia="zh-CN"/>
        </w:rPr>
        <w:t>24067-2024）</w:t>
      </w:r>
      <w:r>
        <w:rPr>
          <w:rFonts w:hint="eastAsia" w:ascii="Times New Roman" w:hAnsi="Times New Roman" w:eastAsia="宋体" w:cs="Times New Roman"/>
          <w:sz w:val="21"/>
          <w:szCs w:val="21"/>
          <w:lang w:val="en-US" w:eastAsia="zh-CN"/>
        </w:rPr>
        <w:t>国家标准正式批准发布，</w:t>
      </w:r>
      <w:r>
        <w:rPr>
          <w:rFonts w:hint="default" w:ascii="Times New Roman" w:hAnsi="Times New Roman" w:eastAsia="宋体" w:cs="Times New Roman"/>
          <w:sz w:val="21"/>
          <w:szCs w:val="21"/>
          <w:lang w:val="en-US" w:eastAsia="zh-CN"/>
        </w:rPr>
        <w:t>并于2024年10月1日起实施。该标准填补了我国产品碳足迹核算通用标准的空白，为编制具体产品碳足迹核算标准提供统一权威的指导。</w:t>
      </w:r>
    </w:p>
    <w:p w14:paraId="72B8E94C">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240"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本文件以</w:t>
      </w:r>
      <w:r>
        <w:rPr>
          <w:rFonts w:hint="eastAsia" w:ascii="Times New Roman" w:hAnsi="Times New Roman" w:eastAsia="宋体" w:cs="Times New Roman"/>
          <w:sz w:val="21"/>
          <w:szCs w:val="21"/>
          <w:lang w:val="en-US" w:eastAsia="zh-CN"/>
        </w:rPr>
        <w:t>软饮料</w:t>
      </w:r>
      <w:r>
        <w:rPr>
          <w:rFonts w:hint="default" w:ascii="Times New Roman" w:hAnsi="Times New Roman" w:eastAsia="宋体" w:cs="Times New Roman"/>
          <w:sz w:val="21"/>
          <w:szCs w:val="21"/>
          <w:lang w:val="en-US" w:eastAsia="zh-CN"/>
        </w:rPr>
        <w:t>为研究对象，依据《温室气体</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产品碳足迹量化要求</w:t>
      </w:r>
      <w:r>
        <w:rPr>
          <w:rFonts w:hint="eastAsia" w:ascii="Times New Roman" w:hAnsi="Times New Roman" w:eastAsia="宋体" w:cs="Times New Roman"/>
          <w:sz w:val="21"/>
          <w:szCs w:val="21"/>
          <w:lang w:val="en-US" w:eastAsia="zh-CN"/>
        </w:rPr>
        <w:t>和指南</w:t>
      </w:r>
      <w:r>
        <w:rPr>
          <w:rFonts w:hint="default" w:ascii="Times New Roman" w:hAnsi="Times New Roman" w:eastAsia="宋体" w:cs="Times New Roman"/>
          <w:sz w:val="21"/>
          <w:szCs w:val="21"/>
          <w:lang w:val="en-US" w:eastAsia="zh-CN"/>
        </w:rPr>
        <w:t>》（GB/</w:t>
      </w:r>
      <w:r>
        <w:rPr>
          <w:rFonts w:hint="eastAsia" w:ascii="Times New Roman" w:hAnsi="Times New Roman" w:eastAsia="宋体" w:cs="Times New Roman"/>
          <w:sz w:val="21"/>
          <w:szCs w:val="21"/>
          <w:lang w:val="en-US" w:eastAsia="zh-CN"/>
        </w:rPr>
        <w:t xml:space="preserve">T </w:t>
      </w:r>
      <w:r>
        <w:rPr>
          <w:rFonts w:hint="default" w:ascii="Times New Roman" w:hAnsi="Times New Roman" w:eastAsia="宋体" w:cs="Times New Roman"/>
          <w:sz w:val="21"/>
          <w:szCs w:val="21"/>
          <w:lang w:val="en-US" w:eastAsia="zh-CN"/>
        </w:rPr>
        <w:t>24067-2024）具体产品碳足迹标准的参考框架编制而成。研究</w:t>
      </w:r>
      <w:r>
        <w:rPr>
          <w:rFonts w:hint="eastAsia" w:ascii="Times New Roman" w:hAnsi="Times New Roman" w:eastAsia="宋体" w:cs="Times New Roman"/>
          <w:sz w:val="21"/>
          <w:szCs w:val="21"/>
          <w:lang w:val="en-US" w:eastAsia="zh-CN"/>
        </w:rPr>
        <w:t>软饮料</w:t>
      </w:r>
      <w:r>
        <w:rPr>
          <w:rFonts w:hint="default" w:ascii="Times New Roman" w:hAnsi="Times New Roman" w:eastAsia="宋体" w:cs="Times New Roman"/>
          <w:sz w:val="21"/>
          <w:szCs w:val="21"/>
          <w:lang w:val="en-US" w:eastAsia="zh-CN"/>
        </w:rPr>
        <w:t>产品碳足迹方法，可规范</w:t>
      </w:r>
      <w:r>
        <w:rPr>
          <w:rFonts w:hint="eastAsia" w:ascii="Times New Roman" w:hAnsi="Times New Roman" w:eastAsia="宋体" w:cs="Times New Roman"/>
          <w:sz w:val="21"/>
          <w:szCs w:val="21"/>
          <w:lang w:val="en-US" w:eastAsia="zh-CN"/>
        </w:rPr>
        <w:t>软饮料</w:t>
      </w:r>
      <w:r>
        <w:rPr>
          <w:rFonts w:hint="default" w:ascii="Times New Roman" w:hAnsi="Times New Roman" w:eastAsia="宋体" w:cs="Times New Roman"/>
          <w:sz w:val="21"/>
          <w:szCs w:val="21"/>
          <w:lang w:val="en-US" w:eastAsia="zh-CN"/>
        </w:rPr>
        <w:t>的碳足迹量化方法，有助于确保产品在整个生命周期中的环境影响得到有效管理，进而推动</w:t>
      </w:r>
      <w:r>
        <w:rPr>
          <w:rFonts w:hint="eastAsia" w:ascii="Times New Roman" w:hAnsi="Times New Roman" w:eastAsia="宋体" w:cs="Times New Roman"/>
          <w:sz w:val="21"/>
          <w:szCs w:val="21"/>
          <w:lang w:val="en-US" w:eastAsia="zh-CN"/>
        </w:rPr>
        <w:t>软饮料</w:t>
      </w:r>
      <w:r>
        <w:rPr>
          <w:rFonts w:hint="default" w:ascii="Times New Roman" w:hAnsi="Times New Roman" w:eastAsia="宋体" w:cs="Times New Roman"/>
          <w:sz w:val="21"/>
          <w:szCs w:val="21"/>
          <w:lang w:val="en-US" w:eastAsia="zh-CN"/>
        </w:rPr>
        <w:t>的可持续生产和消费。</w:t>
      </w:r>
    </w:p>
    <w:p w14:paraId="5F547132">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240" w:lineRule="auto"/>
        <w:ind w:left="0" w:right="0" w:firstLine="420" w:firstLineChars="200"/>
        <w:jc w:val="left"/>
        <w:textAlignment w:val="baseline"/>
        <w:rPr>
          <w:rFonts w:hint="default" w:ascii="Times New Roman" w:hAnsi="Times New Roman" w:eastAsia="宋体" w:cs="Times New Roman"/>
          <w:sz w:val="21"/>
          <w:szCs w:val="21"/>
          <w:lang w:val="en-US" w:eastAsia="zh-CN"/>
        </w:rPr>
        <w:sectPr>
          <w:pgSz w:w="11906" w:h="16838"/>
          <w:pgMar w:top="1440" w:right="1134" w:bottom="1440" w:left="1800" w:header="851" w:footer="992" w:gutter="0"/>
          <w:pgNumType w:fmt="upperRoman"/>
          <w:cols w:space="425" w:num="1"/>
          <w:docGrid w:type="lines" w:linePitch="312" w:charSpace="0"/>
        </w:sectPr>
      </w:pPr>
    </w:p>
    <w:p w14:paraId="4E311D7B">
      <w:pPr>
        <w:jc w:val="center"/>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温室气体 产品碳足迹量化方法与要求 软饮料</w:t>
      </w:r>
    </w:p>
    <w:p w14:paraId="4D2BBD26">
      <w:pPr>
        <w:jc w:val="center"/>
        <w:rPr>
          <w:rFonts w:hint="eastAsia" w:ascii="黑体" w:hAnsi="黑体" w:eastAsia="黑体" w:cs="黑体"/>
          <w:sz w:val="32"/>
          <w:szCs w:val="40"/>
          <w:lang w:val="en-US" w:eastAsia="zh-CN"/>
        </w:rPr>
      </w:pPr>
    </w:p>
    <w:p w14:paraId="7BD5F76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88" w:lineRule="auto"/>
        <w:ind w:left="0" w:right="0"/>
        <w:jc w:val="left"/>
        <w:textAlignment w:val="baseline"/>
        <w:outlineLvl w:val="0"/>
        <w:rPr>
          <w:rStyle w:val="14"/>
          <w:rFonts w:hint="eastAsia" w:ascii="黑体" w:hAnsi="黑体" w:eastAsia="黑体" w:cs="黑体"/>
          <w:b w:val="0"/>
          <w:bCs w:val="0"/>
          <w:i w:val="0"/>
          <w:iCs w:val="0"/>
          <w:caps w:val="0"/>
          <w:color w:val="000000"/>
          <w:spacing w:val="-2"/>
          <w:sz w:val="21"/>
          <w:szCs w:val="21"/>
          <w:shd w:val="clear" w:fill="FFFFFF"/>
          <w:vertAlign w:val="baseline"/>
        </w:rPr>
      </w:pPr>
      <w:bookmarkStart w:id="2" w:name="_Toc10606"/>
      <w:r>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t xml:space="preserve">1  </w:t>
      </w:r>
      <w:r>
        <w:rPr>
          <w:rStyle w:val="14"/>
          <w:rFonts w:hint="eastAsia" w:ascii="黑体" w:hAnsi="黑体" w:eastAsia="黑体" w:cs="黑体"/>
          <w:b w:val="0"/>
          <w:bCs w:val="0"/>
          <w:i w:val="0"/>
          <w:iCs w:val="0"/>
          <w:caps w:val="0"/>
          <w:color w:val="000000"/>
          <w:spacing w:val="-2"/>
          <w:sz w:val="21"/>
          <w:szCs w:val="21"/>
          <w:shd w:val="clear" w:fill="FFFFFF"/>
          <w:vertAlign w:val="baseline"/>
        </w:rPr>
        <w:t>范围</w:t>
      </w:r>
      <w:bookmarkEnd w:id="2"/>
    </w:p>
    <w:p w14:paraId="353B341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本文件规定了软饮料产品碳足迹量化</w:t>
      </w:r>
      <w:r>
        <w:rPr>
          <w:rFonts w:hint="eastAsia" w:ascii="Times New Roman" w:hAnsi="Times New Roman" w:eastAsia="宋体" w:cs="Times New Roman"/>
          <w:sz w:val="21"/>
          <w:szCs w:val="21"/>
          <w:highlight w:val="none"/>
          <w:lang w:val="en-US" w:eastAsia="zh-CN"/>
        </w:rPr>
        <w:t>的术语和定义、量化目的、量化范围</w:t>
      </w:r>
      <w:r>
        <w:rPr>
          <w:rFonts w:hint="default"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清单分析</w:t>
      </w:r>
      <w:r>
        <w:rPr>
          <w:rFonts w:hint="default"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影响评价、结果解释和产品碳足迹报告等内容。</w:t>
      </w:r>
    </w:p>
    <w:p w14:paraId="62E3439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本文件适用于软饮料产品</w:t>
      </w:r>
      <w:r>
        <w:rPr>
          <w:rFonts w:hint="eastAsia" w:ascii="Times New Roman" w:hAnsi="Times New Roman" w:eastAsia="宋体" w:cs="Times New Roman"/>
          <w:sz w:val="21"/>
          <w:szCs w:val="21"/>
          <w:highlight w:val="none"/>
          <w:lang w:val="en-US" w:eastAsia="zh-CN"/>
        </w:rPr>
        <w:t>的碳足迹和部分碳足迹量化，包括</w:t>
      </w:r>
      <w:r>
        <w:rPr>
          <w:rFonts w:hint="eastAsia" w:ascii="Times New Roman" w:hAnsi="Times New Roman" w:eastAsia="宋体" w:cs="Times New Roman"/>
          <w:sz w:val="21"/>
          <w:szCs w:val="21"/>
          <w:highlight w:val="none"/>
          <w:shd w:val="clear"/>
          <w:lang w:val="en-US" w:eastAsia="zh-CN"/>
        </w:rPr>
        <w:t>植物饮料类、碳酸饮料（汽水）类、蛋白饮料类、包装饮用水类、功能饮料类、风味饮料、饮料冲剂</w:t>
      </w:r>
      <w:r>
        <w:rPr>
          <w:rFonts w:hint="eastAsia" w:ascii="Times New Roman" w:hAnsi="Times New Roman" w:eastAsia="宋体" w:cs="Times New Roman"/>
          <w:sz w:val="21"/>
          <w:szCs w:val="21"/>
          <w:highlight w:val="none"/>
          <w:lang w:val="en-US" w:eastAsia="zh-CN"/>
        </w:rPr>
        <w:t>，其他未归类软饮料可参考使用本文件。</w:t>
      </w:r>
    </w:p>
    <w:p w14:paraId="04618EE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88" w:lineRule="auto"/>
        <w:ind w:left="0" w:right="0"/>
        <w:jc w:val="left"/>
        <w:textAlignment w:val="baseline"/>
        <w:outlineLvl w:val="0"/>
        <w:rPr>
          <w:rStyle w:val="14"/>
          <w:rFonts w:hint="default" w:ascii="黑体" w:hAnsi="黑体" w:eastAsia="黑体" w:cs="黑体"/>
          <w:b w:val="0"/>
          <w:bCs w:val="0"/>
          <w:i w:val="0"/>
          <w:iCs w:val="0"/>
          <w:caps w:val="0"/>
          <w:color w:val="000000"/>
          <w:spacing w:val="-2"/>
          <w:sz w:val="21"/>
          <w:szCs w:val="21"/>
          <w:shd w:val="clear" w:fill="FFFFFF"/>
          <w:vertAlign w:val="baseline"/>
          <w:lang w:val="en-US" w:eastAsia="zh-CN"/>
        </w:rPr>
      </w:pPr>
      <w:bookmarkStart w:id="3" w:name="_Toc7115"/>
      <w:r>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t xml:space="preserve">2  </w:t>
      </w:r>
      <w:r>
        <w:rPr>
          <w:rStyle w:val="14"/>
          <w:rFonts w:hint="default" w:ascii="黑体" w:hAnsi="黑体" w:eastAsia="黑体" w:cs="黑体"/>
          <w:b w:val="0"/>
          <w:bCs w:val="0"/>
          <w:i w:val="0"/>
          <w:iCs w:val="0"/>
          <w:caps w:val="0"/>
          <w:color w:val="000000"/>
          <w:spacing w:val="-2"/>
          <w:sz w:val="21"/>
          <w:szCs w:val="21"/>
          <w:shd w:val="clear" w:fill="FFFFFF"/>
          <w:vertAlign w:val="baseline"/>
          <w:lang w:val="en-US" w:eastAsia="zh-CN"/>
        </w:rPr>
        <w:t>规范性引用文件</w:t>
      </w:r>
      <w:bookmarkEnd w:id="3"/>
    </w:p>
    <w:p w14:paraId="383A70B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下列文件中的内容通过文中的规范性引用而构成本文件必不可少的条款。其中，注日期的引用文件，仅该日期对应的版本适用于本文件；不注日期的引用文件，其最新版本</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包括所有的修改单</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适用于本文件。</w:t>
      </w:r>
    </w:p>
    <w:p w14:paraId="59DBBFE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SB/T 11207-2017</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流通业商品分类与代码</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软饮料</w:t>
      </w:r>
    </w:p>
    <w:p w14:paraId="0F0DD7F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GB 7101-2022</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食品安全国家标准 饮料</w:t>
      </w:r>
    </w:p>
    <w:p w14:paraId="5A657B8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GB/T 10789</w:t>
      </w:r>
      <w:r>
        <w:rPr>
          <w:rFonts w:hint="eastAsia" w:ascii="Times New Roman" w:hAnsi="Times New Roman" w:eastAsia="宋体" w:cs="Times New Roman"/>
          <w:sz w:val="21"/>
          <w:szCs w:val="21"/>
          <w:lang w:val="en-US" w:eastAsia="zh-CN"/>
        </w:rPr>
        <w:t xml:space="preserve"> 饮料通则</w:t>
      </w:r>
    </w:p>
    <w:p w14:paraId="061648F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GB/T 24040 环境管理 生命周期评价 原则与框架</w:t>
      </w:r>
    </w:p>
    <w:p w14:paraId="08CAC1B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GB/T 24044</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环境管理 生命周期评价</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要求与指南</w:t>
      </w:r>
    </w:p>
    <w:p w14:paraId="2908820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GB/T 24067</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温室气体 产品碳足迹</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量化要求和指南</w:t>
      </w:r>
    </w:p>
    <w:p w14:paraId="528B7C9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88" w:lineRule="auto"/>
        <w:ind w:left="0" w:right="0"/>
        <w:jc w:val="left"/>
        <w:textAlignment w:val="baseline"/>
        <w:outlineLvl w:val="0"/>
        <w:rPr>
          <w:rStyle w:val="14"/>
          <w:rFonts w:hint="default" w:ascii="黑体" w:hAnsi="黑体" w:eastAsia="黑体" w:cs="黑体"/>
          <w:b w:val="0"/>
          <w:bCs w:val="0"/>
          <w:i w:val="0"/>
          <w:iCs w:val="0"/>
          <w:caps w:val="0"/>
          <w:color w:val="000000"/>
          <w:spacing w:val="-2"/>
          <w:sz w:val="21"/>
          <w:szCs w:val="21"/>
          <w:shd w:val="clear" w:fill="FFFFFF"/>
          <w:vertAlign w:val="baseline"/>
          <w:lang w:val="en-US" w:eastAsia="zh-CN"/>
        </w:rPr>
      </w:pPr>
      <w:bookmarkStart w:id="4" w:name="_Toc2565"/>
      <w:r>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t xml:space="preserve">3  </w:t>
      </w:r>
      <w:r>
        <w:rPr>
          <w:rStyle w:val="14"/>
          <w:rFonts w:hint="default" w:ascii="黑体" w:hAnsi="黑体" w:eastAsia="黑体" w:cs="黑体"/>
          <w:b w:val="0"/>
          <w:bCs w:val="0"/>
          <w:i w:val="0"/>
          <w:iCs w:val="0"/>
          <w:caps w:val="0"/>
          <w:color w:val="000000"/>
          <w:spacing w:val="-2"/>
          <w:sz w:val="21"/>
          <w:szCs w:val="21"/>
          <w:shd w:val="clear" w:fill="FFFFFF"/>
          <w:vertAlign w:val="baseline"/>
          <w:lang w:val="en-US" w:eastAsia="zh-CN"/>
        </w:rPr>
        <w:t>术语和定义</w:t>
      </w:r>
      <w:bookmarkEnd w:id="4"/>
    </w:p>
    <w:p w14:paraId="0240613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SB/T 11207-2017</w:t>
      </w:r>
      <w:r>
        <w:rPr>
          <w:rFonts w:hint="eastAsia" w:ascii="Times New Roman" w:hAnsi="Times New Roman" w:eastAsia="宋体" w:cs="Times New Roman"/>
          <w:sz w:val="21"/>
          <w:szCs w:val="21"/>
          <w:lang w:val="en-US" w:eastAsia="zh-CN"/>
        </w:rPr>
        <w:t>、GB 7101-2022、GB/T 10789、GB/T 24040、GB/T 24044、</w:t>
      </w:r>
      <w:r>
        <w:rPr>
          <w:rFonts w:hint="default" w:ascii="Times New Roman" w:hAnsi="Times New Roman" w:eastAsia="宋体" w:cs="Times New Roman"/>
          <w:sz w:val="21"/>
          <w:szCs w:val="21"/>
          <w:lang w:val="en-US" w:eastAsia="zh-CN"/>
        </w:rPr>
        <w:t>GB/T 24067-2024界定的以及下列术语和定义适用于本文件。</w:t>
      </w:r>
    </w:p>
    <w:p w14:paraId="488151B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3.1</w:t>
      </w:r>
    </w:p>
    <w:p w14:paraId="78AC21D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黑体" w:cs="Times New Roman"/>
          <w:sz w:val="21"/>
          <w:szCs w:val="21"/>
          <w:lang w:val="en-US" w:eastAsia="zh-CN"/>
        </w:rPr>
      </w:pPr>
      <w:r>
        <w:rPr>
          <w:rFonts w:hint="default" w:ascii="Times New Roman" w:hAnsi="Times New Roman" w:eastAsia="黑体" w:cs="Times New Roman"/>
          <w:sz w:val="21"/>
          <w:szCs w:val="21"/>
          <w:lang w:val="en-US" w:eastAsia="zh-CN"/>
        </w:rPr>
        <w:t>软饮料  soft drink</w:t>
      </w:r>
    </w:p>
    <w:p w14:paraId="32F8D79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酒精含量低于0.5%（质量比）的天然的或人工配制的饮料。</w:t>
      </w:r>
    </w:p>
    <w:p w14:paraId="7F46D5B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[来源：SB/T 11207-2017，3.1]</w:t>
      </w:r>
    </w:p>
    <w:p w14:paraId="4D737DB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3.2</w:t>
      </w:r>
    </w:p>
    <w:p w14:paraId="028DDFC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黑体" w:cs="Times New Roman"/>
          <w:sz w:val="21"/>
          <w:szCs w:val="21"/>
          <w:lang w:val="en-US" w:eastAsia="zh-CN"/>
        </w:rPr>
      </w:pPr>
      <w:r>
        <w:rPr>
          <w:rFonts w:hint="default" w:ascii="Times New Roman" w:hAnsi="Times New Roman" w:eastAsia="黑体" w:cs="Times New Roman"/>
          <w:sz w:val="21"/>
          <w:szCs w:val="21"/>
          <w:lang w:val="en-US" w:eastAsia="zh-CN"/>
        </w:rPr>
        <w:t>植物饮料</w:t>
      </w:r>
      <w:r>
        <w:rPr>
          <w:rFonts w:hint="eastAsia" w:ascii="Times New Roman" w:hAnsi="Times New Roman" w:eastAsia="黑体" w:cs="Times New Roman"/>
          <w:sz w:val="21"/>
          <w:szCs w:val="21"/>
          <w:lang w:val="en-US" w:eastAsia="zh-CN"/>
        </w:rPr>
        <w:t xml:space="preserve">  botanical beverage</w:t>
      </w:r>
    </w:p>
    <w:p w14:paraId="0036940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以植物或植物提取物为原料</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添加或不添加其他食品原辅料和</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或</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食品添加剂</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经加工或发酵制成的液体饮料。如可可饮料、谷物类饮料、草本</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本草</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饮料、食用菌饮料、藻类饮料、其他植物饮料</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不包括果蔬汁类及其饮料、茶</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类</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饮料和咖啡</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类</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饮料。</w:t>
      </w:r>
    </w:p>
    <w:p w14:paraId="18B1FD2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[来源：GB/T 10789-2015，4.9]</w:t>
      </w:r>
    </w:p>
    <w:p w14:paraId="28EE653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3.3</w:t>
      </w:r>
    </w:p>
    <w:p w14:paraId="3B86AB2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黑体" w:cs="Times New Roman"/>
          <w:sz w:val="21"/>
          <w:szCs w:val="21"/>
          <w:lang w:val="en-US" w:eastAsia="zh-CN"/>
        </w:rPr>
      </w:pPr>
      <w:r>
        <w:rPr>
          <w:rFonts w:hint="default" w:ascii="Times New Roman" w:hAnsi="Times New Roman" w:eastAsia="黑体" w:cs="Times New Roman"/>
          <w:sz w:val="21"/>
          <w:szCs w:val="21"/>
          <w:lang w:val="en-US" w:eastAsia="zh-CN"/>
        </w:rPr>
        <w:t>碳酸饮料（汽水）</w:t>
      </w:r>
      <w:r>
        <w:rPr>
          <w:rFonts w:hint="eastAsia"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lang w:val="en-US" w:eastAsia="zh-CN"/>
        </w:rPr>
        <w:t>carbonated</w:t>
      </w:r>
      <w:r>
        <w:rPr>
          <w:rFonts w:hint="eastAsia"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lang w:val="en-US" w:eastAsia="zh-CN"/>
        </w:rPr>
        <w:t>beverage</w:t>
      </w:r>
    </w:p>
    <w:p w14:paraId="079FE0B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以食品原辅料和</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或</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食品添加剂为基础</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经加工制成的</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在一定条件下充入一定量二氧化碳气体的液体饮料</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如果汁型碳酸饮料、果味型碳酸饮料、可乐型碳酸饮料、其他型碳酸饮料等</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不包括由发酵自身产生二氧化碳气的饮料</w:t>
      </w:r>
      <w:r>
        <w:rPr>
          <w:rFonts w:hint="eastAsia" w:ascii="Times New Roman" w:hAnsi="Times New Roman" w:eastAsia="宋体" w:cs="Times New Roman"/>
          <w:sz w:val="21"/>
          <w:szCs w:val="21"/>
          <w:lang w:val="en-US" w:eastAsia="zh-CN"/>
        </w:rPr>
        <w:t>。</w:t>
      </w:r>
    </w:p>
    <w:p w14:paraId="64DCCC1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[来源：GB/T 10789-2015，4.4]</w:t>
      </w:r>
    </w:p>
    <w:p w14:paraId="5532291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3.4</w:t>
      </w:r>
    </w:p>
    <w:p w14:paraId="03C82DB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黑体" w:cs="Times New Roman"/>
          <w:sz w:val="21"/>
          <w:szCs w:val="21"/>
          <w:lang w:val="en-US" w:eastAsia="zh-CN"/>
        </w:rPr>
      </w:pPr>
      <w:r>
        <w:rPr>
          <w:rFonts w:hint="default" w:ascii="Times New Roman" w:hAnsi="Times New Roman" w:eastAsia="黑体" w:cs="Times New Roman"/>
          <w:sz w:val="21"/>
          <w:szCs w:val="21"/>
          <w:lang w:val="en-US" w:eastAsia="zh-CN"/>
        </w:rPr>
        <w:t>蛋白饮料</w:t>
      </w:r>
      <w:r>
        <w:rPr>
          <w:rFonts w:hint="eastAsia" w:ascii="Times New Roman" w:hAnsi="Times New Roman" w:eastAsia="黑体" w:cs="Times New Roman"/>
          <w:sz w:val="21"/>
          <w:szCs w:val="21"/>
          <w:lang w:val="en-US" w:eastAsia="zh-CN"/>
        </w:rPr>
        <w:t xml:space="preserve">  protein beverage</w:t>
      </w:r>
    </w:p>
    <w:p w14:paraId="6818618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以乳或乳制品</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或其他动物来源的可食用蛋白</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或含有一定蛋白质的植物果实、种子或种仁等为原料</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添加或不添加其他食品原辅料和</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或</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食品添加剂</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经加工或发酵制成的液体饮料。</w:t>
      </w:r>
    </w:p>
    <w:p w14:paraId="447F75A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[来源：GB/T 10789-2015，4.3]</w:t>
      </w:r>
    </w:p>
    <w:p w14:paraId="67B0BDE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3.5</w:t>
      </w:r>
    </w:p>
    <w:p w14:paraId="3BF4B89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黑体" w:cs="Times New Roman"/>
          <w:sz w:val="21"/>
          <w:szCs w:val="21"/>
          <w:lang w:val="en-US" w:eastAsia="zh-CN"/>
        </w:rPr>
      </w:pPr>
      <w:r>
        <w:rPr>
          <w:rFonts w:hint="default" w:ascii="Times New Roman" w:hAnsi="Times New Roman" w:eastAsia="黑体" w:cs="Times New Roman"/>
          <w:sz w:val="21"/>
          <w:szCs w:val="21"/>
          <w:lang w:val="en-US" w:eastAsia="zh-CN"/>
        </w:rPr>
        <w:t>包装饮用水</w:t>
      </w:r>
      <w:r>
        <w:rPr>
          <w:rFonts w:hint="eastAsia" w:ascii="Times New Roman" w:hAnsi="Times New Roman" w:eastAsia="黑体" w:cs="Times New Roman"/>
          <w:sz w:val="21"/>
          <w:szCs w:val="21"/>
          <w:lang w:val="en-US" w:eastAsia="zh-CN"/>
        </w:rPr>
        <w:t xml:space="preserve">  packaged drinking water</w:t>
      </w:r>
    </w:p>
    <w:p w14:paraId="2F692BA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以直接来源于地表、地下或公共供水系统的水为水源</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经加工制成的密封于容器中可直接饮用的水。</w:t>
      </w:r>
    </w:p>
    <w:p w14:paraId="156B9EE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黑体" w:hAnsi="黑体" w:eastAsia="黑体" w:cs="黑体"/>
          <w:sz w:val="18"/>
          <w:szCs w:val="18"/>
          <w:lang w:val="en-US" w:eastAsia="zh-CN"/>
        </w:rPr>
      </w:pPr>
      <w:r>
        <w:rPr>
          <w:rFonts w:hint="eastAsia" w:ascii="Times New Roman" w:hAnsi="Times New Roman" w:eastAsia="宋体" w:cs="Times New Roman"/>
          <w:sz w:val="21"/>
          <w:szCs w:val="21"/>
          <w:lang w:val="en-US" w:eastAsia="zh-CN"/>
        </w:rPr>
        <w:t>[来源：GB/T 10789-2015，4.1]</w:t>
      </w:r>
    </w:p>
    <w:p w14:paraId="61FFA57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3.6</w:t>
      </w:r>
    </w:p>
    <w:p w14:paraId="1ABA054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黑体" w:cs="Times New Roman"/>
          <w:sz w:val="21"/>
          <w:szCs w:val="21"/>
          <w:lang w:val="en-US" w:eastAsia="zh-CN"/>
        </w:rPr>
      </w:pPr>
      <w:r>
        <w:rPr>
          <w:rFonts w:hint="default" w:ascii="Times New Roman" w:hAnsi="Times New Roman" w:eastAsia="黑体" w:cs="Times New Roman"/>
          <w:sz w:val="21"/>
          <w:szCs w:val="21"/>
          <w:lang w:val="en-US" w:eastAsia="zh-CN"/>
        </w:rPr>
        <w:t>风味饮料</w:t>
      </w:r>
      <w:r>
        <w:rPr>
          <w:rFonts w:hint="eastAsia" w:ascii="Times New Roman" w:hAnsi="Times New Roman" w:eastAsia="黑体" w:cs="Times New Roman"/>
          <w:sz w:val="21"/>
          <w:szCs w:val="21"/>
          <w:lang w:val="en-US" w:eastAsia="zh-CN"/>
        </w:rPr>
        <w:t xml:space="preserve">  flavored beverage</w:t>
      </w:r>
    </w:p>
    <w:p w14:paraId="40EBC94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以糖</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包括食糖和淀粉糖</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和</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或</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甜味剂、酸度调节剂、食用香精</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料</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等的一种或者多种作为调整风味的主要手段</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经加工或发酵制成的液体饮料</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如茶味饮料、果味饮料、乳味饮料、咖啡味饮料、风味水饮料、其他风味饮料等。</w:t>
      </w:r>
    </w:p>
    <w:p w14:paraId="0E8E15C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360" w:firstLineChars="200"/>
        <w:jc w:val="left"/>
        <w:textAlignment w:val="baseline"/>
        <w:outlineLvl w:val="9"/>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注：不经调色处理、不添加糖（包括食糖和淀粉糖）的风味饮料为风味水饮料,如苏打水饮料、薄荷水饮料、玫瑰水饮料等。</w:t>
      </w:r>
    </w:p>
    <w:p w14:paraId="72D05AE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[来源：GB/T 10789-2015，4.6]</w:t>
      </w:r>
    </w:p>
    <w:p w14:paraId="5CE4F25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9"/>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3.7</w:t>
      </w:r>
    </w:p>
    <w:p w14:paraId="29C150A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黑体" w:cs="Times New Roman"/>
          <w:sz w:val="21"/>
          <w:szCs w:val="21"/>
          <w:lang w:val="en-US" w:eastAsia="zh-CN"/>
        </w:rPr>
      </w:pPr>
      <w:r>
        <w:rPr>
          <w:rFonts w:hint="eastAsia" w:ascii="Times New Roman" w:hAnsi="Times New Roman" w:eastAsia="黑体" w:cs="Times New Roman"/>
          <w:sz w:val="21"/>
          <w:szCs w:val="21"/>
          <w:lang w:val="en-US" w:eastAsia="zh-CN"/>
        </w:rPr>
        <w:t>温室气体  greenhouse gas; GHG</w:t>
      </w:r>
    </w:p>
    <w:p w14:paraId="4066BEE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大气层中自然存在的和由于人类活动产生的能够吸收和散发地球表面、大气层和云层所产生的、波长在红外光谱内辐射的气态成分。</w:t>
      </w:r>
    </w:p>
    <w:p w14:paraId="1C8FD2B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360" w:firstLineChars="200"/>
        <w:jc w:val="left"/>
        <w:textAlignment w:val="baseline"/>
        <w:outlineLvl w:val="9"/>
        <w:rPr>
          <w:rFonts w:hint="default" w:ascii="Times New Roman" w:hAnsi="Times New Roman" w:eastAsia="黑体" w:cs="Times New Roman"/>
          <w:sz w:val="18"/>
          <w:szCs w:val="18"/>
          <w:lang w:val="en-US" w:eastAsia="zh-CN"/>
        </w:rPr>
      </w:pPr>
      <w:r>
        <w:rPr>
          <w:rFonts w:hint="default" w:ascii="Times New Roman" w:hAnsi="Times New Roman" w:eastAsia="黑体" w:cs="Times New Roman"/>
          <w:sz w:val="18"/>
          <w:szCs w:val="18"/>
          <w:lang w:val="en-US" w:eastAsia="zh-CN"/>
        </w:rPr>
        <w:t>注：本文件涉及的温室气体包括二氧化碳（CO</w:t>
      </w:r>
      <w:r>
        <w:rPr>
          <w:rFonts w:hint="default" w:ascii="Times New Roman" w:hAnsi="Times New Roman" w:eastAsia="黑体" w:cs="Times New Roman"/>
          <w:sz w:val="18"/>
          <w:szCs w:val="18"/>
          <w:vertAlign w:val="subscript"/>
          <w:lang w:val="en-US" w:eastAsia="zh-CN"/>
        </w:rPr>
        <w:t>2</w:t>
      </w:r>
      <w:r>
        <w:rPr>
          <w:rFonts w:hint="default" w:ascii="Times New Roman" w:hAnsi="Times New Roman" w:eastAsia="黑体" w:cs="Times New Roman"/>
          <w:sz w:val="18"/>
          <w:szCs w:val="18"/>
          <w:lang w:val="en-US" w:eastAsia="zh-CN"/>
        </w:rPr>
        <w:t>）、甲烷（CH</w:t>
      </w:r>
      <w:r>
        <w:rPr>
          <w:rFonts w:hint="default" w:ascii="Times New Roman" w:hAnsi="Times New Roman" w:eastAsia="黑体" w:cs="Times New Roman"/>
          <w:sz w:val="18"/>
          <w:szCs w:val="18"/>
          <w:vertAlign w:val="subscript"/>
          <w:lang w:val="en-US" w:eastAsia="zh-CN"/>
        </w:rPr>
        <w:t>4</w:t>
      </w:r>
      <w:r>
        <w:rPr>
          <w:rFonts w:hint="default" w:ascii="Times New Roman" w:hAnsi="Times New Roman" w:eastAsia="黑体" w:cs="Times New Roman"/>
          <w:sz w:val="18"/>
          <w:szCs w:val="18"/>
          <w:lang w:val="en-US" w:eastAsia="zh-CN"/>
        </w:rPr>
        <w:t>）、氧化亚氮（N</w:t>
      </w:r>
      <w:r>
        <w:rPr>
          <w:rFonts w:hint="default" w:ascii="Times New Roman" w:hAnsi="Times New Roman" w:eastAsia="黑体" w:cs="Times New Roman"/>
          <w:sz w:val="18"/>
          <w:szCs w:val="18"/>
          <w:vertAlign w:val="subscript"/>
          <w:lang w:val="en-US" w:eastAsia="zh-CN"/>
        </w:rPr>
        <w:t>2</w:t>
      </w:r>
      <w:r>
        <w:rPr>
          <w:rFonts w:hint="default" w:ascii="Times New Roman" w:hAnsi="Times New Roman" w:eastAsia="黑体" w:cs="Times New Roman"/>
          <w:sz w:val="18"/>
          <w:szCs w:val="18"/>
          <w:lang w:val="en-US" w:eastAsia="zh-CN"/>
        </w:rPr>
        <w:t>O）、氢氟碳化物（HFCs）、全氟碳化物（PFCs）六氟化硫（SF</w:t>
      </w:r>
      <w:r>
        <w:rPr>
          <w:rFonts w:hint="default" w:ascii="Times New Roman" w:hAnsi="Times New Roman" w:eastAsia="黑体" w:cs="Times New Roman"/>
          <w:sz w:val="18"/>
          <w:szCs w:val="18"/>
          <w:vertAlign w:val="subscript"/>
          <w:lang w:val="en-US" w:eastAsia="zh-CN"/>
        </w:rPr>
        <w:t>6</w:t>
      </w:r>
      <w:r>
        <w:rPr>
          <w:rFonts w:hint="default" w:ascii="Times New Roman" w:hAnsi="Times New Roman" w:eastAsia="黑体" w:cs="Times New Roman"/>
          <w:sz w:val="18"/>
          <w:szCs w:val="18"/>
          <w:lang w:val="en-US" w:eastAsia="zh-CN"/>
        </w:rPr>
        <w:t>）和三氟化氮（NF</w:t>
      </w:r>
      <w:r>
        <w:rPr>
          <w:rFonts w:hint="default" w:ascii="Times New Roman" w:hAnsi="Times New Roman" w:eastAsia="黑体" w:cs="Times New Roman"/>
          <w:sz w:val="18"/>
          <w:szCs w:val="18"/>
          <w:vertAlign w:val="subscript"/>
          <w:lang w:val="en-US" w:eastAsia="zh-CN"/>
        </w:rPr>
        <w:t>3</w:t>
      </w:r>
      <w:r>
        <w:rPr>
          <w:rFonts w:hint="default" w:ascii="Times New Roman" w:hAnsi="Times New Roman" w:eastAsia="黑体" w:cs="Times New Roman"/>
          <w:sz w:val="18"/>
          <w:szCs w:val="18"/>
          <w:lang w:val="en-US" w:eastAsia="zh-CN"/>
        </w:rPr>
        <w:t>）。</w:t>
      </w:r>
    </w:p>
    <w:p w14:paraId="045EB66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[来源：GB/T 24067—2024</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3.2.1]</w:t>
      </w:r>
    </w:p>
    <w:p w14:paraId="203E830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 xml:space="preserve">3.8 </w:t>
      </w:r>
    </w:p>
    <w:p w14:paraId="153D2E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黑体" w:cs="Times New Roman"/>
          <w:sz w:val="21"/>
          <w:szCs w:val="21"/>
          <w:lang w:val="en-US" w:eastAsia="zh-CN"/>
        </w:rPr>
      </w:pPr>
      <w:r>
        <w:rPr>
          <w:rFonts w:hint="eastAsia" w:ascii="Times New Roman" w:hAnsi="Times New Roman" w:eastAsia="黑体" w:cs="Times New Roman"/>
          <w:sz w:val="21"/>
          <w:szCs w:val="21"/>
          <w:lang w:val="en-US" w:eastAsia="zh-CN"/>
        </w:rPr>
        <w:t>二氧化碳当量  carbon temperature equivalent; CO2e</w:t>
      </w:r>
    </w:p>
    <w:p w14:paraId="776B958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比较某种温室气体与二氧化碳的辐射强迫的单位。</w:t>
      </w:r>
    </w:p>
    <w:p w14:paraId="398A800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360" w:firstLineChars="200"/>
        <w:jc w:val="left"/>
        <w:textAlignment w:val="baseline"/>
        <w:outlineLvl w:val="9"/>
        <w:rPr>
          <w:rFonts w:hint="eastAsia"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注：给定温室气体的二氧化碳当量等于该温室气体质量乘以它的全球变暖潜势值。</w:t>
      </w:r>
    </w:p>
    <w:p w14:paraId="167E6C1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[来源：GB/T 24067—2024</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3.2.</w:t>
      </w:r>
      <w:r>
        <w:rPr>
          <w:rFonts w:hint="eastAsia"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lang w:val="en-US" w:eastAsia="zh-CN"/>
        </w:rPr>
        <w:t>]</w:t>
      </w:r>
    </w:p>
    <w:p w14:paraId="3CFABD7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9"/>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3.9</w:t>
      </w:r>
    </w:p>
    <w:p w14:paraId="205990A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黑体" w:cs="Times New Roman"/>
          <w:sz w:val="21"/>
          <w:szCs w:val="21"/>
          <w:lang w:val="en-US" w:eastAsia="zh-CN"/>
        </w:rPr>
      </w:pPr>
      <w:r>
        <w:rPr>
          <w:rFonts w:hint="eastAsia" w:ascii="Times New Roman" w:hAnsi="Times New Roman" w:eastAsia="黑体" w:cs="Times New Roman"/>
          <w:sz w:val="21"/>
          <w:szCs w:val="21"/>
          <w:lang w:val="en-US" w:eastAsia="zh-CN"/>
        </w:rPr>
        <w:t>产品碳足迹  carbon footprint of a product; CFP</w:t>
      </w:r>
    </w:p>
    <w:p w14:paraId="054D1BA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产品系统中的GHG排放量和GHG清除量之和，以二氧化碳当量表示，并基于气候变化这一单一环境影响类型进行生命周期评价。</w:t>
      </w:r>
    </w:p>
    <w:p w14:paraId="274941F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[来源：GB/T 24067—2024，3.1.1]</w:t>
      </w:r>
    </w:p>
    <w:p w14:paraId="3361B67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3.10</w:t>
      </w:r>
    </w:p>
    <w:p w14:paraId="73A5779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黑体" w:cs="Times New Roman"/>
          <w:sz w:val="21"/>
          <w:szCs w:val="21"/>
          <w:lang w:val="en-US" w:eastAsia="zh-CN"/>
        </w:rPr>
      </w:pPr>
      <w:r>
        <w:rPr>
          <w:rFonts w:hint="eastAsia" w:ascii="Times New Roman" w:hAnsi="Times New Roman" w:eastAsia="黑体" w:cs="Times New Roman"/>
          <w:sz w:val="21"/>
          <w:szCs w:val="21"/>
          <w:lang w:val="en-US" w:eastAsia="zh-CN"/>
        </w:rPr>
        <w:t>产品部分碳足迹 partial carbon footprint of a product; partial CFP</w:t>
      </w:r>
    </w:p>
    <w:p w14:paraId="4D4DF18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在产品系统生命周期内的一个或多个选定阶段或过程中的GHG排放量和GHG清除量之和，并以二氧化碳当量表示。</w:t>
      </w:r>
    </w:p>
    <w:p w14:paraId="43614EC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[来源：GB/T 24067—2024，3.1.2]</w:t>
      </w:r>
    </w:p>
    <w:p w14:paraId="693EEBE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9"/>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3.11</w:t>
      </w:r>
    </w:p>
    <w:p w14:paraId="4A8E41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黑体" w:cs="Times New Roman"/>
          <w:sz w:val="21"/>
          <w:szCs w:val="21"/>
          <w:lang w:val="en-US" w:eastAsia="zh-CN"/>
        </w:rPr>
      </w:pPr>
      <w:r>
        <w:rPr>
          <w:rFonts w:hint="eastAsia" w:ascii="Times New Roman" w:hAnsi="Times New Roman" w:eastAsia="黑体" w:cs="Times New Roman"/>
          <w:sz w:val="21"/>
          <w:szCs w:val="21"/>
          <w:lang w:val="en-US" w:eastAsia="zh-CN"/>
        </w:rPr>
        <w:t>功能单位  functional unit</w:t>
      </w:r>
    </w:p>
    <w:p w14:paraId="130701A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用来量化产品系统功能的基准单位。</w:t>
      </w:r>
    </w:p>
    <w:p w14:paraId="72C66CE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[来源：GB/T 24067—2024，3.3.7]</w:t>
      </w:r>
    </w:p>
    <w:p w14:paraId="549EC73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3.12</w:t>
      </w:r>
    </w:p>
    <w:p w14:paraId="1094C9B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黑体" w:cs="Times New Roman"/>
          <w:sz w:val="21"/>
          <w:szCs w:val="21"/>
          <w:lang w:val="en-US" w:eastAsia="zh-CN"/>
        </w:rPr>
      </w:pPr>
      <w:r>
        <w:rPr>
          <w:rFonts w:hint="eastAsia" w:ascii="Times New Roman" w:hAnsi="Times New Roman" w:eastAsia="黑体" w:cs="Times New Roman"/>
          <w:sz w:val="21"/>
          <w:szCs w:val="21"/>
          <w:lang w:val="en-US" w:eastAsia="zh-CN"/>
        </w:rPr>
        <w:t>声明单位  declared unit</w:t>
      </w:r>
    </w:p>
    <w:p w14:paraId="702C45B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用来量化产品部分碳足迹的基准单位。</w:t>
      </w:r>
    </w:p>
    <w:p w14:paraId="629F8A5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[来源：GB/T 24067—2024，3.3.8]</w:t>
      </w:r>
    </w:p>
    <w:p w14:paraId="1EA8CC2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9"/>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3.13</w:t>
      </w:r>
    </w:p>
    <w:p w14:paraId="03200F8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黑体" w:cs="Times New Roman"/>
          <w:sz w:val="21"/>
          <w:szCs w:val="21"/>
          <w:lang w:val="en-US" w:eastAsia="zh-CN"/>
        </w:rPr>
      </w:pPr>
      <w:r>
        <w:rPr>
          <w:rFonts w:hint="eastAsia" w:ascii="Times New Roman" w:hAnsi="Times New Roman" w:eastAsia="黑体" w:cs="Times New Roman"/>
          <w:sz w:val="21"/>
          <w:szCs w:val="21"/>
          <w:lang w:val="en-US" w:eastAsia="zh-CN"/>
        </w:rPr>
        <w:t>系统边界  system boundary</w:t>
      </w:r>
    </w:p>
    <w:p w14:paraId="0FDD4F2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通过一组准则确定哪些单元过程属于产品系统的一部分。</w:t>
      </w:r>
    </w:p>
    <w:p w14:paraId="54AF89B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[来源：GB/T 24067—2024，3.3.4]</w:t>
      </w:r>
    </w:p>
    <w:p w14:paraId="6811681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9"/>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3.14</w:t>
      </w:r>
    </w:p>
    <w:p w14:paraId="6A0A68E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黑体" w:cs="Times New Roman"/>
          <w:sz w:val="21"/>
          <w:szCs w:val="21"/>
          <w:lang w:val="en-US" w:eastAsia="zh-CN"/>
        </w:rPr>
      </w:pPr>
      <w:r>
        <w:rPr>
          <w:rFonts w:hint="eastAsia" w:ascii="Times New Roman" w:hAnsi="Times New Roman" w:eastAsia="黑体" w:cs="Times New Roman"/>
          <w:sz w:val="21"/>
          <w:szCs w:val="21"/>
          <w:lang w:val="en-US" w:eastAsia="zh-CN"/>
        </w:rPr>
        <w:t>活动水平数据  activity data</w:t>
      </w:r>
    </w:p>
    <w:p w14:paraId="6F49569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导致温室气体排放的生产或消费活动量的表征值。</w:t>
      </w:r>
    </w:p>
    <w:p w14:paraId="4277AFB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[来源：GB/T 32150—2025，3.12]</w:t>
      </w:r>
    </w:p>
    <w:p w14:paraId="3EB3DAC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0" w:firstLineChars="0"/>
        <w:jc w:val="left"/>
        <w:textAlignment w:val="baseline"/>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3.15</w:t>
      </w:r>
    </w:p>
    <w:p w14:paraId="37C0012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黑体" w:cs="Times New Roman"/>
          <w:sz w:val="21"/>
          <w:szCs w:val="21"/>
          <w:lang w:val="en-US" w:eastAsia="zh-CN"/>
        </w:rPr>
      </w:pPr>
      <w:r>
        <w:rPr>
          <w:rFonts w:hint="eastAsia" w:ascii="Times New Roman" w:hAnsi="Times New Roman" w:eastAsia="黑体" w:cs="Times New Roman"/>
          <w:sz w:val="21"/>
          <w:szCs w:val="21"/>
          <w:lang w:val="en-US" w:eastAsia="zh-CN"/>
        </w:rPr>
        <w:t>初级数据  primary data</w:t>
      </w:r>
    </w:p>
    <w:p w14:paraId="1990EA0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eastAsia" w:ascii="Times New Roman" w:hAnsi="Times New Roman" w:eastAsia="宋体" w:cs="Times New Roman"/>
          <w:sz w:val="21"/>
          <w:szCs w:val="21"/>
        </w:rPr>
      </w:pPr>
      <w:r>
        <w:rPr>
          <w:rFonts w:hint="default" w:ascii="Times New Roman" w:hAnsi="Times New Roman" w:eastAsia="宋体" w:cs="Times New Roman"/>
          <w:sz w:val="21"/>
          <w:szCs w:val="21"/>
        </w:rPr>
        <w:t>通过直接测量或基于直接测量的计算得到的过程或活动的量化值。</w:t>
      </w:r>
    </w:p>
    <w:p w14:paraId="75F2701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360" w:firstLineChars="200"/>
        <w:jc w:val="left"/>
        <w:textAlignment w:val="baseline"/>
        <w:outlineLvl w:val="9"/>
        <w:rPr>
          <w:rFonts w:hint="eastAsia" w:ascii="Times New Roman" w:hAnsi="Times New Roman" w:eastAsia="黑体" w:cs="Times New Roman"/>
          <w:sz w:val="18"/>
          <w:szCs w:val="18"/>
          <w:lang w:eastAsia="zh-CN"/>
        </w:rPr>
      </w:pPr>
      <w:r>
        <w:rPr>
          <w:rFonts w:hint="default" w:ascii="Times New Roman" w:hAnsi="Times New Roman" w:eastAsia="黑体" w:cs="Times New Roman"/>
          <w:sz w:val="18"/>
          <w:szCs w:val="18"/>
        </w:rPr>
        <w:t>注1</w:t>
      </w:r>
      <w:r>
        <w:rPr>
          <w:rFonts w:hint="eastAsia" w:ascii="Times New Roman" w:hAnsi="Times New Roman" w:eastAsia="黑体" w:cs="Times New Roman"/>
          <w:sz w:val="18"/>
          <w:szCs w:val="18"/>
          <w:lang w:eastAsia="zh-CN"/>
        </w:rPr>
        <w:t>：</w:t>
      </w:r>
      <w:r>
        <w:rPr>
          <w:rFonts w:hint="default" w:ascii="Times New Roman" w:hAnsi="Times New Roman" w:eastAsia="黑体" w:cs="Times New Roman"/>
          <w:sz w:val="18"/>
          <w:szCs w:val="18"/>
        </w:rPr>
        <w:t>初级数据并非必须来自所研究的产品系统，因为初级数据可能涉及其他与所研究的产品系统具有可比性的产品系统</w:t>
      </w:r>
      <w:r>
        <w:rPr>
          <w:rFonts w:hint="eastAsia" w:ascii="Times New Roman" w:hAnsi="Times New Roman" w:eastAsia="黑体" w:cs="Times New Roman"/>
          <w:sz w:val="18"/>
          <w:szCs w:val="18"/>
          <w:lang w:eastAsia="zh-CN"/>
        </w:rPr>
        <w:t>。</w:t>
      </w:r>
    </w:p>
    <w:p w14:paraId="0710DAC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360" w:firstLineChars="200"/>
        <w:jc w:val="left"/>
        <w:textAlignment w:val="baseline"/>
        <w:outlineLvl w:val="9"/>
        <w:rPr>
          <w:rFonts w:hint="eastAsia" w:ascii="Times New Roman" w:hAnsi="Times New Roman" w:eastAsia="黑体" w:cs="Times New Roman"/>
          <w:sz w:val="18"/>
          <w:szCs w:val="18"/>
          <w:lang w:eastAsia="zh-CN"/>
        </w:rPr>
      </w:pPr>
      <w:r>
        <w:rPr>
          <w:rFonts w:hint="default" w:ascii="Times New Roman" w:hAnsi="Times New Roman" w:eastAsia="黑体" w:cs="Times New Roman"/>
          <w:sz w:val="18"/>
          <w:szCs w:val="18"/>
        </w:rPr>
        <w:t>注2</w:t>
      </w:r>
      <w:r>
        <w:rPr>
          <w:rFonts w:hint="eastAsia" w:ascii="Times New Roman" w:hAnsi="Times New Roman" w:eastAsia="黑体" w:cs="Times New Roman"/>
          <w:sz w:val="18"/>
          <w:szCs w:val="18"/>
          <w:lang w:eastAsia="zh-CN"/>
        </w:rPr>
        <w:t>：</w:t>
      </w:r>
      <w:r>
        <w:rPr>
          <w:rFonts w:hint="default" w:ascii="Times New Roman" w:hAnsi="Times New Roman" w:eastAsia="黑体" w:cs="Times New Roman"/>
          <w:sz w:val="18"/>
          <w:szCs w:val="18"/>
        </w:rPr>
        <w:t>初级数据可以包括温室气体排放因子或温室气体活动数据</w:t>
      </w:r>
      <w:r>
        <w:rPr>
          <w:rFonts w:hint="eastAsia" w:ascii="Times New Roman" w:hAnsi="Times New Roman" w:eastAsia="黑体" w:cs="Times New Roman"/>
          <w:sz w:val="18"/>
          <w:szCs w:val="18"/>
          <w:lang w:eastAsia="zh-CN"/>
        </w:rPr>
        <w:t>。</w:t>
      </w:r>
    </w:p>
    <w:p w14:paraId="3D9A52D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360" w:firstLineChars="200"/>
        <w:jc w:val="left"/>
        <w:textAlignment w:val="baseline"/>
        <w:outlineLvl w:val="9"/>
        <w:rPr>
          <w:rFonts w:hint="eastAsia"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[来源：GB/T 24067-2024，3.6.1]</w:t>
      </w:r>
    </w:p>
    <w:p w14:paraId="4EC1A48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0" w:firstLineChars="0"/>
        <w:jc w:val="left"/>
        <w:textAlignment w:val="baseline"/>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3.16</w:t>
      </w:r>
    </w:p>
    <w:p w14:paraId="09867D9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黑体" w:cs="Times New Roman"/>
          <w:sz w:val="21"/>
          <w:szCs w:val="21"/>
        </w:rPr>
      </w:pPr>
      <w:r>
        <w:rPr>
          <w:rFonts w:hint="default" w:ascii="Times New Roman" w:hAnsi="Times New Roman" w:eastAsia="黑体" w:cs="Times New Roman"/>
          <w:sz w:val="21"/>
          <w:szCs w:val="21"/>
        </w:rPr>
        <w:t>次级数据 secondary data</w:t>
      </w:r>
    </w:p>
    <w:p w14:paraId="3A99492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不符合初级数据要求的数据。</w:t>
      </w:r>
    </w:p>
    <w:p w14:paraId="59E4E03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360" w:firstLineChars="200"/>
        <w:jc w:val="left"/>
        <w:textAlignment w:val="baseline"/>
        <w:outlineLvl w:val="9"/>
        <w:rPr>
          <w:rFonts w:hint="default" w:ascii="Times New Roman" w:hAnsi="Times New Roman" w:eastAsia="黑体" w:cs="Times New Roman"/>
          <w:sz w:val="18"/>
          <w:szCs w:val="18"/>
        </w:rPr>
      </w:pPr>
      <w:r>
        <w:rPr>
          <w:rFonts w:hint="default" w:ascii="Times New Roman" w:hAnsi="Times New Roman" w:eastAsia="黑体" w:cs="Times New Roman"/>
          <w:sz w:val="18"/>
          <w:szCs w:val="18"/>
        </w:rPr>
        <w:t>注1</w:t>
      </w:r>
      <w:r>
        <w:rPr>
          <w:rFonts w:hint="eastAsia" w:ascii="Times New Roman" w:hAnsi="Times New Roman" w:eastAsia="黑体" w:cs="Times New Roman"/>
          <w:sz w:val="18"/>
          <w:szCs w:val="18"/>
          <w:lang w:eastAsia="zh-CN"/>
        </w:rPr>
        <w:t>：</w:t>
      </w:r>
      <w:r>
        <w:rPr>
          <w:rFonts w:hint="default" w:ascii="Times New Roman" w:hAnsi="Times New Roman" w:eastAsia="黑体" w:cs="Times New Roman"/>
          <w:sz w:val="18"/>
          <w:szCs w:val="18"/>
        </w:rPr>
        <w:t>次级数据是经权威机构验证且具有可信度的数据，可来源于数据库、公开文献、国家排放因子、计算估算数据或其他具有代表性的数据，推荐使用本土化数据库。</w:t>
      </w:r>
    </w:p>
    <w:p w14:paraId="2A7DCB0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360" w:firstLineChars="200"/>
        <w:jc w:val="left"/>
        <w:textAlignment w:val="baseline"/>
        <w:outlineLvl w:val="9"/>
        <w:rPr>
          <w:rFonts w:hint="default" w:ascii="Times New Roman" w:hAnsi="Times New Roman" w:eastAsia="黑体" w:cs="Times New Roman"/>
          <w:sz w:val="18"/>
          <w:szCs w:val="18"/>
        </w:rPr>
      </w:pPr>
      <w:r>
        <w:rPr>
          <w:rFonts w:hint="default" w:ascii="Times New Roman" w:hAnsi="Times New Roman" w:eastAsia="黑体" w:cs="Times New Roman"/>
          <w:sz w:val="18"/>
          <w:szCs w:val="18"/>
        </w:rPr>
        <w:t>注2</w:t>
      </w:r>
      <w:r>
        <w:rPr>
          <w:rFonts w:hint="eastAsia" w:ascii="Times New Roman" w:hAnsi="Times New Roman" w:eastAsia="黑体" w:cs="Times New Roman"/>
          <w:sz w:val="18"/>
          <w:szCs w:val="18"/>
          <w:lang w:eastAsia="zh-CN"/>
        </w:rPr>
        <w:t>：</w:t>
      </w:r>
      <w:r>
        <w:rPr>
          <w:rFonts w:hint="default" w:ascii="Times New Roman" w:hAnsi="Times New Roman" w:eastAsia="黑体" w:cs="Times New Roman"/>
          <w:sz w:val="18"/>
          <w:szCs w:val="18"/>
        </w:rPr>
        <w:t>次级数据可包括从代替过程或估计获得的数据。</w:t>
      </w:r>
    </w:p>
    <w:p w14:paraId="79DCE4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360" w:firstLineChars="200"/>
        <w:jc w:val="left"/>
        <w:textAlignment w:val="baseline"/>
        <w:outlineLvl w:val="9"/>
        <w:rPr>
          <w:rFonts w:hint="default"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[来源：GB/T 24067-2024，3.6.3]</w:t>
      </w:r>
    </w:p>
    <w:p w14:paraId="594A2A0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88" w:lineRule="auto"/>
        <w:ind w:left="0" w:right="0"/>
        <w:jc w:val="left"/>
        <w:textAlignment w:val="baseline"/>
        <w:outlineLvl w:val="0"/>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pPr>
      <w:bookmarkStart w:id="5" w:name="_Toc16151"/>
      <w:r>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t>4  量化目的</w:t>
      </w:r>
      <w:bookmarkEnd w:id="5"/>
    </w:p>
    <w:p w14:paraId="39C88AF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开展</w:t>
      </w:r>
      <w:r>
        <w:rPr>
          <w:rFonts w:hint="eastAsia" w:ascii="Times New Roman" w:hAnsi="Times New Roman" w:eastAsia="宋体" w:cs="Times New Roman"/>
          <w:sz w:val="21"/>
          <w:szCs w:val="21"/>
          <w:lang w:val="en-US" w:eastAsia="zh-CN"/>
        </w:rPr>
        <w:t>软饮料</w:t>
      </w:r>
      <w:r>
        <w:rPr>
          <w:rFonts w:hint="default" w:ascii="Times New Roman" w:hAnsi="Times New Roman" w:eastAsia="宋体" w:cs="Times New Roman"/>
          <w:sz w:val="21"/>
          <w:szCs w:val="21"/>
          <w:lang w:val="en-US" w:eastAsia="zh-CN"/>
        </w:rPr>
        <w:t>产品碳足迹量化的总体目的是</w:t>
      </w:r>
      <w:r>
        <w:rPr>
          <w:rFonts w:hint="eastAsia" w:ascii="Times New Roman" w:hAnsi="Times New Roman" w:eastAsia="宋体" w:cs="Times New Roman"/>
          <w:sz w:val="21"/>
          <w:szCs w:val="21"/>
          <w:lang w:val="en-US" w:eastAsia="zh-CN"/>
        </w:rPr>
        <w:t>结合</w:t>
      </w:r>
      <w:r>
        <w:rPr>
          <w:rFonts w:hint="eastAsia" w:ascii="Times New Roman" w:hAnsi="Times New Roman" w:eastAsia="宋体" w:cs="Times New Roman"/>
          <w:sz w:val="21"/>
          <w:szCs w:val="21"/>
          <w:highlight w:val="none"/>
          <w:lang w:val="en-US" w:eastAsia="zh-CN"/>
        </w:rPr>
        <w:t>取舍准则</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通过量化</w:t>
      </w:r>
      <w:r>
        <w:rPr>
          <w:rFonts w:hint="eastAsia" w:ascii="Times New Roman" w:hAnsi="Times New Roman" w:eastAsia="宋体" w:cs="Times New Roman"/>
          <w:sz w:val="21"/>
          <w:szCs w:val="21"/>
          <w:lang w:val="en-US" w:eastAsia="zh-CN"/>
        </w:rPr>
        <w:t>软饮料</w:t>
      </w:r>
      <w:r>
        <w:rPr>
          <w:rFonts w:hint="default" w:ascii="Times New Roman" w:hAnsi="Times New Roman" w:eastAsia="宋体" w:cs="Times New Roman"/>
          <w:sz w:val="21"/>
          <w:szCs w:val="21"/>
          <w:lang w:val="en-US" w:eastAsia="zh-CN"/>
        </w:rPr>
        <w:t>产品系统边界内所有显著的温室气体排放量和清除量</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计算</w:t>
      </w:r>
      <w:r>
        <w:rPr>
          <w:rFonts w:hint="eastAsia" w:ascii="Times New Roman" w:hAnsi="Times New Roman" w:eastAsia="宋体" w:cs="Times New Roman"/>
          <w:sz w:val="21"/>
          <w:szCs w:val="21"/>
          <w:lang w:val="en-US" w:eastAsia="zh-CN"/>
        </w:rPr>
        <w:t>软饮料</w:t>
      </w:r>
      <w:r>
        <w:rPr>
          <w:rFonts w:hint="default" w:ascii="Times New Roman" w:hAnsi="Times New Roman" w:eastAsia="宋体" w:cs="Times New Roman"/>
          <w:sz w:val="21"/>
          <w:szCs w:val="21"/>
          <w:lang w:val="en-US" w:eastAsia="zh-CN"/>
        </w:rPr>
        <w:t>产品对全球变暖的潜在贡献[以二氧化碳当量</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CO</w:t>
      </w:r>
      <w:r>
        <w:rPr>
          <w:rFonts w:hint="eastAsia" w:ascii="Times New Roman" w:hAnsi="Times New Roman" w:eastAsia="宋体" w:cs="Times New Roman"/>
          <w:sz w:val="21"/>
          <w:szCs w:val="21"/>
          <w:vertAlign w:val="subscript"/>
          <w:lang w:val="en-US" w:eastAsia="zh-CN"/>
        </w:rPr>
        <w:t>2</w:t>
      </w:r>
      <w:r>
        <w:rPr>
          <w:rFonts w:hint="default" w:ascii="Times New Roman" w:hAnsi="Times New Roman" w:eastAsia="宋体" w:cs="Times New Roman"/>
          <w:sz w:val="21"/>
          <w:szCs w:val="21"/>
          <w:lang w:val="en-US" w:eastAsia="zh-CN"/>
        </w:rPr>
        <w:t>e</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表示]。</w:t>
      </w:r>
    </w:p>
    <w:p w14:paraId="5917F58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开展软饮料产品碳足迹量化研究时，应明确说明以下问题：</w:t>
      </w:r>
    </w:p>
    <w:p w14:paraId="76AE8C7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——应用意图；</w:t>
      </w:r>
    </w:p>
    <w:p w14:paraId="5A4AF4B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——开展该项研究的理由；</w:t>
      </w:r>
    </w:p>
    <w:p w14:paraId="5E996CC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——目标受众（即研究结果的接收者）；</w:t>
      </w:r>
    </w:p>
    <w:p w14:paraId="720054F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——符合ISO 14026要求，提供产品碳足迹交流信息（如有）。</w:t>
      </w:r>
    </w:p>
    <w:p w14:paraId="21E4C76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88" w:lineRule="auto"/>
        <w:ind w:left="0" w:right="0"/>
        <w:jc w:val="left"/>
        <w:textAlignment w:val="baseline"/>
        <w:outlineLvl w:val="0"/>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pPr>
      <w:bookmarkStart w:id="6" w:name="_Toc29073"/>
      <w:r>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t>5  量化范围</w:t>
      </w:r>
      <w:bookmarkEnd w:id="6"/>
    </w:p>
    <w:p w14:paraId="4F6CC32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default" w:ascii="黑体" w:hAnsi="黑体" w:eastAsia="黑体" w:cs="黑体"/>
          <w:sz w:val="21"/>
          <w:szCs w:val="21"/>
          <w:lang w:val="en-US" w:eastAsia="zh-CN"/>
        </w:rPr>
      </w:pPr>
      <w:bookmarkStart w:id="7" w:name="_Toc12864"/>
      <w:r>
        <w:rPr>
          <w:rFonts w:hint="eastAsia" w:ascii="黑体" w:hAnsi="黑体" w:eastAsia="黑体" w:cs="黑体"/>
          <w:sz w:val="21"/>
          <w:szCs w:val="21"/>
          <w:lang w:val="en-US" w:eastAsia="zh-CN"/>
        </w:rPr>
        <w:t>5.1  产品描述</w:t>
      </w:r>
      <w:bookmarkEnd w:id="7"/>
    </w:p>
    <w:p w14:paraId="2D877AB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确定</w:t>
      </w:r>
      <w:r>
        <w:rPr>
          <w:rFonts w:hint="eastAsia" w:ascii="Times New Roman" w:hAnsi="Times New Roman" w:eastAsia="宋体" w:cs="Times New Roman"/>
          <w:sz w:val="21"/>
          <w:szCs w:val="21"/>
          <w:lang w:val="en-US" w:eastAsia="zh-CN"/>
        </w:rPr>
        <w:t>软饮料产品</w:t>
      </w:r>
      <w:r>
        <w:rPr>
          <w:rFonts w:hint="default" w:ascii="Times New Roman" w:hAnsi="Times New Roman" w:eastAsia="宋体" w:cs="Times New Roman"/>
          <w:sz w:val="21"/>
          <w:szCs w:val="21"/>
          <w:lang w:val="en-US" w:eastAsia="zh-CN"/>
        </w:rPr>
        <w:t>碳足迹</w:t>
      </w:r>
      <w:r>
        <w:rPr>
          <w:rFonts w:hint="eastAsia" w:ascii="Times New Roman" w:hAnsi="Times New Roman" w:eastAsia="宋体" w:cs="Times New Roman"/>
          <w:sz w:val="21"/>
          <w:szCs w:val="21"/>
          <w:lang w:val="en-US" w:eastAsia="zh-CN"/>
        </w:rPr>
        <w:t>量化</w:t>
      </w:r>
      <w:r>
        <w:rPr>
          <w:rFonts w:hint="default" w:ascii="Times New Roman" w:hAnsi="Times New Roman" w:eastAsia="宋体" w:cs="Times New Roman"/>
          <w:sz w:val="21"/>
          <w:szCs w:val="21"/>
          <w:lang w:val="en-US" w:eastAsia="zh-CN"/>
        </w:rPr>
        <w:t>范围过程中，应考虑并描述下列各项</w:t>
      </w:r>
      <w:r>
        <w:rPr>
          <w:rFonts w:hint="eastAsia" w:ascii="Times New Roman" w:hAnsi="Times New Roman" w:eastAsia="宋体" w:cs="Times New Roman"/>
          <w:sz w:val="21"/>
          <w:szCs w:val="21"/>
          <w:lang w:val="en-US" w:eastAsia="zh-CN"/>
        </w:rPr>
        <w:t>：</w:t>
      </w:r>
    </w:p>
    <w:p w14:paraId="43F6C9D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——产品种类</w:t>
      </w:r>
      <w:r>
        <w:rPr>
          <w:rFonts w:hint="eastAsia" w:ascii="Times New Roman" w:hAnsi="Times New Roman" w:eastAsia="宋体" w:cs="Times New Roman"/>
          <w:sz w:val="21"/>
          <w:szCs w:val="21"/>
          <w:lang w:val="en-US" w:eastAsia="zh-CN"/>
        </w:rPr>
        <w:t>与</w:t>
      </w:r>
      <w:r>
        <w:rPr>
          <w:rFonts w:hint="default" w:ascii="Times New Roman" w:hAnsi="Times New Roman" w:eastAsia="宋体" w:cs="Times New Roman"/>
          <w:sz w:val="21"/>
          <w:szCs w:val="21"/>
          <w:lang w:val="en-US" w:eastAsia="zh-CN"/>
        </w:rPr>
        <w:t>名称</w:t>
      </w:r>
      <w:r>
        <w:rPr>
          <w:rFonts w:hint="eastAsia" w:ascii="Times New Roman" w:hAnsi="Times New Roman" w:eastAsia="宋体" w:cs="Times New Roman"/>
          <w:sz w:val="21"/>
          <w:szCs w:val="21"/>
          <w:lang w:val="en-US" w:eastAsia="zh-CN"/>
        </w:rPr>
        <w:t>：说明软饮料产品的具体类别及产品名称；</w:t>
      </w:r>
    </w:p>
    <w:p w14:paraId="20C1B34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——规格型号</w:t>
      </w:r>
      <w:r>
        <w:rPr>
          <w:rFonts w:hint="eastAsia" w:ascii="Times New Roman" w:hAnsi="Times New Roman" w:eastAsia="宋体" w:cs="Times New Roman"/>
          <w:sz w:val="21"/>
          <w:szCs w:val="21"/>
          <w:lang w:val="en-US" w:eastAsia="zh-CN"/>
        </w:rPr>
        <w:t>；说明产品的净含量、包装规格等关键识别信息；</w:t>
      </w:r>
    </w:p>
    <w:p w14:paraId="5C9D74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——主要技术参数与功能特性：阐述产品的主要成分以及满足消费者需求的核心功能</w:t>
      </w:r>
      <w:r>
        <w:rPr>
          <w:rFonts w:hint="eastAsia" w:ascii="Times New Roman" w:hAnsi="Times New Roman" w:eastAsia="宋体" w:cs="Times New Roman"/>
          <w:sz w:val="21"/>
          <w:szCs w:val="21"/>
          <w:lang w:val="en-US" w:eastAsia="zh-CN"/>
        </w:rPr>
        <w:t>。</w:t>
      </w:r>
    </w:p>
    <w:p w14:paraId="38800CB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黑体" w:hAnsi="黑体" w:eastAsia="黑体" w:cs="黑体"/>
          <w:sz w:val="21"/>
          <w:szCs w:val="21"/>
          <w:lang w:val="en-US" w:eastAsia="zh-CN"/>
        </w:rPr>
      </w:pPr>
      <w:bookmarkStart w:id="8" w:name="_Toc16463"/>
      <w:r>
        <w:rPr>
          <w:rFonts w:hint="eastAsia" w:ascii="黑体" w:hAnsi="黑体" w:eastAsia="黑体" w:cs="黑体"/>
          <w:sz w:val="21"/>
          <w:szCs w:val="21"/>
          <w:lang w:val="en-US" w:eastAsia="zh-CN"/>
        </w:rPr>
        <w:t>5.2  声明单位</w:t>
      </w:r>
      <w:bookmarkEnd w:id="8"/>
    </w:p>
    <w:p w14:paraId="7887273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highlight w:val="yellow"/>
          <w:lang w:val="en-US" w:eastAsia="zh-CN"/>
        </w:rPr>
      </w:pPr>
      <w:r>
        <w:rPr>
          <w:rFonts w:hint="eastAsia" w:ascii="Times New Roman" w:hAnsi="Times New Roman" w:eastAsia="宋体" w:cs="Times New Roman"/>
          <w:sz w:val="21"/>
          <w:szCs w:val="21"/>
          <w:lang w:val="en-US" w:eastAsia="zh-CN"/>
        </w:rPr>
        <w:t>本文件规定产品碳足迹评价的声明单位为售卖时的最小包装的软饮料（含包装）。</w:t>
      </w:r>
      <w:r>
        <w:rPr>
          <w:rFonts w:hint="eastAsia" w:ascii="Times New Roman" w:hAnsi="Times New Roman" w:eastAsia="宋体" w:cs="Times New Roman"/>
          <w:sz w:val="21"/>
          <w:szCs w:val="21"/>
          <w:highlight w:val="none"/>
          <w:lang w:val="en-US" w:eastAsia="zh-CN"/>
        </w:rPr>
        <w:t>对声明单位的描述应包括产品的分类或净含量等信息。</w:t>
      </w:r>
    </w:p>
    <w:p w14:paraId="0579223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360" w:firstLineChars="200"/>
        <w:jc w:val="left"/>
        <w:textAlignment w:val="baseline"/>
        <w:rPr>
          <w:rFonts w:hint="eastAsia"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示例1：1瓶500 ml的冰红茶饮料。</w:t>
      </w:r>
    </w:p>
    <w:p w14:paraId="6B6BA0D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360" w:firstLineChars="200"/>
        <w:jc w:val="left"/>
        <w:textAlignment w:val="baseline"/>
        <w:rPr>
          <w:rFonts w:hint="default"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示例2：1罐330ml的芬达饮料。</w:t>
      </w:r>
    </w:p>
    <w:p w14:paraId="73F4A4A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黑体" w:hAnsi="黑体" w:eastAsia="黑体" w:cs="黑体"/>
          <w:sz w:val="21"/>
          <w:szCs w:val="21"/>
          <w:lang w:val="en-US" w:eastAsia="zh-CN"/>
        </w:rPr>
      </w:pPr>
      <w:bookmarkStart w:id="9" w:name="_Toc23673"/>
      <w:r>
        <w:rPr>
          <w:rFonts w:hint="eastAsia" w:ascii="黑体" w:hAnsi="黑体" w:eastAsia="黑体" w:cs="黑体"/>
          <w:sz w:val="21"/>
          <w:szCs w:val="21"/>
          <w:lang w:val="en-US" w:eastAsia="zh-CN"/>
        </w:rPr>
        <w:t>5.3  系统边界</w:t>
      </w:r>
      <w:bookmarkEnd w:id="9"/>
    </w:p>
    <w:p w14:paraId="364665F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eastAsia" w:ascii="黑体" w:hAnsi="黑体" w:eastAsia="黑体" w:cs="黑体"/>
          <w:sz w:val="21"/>
          <w:szCs w:val="21"/>
          <w:lang w:val="en-US" w:eastAsia="zh-CN"/>
        </w:rPr>
      </w:pPr>
      <w:bookmarkStart w:id="10" w:name="_Toc20713"/>
      <w:r>
        <w:rPr>
          <w:rFonts w:hint="eastAsia" w:ascii="黑体" w:hAnsi="黑体" w:eastAsia="黑体" w:cs="黑体"/>
          <w:sz w:val="21"/>
          <w:szCs w:val="21"/>
          <w:lang w:val="en-US" w:eastAsia="zh-CN"/>
        </w:rPr>
        <w:t>5.3.1 边界设定</w:t>
      </w:r>
      <w:bookmarkEnd w:id="10"/>
    </w:p>
    <w:p w14:paraId="6FB2A9F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软饮料产品碳足迹应量化软饮料产品在原材料获取阶段和生产阶段的温室气体排放，宜量化软饮料产品在分销阶段和生命末期阶段的温室气体排放。</w:t>
      </w:r>
    </w:p>
    <w:p w14:paraId="427560B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软饮料产品碳足迹量化的系统边界见图1。</w:t>
      </w:r>
    </w:p>
    <w:p w14:paraId="6CD53A42">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360" w:lineRule="auto"/>
        <w:ind w:right="0"/>
        <w:jc w:val="center"/>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drawing>
          <wp:inline distT="0" distB="0" distL="114300" distR="114300">
            <wp:extent cx="5674360" cy="2538730"/>
            <wp:effectExtent l="0" t="0" r="2540" b="1270"/>
            <wp:docPr id="2" name="图片 2" descr="系统边界v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系统边界v3.0"/>
                    <pic:cNvPicPr>
                      <a:picLocks noChangeAspect="1"/>
                    </pic:cNvPicPr>
                  </pic:nvPicPr>
                  <pic:blipFill>
                    <a:blip r:embed="rId15"/>
                    <a:stretch>
                      <a:fillRect/>
                    </a:stretch>
                  </pic:blipFill>
                  <pic:spPr>
                    <a:xfrm>
                      <a:off x="0" y="0"/>
                      <a:ext cx="5674360" cy="2538730"/>
                    </a:xfrm>
                    <a:prstGeom prst="rect">
                      <a:avLst/>
                    </a:prstGeom>
                  </pic:spPr>
                </pic:pic>
              </a:graphicData>
            </a:graphic>
          </wp:inline>
        </w:drawing>
      </w:r>
    </w:p>
    <w:p w14:paraId="179512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center"/>
        <w:textAlignment w:val="baseline"/>
        <w:rPr>
          <w:rFonts w:hint="eastAsia"/>
          <w:sz w:val="21"/>
          <w:szCs w:val="21"/>
          <w:lang w:val="en-US" w:eastAsia="zh-CN"/>
        </w:rPr>
      </w:pPr>
      <w:r>
        <w:rPr>
          <w:sz w:val="21"/>
          <w:szCs w:val="21"/>
        </w:rPr>
        <w:t xml:space="preserve">图 </w:t>
      </w:r>
      <w:r>
        <w:rPr>
          <w:sz w:val="21"/>
          <w:szCs w:val="21"/>
        </w:rPr>
        <w:fldChar w:fldCharType="begin"/>
      </w:r>
      <w:r>
        <w:rPr>
          <w:sz w:val="21"/>
          <w:szCs w:val="21"/>
        </w:rPr>
        <w:instrText xml:space="preserve"> SEQ 图 \* ARABIC </w:instrText>
      </w:r>
      <w:r>
        <w:rPr>
          <w:sz w:val="21"/>
          <w:szCs w:val="21"/>
        </w:rPr>
        <w:fldChar w:fldCharType="separate"/>
      </w:r>
      <w:r>
        <w:rPr>
          <w:sz w:val="21"/>
          <w:szCs w:val="21"/>
        </w:rPr>
        <w:t>1</w:t>
      </w:r>
      <w:r>
        <w:rPr>
          <w:sz w:val="21"/>
          <w:szCs w:val="21"/>
        </w:rPr>
        <w:fldChar w:fldCharType="end"/>
      </w:r>
      <w:r>
        <w:rPr>
          <w:rFonts w:hint="eastAsia"/>
          <w:sz w:val="21"/>
          <w:szCs w:val="21"/>
          <w:lang w:val="en-US" w:eastAsia="zh-CN"/>
        </w:rPr>
        <w:t xml:space="preserve">  软饮料产品碳足迹量化系统边界图</w:t>
      </w:r>
    </w:p>
    <w:p w14:paraId="1AD2A40D">
      <w:pPr>
        <w:keepNext w:val="0"/>
        <w:keepLines w:val="0"/>
        <w:pageBreakBefore w:val="0"/>
        <w:kinsoku/>
        <w:wordWrap/>
        <w:overflowPunct/>
        <w:topLinePunct w:val="0"/>
        <w:autoSpaceDE/>
        <w:autoSpaceDN/>
        <w:bidi w:val="0"/>
        <w:adjustRightInd/>
        <w:snapToGrid/>
        <w:spacing w:line="288" w:lineRule="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注：图中的工序流程仅供参考，进行软饮料产品碳足迹量化时，应以实际生产工序为准。</w:t>
      </w:r>
    </w:p>
    <w:p w14:paraId="1C2E224C">
      <w:pPr>
        <w:keepNext w:val="0"/>
        <w:keepLines w:val="0"/>
        <w:pageBreakBefore w:val="0"/>
        <w:kinsoku/>
        <w:wordWrap/>
        <w:overflowPunct/>
        <w:topLinePunct w:val="0"/>
        <w:autoSpaceDE/>
        <w:autoSpaceDN/>
        <w:bidi w:val="0"/>
        <w:adjustRightInd/>
        <w:snapToGrid/>
        <w:spacing w:line="288" w:lineRule="auto"/>
        <w:rPr>
          <w:rFonts w:hint="default"/>
          <w:sz w:val="18"/>
          <w:szCs w:val="18"/>
          <w:highlight w:val="yellow"/>
          <w:lang w:val="en-US" w:eastAsia="zh-CN"/>
        </w:rPr>
      </w:pPr>
    </w:p>
    <w:p w14:paraId="588FDB7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eastAsia" w:ascii="黑体" w:hAnsi="黑体" w:eastAsia="黑体" w:cs="黑体"/>
          <w:sz w:val="21"/>
          <w:szCs w:val="21"/>
          <w:lang w:val="en-US" w:eastAsia="zh-CN"/>
        </w:rPr>
      </w:pPr>
      <w:bookmarkStart w:id="11" w:name="_Toc1282"/>
      <w:r>
        <w:rPr>
          <w:rFonts w:hint="eastAsia" w:ascii="黑体" w:hAnsi="黑体" w:eastAsia="黑体" w:cs="黑体"/>
          <w:sz w:val="21"/>
          <w:szCs w:val="21"/>
          <w:lang w:val="en-US" w:eastAsia="zh-CN"/>
        </w:rPr>
        <w:t>5.3.2 原材料获取阶段</w:t>
      </w:r>
      <w:bookmarkEnd w:id="11"/>
    </w:p>
    <w:p w14:paraId="781D39A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原材料获取阶段（A1-A2）从自然界提取材料时开始，到原材料产品到达生产企业时终止。包括但不限于以下过程：</w:t>
      </w:r>
    </w:p>
    <w:p w14:paraId="6982610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a) 原材料获取（A1）：水等基础原料，水果、茶叶、谷物、奶等农产品的开采、运输和生产过程；</w:t>
      </w:r>
      <w:r>
        <w:rPr>
          <w:rFonts w:hint="eastAsia" w:ascii="Times New Roman" w:hAnsi="Times New Roman" w:eastAsia="宋体" w:cs="Times New Roman"/>
          <w:sz w:val="21"/>
          <w:szCs w:val="21"/>
          <w:highlight w:val="none"/>
          <w:lang w:val="en-US" w:eastAsia="zh-CN"/>
        </w:rPr>
        <w:t>其他辅料获取与加工：包括甜味剂、酸味剂、食品香精等</w:t>
      </w:r>
      <w:r>
        <w:rPr>
          <w:rFonts w:hint="eastAsia" w:ascii="Times New Roman" w:hAnsi="Times New Roman" w:eastAsia="宋体" w:cs="Times New Roman"/>
          <w:sz w:val="21"/>
          <w:szCs w:val="21"/>
          <w:lang w:val="en-US" w:eastAsia="zh-CN"/>
        </w:rPr>
        <w:t>的开采、运输和生产过程；包装材料获取与加工：包括PET瓶、铝罐、玻璃瓶、纸盒等容器和膜、吸管、标签、纸箱等其他包装材料的开采、运输和生产过程；</w:t>
      </w:r>
    </w:p>
    <w:p w14:paraId="7AC08A1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b) 原材料运输（A2）：核心原料、其他辅料和包装材料从供应地到生产企业的运输过程。</w:t>
      </w:r>
    </w:p>
    <w:p w14:paraId="1354D1A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eastAsia" w:ascii="黑体" w:hAnsi="黑体" w:eastAsia="黑体" w:cs="黑体"/>
          <w:sz w:val="21"/>
          <w:szCs w:val="21"/>
          <w:lang w:val="en-US" w:eastAsia="zh-CN"/>
        </w:rPr>
      </w:pPr>
      <w:bookmarkStart w:id="12" w:name="_Toc12270"/>
      <w:r>
        <w:rPr>
          <w:rFonts w:hint="eastAsia" w:ascii="黑体" w:hAnsi="黑体" w:eastAsia="黑体" w:cs="黑体"/>
          <w:sz w:val="21"/>
          <w:szCs w:val="21"/>
          <w:lang w:val="en-US" w:eastAsia="zh-CN"/>
        </w:rPr>
        <w:t>5.3.3 生产阶段</w:t>
      </w:r>
      <w:bookmarkEnd w:id="12"/>
    </w:p>
    <w:p w14:paraId="2A48F11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生产阶段（B1-B2）从原材料进入生产企业开始，到最终产品离开生产企业终止。包括但不限于以下过程：</w:t>
      </w:r>
    </w:p>
    <w:p w14:paraId="5ED1425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a) 产品制造（B1）</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包括原料处理</w:t>
      </w:r>
      <w:r>
        <w:rPr>
          <w:rFonts w:hint="default" w:ascii="Times New Roman" w:hAnsi="Times New Roman" w:eastAsia="宋体" w:cs="Times New Roman"/>
          <w:sz w:val="21"/>
          <w:szCs w:val="21"/>
          <w:lang w:val="en-US" w:eastAsia="zh-CN"/>
        </w:rPr>
        <w:t>、调配</w:t>
      </w:r>
      <w:r>
        <w:rPr>
          <w:rFonts w:hint="eastAsia" w:ascii="Times New Roman" w:hAnsi="Times New Roman" w:eastAsia="宋体" w:cs="Times New Roman"/>
          <w:sz w:val="21"/>
          <w:szCs w:val="21"/>
          <w:lang w:val="en-US" w:eastAsia="zh-CN"/>
        </w:rPr>
        <w:t>与加工</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杀菌/</w:t>
      </w:r>
      <w:r>
        <w:rPr>
          <w:rFonts w:hint="default" w:ascii="Times New Roman" w:hAnsi="Times New Roman" w:eastAsia="宋体" w:cs="Times New Roman"/>
          <w:sz w:val="21"/>
          <w:szCs w:val="21"/>
          <w:lang w:val="en-US" w:eastAsia="zh-CN"/>
        </w:rPr>
        <w:t>灭菌、灌装</w:t>
      </w:r>
      <w:r>
        <w:rPr>
          <w:rFonts w:hint="eastAsia" w:ascii="Times New Roman" w:hAnsi="Times New Roman" w:eastAsia="宋体" w:cs="Times New Roman"/>
          <w:sz w:val="21"/>
          <w:szCs w:val="21"/>
          <w:lang w:val="en-US" w:eastAsia="zh-CN"/>
        </w:rPr>
        <w:t>与包装</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容器加工成型等软饮料全部生产工序；</w:t>
      </w:r>
    </w:p>
    <w:p w14:paraId="4E425B4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b) </w:t>
      </w:r>
      <w:r>
        <w:rPr>
          <w:rFonts w:hint="default" w:ascii="Times New Roman" w:hAnsi="Times New Roman" w:eastAsia="宋体" w:cs="Times New Roman"/>
          <w:sz w:val="21"/>
          <w:szCs w:val="21"/>
          <w:lang w:val="en-US" w:eastAsia="zh-CN"/>
        </w:rPr>
        <w:t>废弃物</w:t>
      </w:r>
      <w:r>
        <w:rPr>
          <w:rFonts w:hint="eastAsia" w:ascii="Times New Roman" w:hAnsi="Times New Roman" w:eastAsia="宋体" w:cs="Times New Roman"/>
          <w:sz w:val="21"/>
          <w:szCs w:val="21"/>
          <w:lang w:val="en-US" w:eastAsia="zh-CN"/>
        </w:rPr>
        <w:t>的</w:t>
      </w:r>
      <w:r>
        <w:rPr>
          <w:rFonts w:hint="default" w:ascii="Times New Roman" w:hAnsi="Times New Roman" w:eastAsia="宋体" w:cs="Times New Roman"/>
          <w:sz w:val="21"/>
          <w:szCs w:val="21"/>
          <w:lang w:val="en-US" w:eastAsia="zh-CN"/>
        </w:rPr>
        <w:t>处理</w:t>
      </w:r>
      <w:r>
        <w:rPr>
          <w:rFonts w:hint="eastAsia" w:ascii="Times New Roman" w:hAnsi="Times New Roman" w:eastAsia="宋体" w:cs="Times New Roman"/>
          <w:sz w:val="21"/>
          <w:szCs w:val="21"/>
          <w:lang w:val="en-US" w:eastAsia="zh-CN"/>
        </w:rPr>
        <w:t>（B2）</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软饮料生产</w:t>
      </w:r>
      <w:r>
        <w:rPr>
          <w:rFonts w:hint="default" w:ascii="Times New Roman" w:hAnsi="Times New Roman" w:eastAsia="宋体" w:cs="Times New Roman"/>
          <w:sz w:val="21"/>
          <w:szCs w:val="21"/>
          <w:lang w:val="en-US" w:eastAsia="zh-CN"/>
        </w:rPr>
        <w:t>阶段</w:t>
      </w:r>
      <w:r>
        <w:rPr>
          <w:rFonts w:hint="eastAsia" w:ascii="Times New Roman" w:hAnsi="Times New Roman" w:eastAsia="宋体" w:cs="Times New Roman"/>
          <w:sz w:val="21"/>
          <w:szCs w:val="21"/>
          <w:lang w:val="en-US" w:eastAsia="zh-CN"/>
        </w:rPr>
        <w:t>废水、废气、固体废弃</w:t>
      </w:r>
      <w:r>
        <w:rPr>
          <w:rFonts w:hint="default" w:ascii="Times New Roman" w:hAnsi="Times New Roman" w:eastAsia="宋体" w:cs="Times New Roman"/>
          <w:sz w:val="21"/>
          <w:szCs w:val="21"/>
          <w:lang w:val="en-US" w:eastAsia="zh-CN"/>
        </w:rPr>
        <w:t>物的处理过程</w:t>
      </w:r>
      <w:r>
        <w:rPr>
          <w:rFonts w:hint="eastAsia" w:ascii="Times New Roman" w:hAnsi="Times New Roman" w:eastAsia="宋体" w:cs="Times New Roman"/>
          <w:sz w:val="21"/>
          <w:szCs w:val="21"/>
          <w:lang w:val="en-US" w:eastAsia="zh-CN"/>
        </w:rPr>
        <w:t>。</w:t>
      </w:r>
    </w:p>
    <w:p w14:paraId="179E8AB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eastAsia" w:ascii="黑体" w:hAnsi="黑体" w:eastAsia="黑体" w:cs="黑体"/>
          <w:sz w:val="21"/>
          <w:szCs w:val="21"/>
          <w:lang w:val="en-US" w:eastAsia="zh-CN"/>
        </w:rPr>
      </w:pPr>
      <w:bookmarkStart w:id="13" w:name="_Toc10035"/>
      <w:r>
        <w:rPr>
          <w:rFonts w:hint="eastAsia" w:ascii="黑体" w:hAnsi="黑体" w:eastAsia="黑体" w:cs="黑体"/>
          <w:sz w:val="21"/>
          <w:szCs w:val="21"/>
          <w:lang w:val="en-US" w:eastAsia="zh-CN"/>
        </w:rPr>
        <w:t>5.3.4 分销阶段</w:t>
      </w:r>
      <w:bookmarkEnd w:id="13"/>
    </w:p>
    <w:p w14:paraId="387B8D8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sz w:val="21"/>
          <w:szCs w:val="21"/>
          <w:highlight w:val="green"/>
          <w:lang w:val="en-US" w:eastAsia="zh-CN"/>
        </w:rPr>
      </w:pPr>
      <w:r>
        <w:rPr>
          <w:rFonts w:hint="eastAsia" w:ascii="Times New Roman" w:hAnsi="Times New Roman" w:eastAsia="宋体" w:cs="Times New Roman"/>
          <w:sz w:val="21"/>
          <w:szCs w:val="21"/>
          <w:lang w:val="en-US" w:eastAsia="zh-CN"/>
        </w:rPr>
        <w:t>分销阶段（C1）始于软饮料产品生产完成，到产品销售投入市场，可沿着供应链将其储存在各点之间的过程，主要包括工厂、仓库到销售地点的运输过程和存储过程。</w:t>
      </w:r>
    </w:p>
    <w:p w14:paraId="2F54290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eastAsia" w:ascii="黑体" w:hAnsi="黑体" w:eastAsia="黑体" w:cs="黑体"/>
          <w:sz w:val="21"/>
          <w:szCs w:val="21"/>
          <w:highlight w:val="none"/>
          <w:lang w:val="en-US" w:eastAsia="zh-CN"/>
        </w:rPr>
      </w:pPr>
      <w:bookmarkStart w:id="14" w:name="_Toc12346"/>
      <w:r>
        <w:rPr>
          <w:rFonts w:hint="eastAsia" w:ascii="黑体" w:hAnsi="黑体" w:eastAsia="黑体" w:cs="黑体"/>
          <w:sz w:val="21"/>
          <w:szCs w:val="21"/>
          <w:highlight w:val="none"/>
          <w:lang w:val="en-US" w:eastAsia="zh-CN"/>
        </w:rPr>
        <w:t>5.3.5 使用阶段</w:t>
      </w:r>
      <w:bookmarkEnd w:id="14"/>
    </w:p>
    <w:p w14:paraId="162B9E0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使用阶段（D1）从消费者拥有软饮料产品开始，到产品被废弃时结束。</w:t>
      </w:r>
    </w:p>
    <w:p w14:paraId="58DCB67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360" w:firstLineChars="200"/>
        <w:jc w:val="left"/>
        <w:textAlignment w:val="baseline"/>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注1：消费者因个人消费行为（如冷藏、加热等）产生的能源消耗及其温室气体排放不纳入系统边界；</w:t>
      </w:r>
    </w:p>
    <w:p w14:paraId="3542BB0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360" w:firstLineChars="200"/>
        <w:jc w:val="left"/>
        <w:textAlignment w:val="baseline"/>
        <w:rPr>
          <w:rFonts w:hint="default" w:ascii="黑体" w:hAnsi="黑体" w:eastAsia="黑体" w:cs="黑体"/>
          <w:sz w:val="18"/>
          <w:szCs w:val="18"/>
          <w:lang w:val="en-US" w:eastAsia="zh-CN"/>
        </w:rPr>
      </w:pPr>
      <w:r>
        <w:rPr>
          <w:rFonts w:hint="eastAsia" w:ascii="黑体" w:hAnsi="黑体" w:eastAsia="黑体" w:cs="黑体"/>
          <w:sz w:val="18"/>
          <w:szCs w:val="18"/>
          <w:lang w:val="en-US" w:eastAsia="zh-CN"/>
        </w:rPr>
        <w:t>注2：对于碳酸饮料（汽水）产品，消费者在开启包装及饮用后释放至大气的二氧化碳，其相关的温室气体排放已在原材料获取阶段完成计算，本阶段不再重复计算。</w:t>
      </w:r>
    </w:p>
    <w:p w14:paraId="204DE8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eastAsia" w:ascii="黑体" w:hAnsi="黑体" w:eastAsia="黑体" w:cs="黑体"/>
          <w:sz w:val="21"/>
          <w:szCs w:val="21"/>
          <w:lang w:val="en-US" w:eastAsia="zh-CN"/>
        </w:rPr>
      </w:pPr>
      <w:bookmarkStart w:id="15" w:name="_Toc982"/>
      <w:r>
        <w:rPr>
          <w:rFonts w:hint="eastAsia" w:ascii="黑体" w:hAnsi="黑体" w:eastAsia="黑体" w:cs="黑体"/>
          <w:sz w:val="21"/>
          <w:szCs w:val="21"/>
          <w:lang w:val="en-US" w:eastAsia="zh-CN"/>
        </w:rPr>
        <w:t>5.3.6 生命末期阶段</w:t>
      </w:r>
      <w:bookmarkEnd w:id="15"/>
    </w:p>
    <w:p w14:paraId="3F9157B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生命末期阶段（E1-E2）从软饮料产品包装被消费者废弃开始，到包装完成最终处置结束，包括但不限于以下过程：</w:t>
      </w:r>
    </w:p>
    <w:p w14:paraId="598FC50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a) 废弃包装运输（E1）：主要包括软饮料产品废弃包装被运输到处置地点的过程；</w:t>
      </w:r>
    </w:p>
    <w:p w14:paraId="56698E1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sz w:val="21"/>
          <w:szCs w:val="21"/>
          <w:highlight w:val="yellow"/>
          <w:lang w:val="en-US" w:eastAsia="zh-CN"/>
        </w:rPr>
      </w:pPr>
      <w:r>
        <w:rPr>
          <w:rFonts w:hint="eastAsia" w:ascii="Times New Roman" w:hAnsi="Times New Roman" w:eastAsia="宋体" w:cs="Times New Roman"/>
          <w:sz w:val="21"/>
          <w:szCs w:val="21"/>
          <w:lang w:val="en-US" w:eastAsia="zh-CN"/>
        </w:rPr>
        <w:t>b）最终处置（E2）：主要包括软饮料包装中可再利用或可用于生产再生材料的物料的回收利用、对于不可进行再利用的材料进行填埋、焚烧或其他处置过程。</w:t>
      </w:r>
    </w:p>
    <w:p w14:paraId="7681438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黑体" w:hAnsi="黑体" w:eastAsia="黑体" w:cs="黑体"/>
          <w:sz w:val="21"/>
          <w:szCs w:val="21"/>
          <w:lang w:val="en-US" w:eastAsia="zh-CN"/>
        </w:rPr>
      </w:pPr>
      <w:bookmarkStart w:id="16" w:name="_Toc19294"/>
      <w:r>
        <w:rPr>
          <w:rFonts w:hint="eastAsia" w:ascii="黑体" w:hAnsi="黑体" w:eastAsia="黑体" w:cs="黑体"/>
          <w:sz w:val="21"/>
          <w:szCs w:val="21"/>
          <w:lang w:val="en-US" w:eastAsia="zh-CN"/>
        </w:rPr>
        <w:t>5.4 取舍准则</w:t>
      </w:r>
      <w:bookmarkEnd w:id="16"/>
    </w:p>
    <w:p w14:paraId="474C010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在软饮料产品碳足迹量化过程中，</w:t>
      </w:r>
      <w:r>
        <w:rPr>
          <w:rFonts w:hint="default" w:ascii="Times New Roman" w:hAnsi="Times New Roman" w:eastAsia="宋体" w:cs="Times New Roman"/>
          <w:sz w:val="21"/>
          <w:szCs w:val="21"/>
          <w:lang w:val="en-US" w:eastAsia="zh-CN"/>
        </w:rPr>
        <w:t>不应将对</w:t>
      </w:r>
      <w:r>
        <w:rPr>
          <w:rFonts w:hint="eastAsia" w:ascii="Times New Roman" w:hAnsi="Times New Roman" w:eastAsia="宋体" w:cs="Times New Roman"/>
          <w:sz w:val="21"/>
          <w:szCs w:val="21"/>
          <w:lang w:val="en-US" w:eastAsia="zh-CN"/>
        </w:rPr>
        <w:t>软</w:t>
      </w:r>
      <w:r>
        <w:rPr>
          <w:rFonts w:hint="default" w:ascii="Times New Roman" w:hAnsi="Times New Roman" w:eastAsia="宋体" w:cs="Times New Roman"/>
          <w:sz w:val="21"/>
          <w:szCs w:val="21"/>
          <w:lang w:val="en-US" w:eastAsia="zh-CN"/>
        </w:rPr>
        <w:t>饮料产品碳足迹</w:t>
      </w:r>
      <w:r>
        <w:rPr>
          <w:rFonts w:hint="eastAsia" w:ascii="Times New Roman" w:hAnsi="Times New Roman" w:eastAsia="宋体" w:cs="Times New Roman"/>
          <w:sz w:val="21"/>
          <w:szCs w:val="21"/>
          <w:lang w:val="en-US" w:eastAsia="zh-CN"/>
        </w:rPr>
        <w:t>或产品部分碳足迹</w:t>
      </w:r>
      <w:r>
        <w:rPr>
          <w:rFonts w:hint="default" w:ascii="Times New Roman" w:hAnsi="Times New Roman" w:eastAsia="宋体" w:cs="Times New Roman"/>
          <w:sz w:val="21"/>
          <w:szCs w:val="21"/>
          <w:lang w:val="en-US" w:eastAsia="zh-CN"/>
        </w:rPr>
        <w:t>有实质性贡献的温室气体排放与清除排除在外</w:t>
      </w:r>
      <w:r>
        <w:rPr>
          <w:rFonts w:hint="eastAsia" w:ascii="Times New Roman" w:hAnsi="Times New Roman" w:eastAsia="宋体" w:cs="Times New Roman"/>
          <w:sz w:val="21"/>
          <w:szCs w:val="21"/>
          <w:lang w:val="en-US" w:eastAsia="zh-CN"/>
        </w:rPr>
        <w:t>，可舍弃产品碳足迹或产品部分碳足迹影响小于1%的过程、输入或输出环节，舍弃的物质和环节总的影响不应超过软饮料产品碳足迹或产品部分碳足迹总量的5%。舍弃的物质和环节应在产品碳足迹报告中予以说明。</w:t>
      </w:r>
    </w:p>
    <w:p w14:paraId="740BEEF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88" w:lineRule="auto"/>
        <w:ind w:left="0" w:right="0"/>
        <w:jc w:val="left"/>
        <w:textAlignment w:val="baseline"/>
        <w:outlineLvl w:val="0"/>
        <w:rPr>
          <w:rStyle w:val="14"/>
          <w:rFonts w:hint="default" w:ascii="黑体" w:hAnsi="黑体" w:eastAsia="黑体" w:cs="黑体"/>
          <w:b w:val="0"/>
          <w:bCs w:val="0"/>
          <w:i w:val="0"/>
          <w:iCs w:val="0"/>
          <w:caps w:val="0"/>
          <w:color w:val="000000"/>
          <w:spacing w:val="-2"/>
          <w:sz w:val="21"/>
          <w:szCs w:val="21"/>
          <w:shd w:val="clear" w:fill="FFFFFF"/>
          <w:vertAlign w:val="baseline"/>
          <w:lang w:val="en-US" w:eastAsia="zh-CN"/>
        </w:rPr>
      </w:pPr>
      <w:bookmarkStart w:id="17" w:name="_Toc16988"/>
      <w:r>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t>6  清单分析</w:t>
      </w:r>
      <w:bookmarkEnd w:id="17"/>
    </w:p>
    <w:p w14:paraId="5B3E37E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Times New Roman" w:hAnsi="Times New Roman" w:eastAsia="宋体" w:cs="Times New Roman"/>
          <w:sz w:val="21"/>
          <w:szCs w:val="21"/>
          <w:lang w:val="en-US" w:eastAsia="zh-CN"/>
        </w:rPr>
      </w:pPr>
      <w:bookmarkStart w:id="18" w:name="_Toc30348"/>
      <w:r>
        <w:rPr>
          <w:rFonts w:hint="eastAsia" w:ascii="黑体" w:hAnsi="黑体" w:eastAsia="黑体" w:cs="黑体"/>
          <w:sz w:val="21"/>
          <w:szCs w:val="21"/>
          <w:lang w:val="en-US" w:eastAsia="zh-CN"/>
        </w:rPr>
        <w:t>6.1 数据选择</w:t>
      </w:r>
      <w:bookmarkEnd w:id="18"/>
    </w:p>
    <w:p w14:paraId="33BDB62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原则上，软饮料产品系统边界内的所有单元过程的初级数据和次级数据都应被收集，包括活动水平数据和排放因子数据。</w:t>
      </w:r>
    </w:p>
    <w:p w14:paraId="7101C03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both"/>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活动水平数据的来源包括但不限于：计量器具，购买记录、台账、结算发票，物料清单、领料清单，委托处置合同，物流单据等。活动水平数据的使用遵循以下原则：</w:t>
      </w:r>
    </w:p>
    <w:p w14:paraId="779D20A6">
      <w:pPr>
        <w:pStyle w:val="10"/>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优先采用直接计量、采样监测、统计获得的初级数据；</w:t>
      </w:r>
    </w:p>
    <w:p w14:paraId="7EDF74EB">
      <w:pPr>
        <w:pStyle w:val="10"/>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其次采用通过初级数据分配、折算获得的次级数据；</w:t>
      </w:r>
    </w:p>
    <w:p w14:paraId="57F8E0CB">
      <w:pPr>
        <w:pStyle w:val="10"/>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以上数据均不可获得时可采用来自相似单元过程的替代数据，并论证数据的相似性</w:t>
      </w:r>
      <w:r>
        <w:rPr>
          <w:rFonts w:hint="eastAsia" w:ascii="Times New Roman" w:hAnsi="Times New Roman" w:eastAsia="宋体" w:cs="Times New Roman"/>
          <w:sz w:val="21"/>
          <w:szCs w:val="21"/>
          <w:lang w:val="en-US" w:eastAsia="zh-CN"/>
        </w:rPr>
        <w:t>。</w:t>
      </w:r>
    </w:p>
    <w:p w14:paraId="5678EDC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因子数据包括国家或行业主管部门公开发布的排放因子数据、供应商提供的通过生命周期评价方法且经第三方专业机构验证的产品碳足迹数据、国际公认的LCA数据库、公开文献等。排放因子的使用遵循以下原则：</w:t>
      </w:r>
    </w:p>
    <w:p w14:paraId="5A9C502B">
      <w:pPr>
        <w:pStyle w:val="10"/>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优先采用经供应商提供的经第三方专业机构验证的、基于生命周期评价方法的产品碳足迹数据；</w:t>
      </w:r>
    </w:p>
    <w:p w14:paraId="08944F9A">
      <w:pPr>
        <w:pStyle w:val="10"/>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其次，采用国家或行业主管部门公开发布的排放因子数据；</w:t>
      </w:r>
    </w:p>
    <w:p w14:paraId="4ED28AFA">
      <w:pPr>
        <w:pStyle w:val="10"/>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再次，采用国际公认的LCA数据库数据；</w:t>
      </w:r>
    </w:p>
    <w:p w14:paraId="0D9432FC">
      <w:pPr>
        <w:pStyle w:val="10"/>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以上数据均无法获取时，可采用国内外公开文献给出或估算得出的行业平均数据，并说明其来源和不确定性。</w:t>
      </w:r>
    </w:p>
    <w:p w14:paraId="05F4736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default" w:ascii="黑体" w:hAnsi="黑体" w:eastAsia="黑体" w:cs="黑体"/>
          <w:sz w:val="21"/>
          <w:szCs w:val="21"/>
          <w:lang w:val="en-US" w:eastAsia="zh-CN"/>
        </w:rPr>
      </w:pPr>
      <w:bookmarkStart w:id="19" w:name="_Toc18611"/>
      <w:r>
        <w:rPr>
          <w:rFonts w:hint="eastAsia" w:ascii="黑体" w:hAnsi="黑体" w:eastAsia="黑体" w:cs="黑体"/>
          <w:sz w:val="21"/>
          <w:szCs w:val="21"/>
          <w:lang w:val="en-US" w:eastAsia="zh-CN"/>
        </w:rPr>
        <w:t>6.2 数据收集</w:t>
      </w:r>
      <w:bookmarkEnd w:id="19"/>
    </w:p>
    <w:p w14:paraId="6AA964D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default" w:ascii="黑体" w:hAnsi="黑体" w:eastAsia="黑体" w:cs="黑体"/>
          <w:sz w:val="21"/>
          <w:szCs w:val="21"/>
          <w:lang w:val="en-US" w:eastAsia="zh-CN"/>
        </w:rPr>
      </w:pPr>
      <w:bookmarkStart w:id="20" w:name="_Toc6029"/>
      <w:r>
        <w:rPr>
          <w:rFonts w:hint="eastAsia" w:ascii="黑体" w:hAnsi="黑体" w:eastAsia="黑体" w:cs="黑体"/>
          <w:sz w:val="21"/>
          <w:szCs w:val="21"/>
          <w:lang w:val="en-US" w:eastAsia="zh-CN"/>
        </w:rPr>
        <w:t>6.2.1 原材料获取阶段数据收集</w:t>
      </w:r>
      <w:bookmarkEnd w:id="20"/>
    </w:p>
    <w:p w14:paraId="75211AF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原材料获取阶段数据收集应包括以下内容：</w:t>
      </w:r>
    </w:p>
    <w:p w14:paraId="2D8FBEE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核心原料、其他辅料、包装材料的消耗量、成分/材质信息；</w:t>
      </w:r>
    </w:p>
    <w:p w14:paraId="4D4B6B3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核心原料、其他辅料、包装材料的碳足迹因子；</w:t>
      </w:r>
    </w:p>
    <w:p w14:paraId="33E80C2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——核心原料、其他辅料、包装材料</w:t>
      </w:r>
      <w:r>
        <w:rPr>
          <w:rFonts w:hint="eastAsia" w:ascii="Times New Roman" w:hAnsi="Times New Roman" w:eastAsia="宋体" w:cs="Times New Roman"/>
          <w:sz w:val="21"/>
          <w:szCs w:val="21"/>
          <w:lang w:val="en-US" w:eastAsia="zh-CN"/>
        </w:rPr>
        <w:t>的运输方式、运输工具、运输距离。</w:t>
      </w:r>
    </w:p>
    <w:p w14:paraId="0244EA8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各类运输方式的碳足迹因子。</w:t>
      </w:r>
    </w:p>
    <w:p w14:paraId="290D336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eastAsia" w:ascii="黑体" w:hAnsi="黑体" w:eastAsia="黑体" w:cs="黑体"/>
          <w:sz w:val="21"/>
          <w:szCs w:val="21"/>
          <w:lang w:val="en-US" w:eastAsia="zh-CN"/>
        </w:rPr>
      </w:pPr>
      <w:bookmarkStart w:id="21" w:name="_Toc26304"/>
      <w:r>
        <w:rPr>
          <w:rFonts w:hint="eastAsia" w:ascii="黑体" w:hAnsi="黑体" w:eastAsia="黑体" w:cs="黑体"/>
          <w:sz w:val="21"/>
          <w:szCs w:val="21"/>
          <w:lang w:val="en-US" w:eastAsia="zh-CN"/>
        </w:rPr>
        <w:t>6.2.2 生产阶段数据收集</w:t>
      </w:r>
      <w:bookmarkEnd w:id="21"/>
    </w:p>
    <w:p w14:paraId="648B017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生产阶段数据收集应包括以下内容：</w:t>
      </w:r>
    </w:p>
    <w:p w14:paraId="4F189CD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不同类型电力、天然气、水等能源/资源的消耗量；</w:t>
      </w:r>
    </w:p>
    <w:p w14:paraId="5889A6B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各类电力的碳足迹因子、天然气等燃料产品的上游排放因子和燃烧碳排放因子；</w:t>
      </w:r>
    </w:p>
    <w:p w14:paraId="7C385ED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废水、废气、固体废弃物的数量、处理方式；</w:t>
      </w:r>
    </w:p>
    <w:p w14:paraId="7542853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废水、废气、固体废弃物处理过程涉及的排放因子。</w:t>
      </w:r>
    </w:p>
    <w:p w14:paraId="2EA8F49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eastAsia" w:ascii="黑体" w:hAnsi="黑体" w:eastAsia="黑体" w:cs="黑体"/>
          <w:sz w:val="21"/>
          <w:szCs w:val="21"/>
          <w:lang w:val="en-US" w:eastAsia="zh-CN"/>
        </w:rPr>
      </w:pPr>
      <w:bookmarkStart w:id="22" w:name="_Toc25297"/>
      <w:r>
        <w:rPr>
          <w:rFonts w:hint="eastAsia" w:ascii="黑体" w:hAnsi="黑体" w:eastAsia="黑体" w:cs="黑体"/>
          <w:sz w:val="21"/>
          <w:szCs w:val="21"/>
          <w:lang w:val="en-US" w:eastAsia="zh-CN"/>
        </w:rPr>
        <w:t>6.2.3 分销阶段数据收集</w:t>
      </w:r>
      <w:bookmarkEnd w:id="22"/>
    </w:p>
    <w:p w14:paraId="675C8C9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分销阶段数据收集应包括以下内容：</w:t>
      </w:r>
    </w:p>
    <w:p w14:paraId="7BF3EB9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成品的运输路径、运输总量、运输方式、运输工具、运输距离；</w:t>
      </w:r>
    </w:p>
    <w:p w14:paraId="78CD5E8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各类运输方式的碳足迹因子；</w:t>
      </w:r>
    </w:p>
    <w:p w14:paraId="6136649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成品储存过程的能源消耗量（可行时）；</w:t>
      </w:r>
    </w:p>
    <w:p w14:paraId="057EC49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储存过程消耗的能源排放因子（可行时）。</w:t>
      </w:r>
    </w:p>
    <w:p w14:paraId="5BABE1A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eastAsia" w:ascii="黑体" w:hAnsi="黑体" w:eastAsia="黑体" w:cs="黑体"/>
          <w:sz w:val="21"/>
          <w:szCs w:val="21"/>
          <w:lang w:val="en-US" w:eastAsia="zh-CN"/>
        </w:rPr>
      </w:pPr>
      <w:bookmarkStart w:id="23" w:name="_Toc6867"/>
      <w:r>
        <w:rPr>
          <w:rFonts w:hint="eastAsia" w:ascii="黑体" w:hAnsi="黑体" w:eastAsia="黑体" w:cs="黑体"/>
          <w:sz w:val="21"/>
          <w:szCs w:val="21"/>
          <w:lang w:val="en-US" w:eastAsia="zh-CN"/>
        </w:rPr>
        <w:t>6.2.4 使用阶段数据收集</w:t>
      </w:r>
      <w:bookmarkEnd w:id="23"/>
    </w:p>
    <w:p w14:paraId="61E1A30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使用阶段不进行数据收集。</w:t>
      </w:r>
      <w:r>
        <w:rPr>
          <w:rFonts w:hint="eastAsia" w:ascii="Times New Roman" w:hAnsi="Times New Roman" w:eastAsia="宋体" w:cs="Times New Roman"/>
          <w:sz w:val="21"/>
          <w:szCs w:val="21"/>
          <w:lang w:val="en-US" w:eastAsia="zh-CN"/>
        </w:rPr>
        <w:tab/>
      </w:r>
    </w:p>
    <w:p w14:paraId="4985D67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default" w:ascii="黑体" w:hAnsi="黑体" w:eastAsia="黑体" w:cs="黑体"/>
          <w:sz w:val="21"/>
          <w:szCs w:val="21"/>
          <w:lang w:val="en-US" w:eastAsia="zh-CN"/>
        </w:rPr>
      </w:pPr>
      <w:bookmarkStart w:id="24" w:name="_Toc29338"/>
      <w:r>
        <w:rPr>
          <w:rFonts w:hint="eastAsia" w:ascii="黑体" w:hAnsi="黑体" w:eastAsia="黑体" w:cs="黑体"/>
          <w:sz w:val="21"/>
          <w:szCs w:val="21"/>
          <w:lang w:val="en-US" w:eastAsia="zh-CN"/>
        </w:rPr>
        <w:t>6.2.5 生命末期阶段数据收集</w:t>
      </w:r>
      <w:bookmarkEnd w:id="24"/>
    </w:p>
    <w:p w14:paraId="745DB22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生命末期阶段数据收集宜包括以下内容：</w:t>
      </w:r>
    </w:p>
    <w:p w14:paraId="46AB7DF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产品废弃包装最终处置相关运输信息；</w:t>
      </w:r>
    </w:p>
    <w:p w14:paraId="0C11B3A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产品废弃包装回收、填埋、焚烧等最终处置方式的处置量；</w:t>
      </w:r>
    </w:p>
    <w:p w14:paraId="64A0A5A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与运输、</w:t>
      </w:r>
      <w:r>
        <w:rPr>
          <w:rFonts w:hint="default" w:ascii="Times New Roman" w:hAnsi="Times New Roman" w:eastAsia="宋体" w:cs="Times New Roman"/>
          <w:sz w:val="21"/>
          <w:szCs w:val="21"/>
          <w:lang w:val="en-US" w:eastAsia="zh-CN"/>
        </w:rPr>
        <w:t>最终处置</w:t>
      </w:r>
      <w:r>
        <w:rPr>
          <w:rFonts w:hint="eastAsia" w:ascii="Times New Roman" w:hAnsi="Times New Roman" w:eastAsia="宋体" w:cs="Times New Roman"/>
          <w:sz w:val="21"/>
          <w:szCs w:val="21"/>
          <w:lang w:val="en-US" w:eastAsia="zh-CN"/>
        </w:rPr>
        <w:t>相关的排放因子。</w:t>
      </w:r>
    </w:p>
    <w:p w14:paraId="0D7BCAB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360" w:firstLineChars="200"/>
        <w:jc w:val="left"/>
        <w:textAlignment w:val="baseline"/>
        <w:rPr>
          <w:rFonts w:hint="default" w:ascii="黑体" w:hAnsi="黑体" w:eastAsia="黑体" w:cs="黑体"/>
          <w:sz w:val="18"/>
          <w:szCs w:val="18"/>
          <w:lang w:val="en-US" w:eastAsia="zh-CN"/>
        </w:rPr>
      </w:pPr>
      <w:r>
        <w:rPr>
          <w:rFonts w:hint="eastAsia" w:ascii="黑体" w:hAnsi="黑体" w:eastAsia="黑体" w:cs="黑体"/>
          <w:sz w:val="18"/>
          <w:szCs w:val="18"/>
          <w:lang w:val="en-US" w:eastAsia="zh-CN"/>
        </w:rPr>
        <w:t>注：本阶段可不收集初级数据，软饮料产品废弃包装处置相关的情景假设可参考附录B。</w:t>
      </w:r>
    </w:p>
    <w:p w14:paraId="711AA08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黑体" w:hAnsi="黑体" w:eastAsia="黑体" w:cs="黑体"/>
          <w:sz w:val="21"/>
          <w:szCs w:val="21"/>
          <w:highlight w:val="none"/>
          <w:lang w:val="en-US" w:eastAsia="zh-CN"/>
        </w:rPr>
      </w:pPr>
      <w:bookmarkStart w:id="25" w:name="_Toc7821"/>
      <w:r>
        <w:rPr>
          <w:rFonts w:hint="eastAsia" w:ascii="黑体" w:hAnsi="黑体" w:eastAsia="黑体" w:cs="黑体"/>
          <w:sz w:val="21"/>
          <w:szCs w:val="21"/>
          <w:highlight w:val="none"/>
          <w:lang w:val="en-US" w:eastAsia="zh-CN"/>
        </w:rPr>
        <w:t>6.3 数据质量要求</w:t>
      </w:r>
      <w:bookmarkEnd w:id="25"/>
    </w:p>
    <w:p w14:paraId="4A7234E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开展软饮料</w:t>
      </w:r>
      <w:r>
        <w:rPr>
          <w:rFonts w:hint="default" w:ascii="Times New Roman" w:hAnsi="Times New Roman" w:eastAsia="宋体" w:cs="Times New Roman"/>
          <w:sz w:val="21"/>
          <w:szCs w:val="21"/>
          <w:highlight w:val="none"/>
          <w:lang w:val="en-US" w:eastAsia="zh-CN"/>
        </w:rPr>
        <w:t>产品碳足迹</w:t>
      </w:r>
      <w:r>
        <w:rPr>
          <w:rFonts w:hint="eastAsia" w:ascii="Times New Roman" w:hAnsi="Times New Roman" w:eastAsia="宋体" w:cs="Times New Roman"/>
          <w:sz w:val="21"/>
          <w:szCs w:val="21"/>
          <w:highlight w:val="none"/>
          <w:lang w:val="en-US" w:eastAsia="zh-CN"/>
        </w:rPr>
        <w:t>量化</w:t>
      </w:r>
      <w:r>
        <w:rPr>
          <w:rFonts w:hint="default" w:ascii="Times New Roman" w:hAnsi="Times New Roman" w:eastAsia="宋体" w:cs="Times New Roman"/>
          <w:sz w:val="21"/>
          <w:szCs w:val="21"/>
          <w:highlight w:val="none"/>
          <w:lang w:val="en-US" w:eastAsia="zh-CN"/>
        </w:rPr>
        <w:t>宜通过使用现有最高质量数据</w:t>
      </w:r>
      <w:r>
        <w:rPr>
          <w:rFonts w:hint="eastAsia"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尽可能地减少偏差和不确定性。</w:t>
      </w:r>
      <w:r>
        <w:rPr>
          <w:rFonts w:hint="eastAsia" w:ascii="Times New Roman" w:hAnsi="Times New Roman" w:eastAsia="宋体" w:cs="Times New Roman"/>
          <w:sz w:val="21"/>
          <w:szCs w:val="21"/>
          <w:highlight w:val="none"/>
          <w:lang w:val="en-US" w:eastAsia="zh-CN"/>
        </w:rPr>
        <w:t>数据收集与处理过程应遵循以下要求：</w:t>
      </w:r>
    </w:p>
    <w:p w14:paraId="79C1572F">
      <w:pPr>
        <w:pStyle w:val="10"/>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时间范围：应收集系统边界内单元过程产品的每年平均统计数据，一般为最近的日历年或财政年度。如果单元过程产品的生产时间少于12个月，则应收集产品生产期间或从年初到停产期间的数据。在特殊情况下，数据收集可能指更短（或不同）的时间段，在这些情况下，应书面记录并说明理由。</w:t>
      </w:r>
    </w:p>
    <w:p w14:paraId="22BFC868">
      <w:pPr>
        <w:pStyle w:val="10"/>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完整性</w:t>
      </w:r>
      <w:r>
        <w:rPr>
          <w:rFonts w:hint="eastAsia" w:ascii="Times New Roman" w:hAnsi="Times New Roman" w:eastAsia="宋体" w:cs="Times New Roman"/>
          <w:sz w:val="21"/>
          <w:szCs w:val="21"/>
          <w:highlight w:val="none"/>
          <w:lang w:val="en-US" w:eastAsia="zh-CN"/>
        </w:rPr>
        <w:t>：现场数据应采集完整的生命周期要求数据；</w:t>
      </w:r>
    </w:p>
    <w:p w14:paraId="4ABA401E">
      <w:pPr>
        <w:pStyle w:val="10"/>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准确性：初级数据中的原材料和能源消耗数据应来自企业实际生产统计记录，原材料和能源获取数据优先来自上游供应商；选择的排放因子应具有足够的准确性，以适应特定的核算目的；</w:t>
      </w:r>
    </w:p>
    <w:p w14:paraId="148B6325">
      <w:pPr>
        <w:pStyle w:val="10"/>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一致性</w:t>
      </w:r>
      <w:r>
        <w:rPr>
          <w:rFonts w:hint="eastAsia" w:ascii="Times New Roman" w:hAnsi="Times New Roman" w:eastAsia="宋体" w:cs="Times New Roman"/>
          <w:sz w:val="21"/>
          <w:szCs w:val="21"/>
          <w:highlight w:val="none"/>
          <w:lang w:val="en-US" w:eastAsia="zh-CN"/>
        </w:rPr>
        <w:t>：企业现场数据收集时应保持相同的数据来源、统计口径、处理规则等；</w:t>
      </w:r>
      <w:r>
        <w:rPr>
          <w:rFonts w:hint="default" w:ascii="Times New Roman" w:hAnsi="Times New Roman" w:eastAsia="宋体" w:cs="Times New Roman"/>
          <w:sz w:val="21"/>
          <w:szCs w:val="21"/>
          <w:highlight w:val="none"/>
          <w:lang w:val="en-US" w:eastAsia="zh-CN"/>
        </w:rPr>
        <w:t>对同类产品碳足迹的次级数据选择应该保持一致</w:t>
      </w:r>
      <w:r>
        <w:rPr>
          <w:rFonts w:hint="eastAsia" w:ascii="Times New Roman" w:hAnsi="Times New Roman" w:eastAsia="宋体" w:cs="Times New Roman"/>
          <w:sz w:val="21"/>
          <w:szCs w:val="21"/>
          <w:highlight w:val="none"/>
          <w:lang w:val="en-US" w:eastAsia="zh-CN"/>
        </w:rPr>
        <w:t>；</w:t>
      </w:r>
    </w:p>
    <w:p w14:paraId="17874347">
      <w:pPr>
        <w:pStyle w:val="10"/>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代表性</w:t>
      </w:r>
      <w:r>
        <w:rPr>
          <w:rFonts w:hint="eastAsia" w:ascii="Times New Roman" w:hAnsi="Times New Roman" w:eastAsia="宋体" w:cs="Times New Roman"/>
          <w:sz w:val="21"/>
          <w:szCs w:val="21"/>
          <w:highlight w:val="none"/>
          <w:lang w:val="en-US" w:eastAsia="zh-CN"/>
        </w:rPr>
        <w:t>：优先采用在时间、技术与地理代表性与评估产品系统相近的数据，若无此类数据，则依次选用能够代表国内及行业平均生产水平的近期公开生命周期评价数据，或国外同类技术数据；</w:t>
      </w:r>
    </w:p>
    <w:p w14:paraId="170F5C10">
      <w:pPr>
        <w:pStyle w:val="10"/>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both"/>
        <w:textAlignment w:val="baseline"/>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信息的不确定性</w:t>
      </w:r>
      <w:r>
        <w:rPr>
          <w:rFonts w:hint="eastAsia" w:ascii="Times New Roman" w:hAnsi="Times New Roman" w:eastAsia="宋体" w:cs="Times New Roman"/>
          <w:sz w:val="21"/>
          <w:szCs w:val="21"/>
          <w:highlight w:val="none"/>
          <w:lang w:val="en-US" w:eastAsia="zh-CN"/>
        </w:rPr>
        <w:t>：应对具有不确定性的信息作出相关说明。</w:t>
      </w:r>
    </w:p>
    <w:p w14:paraId="1C46353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按照附录E</w:t>
      </w:r>
      <w:r>
        <w:rPr>
          <w:rFonts w:hint="default" w:ascii="Times New Roman" w:hAnsi="Times New Roman" w:eastAsia="宋体" w:cs="Times New Roman"/>
          <w:sz w:val="21"/>
          <w:szCs w:val="21"/>
          <w:highlight w:val="none"/>
          <w:lang w:val="en-US" w:eastAsia="zh-CN"/>
        </w:rPr>
        <w:t>进行数据质量评价。</w:t>
      </w:r>
    </w:p>
    <w:p w14:paraId="262A45A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黑体" w:hAnsi="黑体" w:eastAsia="黑体" w:cs="黑体"/>
          <w:sz w:val="21"/>
          <w:szCs w:val="21"/>
          <w:lang w:val="en-US" w:eastAsia="zh-CN"/>
        </w:rPr>
      </w:pPr>
      <w:bookmarkStart w:id="26" w:name="_Toc10441"/>
      <w:r>
        <w:rPr>
          <w:rFonts w:hint="eastAsia" w:ascii="黑体" w:hAnsi="黑体" w:eastAsia="黑体" w:cs="黑体"/>
          <w:sz w:val="21"/>
          <w:szCs w:val="21"/>
          <w:lang w:val="en-US" w:eastAsia="zh-CN"/>
        </w:rPr>
        <w:t>6.4 数据审定</w:t>
      </w:r>
      <w:bookmarkEnd w:id="26"/>
    </w:p>
    <w:p w14:paraId="1E1C45A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both"/>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在数据收集过程中应对数据的有效性进行检查</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以确认并提供证据证明数据质量要求符合规定。数据审定宜通过建立物料平衡、能量平衡或排放因子的比较分析或其他适当的方法。由于每个单元过程都遵守物质和能量守恒定律</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因此物质和能量的平衡可为单元过程描述的准确性提供有效的检查。</w:t>
      </w:r>
    </w:p>
    <w:p w14:paraId="174999B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Times New Roman" w:hAnsi="Times New Roman" w:eastAsia="宋体" w:cs="Times New Roman"/>
          <w:sz w:val="21"/>
          <w:szCs w:val="21"/>
          <w:lang w:val="en-US" w:eastAsia="zh-CN"/>
        </w:rPr>
      </w:pPr>
      <w:bookmarkStart w:id="27" w:name="_Toc10250"/>
      <w:r>
        <w:rPr>
          <w:rFonts w:hint="eastAsia" w:ascii="黑体" w:hAnsi="黑体" w:eastAsia="黑体" w:cs="黑体"/>
          <w:sz w:val="21"/>
          <w:szCs w:val="21"/>
          <w:lang w:val="en-US" w:eastAsia="zh-CN"/>
        </w:rPr>
        <w:t>6.5 分配原则</w:t>
      </w:r>
      <w:bookmarkEnd w:id="27"/>
    </w:p>
    <w:p w14:paraId="401611F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边界设置或数据收集时，宜避免进行分配。若发现一个单元过程的输入和输出包含多个产品，则需要对该过程进行分配。分配的原则如下：</w:t>
      </w:r>
    </w:p>
    <w:p w14:paraId="18805D10">
      <w:pPr>
        <w:pStyle w:val="10"/>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优先使用物理关系（如重量、体积、数量等）进行分配；</w:t>
      </w:r>
    </w:p>
    <w:p w14:paraId="52F2F504">
      <w:pPr>
        <w:pStyle w:val="10"/>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无法找到物理关系时，使用经济关系（如产值、利润比例等）进行分配；</w:t>
      </w:r>
      <w:bookmarkStart w:id="55" w:name="_GoBack"/>
      <w:bookmarkEnd w:id="55"/>
    </w:p>
    <w:p w14:paraId="19A3B0D8">
      <w:pPr>
        <w:pStyle w:val="10"/>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一个单元过程分配的输入、输出的总和应与其分配前的输入、输出相等。</w:t>
      </w:r>
    </w:p>
    <w:p w14:paraId="395FAB3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88" w:lineRule="auto"/>
        <w:ind w:left="0" w:right="0"/>
        <w:jc w:val="left"/>
        <w:textAlignment w:val="baseline"/>
        <w:outlineLvl w:val="0"/>
        <w:rPr>
          <w:rStyle w:val="14"/>
          <w:rFonts w:hint="default" w:ascii="黑体" w:hAnsi="黑体" w:eastAsia="黑体" w:cs="黑体"/>
          <w:b w:val="0"/>
          <w:bCs w:val="0"/>
          <w:i w:val="0"/>
          <w:iCs w:val="0"/>
          <w:caps w:val="0"/>
          <w:color w:val="000000"/>
          <w:spacing w:val="-2"/>
          <w:sz w:val="21"/>
          <w:szCs w:val="21"/>
          <w:shd w:val="clear" w:fill="FFFFFF"/>
          <w:vertAlign w:val="baseline"/>
          <w:lang w:val="en-US" w:eastAsia="zh-CN"/>
        </w:rPr>
      </w:pPr>
      <w:bookmarkStart w:id="28" w:name="_Toc14301"/>
      <w:r>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t>7  影响评价</w:t>
      </w:r>
      <w:bookmarkEnd w:id="28"/>
    </w:p>
    <w:p w14:paraId="5DE4745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黑体" w:hAnsi="黑体" w:eastAsia="黑体" w:cs="黑体"/>
          <w:sz w:val="21"/>
          <w:szCs w:val="21"/>
          <w:lang w:val="en-US" w:eastAsia="zh-CN"/>
        </w:rPr>
      </w:pPr>
      <w:bookmarkStart w:id="29" w:name="_Toc26960"/>
      <w:r>
        <w:rPr>
          <w:rFonts w:hint="eastAsia" w:ascii="黑体" w:hAnsi="黑体" w:eastAsia="黑体" w:cs="黑体"/>
          <w:sz w:val="21"/>
          <w:szCs w:val="21"/>
          <w:lang w:val="en-US" w:eastAsia="zh-CN"/>
        </w:rPr>
        <w:t>7.1 产品碳足迹计算</w:t>
      </w:r>
      <w:bookmarkEnd w:id="29"/>
    </w:p>
    <w:p w14:paraId="42EC189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软饮料产品碳足迹为声明单位系统边界内各阶段碳足迹之和，按照公式（1）进行计算。</w:t>
      </w:r>
    </w:p>
    <w:p w14:paraId="3369510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2523" w:leftChars="0" w:right="0" w:firstLine="420" w:firstLineChars="0"/>
        <w:jc w:val="left"/>
        <w:textAlignment w:val="baseline"/>
        <w:rPr>
          <w:rFonts w:hint="default" w:ascii="Times New Roman" w:hAnsi="Times New Roman" w:eastAsia="宋体" w:cs="Times New Roman"/>
          <w:sz w:val="21"/>
          <w:szCs w:val="21"/>
          <w:lang w:val="en-US" w:eastAsia="zh-CN"/>
        </w:rPr>
      </w:pPr>
      <m:oMath>
        <m:sSub>
          <m:sSubPr>
            <m:ctrlPr>
              <w:rPr>
                <w:rFonts w:hint="default" w:ascii="Cambria Math" w:hAnsi="Cambria Math" w:eastAsia="宋体" w:cs="Times New Roman"/>
                <w:i/>
                <w:iCs/>
                <w:kern w:val="0"/>
                <w:sz w:val="21"/>
                <w:szCs w:val="21"/>
                <w:lang w:val="en-US" w:eastAsia="zh-CN" w:bidi="ar"/>
              </w:rPr>
            </m:ctrlPr>
          </m:sSubPr>
          <m:e>
            <m:r>
              <m:rPr>
                <m:nor/>
              </m:rPr>
              <w:rPr>
                <w:rFonts w:hint="default" w:ascii="Times New Roman" w:hAnsi="Times New Roman" w:eastAsia="宋体" w:cs="Times New Roman"/>
                <w:i/>
                <w:iCs/>
                <w:kern w:val="0"/>
                <w:sz w:val="21"/>
                <w:szCs w:val="21"/>
                <w:lang w:val="en-US" w:eastAsia="zh-CN" w:bidi="ar"/>
              </w:rPr>
              <m:t>CFP</m:t>
            </m:r>
            <m:ctrlPr>
              <w:rPr>
                <w:rFonts w:hint="default" w:ascii="Cambria Math" w:hAnsi="Cambria Math" w:eastAsia="宋体" w:cs="Times New Roman"/>
                <w:i/>
                <w:iCs/>
                <w:kern w:val="0"/>
                <w:sz w:val="21"/>
                <w:szCs w:val="21"/>
                <w:lang w:val="en-US" w:eastAsia="zh-CN" w:bidi="ar"/>
              </w:rPr>
            </m:ctrlPr>
          </m:e>
          <m:sub>
            <m:r>
              <m:rPr>
                <m:nor/>
              </m:rPr>
              <w:rPr>
                <w:rFonts w:hint="default" w:ascii="Times New Roman" w:hAnsi="Times New Roman" w:eastAsia="宋体" w:cs="Times New Roman"/>
                <w:i/>
                <w:iCs/>
                <w:kern w:val="0"/>
                <w:sz w:val="21"/>
                <w:szCs w:val="21"/>
                <w:lang w:val="en-US" w:eastAsia="zh-CN" w:bidi="ar"/>
              </w:rPr>
              <m:t>total</m:t>
            </m:r>
            <m:ctrlPr>
              <w:rPr>
                <w:rFonts w:hint="default" w:ascii="Cambria Math" w:hAnsi="Cambria Math" w:eastAsia="宋体" w:cs="Times New Roman"/>
                <w:i/>
                <w:iCs/>
                <w:kern w:val="0"/>
                <w:sz w:val="21"/>
                <w:szCs w:val="21"/>
                <w:lang w:val="en-US" w:eastAsia="zh-CN" w:bidi="ar"/>
              </w:rPr>
            </m:ctrlPr>
          </m:sub>
        </m:sSub>
        <m:r>
          <m:rPr>
            <m:nor/>
            <m:sty m:val="p"/>
          </m:rPr>
          <w:rPr>
            <w:rFonts w:hint="default" w:ascii="Times New Roman" w:hAnsi="Times New Roman" w:eastAsia="宋体" w:cs="Times New Roman"/>
            <w:b w:val="0"/>
            <w:i w:val="0"/>
            <w:kern w:val="0"/>
            <w:sz w:val="21"/>
            <w:szCs w:val="21"/>
            <w:lang w:val="en-US" w:eastAsia="zh-CN" w:bidi="ar"/>
          </w:rPr>
          <m:t>=</m:t>
        </m:r>
        <m:sSub>
          <m:sSubPr>
            <m:ctrlPr>
              <w:rPr>
                <w:rFonts w:hint="default" w:ascii="Cambria Math" w:hAnsi="Cambria Math" w:eastAsia="宋体" w:cs="Times New Roman"/>
                <w:b w:val="0"/>
                <w:i/>
                <w:iCs/>
                <w:kern w:val="0"/>
                <w:sz w:val="21"/>
                <w:szCs w:val="21"/>
                <w:lang w:val="en-US" w:eastAsia="zh-CN" w:bidi="ar"/>
              </w:rPr>
            </m:ctrlPr>
          </m:sSubPr>
          <m:e>
            <m:r>
              <m:rPr>
                <m:nor/>
              </m:rPr>
              <w:rPr>
                <w:rFonts w:hint="default" w:ascii="Times New Roman" w:hAnsi="Times New Roman" w:eastAsia="宋体" w:cs="Times New Roman"/>
                <w:b w:val="0"/>
                <w:i/>
                <w:iCs/>
                <w:kern w:val="0"/>
                <w:sz w:val="21"/>
                <w:szCs w:val="21"/>
                <w:lang w:val="en-US" w:eastAsia="zh-CN" w:bidi="ar"/>
              </w:rPr>
              <m:t>CFP</m:t>
            </m:r>
            <m:ctrlPr>
              <w:rPr>
                <w:rFonts w:hint="default" w:ascii="Cambria Math" w:hAnsi="Cambria Math" w:eastAsia="宋体" w:cs="Times New Roman"/>
                <w:b w:val="0"/>
                <w:i/>
                <w:iCs/>
                <w:kern w:val="0"/>
                <w:sz w:val="21"/>
                <w:szCs w:val="21"/>
                <w:lang w:val="en-US" w:eastAsia="zh-CN" w:bidi="ar"/>
              </w:rPr>
            </m:ctrlPr>
          </m:e>
          <m:sub>
            <m:r>
              <m:rPr>
                <m:nor/>
              </m:rPr>
              <w:rPr>
                <w:rFonts w:hint="default" w:ascii="Times New Roman" w:hAnsi="Times New Roman" w:eastAsia="宋体" w:cs="Times New Roman"/>
                <w:b w:val="0"/>
                <w:i/>
                <w:iCs/>
                <w:kern w:val="0"/>
                <w:sz w:val="21"/>
                <w:szCs w:val="21"/>
                <w:lang w:val="en-US" w:eastAsia="zh-CN" w:bidi="ar"/>
              </w:rPr>
              <m:t>A</m:t>
            </m:r>
            <m:ctrlPr>
              <w:rPr>
                <w:rFonts w:hint="default" w:ascii="Cambria Math" w:hAnsi="Cambria Math" w:eastAsia="宋体" w:cs="Times New Roman"/>
                <w:b w:val="0"/>
                <w:i/>
                <w:iCs/>
                <w:kern w:val="0"/>
                <w:sz w:val="21"/>
                <w:szCs w:val="21"/>
                <w:lang w:val="en-US" w:eastAsia="zh-CN" w:bidi="ar"/>
              </w:rPr>
            </m:ctrlPr>
          </m:sub>
        </m:sSub>
        <m:r>
          <m:rPr>
            <m:nor/>
            <m:sty m:val="p"/>
          </m:rPr>
          <w:rPr>
            <w:rFonts w:hint="default" w:ascii="Cambria Math" w:hAnsi="Cambria Math" w:eastAsia="宋体" w:cs="Times New Roman"/>
            <w:b w:val="0"/>
            <w:i w:val="0"/>
            <w:kern w:val="0"/>
            <w:sz w:val="21"/>
            <w:szCs w:val="21"/>
            <w:lang w:val="en-US" w:eastAsia="zh-CN" w:bidi="ar"/>
          </w:rPr>
          <m:t>+</m:t>
        </m:r>
        <m:sSub>
          <m:sSubPr>
            <m:ctrlPr>
              <w:rPr>
                <w:rFonts w:hint="default" w:ascii="Cambria Math" w:hAnsi="Cambria Math" w:eastAsia="宋体" w:cs="Times New Roman"/>
                <w:b w:val="0"/>
                <w:i/>
                <w:iCs/>
                <w:kern w:val="0"/>
                <w:sz w:val="21"/>
                <w:szCs w:val="21"/>
                <w:lang w:val="en-US" w:eastAsia="zh-CN" w:bidi="ar"/>
              </w:rPr>
            </m:ctrlPr>
          </m:sSubPr>
          <m:e>
            <m:r>
              <m:rPr>
                <m:nor/>
              </m:rPr>
              <w:rPr>
                <w:rFonts w:hint="default" w:ascii="Times New Roman" w:hAnsi="Times New Roman" w:eastAsia="宋体" w:cs="Times New Roman"/>
                <w:b w:val="0"/>
                <w:i/>
                <w:iCs/>
                <w:kern w:val="0"/>
                <w:sz w:val="21"/>
                <w:szCs w:val="21"/>
                <w:lang w:val="en-US" w:eastAsia="zh-CN" w:bidi="ar"/>
              </w:rPr>
              <m:t>CFP</m:t>
            </m:r>
            <m:ctrlPr>
              <w:rPr>
                <w:rFonts w:hint="default" w:ascii="Cambria Math" w:hAnsi="Cambria Math" w:eastAsia="宋体" w:cs="Times New Roman"/>
                <w:b w:val="0"/>
                <w:i/>
                <w:iCs/>
                <w:kern w:val="0"/>
                <w:sz w:val="21"/>
                <w:szCs w:val="21"/>
                <w:lang w:val="en-US" w:eastAsia="zh-CN" w:bidi="ar"/>
              </w:rPr>
            </m:ctrlPr>
          </m:e>
          <m:sub>
            <m:r>
              <m:rPr>
                <m:nor/>
              </m:rPr>
              <w:rPr>
                <w:rFonts w:hint="default" w:ascii="Times New Roman" w:hAnsi="Times New Roman" w:eastAsia="宋体" w:cs="Times New Roman"/>
                <w:b w:val="0"/>
                <w:i/>
                <w:iCs/>
                <w:kern w:val="0"/>
                <w:sz w:val="21"/>
                <w:szCs w:val="21"/>
                <w:lang w:val="en-US" w:eastAsia="zh-CN" w:bidi="ar"/>
              </w:rPr>
              <m:t>B</m:t>
            </m:r>
            <m:ctrlPr>
              <w:rPr>
                <w:rFonts w:hint="default" w:ascii="Cambria Math" w:hAnsi="Cambria Math" w:eastAsia="宋体" w:cs="Times New Roman"/>
                <w:b w:val="0"/>
                <w:i/>
                <w:iCs/>
                <w:kern w:val="0"/>
                <w:sz w:val="21"/>
                <w:szCs w:val="21"/>
                <w:lang w:val="en-US" w:eastAsia="zh-CN" w:bidi="ar"/>
              </w:rPr>
            </m:ctrlPr>
          </m:sub>
        </m:sSub>
        <m:r>
          <m:rPr>
            <m:nor/>
            <m:sty m:val="p"/>
          </m:rPr>
          <w:rPr>
            <w:rFonts w:hint="default" w:ascii="Cambria Math" w:hAnsi="Cambria Math" w:eastAsia="宋体" w:cs="Times New Roman"/>
            <w:b w:val="0"/>
            <w:i w:val="0"/>
            <w:kern w:val="0"/>
            <w:sz w:val="21"/>
            <w:szCs w:val="21"/>
            <w:lang w:val="en-US" w:eastAsia="zh-CN" w:bidi="ar"/>
          </w:rPr>
          <m:t>+</m:t>
        </m:r>
        <m:sSub>
          <m:sSubPr>
            <m:ctrlPr>
              <w:rPr>
                <w:rFonts w:hint="default" w:ascii="Cambria Math" w:hAnsi="Cambria Math" w:eastAsia="宋体" w:cs="Times New Roman"/>
                <w:b w:val="0"/>
                <w:i/>
                <w:iCs/>
                <w:kern w:val="0"/>
                <w:sz w:val="21"/>
                <w:szCs w:val="21"/>
                <w:lang w:val="en-US" w:eastAsia="zh-CN" w:bidi="ar"/>
              </w:rPr>
            </m:ctrlPr>
          </m:sSubPr>
          <m:e>
            <m:r>
              <m:rPr>
                <m:nor/>
              </m:rPr>
              <w:rPr>
                <w:rFonts w:hint="default" w:ascii="Times New Roman" w:hAnsi="Times New Roman" w:eastAsia="宋体" w:cs="Times New Roman"/>
                <w:b w:val="0"/>
                <w:i/>
                <w:iCs/>
                <w:kern w:val="0"/>
                <w:sz w:val="21"/>
                <w:szCs w:val="21"/>
                <w:lang w:val="en-US" w:eastAsia="zh-CN" w:bidi="ar"/>
              </w:rPr>
              <m:t>CFP</m:t>
            </m:r>
            <m:ctrlPr>
              <w:rPr>
                <w:rFonts w:hint="default" w:ascii="Cambria Math" w:hAnsi="Cambria Math" w:eastAsia="宋体" w:cs="Times New Roman"/>
                <w:b w:val="0"/>
                <w:i/>
                <w:iCs/>
                <w:kern w:val="0"/>
                <w:sz w:val="21"/>
                <w:szCs w:val="21"/>
                <w:lang w:val="en-US" w:eastAsia="zh-CN" w:bidi="ar"/>
              </w:rPr>
            </m:ctrlPr>
          </m:e>
          <m:sub>
            <m:r>
              <m:rPr>
                <m:nor/>
              </m:rPr>
              <w:rPr>
                <w:rFonts w:hint="default" w:ascii="Times New Roman" w:hAnsi="Times New Roman" w:eastAsia="宋体" w:cs="Times New Roman"/>
                <w:b w:val="0"/>
                <w:i/>
                <w:iCs/>
                <w:kern w:val="0"/>
                <w:sz w:val="21"/>
                <w:szCs w:val="21"/>
                <w:lang w:val="en-US" w:eastAsia="zh-CN" w:bidi="ar"/>
              </w:rPr>
              <m:t>C</m:t>
            </m:r>
            <m:ctrlPr>
              <w:rPr>
                <w:rFonts w:hint="default" w:ascii="Cambria Math" w:hAnsi="Cambria Math" w:eastAsia="宋体" w:cs="Times New Roman"/>
                <w:b w:val="0"/>
                <w:i/>
                <w:iCs/>
                <w:kern w:val="0"/>
                <w:sz w:val="21"/>
                <w:szCs w:val="21"/>
                <w:lang w:val="en-US" w:eastAsia="zh-CN" w:bidi="ar"/>
              </w:rPr>
            </m:ctrlPr>
          </m:sub>
        </m:sSub>
        <m:r>
          <m:rPr>
            <m:nor/>
            <m:sty m:val="p"/>
          </m:rPr>
          <w:rPr>
            <w:rFonts w:hint="default" w:ascii="Cambria Math" w:hAnsi="Cambria Math" w:eastAsia="宋体" w:cs="Times New Roman"/>
            <w:b w:val="0"/>
            <w:i w:val="0"/>
            <w:kern w:val="0"/>
            <w:sz w:val="21"/>
            <w:szCs w:val="21"/>
            <w:lang w:val="en-US" w:eastAsia="zh-CN" w:bidi="ar"/>
          </w:rPr>
          <m:t>+</m:t>
        </m:r>
        <m:sSub>
          <m:sSubPr>
            <m:ctrlPr>
              <w:rPr>
                <w:rFonts w:hint="default" w:ascii="Cambria Math" w:hAnsi="Cambria Math" w:eastAsia="宋体" w:cs="Times New Roman"/>
                <w:b w:val="0"/>
                <w:i/>
                <w:iCs/>
                <w:kern w:val="0"/>
                <w:sz w:val="21"/>
                <w:szCs w:val="21"/>
                <w:lang w:val="en-US" w:eastAsia="zh-CN" w:bidi="ar"/>
              </w:rPr>
            </m:ctrlPr>
          </m:sSubPr>
          <m:e>
            <m:r>
              <m:rPr>
                <m:nor/>
              </m:rPr>
              <w:rPr>
                <w:rFonts w:hint="default" w:ascii="Times New Roman" w:hAnsi="Times New Roman" w:eastAsia="宋体" w:cs="Times New Roman"/>
                <w:b w:val="0"/>
                <w:i/>
                <w:iCs/>
                <w:kern w:val="0"/>
                <w:sz w:val="21"/>
                <w:szCs w:val="21"/>
                <w:lang w:val="en-US" w:eastAsia="zh-CN" w:bidi="ar"/>
              </w:rPr>
              <m:t>CFP</m:t>
            </m:r>
            <m:ctrlPr>
              <w:rPr>
                <w:rFonts w:hint="default" w:ascii="Cambria Math" w:hAnsi="Cambria Math" w:eastAsia="宋体" w:cs="Times New Roman"/>
                <w:b w:val="0"/>
                <w:i/>
                <w:iCs/>
                <w:kern w:val="0"/>
                <w:sz w:val="21"/>
                <w:szCs w:val="21"/>
                <w:lang w:val="en-US" w:eastAsia="zh-CN" w:bidi="ar"/>
              </w:rPr>
            </m:ctrlPr>
          </m:e>
          <m:sub>
            <m:r>
              <m:rPr>
                <m:nor/>
              </m:rPr>
              <w:rPr>
                <w:rFonts w:hint="default" w:ascii="Times New Roman" w:hAnsi="Times New Roman" w:eastAsia="宋体" w:cs="Times New Roman"/>
                <w:b w:val="0"/>
                <w:i/>
                <w:iCs/>
                <w:kern w:val="0"/>
                <w:sz w:val="21"/>
                <w:szCs w:val="21"/>
                <w:lang w:val="en-US" w:eastAsia="zh-CN" w:bidi="ar"/>
              </w:rPr>
              <m:t>D</m:t>
            </m:r>
            <m:ctrlPr>
              <w:rPr>
                <w:rFonts w:hint="default" w:ascii="Cambria Math" w:hAnsi="Cambria Math" w:eastAsia="宋体" w:cs="Times New Roman"/>
                <w:b w:val="0"/>
                <w:i/>
                <w:iCs/>
                <w:kern w:val="0"/>
                <w:sz w:val="21"/>
                <w:szCs w:val="21"/>
                <w:lang w:val="en-US" w:eastAsia="zh-CN" w:bidi="ar"/>
              </w:rPr>
            </m:ctrlPr>
          </m:sub>
        </m:sSub>
      </m:oMath>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default" w:ascii="Times New Roman" w:hAnsi="Times New Roman" w:eastAsia="宋体" w:cs="Times New Roman"/>
          <w:i w:val="0"/>
          <w:iCs/>
          <w:kern w:val="0"/>
          <w:sz w:val="21"/>
          <w:szCs w:val="21"/>
          <w:lang w:val="en-US" w:eastAsia="zh-CN" w:bidi="ar"/>
        </w:rPr>
        <w:t>（1）</w:t>
      </w:r>
    </w:p>
    <w:p w14:paraId="6193B62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式中：</w:t>
      </w:r>
    </w:p>
    <w:p w14:paraId="386359E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CFP</w:t>
      </w:r>
      <w:r>
        <w:rPr>
          <w:rFonts w:hint="eastAsia" w:ascii="Times New Roman" w:hAnsi="Times New Roman" w:eastAsia="宋体" w:cs="Times New Roman"/>
          <w:i/>
          <w:iCs/>
          <w:sz w:val="21"/>
          <w:szCs w:val="21"/>
          <w:vertAlign w:val="subscript"/>
          <w:lang w:val="en-US" w:eastAsia="zh-CN"/>
        </w:rPr>
        <w:t>total</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每声明单位软饮料产品碳足迹或产品部分碳足迹，单位为千克二氧化碳当量/声明单位（kgCO</w:t>
      </w:r>
      <w:r>
        <w:rPr>
          <w:rFonts w:hint="eastAsia" w:ascii="Times New Roman" w:hAnsi="Times New Roman" w:eastAsia="宋体" w:cs="Times New Roman"/>
          <w:sz w:val="21"/>
          <w:szCs w:val="21"/>
          <w:vertAlign w:val="subscript"/>
          <w:lang w:val="en-US" w:eastAsia="zh-CN"/>
        </w:rPr>
        <w:t>2</w:t>
      </w:r>
      <w:r>
        <w:rPr>
          <w:rFonts w:hint="eastAsia" w:ascii="Times New Roman" w:hAnsi="Times New Roman" w:eastAsia="宋体" w:cs="Times New Roman"/>
          <w:sz w:val="21"/>
          <w:szCs w:val="21"/>
          <w:lang w:val="en-US" w:eastAsia="zh-CN"/>
        </w:rPr>
        <w:t>e/声明单位）；</w:t>
      </w:r>
    </w:p>
    <w:p w14:paraId="24A553C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CFP</w:t>
      </w:r>
      <w:r>
        <w:rPr>
          <w:rFonts w:hint="eastAsia" w:ascii="Times New Roman" w:hAnsi="Times New Roman" w:eastAsia="宋体" w:cs="Times New Roman"/>
          <w:i/>
          <w:iCs/>
          <w:sz w:val="21"/>
          <w:szCs w:val="21"/>
          <w:vertAlign w:val="subscript"/>
          <w:lang w:val="en-US" w:eastAsia="zh-CN"/>
        </w:rPr>
        <w:t>A</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每声明单位软饮料产品原材料获取阶段的温室气体排放量，单位为千克二氧化碳当量/声明单位（kgCO</w:t>
      </w:r>
      <w:r>
        <w:rPr>
          <w:rFonts w:hint="eastAsia" w:ascii="Times New Roman" w:hAnsi="Times New Roman" w:eastAsia="宋体" w:cs="Times New Roman"/>
          <w:sz w:val="21"/>
          <w:szCs w:val="21"/>
          <w:vertAlign w:val="subscript"/>
          <w:lang w:val="en-US" w:eastAsia="zh-CN"/>
        </w:rPr>
        <w:t>2</w:t>
      </w:r>
      <w:r>
        <w:rPr>
          <w:rFonts w:hint="eastAsia" w:ascii="Times New Roman" w:hAnsi="Times New Roman" w:eastAsia="宋体" w:cs="Times New Roman"/>
          <w:sz w:val="21"/>
          <w:szCs w:val="21"/>
          <w:lang w:val="en-US" w:eastAsia="zh-CN"/>
        </w:rPr>
        <w:t>e/声明单位）。计算方法见公式（2）；</w:t>
      </w:r>
    </w:p>
    <w:p w14:paraId="1565319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CFP</w:t>
      </w:r>
      <w:r>
        <w:rPr>
          <w:rFonts w:hint="eastAsia" w:ascii="Times New Roman" w:hAnsi="Times New Roman" w:eastAsia="宋体" w:cs="Times New Roman"/>
          <w:i/>
          <w:iCs/>
          <w:sz w:val="21"/>
          <w:szCs w:val="21"/>
          <w:vertAlign w:val="subscript"/>
          <w:lang w:val="en-US" w:eastAsia="zh-CN"/>
        </w:rPr>
        <w:t>B</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每声明单位软饮料产品生产阶段的温室气体排放量，单位为千克二氧化碳当量/声明单位（kgCO</w:t>
      </w:r>
      <w:r>
        <w:rPr>
          <w:rFonts w:hint="eastAsia" w:ascii="Times New Roman" w:hAnsi="Times New Roman" w:eastAsia="宋体" w:cs="Times New Roman"/>
          <w:sz w:val="21"/>
          <w:szCs w:val="21"/>
          <w:vertAlign w:val="subscript"/>
          <w:lang w:val="en-US" w:eastAsia="zh-CN"/>
        </w:rPr>
        <w:t>2</w:t>
      </w:r>
      <w:r>
        <w:rPr>
          <w:rFonts w:hint="eastAsia" w:ascii="Times New Roman" w:hAnsi="Times New Roman" w:eastAsia="宋体" w:cs="Times New Roman"/>
          <w:sz w:val="21"/>
          <w:szCs w:val="21"/>
          <w:lang w:val="en-US" w:eastAsia="zh-CN"/>
        </w:rPr>
        <w:t>e/声明单位），计算方法见公式（3）；</w:t>
      </w:r>
    </w:p>
    <w:p w14:paraId="5FB9332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CFP</w:t>
      </w:r>
      <w:r>
        <w:rPr>
          <w:rFonts w:hint="eastAsia" w:ascii="Times New Roman" w:hAnsi="Times New Roman" w:eastAsia="宋体" w:cs="Times New Roman"/>
          <w:i/>
          <w:iCs/>
          <w:sz w:val="21"/>
          <w:szCs w:val="21"/>
          <w:vertAlign w:val="subscript"/>
          <w:lang w:val="en-US" w:eastAsia="zh-CN"/>
        </w:rPr>
        <w:t>C</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每声明单位软饮料产品分销阶段的温室气体排放量，单位为千克二氧化碳当量/声明单位（kgCO</w:t>
      </w:r>
      <w:r>
        <w:rPr>
          <w:rFonts w:hint="eastAsia" w:ascii="Times New Roman" w:hAnsi="Times New Roman" w:eastAsia="宋体" w:cs="Times New Roman"/>
          <w:sz w:val="21"/>
          <w:szCs w:val="21"/>
          <w:vertAlign w:val="subscript"/>
          <w:lang w:val="en-US" w:eastAsia="zh-CN"/>
        </w:rPr>
        <w:t>2</w:t>
      </w:r>
      <w:r>
        <w:rPr>
          <w:rFonts w:hint="eastAsia" w:ascii="Times New Roman" w:hAnsi="Times New Roman" w:eastAsia="宋体" w:cs="Times New Roman"/>
          <w:sz w:val="21"/>
          <w:szCs w:val="21"/>
          <w:lang w:val="en-US" w:eastAsia="zh-CN"/>
        </w:rPr>
        <w:t>e/声明单位），计算方法见公式（4）；</w:t>
      </w:r>
    </w:p>
    <w:p w14:paraId="4454A5D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CFP</w:t>
      </w:r>
      <w:r>
        <w:rPr>
          <w:rFonts w:hint="eastAsia" w:ascii="Times New Roman" w:hAnsi="Times New Roman" w:eastAsia="宋体" w:cs="Times New Roman"/>
          <w:i/>
          <w:iCs/>
          <w:sz w:val="21"/>
          <w:szCs w:val="21"/>
          <w:vertAlign w:val="subscript"/>
          <w:lang w:val="en-US" w:eastAsia="zh-CN"/>
        </w:rPr>
        <w:t>D</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每声明单位软饮料产品生命末期阶段的温室气体排放量，单位为千克二氧化碳当量/声明单位（kgCO</w:t>
      </w:r>
      <w:r>
        <w:rPr>
          <w:rFonts w:hint="eastAsia" w:ascii="Times New Roman" w:hAnsi="Times New Roman" w:eastAsia="宋体" w:cs="Times New Roman"/>
          <w:sz w:val="21"/>
          <w:szCs w:val="21"/>
          <w:vertAlign w:val="subscript"/>
          <w:lang w:val="en-US" w:eastAsia="zh-CN"/>
        </w:rPr>
        <w:t>2</w:t>
      </w:r>
      <w:r>
        <w:rPr>
          <w:rFonts w:hint="eastAsia" w:ascii="Times New Roman" w:hAnsi="Times New Roman" w:eastAsia="宋体" w:cs="Times New Roman"/>
          <w:sz w:val="21"/>
          <w:szCs w:val="21"/>
          <w:lang w:val="en-US" w:eastAsia="zh-CN"/>
        </w:rPr>
        <w:t>e/声明单位），计算方法见公式（5）；</w:t>
      </w:r>
    </w:p>
    <w:p w14:paraId="0135174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黑体" w:hAnsi="黑体" w:eastAsia="黑体" w:cs="黑体"/>
          <w:sz w:val="21"/>
          <w:szCs w:val="21"/>
          <w:lang w:val="en-US" w:eastAsia="zh-CN"/>
        </w:rPr>
      </w:pPr>
      <w:bookmarkStart w:id="30" w:name="_Toc21795"/>
      <w:r>
        <w:rPr>
          <w:rFonts w:hint="eastAsia" w:ascii="黑体" w:hAnsi="黑体" w:eastAsia="黑体" w:cs="黑体"/>
          <w:sz w:val="21"/>
          <w:szCs w:val="21"/>
          <w:lang w:val="en-US" w:eastAsia="zh-CN"/>
        </w:rPr>
        <w:t>7.2 原材料获取阶段碳足迹</w:t>
      </w:r>
      <w:bookmarkEnd w:id="30"/>
    </w:p>
    <w:p w14:paraId="4B3227A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软饮料产品原材料获取阶段碳足迹按照公式（2）进行计算。</w:t>
      </w:r>
    </w:p>
    <w:p w14:paraId="2DA4B26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1263" w:leftChars="0" w:right="0" w:firstLine="421" w:firstLineChars="0"/>
        <w:jc w:val="left"/>
        <w:textAlignment w:val="baseline"/>
        <w:rPr>
          <w:rFonts w:hint="default" w:ascii="Times New Roman" w:hAnsi="Times New Roman" w:eastAsia="宋体" w:cs="Times New Roman"/>
          <w:sz w:val="21"/>
          <w:szCs w:val="21"/>
          <w:lang w:val="en-US" w:eastAsia="zh-CN"/>
        </w:rPr>
      </w:pPr>
      <m:oMath>
        <m:sSub>
          <m:sSubPr>
            <m:ctrlPr>
              <w:rPr>
                <w:rFonts w:hint="default" w:ascii="Cambria Math" w:hAnsi="Cambria Math" w:eastAsia="宋体" w:cs="Times New Roman"/>
                <w:i/>
                <w:iCs/>
                <w:kern w:val="0"/>
                <w:sz w:val="21"/>
                <w:szCs w:val="21"/>
                <w:lang w:val="en-US" w:eastAsia="zh-CN" w:bidi="ar"/>
              </w:rPr>
            </m:ctrlPr>
          </m:sSubPr>
          <m:e>
            <m:r>
              <m:rPr>
                <m:nor/>
              </m:rPr>
              <w:rPr>
                <w:rFonts w:hint="default" w:ascii="Times New Roman" w:hAnsi="Times New Roman" w:eastAsia="宋体" w:cs="Times New Roman"/>
                <w:i/>
                <w:iCs/>
                <w:kern w:val="0"/>
                <w:sz w:val="21"/>
                <w:szCs w:val="21"/>
                <w:lang w:val="en-US" w:eastAsia="zh-CN" w:bidi="ar"/>
              </w:rPr>
              <m:t>CFP</m:t>
            </m:r>
            <m:ctrlPr>
              <w:rPr>
                <w:rFonts w:hint="default" w:ascii="Cambria Math" w:hAnsi="Cambria Math" w:eastAsia="宋体" w:cs="Times New Roman"/>
                <w:i/>
                <w:iCs/>
                <w:kern w:val="0"/>
                <w:sz w:val="21"/>
                <w:szCs w:val="21"/>
                <w:lang w:val="en-US" w:eastAsia="zh-CN" w:bidi="ar"/>
              </w:rPr>
            </m:ctrlPr>
          </m:e>
          <m:sub>
            <m:r>
              <m:rPr>
                <m:nor/>
              </m:rPr>
              <w:rPr>
                <w:rFonts w:hint="default" w:ascii="Times New Roman" w:hAnsi="Times New Roman" w:eastAsia="宋体" w:cs="Times New Roman"/>
                <w:i/>
                <w:iCs/>
                <w:kern w:val="0"/>
                <w:sz w:val="21"/>
                <w:szCs w:val="21"/>
                <w:lang w:val="en-US" w:eastAsia="zh-CN" w:bidi="ar"/>
              </w:rPr>
              <m:t>A</m:t>
            </m:r>
            <m:ctrlPr>
              <w:rPr>
                <w:rFonts w:hint="default" w:ascii="Cambria Math" w:hAnsi="Cambria Math" w:eastAsia="宋体" w:cs="Times New Roman"/>
                <w:i/>
                <w:iCs/>
                <w:kern w:val="0"/>
                <w:sz w:val="21"/>
                <w:szCs w:val="21"/>
                <w:lang w:val="en-US" w:eastAsia="zh-CN" w:bidi="ar"/>
              </w:rPr>
            </m:ctrlPr>
          </m:sub>
        </m:sSub>
        <m:r>
          <m:rPr>
            <m:nor/>
            <m:sty m:val="p"/>
          </m:rPr>
          <w:rPr>
            <w:rFonts w:hint="default" w:ascii="Times New Roman" w:hAnsi="Times New Roman" w:eastAsia="宋体" w:cs="Times New Roman"/>
            <w:b w:val="0"/>
            <w:i w:val="0"/>
            <w:kern w:val="0"/>
            <w:sz w:val="21"/>
            <w:szCs w:val="21"/>
            <w:lang w:val="en-US" w:eastAsia="zh-CN" w:bidi="ar"/>
          </w:rPr>
          <m:t>=</m:t>
        </m:r>
        <m:nary>
          <m:naryPr>
            <m:chr m:val="∑"/>
            <m:limLoc m:val="subSup"/>
            <m:supHide m:val="1"/>
            <m:ctrlPr>
              <w:rPr>
                <w:rFonts w:hint="default" w:ascii="Cambria Math" w:hAnsi="Cambria Math" w:eastAsia="宋体" w:cs="Times New Roman"/>
                <w:kern w:val="0"/>
                <w:sz w:val="21"/>
                <w:szCs w:val="21"/>
                <w:lang w:val="en-US" w:eastAsia="zh-CN" w:bidi="ar"/>
              </w:rPr>
            </m:ctrlPr>
          </m:naryPr>
          <m:sub>
            <m:r>
              <m:rPr>
                <m:nor/>
              </m:rPr>
              <w:rPr>
                <w:rFonts w:hint="default" w:ascii="Times New Roman" w:hAnsi="Times New Roman" w:eastAsia="宋体" w:cs="Times New Roman"/>
                <w:i/>
                <w:iCs/>
                <w:kern w:val="0"/>
                <w:sz w:val="21"/>
                <w:szCs w:val="21"/>
                <w:lang w:val="en-US" w:eastAsia="zh-CN" w:bidi="ar"/>
              </w:rPr>
              <m:t>i</m:t>
            </m:r>
            <m:ctrlPr>
              <w:rPr>
                <w:rFonts w:hint="default" w:ascii="Cambria Math" w:hAnsi="Cambria Math" w:eastAsia="宋体" w:cs="Times New Roman"/>
                <w:kern w:val="0"/>
                <w:sz w:val="21"/>
                <w:szCs w:val="21"/>
                <w:lang w:val="en-US" w:eastAsia="zh-CN" w:bidi="ar"/>
              </w:rPr>
            </m:ctrlPr>
          </m:sub>
          <m:sup>
            <m:ctrlPr>
              <w:rPr>
                <w:rFonts w:hint="default" w:ascii="Cambria Math" w:hAnsi="Cambria Math" w:eastAsia="宋体" w:cs="Times New Roman"/>
                <w:kern w:val="0"/>
                <w:sz w:val="21"/>
                <w:szCs w:val="21"/>
                <w:lang w:val="en-US" w:eastAsia="zh-CN" w:bidi="ar"/>
              </w:rPr>
            </m:ctrlPr>
          </m:sup>
          <m:e>
            <m:sSub>
              <m:sSubPr>
                <m:ctrlPr>
                  <w:rPr>
                    <w:rFonts w:hint="default" w:ascii="Cambria Math" w:hAnsi="Cambria Math" w:eastAsia="宋体" w:cs="Times New Roman"/>
                    <w:i/>
                    <w:iCs/>
                    <w:kern w:val="0"/>
                    <w:sz w:val="21"/>
                    <w:szCs w:val="21"/>
                    <w:lang w:val="en-US" w:eastAsia="zh-CN" w:bidi="ar"/>
                  </w:rPr>
                </m:ctrlPr>
              </m:sSubPr>
              <m:e>
                <m:r>
                  <m:rPr>
                    <m:nor/>
                    <m:sty m:val="p"/>
                  </m:rPr>
                  <w:rPr>
                    <w:rFonts w:hint="default" w:ascii="Times New Roman" w:hAnsi="Times New Roman" w:eastAsia="宋体" w:cs="Times New Roman"/>
                    <w:b w:val="0"/>
                    <w:i w:val="0"/>
                    <w:iCs w:val="0"/>
                    <w:kern w:val="0"/>
                    <w:sz w:val="21"/>
                    <w:szCs w:val="21"/>
                    <w:lang w:val="en-US" w:eastAsia="zh-CN" w:bidi="ar"/>
                  </w:rPr>
                  <m:t>（</m:t>
                </m:r>
                <m:r>
                  <m:rPr>
                    <m:nor/>
                  </m:rPr>
                  <w:rPr>
                    <w:rFonts w:hint="default" w:ascii="Times New Roman" w:hAnsi="Times New Roman" w:eastAsia="宋体" w:cs="Times New Roman"/>
                    <w:i/>
                    <w:iCs/>
                    <w:kern w:val="0"/>
                    <w:sz w:val="21"/>
                    <w:szCs w:val="21"/>
                    <w:lang w:val="en-US" w:eastAsia="zh-CN" w:bidi="ar"/>
                  </w:rPr>
                  <m:t>m</m:t>
                </m:r>
                <m:ctrlPr>
                  <w:rPr>
                    <w:rFonts w:hint="default" w:ascii="Cambria Math" w:hAnsi="Cambria Math" w:eastAsia="宋体" w:cs="Times New Roman"/>
                    <w:i/>
                    <w:iCs/>
                    <w:kern w:val="0"/>
                    <w:sz w:val="21"/>
                    <w:szCs w:val="21"/>
                    <w:lang w:val="en-US" w:eastAsia="zh-CN" w:bidi="ar"/>
                  </w:rPr>
                </m:ctrlPr>
              </m:e>
              <m:sub>
                <m:r>
                  <m:rPr>
                    <m:nor/>
                  </m:rPr>
                  <w:rPr>
                    <w:rFonts w:hint="default" w:ascii="Times New Roman" w:hAnsi="Times New Roman" w:eastAsia="宋体" w:cs="Times New Roman"/>
                    <w:i/>
                    <w:iCs/>
                    <w:kern w:val="0"/>
                    <w:sz w:val="21"/>
                    <w:szCs w:val="21"/>
                    <w:lang w:val="en-US" w:eastAsia="zh-CN" w:bidi="ar"/>
                  </w:rPr>
                  <m:t>A</m:t>
                </m:r>
                <m:r>
                  <m:rPr>
                    <m:nor/>
                    <m:sty m:val="p"/>
                  </m:rPr>
                  <w:rPr>
                    <w:rFonts w:hint="default" w:ascii="Times New Roman" w:hAnsi="Times New Roman" w:eastAsia="宋体" w:cs="Times New Roman"/>
                    <w:b w:val="0"/>
                    <w:i w:val="0"/>
                    <w:iCs/>
                    <w:kern w:val="0"/>
                    <w:sz w:val="21"/>
                    <w:szCs w:val="21"/>
                    <w:lang w:val="en-US" w:eastAsia="zh-CN" w:bidi="ar"/>
                  </w:rPr>
                  <m:t xml:space="preserve">1, </m:t>
                </m:r>
                <m:r>
                  <m:rPr>
                    <m:nor/>
                  </m:rPr>
                  <w:rPr>
                    <w:rFonts w:hint="default" w:ascii="Times New Roman" w:hAnsi="Times New Roman" w:eastAsia="宋体" w:cs="Times New Roman"/>
                    <w:i/>
                    <w:iCs w:val="0"/>
                    <w:kern w:val="0"/>
                    <w:sz w:val="21"/>
                    <w:szCs w:val="21"/>
                    <w:lang w:val="en-US" w:eastAsia="zh-CN" w:bidi="ar"/>
                  </w:rPr>
                  <m:t>i</m:t>
                </m:r>
                <m:ctrlPr>
                  <w:rPr>
                    <w:rFonts w:hint="default" w:ascii="Cambria Math" w:hAnsi="Cambria Math" w:eastAsia="宋体" w:cs="Times New Roman"/>
                    <w:i/>
                    <w:iCs/>
                    <w:kern w:val="0"/>
                    <w:sz w:val="21"/>
                    <w:szCs w:val="21"/>
                    <w:lang w:val="en-US" w:eastAsia="zh-CN" w:bidi="ar"/>
                  </w:rPr>
                </m:ctrlPr>
              </m:sub>
            </m:sSub>
            <m:r>
              <m:rPr>
                <m:nor/>
                <m:sty m:val="p"/>
              </m:rPr>
              <w:rPr>
                <w:rFonts w:hint="default" w:ascii="Times New Roman" w:hAnsi="Times New Roman" w:cs="Times New Roman"/>
                <w:b w:val="0"/>
                <w:i w:val="0"/>
                <w:kern w:val="0"/>
                <w:sz w:val="21"/>
                <w:szCs w:val="21"/>
                <w:lang w:val="en-US" w:bidi="ar"/>
              </w:rPr>
              <m:t>×</m:t>
            </m:r>
            <m:ctrlPr>
              <w:rPr>
                <w:rFonts w:hint="default" w:ascii="Cambria Math" w:hAnsi="Cambria Math" w:eastAsia="宋体" w:cs="Times New Roman"/>
                <w:kern w:val="0"/>
                <w:sz w:val="21"/>
                <w:szCs w:val="21"/>
                <w:lang w:val="en-US" w:eastAsia="zh-CN" w:bidi="ar"/>
              </w:rPr>
            </m:ctrlPr>
          </m:e>
        </m:nary>
        <m:sSub>
          <m:sSubPr>
            <m:ctrlPr>
              <w:rPr>
                <w:rFonts w:hint="default" w:ascii="Cambria Math" w:hAnsi="Cambria Math" w:eastAsia="宋体" w:cs="Times New Roman"/>
                <w:i w:val="0"/>
                <w:kern w:val="0"/>
                <w:sz w:val="21"/>
                <w:szCs w:val="21"/>
                <w:lang w:val="en-US" w:eastAsia="zh-CN" w:bidi="ar"/>
              </w:rPr>
            </m:ctrlPr>
          </m:sSubPr>
          <m:e>
            <m:r>
              <m:rPr>
                <m:nor/>
              </m:rPr>
              <w:rPr>
                <w:rFonts w:hint="default" w:ascii="Cambria Math" w:hAnsi="Cambria Math" w:eastAsia="宋体" w:cs="Times New Roman"/>
                <w:i/>
                <w:kern w:val="0"/>
                <w:sz w:val="21"/>
                <w:szCs w:val="21"/>
                <w:lang w:val="en-US" w:eastAsia="zh-CN" w:bidi="ar"/>
              </w:rPr>
              <m:t>T</m:t>
            </m:r>
            <m:r>
              <m:rPr>
                <m:nor/>
              </m:rPr>
              <w:rPr>
                <w:rFonts w:hint="default" w:ascii="Times New Roman" w:hAnsi="Times New Roman" w:eastAsia="宋体" w:cs="Times New Roman"/>
                <w:i/>
                <w:iCs/>
                <w:kern w:val="0"/>
                <w:sz w:val="21"/>
                <w:szCs w:val="21"/>
                <w:lang w:val="en-US" w:eastAsia="zh-CN" w:bidi="ar"/>
              </w:rPr>
              <m:t>EF</m:t>
            </m:r>
            <m:ctrlPr>
              <w:rPr>
                <w:rFonts w:hint="default" w:ascii="Cambria Math" w:hAnsi="Cambria Math" w:eastAsia="宋体" w:cs="Times New Roman"/>
                <w:i w:val="0"/>
                <w:kern w:val="0"/>
                <w:sz w:val="21"/>
                <w:szCs w:val="21"/>
                <w:lang w:val="en-US" w:eastAsia="zh-CN" w:bidi="ar"/>
              </w:rPr>
            </m:ctrlPr>
          </m:e>
          <m:sub>
            <m:r>
              <m:rPr>
                <m:nor/>
              </m:rPr>
              <w:rPr>
                <w:rFonts w:hint="default" w:ascii="Times New Roman" w:hAnsi="Times New Roman" w:cs="Times New Roman"/>
                <w:b w:val="0"/>
                <w:i/>
                <w:iCs/>
                <w:kern w:val="0"/>
                <w:sz w:val="21"/>
                <w:szCs w:val="21"/>
                <w:lang w:val="en-US" w:eastAsia="zh-CN" w:bidi="ar"/>
              </w:rPr>
              <m:t>A</m:t>
            </m:r>
            <m:r>
              <m:rPr>
                <m:nor/>
                <m:sty m:val="p"/>
              </m:rPr>
              <w:rPr>
                <w:rFonts w:hint="default" w:ascii="Times New Roman" w:hAnsi="Times New Roman" w:cs="Times New Roman"/>
                <w:b w:val="0"/>
                <w:i w:val="0"/>
                <w:iCs/>
                <w:kern w:val="0"/>
                <w:sz w:val="21"/>
                <w:szCs w:val="21"/>
                <w:lang w:val="en-US" w:eastAsia="zh-CN" w:bidi="ar"/>
              </w:rPr>
              <m:t xml:space="preserve">1, </m:t>
            </m:r>
            <m:r>
              <m:rPr>
                <m:nor/>
              </m:rPr>
              <w:rPr>
                <w:rFonts w:hint="default" w:ascii="Times New Roman" w:hAnsi="Times New Roman" w:cs="Times New Roman"/>
                <w:b w:val="0"/>
                <w:i/>
                <w:iCs w:val="0"/>
                <w:kern w:val="0"/>
                <w:sz w:val="21"/>
                <w:szCs w:val="21"/>
                <w:lang w:val="en-US" w:eastAsia="zh-CN" w:bidi="ar"/>
              </w:rPr>
              <m:t>i</m:t>
            </m:r>
            <m:ctrlPr>
              <w:rPr>
                <w:rFonts w:hint="default" w:ascii="Cambria Math" w:hAnsi="Cambria Math" w:eastAsia="宋体" w:cs="Times New Roman"/>
                <w:i w:val="0"/>
                <w:kern w:val="0"/>
                <w:sz w:val="21"/>
                <w:szCs w:val="21"/>
                <w:lang w:val="en-US" w:eastAsia="zh-CN" w:bidi="ar"/>
              </w:rPr>
            </m:ctrlPr>
          </m:sub>
        </m:sSub>
        <m:r>
          <m:rPr>
            <m:nor/>
            <m:sty m:val="p"/>
          </m:rPr>
          <w:rPr>
            <w:rFonts w:hint="default" w:ascii="Times New Roman" w:hAnsi="Times New Roman" w:eastAsia="宋体" w:cs="Times New Roman"/>
            <w:b w:val="0"/>
            <w:i w:val="0"/>
            <w:kern w:val="0"/>
            <w:sz w:val="21"/>
            <w:szCs w:val="21"/>
            <w:lang w:val="en-US" w:eastAsia="zh-CN" w:bidi="ar"/>
          </w:rPr>
          <m:t>）+</m:t>
        </m:r>
        <m:nary>
          <m:naryPr>
            <m:chr m:val="∑"/>
            <m:limLoc m:val="subSup"/>
            <m:supHide m:val="1"/>
            <m:ctrlPr>
              <w:rPr>
                <w:rFonts w:hint="default" w:ascii="Cambria Math" w:hAnsi="Cambria Math" w:eastAsia="宋体" w:cs="Times New Roman"/>
                <w:kern w:val="0"/>
                <w:sz w:val="21"/>
                <w:szCs w:val="21"/>
                <w:lang w:val="en-US" w:eastAsia="zh-CN" w:bidi="ar"/>
              </w:rPr>
            </m:ctrlPr>
          </m:naryPr>
          <m:sub>
            <m:r>
              <m:rPr>
                <m:nor/>
              </m:rPr>
              <w:rPr>
                <w:rFonts w:hint="default" w:ascii="Times New Roman" w:hAnsi="Times New Roman" w:eastAsia="宋体" w:cs="Times New Roman"/>
                <w:i/>
                <w:iCs/>
                <w:kern w:val="0"/>
                <w:sz w:val="21"/>
                <w:szCs w:val="21"/>
                <w:lang w:val="en-US" w:eastAsia="zh-CN" w:bidi="ar"/>
              </w:rPr>
              <m:t>i</m:t>
            </m:r>
            <m:r>
              <m:rPr>
                <m:nor/>
                <m:sty m:val="p"/>
              </m:rPr>
              <w:rPr>
                <w:rFonts w:hint="default" w:ascii="Times New Roman" w:hAnsi="Times New Roman" w:eastAsia="宋体" w:cs="Times New Roman"/>
                <w:b w:val="0"/>
                <w:i w:val="0"/>
                <w:iCs/>
                <w:kern w:val="0"/>
                <w:sz w:val="21"/>
                <w:szCs w:val="21"/>
                <w:lang w:val="en-US" w:eastAsia="zh-CN" w:bidi="ar"/>
              </w:rPr>
              <m:t xml:space="preserve">, </m:t>
            </m:r>
            <m:r>
              <m:rPr>
                <m:nor/>
              </m:rPr>
              <w:rPr>
                <w:rFonts w:hint="default" w:ascii="Times New Roman" w:hAnsi="Times New Roman" w:eastAsia="宋体" w:cs="Times New Roman"/>
                <w:i/>
                <w:iCs w:val="0"/>
                <w:kern w:val="0"/>
                <w:sz w:val="21"/>
                <w:szCs w:val="21"/>
                <w:lang w:val="en-US" w:eastAsia="zh-CN" w:bidi="ar"/>
              </w:rPr>
              <m:t>j</m:t>
            </m:r>
            <m:ctrlPr>
              <w:rPr>
                <w:rFonts w:hint="default" w:ascii="Cambria Math" w:hAnsi="Cambria Math" w:eastAsia="宋体" w:cs="Times New Roman"/>
                <w:kern w:val="0"/>
                <w:sz w:val="21"/>
                <w:szCs w:val="21"/>
                <w:lang w:val="en-US" w:eastAsia="zh-CN" w:bidi="ar"/>
              </w:rPr>
            </m:ctrlPr>
          </m:sub>
          <m:sup>
            <m:ctrlPr>
              <w:rPr>
                <w:rFonts w:hint="default" w:ascii="Cambria Math" w:hAnsi="Cambria Math" w:eastAsia="宋体" w:cs="Times New Roman"/>
                <w:kern w:val="0"/>
                <w:sz w:val="21"/>
                <w:szCs w:val="21"/>
                <w:lang w:val="en-US" w:eastAsia="zh-CN" w:bidi="ar"/>
              </w:rPr>
            </m:ctrlPr>
          </m:sup>
          <m:e>
            <m:sSub>
              <m:sSubPr>
                <m:ctrlPr>
                  <w:rPr>
                    <w:rFonts w:hint="default" w:ascii="Cambria Math" w:hAnsi="Cambria Math" w:eastAsia="宋体" w:cs="Times New Roman"/>
                    <w:i/>
                    <w:iCs/>
                    <w:kern w:val="0"/>
                    <w:sz w:val="21"/>
                    <w:szCs w:val="21"/>
                    <w:lang w:val="en-US" w:eastAsia="zh-CN" w:bidi="ar"/>
                  </w:rPr>
                </m:ctrlPr>
              </m:sSubPr>
              <m:e>
                <m:r>
                  <m:rPr>
                    <m:nor/>
                    <m:sty m:val="p"/>
                  </m:rPr>
                  <w:rPr>
                    <w:rFonts w:hint="default" w:ascii="Times New Roman" w:hAnsi="Times New Roman" w:eastAsia="宋体" w:cs="Times New Roman"/>
                    <w:b w:val="0"/>
                    <w:i w:val="0"/>
                    <w:iCs w:val="0"/>
                    <w:kern w:val="0"/>
                    <w:sz w:val="21"/>
                    <w:szCs w:val="21"/>
                    <w:lang w:val="en-US" w:eastAsia="zh-CN" w:bidi="ar"/>
                  </w:rPr>
                  <m:t>（</m:t>
                </m:r>
                <m:r>
                  <m:rPr>
                    <m:nor/>
                  </m:rPr>
                  <w:rPr>
                    <w:rFonts w:hint="default" w:ascii="Times New Roman" w:hAnsi="Times New Roman" w:eastAsia="宋体" w:cs="Times New Roman"/>
                    <w:i/>
                    <w:iCs/>
                    <w:kern w:val="0"/>
                    <w:sz w:val="21"/>
                    <w:szCs w:val="21"/>
                    <w:lang w:val="en-US" w:eastAsia="zh-CN" w:bidi="ar"/>
                  </w:rPr>
                  <m:t>m</m:t>
                </m:r>
                <m:ctrlPr>
                  <w:rPr>
                    <w:rFonts w:hint="default" w:ascii="Cambria Math" w:hAnsi="Cambria Math" w:eastAsia="宋体" w:cs="Times New Roman"/>
                    <w:i/>
                    <w:iCs/>
                    <w:kern w:val="0"/>
                    <w:sz w:val="21"/>
                    <w:szCs w:val="21"/>
                    <w:lang w:val="en-US" w:eastAsia="zh-CN" w:bidi="ar"/>
                  </w:rPr>
                </m:ctrlPr>
              </m:e>
              <m:sub>
                <m:r>
                  <m:rPr>
                    <m:nor/>
                  </m:rPr>
                  <w:rPr>
                    <w:rFonts w:hint="default" w:ascii="Times New Roman" w:hAnsi="Times New Roman" w:eastAsia="宋体" w:cs="Times New Roman"/>
                    <w:i/>
                    <w:iCs/>
                    <w:kern w:val="0"/>
                    <w:sz w:val="21"/>
                    <w:szCs w:val="21"/>
                    <w:lang w:val="en-US" w:eastAsia="zh-CN" w:bidi="ar"/>
                  </w:rPr>
                  <m:t>A</m:t>
                </m:r>
                <m:r>
                  <m:rPr>
                    <m:nor/>
                    <m:sty m:val="p"/>
                  </m:rPr>
                  <w:rPr>
                    <w:rFonts w:hint="default" w:ascii="Times New Roman" w:hAnsi="Times New Roman" w:eastAsia="宋体" w:cs="Times New Roman"/>
                    <w:b w:val="0"/>
                    <w:i w:val="0"/>
                    <w:iCs/>
                    <w:kern w:val="0"/>
                    <w:sz w:val="21"/>
                    <w:szCs w:val="21"/>
                    <w:lang w:val="en-US" w:eastAsia="zh-CN" w:bidi="ar"/>
                  </w:rPr>
                  <m:t xml:space="preserve">2, </m:t>
                </m:r>
                <m:r>
                  <m:rPr>
                    <m:nor/>
                  </m:rPr>
                  <w:rPr>
                    <w:rFonts w:hint="default" w:ascii="Times New Roman" w:hAnsi="Times New Roman" w:eastAsia="宋体" w:cs="Times New Roman"/>
                    <w:i/>
                    <w:iCs w:val="0"/>
                    <w:kern w:val="0"/>
                    <w:sz w:val="21"/>
                    <w:szCs w:val="21"/>
                    <w:lang w:val="en-US" w:eastAsia="zh-CN" w:bidi="ar"/>
                  </w:rPr>
                  <m:t>i</m:t>
                </m:r>
                <m:ctrlPr>
                  <w:rPr>
                    <w:rFonts w:hint="default" w:ascii="Cambria Math" w:hAnsi="Cambria Math" w:eastAsia="宋体" w:cs="Times New Roman"/>
                    <w:i/>
                    <w:iCs/>
                    <w:kern w:val="0"/>
                    <w:sz w:val="21"/>
                    <w:szCs w:val="21"/>
                    <w:lang w:val="en-US" w:eastAsia="zh-CN" w:bidi="ar"/>
                  </w:rPr>
                </m:ctrlPr>
              </m:sub>
            </m:sSub>
            <m:r>
              <m:rPr>
                <m:nor/>
                <m:sty m:val="p"/>
              </m:rPr>
              <w:rPr>
                <w:rFonts w:hint="default" w:ascii="Times New Roman" w:hAnsi="Times New Roman" w:cs="Times New Roman"/>
                <w:b w:val="0"/>
                <w:i w:val="0"/>
                <w:kern w:val="0"/>
                <w:sz w:val="21"/>
                <w:szCs w:val="21"/>
                <w:lang w:val="en-US" w:bidi="ar"/>
              </w:rPr>
              <m:t>×</m:t>
            </m:r>
            <m:ctrlPr>
              <w:rPr>
                <w:rFonts w:hint="default" w:ascii="Cambria Math" w:hAnsi="Cambria Math" w:eastAsia="宋体" w:cs="Times New Roman"/>
                <w:kern w:val="0"/>
                <w:sz w:val="21"/>
                <w:szCs w:val="21"/>
                <w:lang w:val="en-US" w:eastAsia="zh-CN" w:bidi="ar"/>
              </w:rPr>
            </m:ctrlPr>
          </m:e>
        </m:nary>
        <m:sSub>
          <m:sSubPr>
            <m:ctrlPr>
              <w:rPr>
                <w:rFonts w:hint="default" w:ascii="Cambria Math" w:hAnsi="Cambria Math" w:eastAsia="宋体" w:cs="Times New Roman"/>
                <w:i w:val="0"/>
                <w:kern w:val="0"/>
                <w:sz w:val="21"/>
                <w:szCs w:val="21"/>
                <w:lang w:val="en-US" w:eastAsia="zh-CN" w:bidi="ar"/>
              </w:rPr>
            </m:ctrlPr>
          </m:sSubPr>
          <m:e>
            <m:r>
              <m:rPr>
                <m:nor/>
              </m:rPr>
              <w:rPr>
                <w:rFonts w:hint="default" w:ascii="Times New Roman" w:hAnsi="Times New Roman" w:eastAsia="宋体" w:cs="Times New Roman"/>
                <w:i/>
                <w:iCs/>
                <w:kern w:val="0"/>
                <w:sz w:val="21"/>
                <w:szCs w:val="21"/>
                <w:lang w:val="en-US" w:eastAsia="zh-CN" w:bidi="ar"/>
              </w:rPr>
              <m:t>D</m:t>
            </m:r>
            <m:ctrlPr>
              <w:rPr>
                <w:rFonts w:hint="default" w:ascii="Cambria Math" w:hAnsi="Cambria Math" w:eastAsia="宋体" w:cs="Times New Roman"/>
                <w:i w:val="0"/>
                <w:kern w:val="0"/>
                <w:sz w:val="21"/>
                <w:szCs w:val="21"/>
                <w:lang w:val="en-US" w:eastAsia="zh-CN" w:bidi="ar"/>
              </w:rPr>
            </m:ctrlPr>
          </m:e>
          <m:sub>
            <m:r>
              <m:rPr>
                <m:nor/>
              </m:rPr>
              <w:rPr>
                <w:rFonts w:hint="default" w:ascii="Times New Roman" w:hAnsi="Times New Roman" w:cs="Times New Roman"/>
                <w:b w:val="0"/>
                <w:i/>
                <w:iCs/>
                <w:kern w:val="0"/>
                <w:sz w:val="21"/>
                <w:szCs w:val="21"/>
                <w:lang w:val="en-US" w:eastAsia="zh-CN" w:bidi="ar"/>
              </w:rPr>
              <m:t>A</m:t>
            </m:r>
            <m:r>
              <m:rPr>
                <m:nor/>
                <m:sty m:val="p"/>
              </m:rPr>
              <w:rPr>
                <w:rFonts w:hint="default" w:ascii="Times New Roman" w:hAnsi="Times New Roman" w:cs="Times New Roman"/>
                <w:b w:val="0"/>
                <w:i w:val="0"/>
                <w:iCs/>
                <w:kern w:val="0"/>
                <w:sz w:val="21"/>
                <w:szCs w:val="21"/>
                <w:lang w:val="en-US" w:eastAsia="zh-CN" w:bidi="ar"/>
              </w:rPr>
              <m:t xml:space="preserve">2, </m:t>
            </m:r>
            <m:r>
              <m:rPr>
                <m:nor/>
              </m:rPr>
              <w:rPr>
                <w:rFonts w:hint="default" w:ascii="Times New Roman" w:hAnsi="Times New Roman" w:cs="Times New Roman"/>
                <w:b w:val="0"/>
                <w:i/>
                <w:iCs w:val="0"/>
                <w:kern w:val="0"/>
                <w:sz w:val="21"/>
                <w:szCs w:val="21"/>
                <w:lang w:val="en-US" w:eastAsia="zh-CN" w:bidi="ar"/>
              </w:rPr>
              <m:t>i</m:t>
            </m:r>
            <m:r>
              <m:rPr>
                <m:nor/>
                <m:sty m:val="p"/>
              </m:rPr>
              <w:rPr>
                <w:rFonts w:hint="default" w:ascii="Times New Roman" w:hAnsi="Times New Roman" w:cs="Times New Roman"/>
                <w:b w:val="0"/>
                <w:i w:val="0"/>
                <w:iCs w:val="0"/>
                <w:kern w:val="0"/>
                <w:sz w:val="21"/>
                <w:szCs w:val="21"/>
                <w:lang w:val="en-US" w:eastAsia="zh-CN" w:bidi="ar"/>
              </w:rPr>
              <m:t>,</m:t>
            </m:r>
            <m:r>
              <m:rPr>
                <m:nor/>
              </m:rPr>
              <w:rPr>
                <w:rFonts w:hint="default" w:ascii="Times New Roman" w:hAnsi="Times New Roman" w:cs="Times New Roman"/>
                <w:b w:val="0"/>
                <w:i/>
                <w:iCs/>
                <w:kern w:val="0"/>
                <w:sz w:val="21"/>
                <w:szCs w:val="21"/>
                <w:lang w:val="en-US" w:eastAsia="zh-CN" w:bidi="ar"/>
              </w:rPr>
              <m:t xml:space="preserve"> j</m:t>
            </m:r>
            <m:ctrlPr>
              <w:rPr>
                <w:rFonts w:hint="default" w:ascii="Cambria Math" w:hAnsi="Cambria Math" w:eastAsia="宋体" w:cs="Times New Roman"/>
                <w:kern w:val="0"/>
                <w:sz w:val="21"/>
                <w:szCs w:val="21"/>
                <w:lang w:val="en-US" w:eastAsia="zh-CN" w:bidi="ar"/>
              </w:rPr>
            </m:ctrlPr>
          </m:sub>
        </m:sSub>
        <m:r>
          <m:rPr>
            <m:nor/>
            <m:sty m:val="p"/>
          </m:rPr>
          <w:rPr>
            <w:rFonts w:hint="default" w:ascii="Times New Roman" w:hAnsi="Times New Roman" w:cs="Times New Roman"/>
            <w:b w:val="0"/>
            <w:i w:val="0"/>
            <w:kern w:val="0"/>
            <w:sz w:val="21"/>
            <w:szCs w:val="21"/>
            <w:lang w:val="en-US" w:bidi="ar"/>
          </w:rPr>
          <m:t>×</m:t>
        </m:r>
        <m:r>
          <m:rPr>
            <m:nor/>
          </m:rPr>
          <w:rPr>
            <w:rFonts w:hint="default" w:ascii="Times New Roman" w:hAnsi="Times New Roman" w:cs="Times New Roman"/>
            <w:i/>
            <w:iCs/>
            <w:kern w:val="0"/>
            <w:sz w:val="21"/>
            <w:szCs w:val="21"/>
            <w:lang w:val="en-US" w:eastAsia="zh-CN" w:bidi="ar"/>
          </w:rPr>
          <m:t>T</m:t>
        </m:r>
        <m:sSub>
          <m:sSubPr>
            <m:ctrlPr>
              <w:rPr>
                <w:rFonts w:hint="default" w:ascii="Cambria Math" w:hAnsi="Cambria Math" w:cs="Times New Roman"/>
                <w:kern w:val="0"/>
                <w:sz w:val="21"/>
                <w:szCs w:val="21"/>
                <w:lang w:val="en-US" w:bidi="ar"/>
              </w:rPr>
            </m:ctrlPr>
          </m:sSubPr>
          <m:e>
            <m:r>
              <m:rPr>
                <m:nor/>
              </m:rPr>
              <w:rPr>
                <w:rFonts w:hint="default" w:ascii="Times New Roman" w:hAnsi="Times New Roman" w:cs="Times New Roman"/>
                <w:i/>
                <w:iCs/>
                <w:kern w:val="0"/>
                <w:sz w:val="21"/>
                <w:szCs w:val="21"/>
                <w:lang w:val="en-US" w:eastAsia="zh-CN" w:bidi="ar"/>
              </w:rPr>
              <m:t>EF</m:t>
            </m:r>
            <m:ctrlPr>
              <w:rPr>
                <w:rFonts w:hint="default" w:ascii="Cambria Math" w:hAnsi="Cambria Math" w:cs="Times New Roman"/>
                <w:kern w:val="0"/>
                <w:sz w:val="21"/>
                <w:szCs w:val="21"/>
                <w:lang w:val="en-US" w:bidi="ar"/>
              </w:rPr>
            </m:ctrlPr>
          </m:e>
          <m:sub>
            <m:r>
              <m:rPr>
                <m:nor/>
              </m:rPr>
              <w:rPr>
                <w:rFonts w:hint="default" w:ascii="Times New Roman" w:hAnsi="Times New Roman" w:cs="Times New Roman"/>
                <w:i/>
                <w:iCs/>
                <w:kern w:val="0"/>
                <w:sz w:val="21"/>
                <w:szCs w:val="21"/>
                <w:lang w:val="en-US" w:eastAsia="zh-CN" w:bidi="ar"/>
              </w:rPr>
              <m:t>A</m:t>
            </m:r>
            <m:r>
              <m:rPr>
                <m:nor/>
                <m:sty m:val="p"/>
              </m:rPr>
              <w:rPr>
                <w:rFonts w:hint="default" w:ascii="Times New Roman" w:hAnsi="Times New Roman" w:cs="Times New Roman"/>
                <w:b w:val="0"/>
                <w:i w:val="0"/>
                <w:iCs/>
                <w:kern w:val="0"/>
                <w:sz w:val="21"/>
                <w:szCs w:val="21"/>
                <w:lang w:val="en-US" w:eastAsia="zh-CN" w:bidi="ar"/>
              </w:rPr>
              <m:t>2</m:t>
            </m:r>
            <m:r>
              <m:rPr>
                <m:nor/>
                <m:sty m:val="p"/>
              </m:rPr>
              <w:rPr>
                <w:rFonts w:hint="default" w:ascii="Times New Roman" w:hAnsi="Times New Roman" w:cs="Times New Roman"/>
                <w:b w:val="0"/>
                <w:i w:val="0"/>
                <w:iCs w:val="0"/>
                <w:kern w:val="0"/>
                <w:sz w:val="21"/>
                <w:szCs w:val="21"/>
                <w:lang w:val="en-US" w:eastAsia="zh-CN" w:bidi="ar"/>
              </w:rPr>
              <m:t xml:space="preserve">, </m:t>
            </m:r>
            <m:r>
              <m:rPr>
                <m:nor/>
              </m:rPr>
              <w:rPr>
                <w:rFonts w:hint="default" w:ascii="Times New Roman" w:hAnsi="Times New Roman" w:cs="Times New Roman"/>
                <w:i/>
                <w:iCs/>
                <w:kern w:val="0"/>
                <w:sz w:val="21"/>
                <w:szCs w:val="21"/>
                <w:lang w:val="en-US" w:eastAsia="zh-CN" w:bidi="ar"/>
              </w:rPr>
              <m:t>j</m:t>
            </m:r>
            <m:ctrlPr>
              <w:rPr>
                <w:rFonts w:hint="default" w:ascii="Cambria Math" w:hAnsi="Cambria Math" w:cs="Times New Roman"/>
                <w:kern w:val="0"/>
                <w:sz w:val="21"/>
                <w:szCs w:val="21"/>
                <w:lang w:val="en-US" w:bidi="ar"/>
              </w:rPr>
            </m:ctrlPr>
          </m:sub>
        </m:sSub>
        <m:r>
          <m:rPr>
            <m:nor/>
            <m:sty m:val="p"/>
          </m:rPr>
          <w:rPr>
            <w:rFonts w:hint="default" w:ascii="Times New Roman" w:hAnsi="Times New Roman" w:eastAsia="宋体" w:cs="Times New Roman"/>
            <w:b w:val="0"/>
            <w:i w:val="0"/>
            <w:kern w:val="0"/>
            <w:sz w:val="21"/>
            <w:szCs w:val="21"/>
            <w:lang w:val="en-US" w:eastAsia="zh-CN" w:bidi="ar"/>
          </w:rPr>
          <m:t>）</m:t>
        </m:r>
      </m:oMath>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default" w:ascii="Times New Roman" w:hAnsi="Times New Roman" w:eastAsia="宋体" w:cs="Times New Roman"/>
          <w:i w:val="0"/>
          <w:iCs/>
          <w:kern w:val="0"/>
          <w:sz w:val="21"/>
          <w:szCs w:val="21"/>
          <w:lang w:val="en-US" w:eastAsia="zh-CN" w:bidi="ar"/>
        </w:rPr>
        <w:t>（</w:t>
      </w:r>
      <w:r>
        <w:rPr>
          <w:rFonts w:hint="eastAsia" w:ascii="Times New Roman" w:hAnsi="Times New Roman" w:eastAsia="宋体" w:cs="Times New Roman"/>
          <w:i w:val="0"/>
          <w:iCs/>
          <w:kern w:val="0"/>
          <w:sz w:val="21"/>
          <w:szCs w:val="21"/>
          <w:lang w:val="en-US" w:eastAsia="zh-CN" w:bidi="ar"/>
        </w:rPr>
        <w:t>2</w:t>
      </w:r>
      <w:r>
        <w:rPr>
          <w:rFonts w:hint="default" w:ascii="Times New Roman" w:hAnsi="Times New Roman" w:eastAsia="宋体" w:cs="Times New Roman"/>
          <w:i w:val="0"/>
          <w:iCs/>
          <w:kern w:val="0"/>
          <w:sz w:val="21"/>
          <w:szCs w:val="21"/>
          <w:lang w:val="en-US" w:eastAsia="zh-CN" w:bidi="ar"/>
        </w:rPr>
        <w:t>）</w:t>
      </w:r>
    </w:p>
    <w:p w14:paraId="207BD65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式中：</w:t>
      </w:r>
    </w:p>
    <w:p w14:paraId="414F93F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m</w:t>
      </w:r>
      <w:r>
        <w:rPr>
          <w:rFonts w:hint="eastAsia" w:ascii="Times New Roman" w:hAnsi="Times New Roman" w:eastAsia="宋体" w:cs="Times New Roman"/>
          <w:i/>
          <w:iCs/>
          <w:sz w:val="21"/>
          <w:szCs w:val="21"/>
          <w:vertAlign w:val="subscript"/>
          <w:lang w:val="en-US" w:eastAsia="zh-CN"/>
        </w:rPr>
        <w:t>A</w:t>
      </w:r>
      <w:r>
        <w:rPr>
          <w:rFonts w:hint="eastAsia" w:ascii="Times New Roman" w:hAnsi="Times New Roman" w:eastAsia="宋体" w:cs="Times New Roman"/>
          <w:i w:val="0"/>
          <w:iCs w:val="0"/>
          <w:sz w:val="21"/>
          <w:szCs w:val="21"/>
          <w:vertAlign w:val="subscript"/>
          <w:lang w:val="en-US" w:eastAsia="zh-CN"/>
        </w:rPr>
        <w:t>1</w:t>
      </w:r>
      <w:r>
        <w:rPr>
          <w:rFonts w:hint="eastAsia" w:ascii="Times New Roman" w:hAnsi="Times New Roman" w:eastAsia="宋体" w:cs="Times New Roman"/>
          <w:i/>
          <w:iCs/>
          <w:sz w:val="21"/>
          <w:szCs w:val="21"/>
          <w:lang w:val="en-US" w:eastAsia="zh-CN"/>
        </w:rPr>
        <w:t>,</w:t>
      </w:r>
      <w:r>
        <w:rPr>
          <w:rFonts w:hint="eastAsia" w:ascii="Times New Roman" w:hAnsi="Times New Roman" w:eastAsia="宋体" w:cs="Times New Roman"/>
          <w:i/>
          <w:iCs/>
          <w:sz w:val="21"/>
          <w:szCs w:val="21"/>
          <w:vertAlign w:val="subscript"/>
          <w:lang w:val="en-US" w:eastAsia="zh-CN"/>
        </w:rPr>
        <w:t>i</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每声明单位软饮料产品第</w:t>
      </w:r>
      <w:r>
        <w:rPr>
          <w:rFonts w:hint="eastAsia" w:ascii="Times New Roman" w:hAnsi="Times New Roman" w:eastAsia="宋体" w:cs="Times New Roman"/>
          <w:i/>
          <w:iCs/>
          <w:sz w:val="21"/>
          <w:szCs w:val="21"/>
          <w:lang w:val="en-US" w:eastAsia="zh-CN"/>
        </w:rPr>
        <w:t>i</w:t>
      </w:r>
      <w:r>
        <w:rPr>
          <w:rFonts w:hint="eastAsia" w:ascii="Times New Roman" w:hAnsi="Times New Roman" w:eastAsia="宋体" w:cs="Times New Roman"/>
          <w:sz w:val="21"/>
          <w:szCs w:val="21"/>
          <w:lang w:val="en-US" w:eastAsia="zh-CN"/>
        </w:rPr>
        <w:t>种原材料的消耗量，单位根据原材料确定，如千克/声明单位（kg/声明单位）；</w:t>
      </w:r>
    </w:p>
    <w:p w14:paraId="5CF6235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TEF</w:t>
      </w:r>
      <w:r>
        <w:rPr>
          <w:rFonts w:hint="eastAsia" w:ascii="Times New Roman" w:hAnsi="Times New Roman" w:eastAsia="宋体" w:cs="Times New Roman"/>
          <w:i/>
          <w:iCs/>
          <w:sz w:val="21"/>
          <w:szCs w:val="21"/>
          <w:vertAlign w:val="subscript"/>
          <w:lang w:val="en-US" w:eastAsia="zh-CN"/>
        </w:rPr>
        <w:t>A</w:t>
      </w:r>
      <w:r>
        <w:rPr>
          <w:rFonts w:hint="eastAsia" w:ascii="Times New Roman" w:hAnsi="Times New Roman" w:eastAsia="宋体" w:cs="Times New Roman"/>
          <w:i w:val="0"/>
          <w:iCs w:val="0"/>
          <w:sz w:val="21"/>
          <w:szCs w:val="21"/>
          <w:vertAlign w:val="subscript"/>
          <w:lang w:val="en-US" w:eastAsia="zh-CN"/>
        </w:rPr>
        <w:t>1</w:t>
      </w:r>
      <w:r>
        <w:rPr>
          <w:rFonts w:hint="eastAsia" w:ascii="Times New Roman" w:hAnsi="Times New Roman" w:eastAsia="宋体" w:cs="Times New Roman"/>
          <w:i/>
          <w:iCs/>
          <w:sz w:val="21"/>
          <w:szCs w:val="21"/>
          <w:vertAlign w:val="baseline"/>
          <w:lang w:val="en-US" w:eastAsia="zh-CN"/>
        </w:rPr>
        <w:t>,</w:t>
      </w:r>
      <w:r>
        <w:rPr>
          <w:rFonts w:hint="eastAsia" w:ascii="Times New Roman" w:hAnsi="Times New Roman" w:eastAsia="宋体" w:cs="Times New Roman"/>
          <w:i/>
          <w:iCs/>
          <w:sz w:val="21"/>
          <w:szCs w:val="21"/>
          <w:vertAlign w:val="subscript"/>
          <w:lang w:val="en-US" w:eastAsia="zh-CN"/>
        </w:rPr>
        <w:t>i</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第</w:t>
      </w:r>
      <w:r>
        <w:rPr>
          <w:rFonts w:hint="eastAsia" w:ascii="Times New Roman" w:hAnsi="Times New Roman" w:eastAsia="宋体" w:cs="Times New Roman"/>
          <w:i/>
          <w:iCs/>
          <w:sz w:val="21"/>
          <w:szCs w:val="21"/>
          <w:lang w:val="en-US" w:eastAsia="zh-CN"/>
        </w:rPr>
        <w:t>i</w:t>
      </w:r>
      <w:r>
        <w:rPr>
          <w:rFonts w:hint="eastAsia" w:ascii="Times New Roman" w:hAnsi="Times New Roman" w:eastAsia="宋体" w:cs="Times New Roman"/>
          <w:sz w:val="21"/>
          <w:szCs w:val="21"/>
          <w:lang w:val="en-US" w:eastAsia="zh-CN"/>
        </w:rPr>
        <w:t>种原材料的碳足迹因子，单位与该原材料相匹配，如千克二氧化碳当量每千克（kgCO</w:t>
      </w:r>
      <w:r>
        <w:rPr>
          <w:rFonts w:hint="eastAsia" w:ascii="Times New Roman" w:hAnsi="Times New Roman" w:eastAsia="宋体" w:cs="Times New Roman"/>
          <w:sz w:val="21"/>
          <w:szCs w:val="21"/>
          <w:vertAlign w:val="subscript"/>
          <w:lang w:val="en-US" w:eastAsia="zh-CN"/>
        </w:rPr>
        <w:t>2</w:t>
      </w:r>
      <w:r>
        <w:rPr>
          <w:rFonts w:hint="eastAsia" w:ascii="Times New Roman" w:hAnsi="Times New Roman" w:eastAsia="宋体" w:cs="Times New Roman"/>
          <w:sz w:val="21"/>
          <w:szCs w:val="21"/>
          <w:lang w:val="en-US" w:eastAsia="zh-CN"/>
        </w:rPr>
        <w:t>e/kg）；</w:t>
      </w:r>
    </w:p>
    <w:p w14:paraId="3D40D08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m</w:t>
      </w:r>
      <w:r>
        <w:rPr>
          <w:rFonts w:hint="eastAsia" w:ascii="Times New Roman" w:hAnsi="Times New Roman" w:eastAsia="宋体" w:cs="Times New Roman"/>
          <w:i/>
          <w:iCs/>
          <w:sz w:val="21"/>
          <w:szCs w:val="21"/>
          <w:vertAlign w:val="subscript"/>
          <w:lang w:val="en-US" w:eastAsia="zh-CN"/>
        </w:rPr>
        <w:t>A</w:t>
      </w:r>
      <w:r>
        <w:rPr>
          <w:rFonts w:hint="eastAsia" w:ascii="Times New Roman" w:hAnsi="Times New Roman" w:eastAsia="宋体" w:cs="Times New Roman"/>
          <w:i w:val="0"/>
          <w:iCs w:val="0"/>
          <w:sz w:val="21"/>
          <w:szCs w:val="21"/>
          <w:vertAlign w:val="subscript"/>
          <w:lang w:val="en-US" w:eastAsia="zh-CN"/>
        </w:rPr>
        <w:t>2</w:t>
      </w:r>
      <w:r>
        <w:rPr>
          <w:rFonts w:hint="eastAsia" w:ascii="Times New Roman" w:hAnsi="Times New Roman" w:eastAsia="宋体" w:cs="Times New Roman"/>
          <w:i/>
          <w:iCs/>
          <w:sz w:val="21"/>
          <w:szCs w:val="21"/>
          <w:lang w:val="en-US" w:eastAsia="zh-CN"/>
        </w:rPr>
        <w:t>,</w:t>
      </w:r>
      <w:r>
        <w:rPr>
          <w:rFonts w:hint="eastAsia" w:ascii="Times New Roman" w:hAnsi="Times New Roman" w:eastAsia="宋体" w:cs="Times New Roman"/>
          <w:i/>
          <w:iCs/>
          <w:sz w:val="21"/>
          <w:szCs w:val="21"/>
          <w:vertAlign w:val="subscript"/>
          <w:lang w:val="en-US" w:eastAsia="zh-CN"/>
        </w:rPr>
        <w:t>i</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每声明单位软饮料产品第</w:t>
      </w:r>
      <w:r>
        <w:rPr>
          <w:rFonts w:hint="eastAsia" w:ascii="Times New Roman" w:hAnsi="Times New Roman" w:eastAsia="宋体" w:cs="Times New Roman"/>
          <w:i/>
          <w:iCs/>
          <w:sz w:val="21"/>
          <w:szCs w:val="21"/>
          <w:lang w:val="en-US" w:eastAsia="zh-CN"/>
        </w:rPr>
        <w:t>i</w:t>
      </w:r>
      <w:r>
        <w:rPr>
          <w:rFonts w:hint="eastAsia" w:ascii="Times New Roman" w:hAnsi="Times New Roman" w:eastAsia="宋体" w:cs="Times New Roman"/>
          <w:sz w:val="21"/>
          <w:szCs w:val="21"/>
          <w:lang w:val="en-US" w:eastAsia="zh-CN"/>
        </w:rPr>
        <w:t>种原材料的运输量，单位根据原材料确定，如吨/声明单位（t/声明单位）；</w:t>
      </w:r>
    </w:p>
    <w:p w14:paraId="00EACE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D</w:t>
      </w:r>
      <w:r>
        <w:rPr>
          <w:rFonts w:hint="eastAsia" w:ascii="Times New Roman" w:hAnsi="Times New Roman" w:eastAsia="宋体" w:cs="Times New Roman"/>
          <w:i/>
          <w:iCs/>
          <w:sz w:val="21"/>
          <w:szCs w:val="21"/>
          <w:vertAlign w:val="subscript"/>
          <w:lang w:val="en-US" w:eastAsia="zh-CN"/>
        </w:rPr>
        <w:t>A</w:t>
      </w:r>
      <w:r>
        <w:rPr>
          <w:rFonts w:hint="eastAsia" w:ascii="Times New Roman" w:hAnsi="Times New Roman" w:eastAsia="宋体" w:cs="Times New Roman"/>
          <w:i w:val="0"/>
          <w:iCs w:val="0"/>
          <w:sz w:val="21"/>
          <w:szCs w:val="21"/>
          <w:vertAlign w:val="subscript"/>
          <w:lang w:val="en-US" w:eastAsia="zh-CN"/>
        </w:rPr>
        <w:t>2</w:t>
      </w:r>
      <w:r>
        <w:rPr>
          <w:rFonts w:hint="eastAsia" w:ascii="Times New Roman" w:hAnsi="Times New Roman" w:eastAsia="宋体" w:cs="Times New Roman"/>
          <w:i/>
          <w:iCs/>
          <w:sz w:val="21"/>
          <w:szCs w:val="21"/>
          <w:vertAlign w:val="subscript"/>
          <w:lang w:val="en-US" w:eastAsia="zh-CN"/>
        </w:rPr>
        <w:t>,i,j</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第</w:t>
      </w:r>
      <w:r>
        <w:rPr>
          <w:rFonts w:hint="eastAsia" w:ascii="Times New Roman" w:hAnsi="Times New Roman" w:eastAsia="宋体" w:cs="Times New Roman"/>
          <w:i/>
          <w:iCs/>
          <w:sz w:val="21"/>
          <w:szCs w:val="21"/>
          <w:lang w:val="en-US" w:eastAsia="zh-CN"/>
        </w:rPr>
        <w:t>i</w:t>
      </w:r>
      <w:r>
        <w:rPr>
          <w:rFonts w:hint="eastAsia" w:ascii="Times New Roman" w:hAnsi="Times New Roman" w:eastAsia="宋体" w:cs="Times New Roman"/>
          <w:sz w:val="21"/>
          <w:szCs w:val="21"/>
          <w:lang w:val="en-US" w:eastAsia="zh-CN"/>
        </w:rPr>
        <w:t>种原材料的第</w:t>
      </w:r>
      <w:r>
        <w:rPr>
          <w:rFonts w:hint="eastAsia" w:ascii="Times New Roman" w:hAnsi="Times New Roman" w:eastAsia="宋体" w:cs="Times New Roman"/>
          <w:i/>
          <w:iCs/>
          <w:sz w:val="21"/>
          <w:szCs w:val="21"/>
          <w:lang w:val="en-US" w:eastAsia="zh-CN"/>
        </w:rPr>
        <w:t>j</w:t>
      </w:r>
      <w:r>
        <w:rPr>
          <w:rFonts w:hint="eastAsia" w:ascii="Times New Roman" w:hAnsi="Times New Roman" w:eastAsia="宋体" w:cs="Times New Roman"/>
          <w:sz w:val="21"/>
          <w:szCs w:val="21"/>
          <w:lang w:val="en-US" w:eastAsia="zh-CN"/>
        </w:rPr>
        <w:t>类运输方式的运输距离，单位为千米（km）；</w:t>
      </w:r>
    </w:p>
    <w:p w14:paraId="321E7E3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TEF</w:t>
      </w:r>
      <w:r>
        <w:rPr>
          <w:rFonts w:hint="eastAsia" w:ascii="Times New Roman" w:hAnsi="Times New Roman" w:eastAsia="宋体" w:cs="Times New Roman"/>
          <w:i/>
          <w:iCs/>
          <w:sz w:val="21"/>
          <w:szCs w:val="21"/>
          <w:vertAlign w:val="subscript"/>
          <w:lang w:val="en-US" w:eastAsia="zh-CN"/>
        </w:rPr>
        <w:t>A,j</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第</w:t>
      </w:r>
      <w:r>
        <w:rPr>
          <w:rFonts w:hint="eastAsia" w:ascii="Times New Roman" w:hAnsi="Times New Roman" w:eastAsia="宋体" w:cs="Times New Roman"/>
          <w:i/>
          <w:iCs/>
          <w:sz w:val="21"/>
          <w:szCs w:val="21"/>
          <w:lang w:val="en-US" w:eastAsia="zh-CN"/>
        </w:rPr>
        <w:t>j</w:t>
      </w:r>
      <w:r>
        <w:rPr>
          <w:rFonts w:hint="eastAsia" w:ascii="Times New Roman" w:hAnsi="Times New Roman" w:eastAsia="宋体" w:cs="Times New Roman"/>
          <w:sz w:val="21"/>
          <w:szCs w:val="21"/>
          <w:lang w:val="en-US" w:eastAsia="zh-CN"/>
        </w:rPr>
        <w:t>类运输方式对应的碳足迹因子，单位与该运输环节相匹配，如千克二氧化碳当量每吨千米</w:t>
      </w:r>
      <w:r>
        <w:rPr>
          <w:rFonts w:hint="default" w:ascii="Times New Roman" w:hAnsi="Times New Roman" w:eastAsia="宋体" w:cs="Times New Roman"/>
          <w:sz w:val="21"/>
          <w:szCs w:val="21"/>
          <w:lang w:val="en-US" w:eastAsia="zh-CN"/>
        </w:rPr>
        <w:t>[kgCO</w:t>
      </w:r>
      <w:r>
        <w:rPr>
          <w:rFonts w:hint="default" w:ascii="Times New Roman" w:hAnsi="Times New Roman" w:eastAsia="宋体" w:cs="Times New Roman"/>
          <w:sz w:val="21"/>
          <w:szCs w:val="21"/>
          <w:vertAlign w:val="subscript"/>
          <w:lang w:val="en-US" w:eastAsia="zh-CN"/>
        </w:rPr>
        <w:t>2</w:t>
      </w:r>
      <w:r>
        <w:rPr>
          <w:rFonts w:hint="default" w:ascii="Times New Roman" w:hAnsi="Times New Roman" w:eastAsia="宋体" w:cs="Times New Roman"/>
          <w:sz w:val="21"/>
          <w:szCs w:val="21"/>
          <w:lang w:val="en-US" w:eastAsia="zh-CN"/>
        </w:rPr>
        <w:t>e/t·km</w:t>
      </w:r>
      <w:r>
        <w:rPr>
          <w:rFonts w:hint="eastAsia" w:ascii="Times New Roman" w:hAnsi="Times New Roman" w:eastAsia="宋体" w:cs="Times New Roman"/>
          <w:sz w:val="21"/>
          <w:szCs w:val="21"/>
          <w:lang w:val="en-US" w:eastAsia="zh-CN"/>
        </w:rPr>
        <w:t>]。</w:t>
      </w:r>
    </w:p>
    <w:p w14:paraId="0D6220F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黑体" w:hAnsi="黑体" w:eastAsia="黑体" w:cs="黑体"/>
          <w:sz w:val="21"/>
          <w:szCs w:val="21"/>
          <w:lang w:val="en-US" w:eastAsia="zh-CN"/>
        </w:rPr>
      </w:pPr>
      <w:bookmarkStart w:id="31" w:name="_Toc26711"/>
      <w:r>
        <w:rPr>
          <w:rFonts w:hint="eastAsia" w:ascii="黑体" w:hAnsi="黑体" w:eastAsia="黑体" w:cs="黑体"/>
          <w:sz w:val="21"/>
          <w:szCs w:val="21"/>
          <w:lang w:val="en-US" w:eastAsia="zh-CN"/>
        </w:rPr>
        <w:t>7.3 生产阶段碳足迹</w:t>
      </w:r>
      <w:bookmarkEnd w:id="31"/>
    </w:p>
    <w:p w14:paraId="2172177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软饮料生产阶段碳足迹按照公式（3）进行计算。</w:t>
      </w:r>
    </w:p>
    <w:p w14:paraId="37E4F68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421" w:leftChars="0" w:right="0" w:firstLine="421" w:firstLineChars="0"/>
        <w:jc w:val="left"/>
        <w:textAlignment w:val="baseline"/>
        <w:rPr>
          <w:rFonts w:hint="default" w:ascii="Times New Roman" w:hAnsi="Times New Roman" w:eastAsia="宋体" w:cs="Times New Roman"/>
          <w:i w:val="0"/>
          <w:iCs/>
          <w:kern w:val="0"/>
          <w:sz w:val="21"/>
          <w:szCs w:val="21"/>
          <w:lang w:val="en-US" w:eastAsia="zh-CN" w:bidi="ar"/>
        </w:rPr>
      </w:pPr>
      <m:oMath>
        <m:sSub>
          <m:sSubPr>
            <m:ctrlPr>
              <w:rPr>
                <w:rFonts w:hint="default" w:ascii="Cambria Math" w:hAnsi="Cambria Math" w:eastAsia="宋体" w:cs="Times New Roman"/>
                <w:i/>
                <w:iCs/>
                <w:kern w:val="0"/>
                <w:sz w:val="21"/>
                <w:szCs w:val="21"/>
                <w:lang w:val="en-US" w:eastAsia="zh-CN" w:bidi="ar"/>
              </w:rPr>
            </m:ctrlPr>
          </m:sSubPr>
          <m:e>
            <m:r>
              <m:rPr>
                <m:nor/>
              </m:rPr>
              <w:rPr>
                <w:rFonts w:hint="default" w:ascii="Times New Roman" w:hAnsi="Times New Roman" w:eastAsia="宋体" w:cs="Times New Roman"/>
                <w:i/>
                <w:iCs/>
                <w:kern w:val="0"/>
                <w:sz w:val="21"/>
                <w:szCs w:val="21"/>
                <w:lang w:val="en-US" w:eastAsia="zh-CN" w:bidi="ar"/>
              </w:rPr>
              <m:t>CFP</m:t>
            </m:r>
            <m:ctrlPr>
              <w:rPr>
                <w:rFonts w:hint="default" w:ascii="Cambria Math" w:hAnsi="Cambria Math" w:eastAsia="宋体" w:cs="Times New Roman"/>
                <w:i/>
                <w:iCs/>
                <w:kern w:val="0"/>
                <w:sz w:val="21"/>
                <w:szCs w:val="21"/>
                <w:lang w:val="en-US" w:eastAsia="zh-CN" w:bidi="ar"/>
              </w:rPr>
            </m:ctrlPr>
          </m:e>
          <m:sub>
            <m:r>
              <m:rPr>
                <m:nor/>
              </m:rPr>
              <w:rPr>
                <w:rFonts w:hint="default" w:ascii="Times New Roman" w:hAnsi="Times New Roman" w:eastAsia="宋体" w:cs="Times New Roman"/>
                <w:i/>
                <w:iCs/>
                <w:kern w:val="0"/>
                <w:sz w:val="21"/>
                <w:szCs w:val="21"/>
                <w:lang w:val="en-US" w:eastAsia="zh-CN" w:bidi="ar"/>
              </w:rPr>
              <m:t>B</m:t>
            </m:r>
            <m:ctrlPr>
              <w:rPr>
                <w:rFonts w:hint="default" w:ascii="Cambria Math" w:hAnsi="Cambria Math" w:eastAsia="宋体" w:cs="Times New Roman"/>
                <w:i/>
                <w:iCs/>
                <w:kern w:val="0"/>
                <w:sz w:val="21"/>
                <w:szCs w:val="21"/>
                <w:lang w:val="en-US" w:eastAsia="zh-CN" w:bidi="ar"/>
              </w:rPr>
            </m:ctrlPr>
          </m:sub>
        </m:sSub>
        <m:r>
          <m:rPr>
            <m:nor/>
            <m:sty m:val="p"/>
          </m:rPr>
          <w:rPr>
            <w:rFonts w:hint="default" w:ascii="Times New Roman" w:hAnsi="Times New Roman" w:eastAsia="宋体" w:cs="Times New Roman"/>
            <w:b w:val="0"/>
            <w:i w:val="0"/>
            <w:kern w:val="0"/>
            <w:sz w:val="21"/>
            <w:szCs w:val="21"/>
            <w:lang w:val="en-US" w:eastAsia="zh-CN" w:bidi="ar"/>
          </w:rPr>
          <m:t>=</m:t>
        </m:r>
        <m:nary>
          <m:naryPr>
            <m:chr m:val="∑"/>
            <m:limLoc m:val="undOvr"/>
            <m:supHide m:val="1"/>
            <m:ctrlPr>
              <w:rPr>
                <w:rFonts w:hint="default" w:ascii="Cambria Math" w:hAnsi="Cambria Math" w:eastAsia="宋体" w:cs="Times New Roman"/>
                <w:b w:val="0"/>
                <w:i w:val="0"/>
                <w:kern w:val="0"/>
                <w:sz w:val="21"/>
                <w:szCs w:val="21"/>
                <w:lang w:val="en-US" w:eastAsia="zh-CN" w:bidi="ar"/>
              </w:rPr>
            </m:ctrlPr>
          </m:naryPr>
          <m:sub>
            <m:r>
              <m:rPr>
                <m:nor/>
              </m:rPr>
              <w:rPr>
                <w:rFonts w:hint="default" w:ascii="Times New Roman" w:hAnsi="Times New Roman" w:eastAsia="宋体" w:cs="Times New Roman"/>
                <w:b w:val="0"/>
                <w:i/>
                <w:iCs/>
                <w:kern w:val="0"/>
                <w:sz w:val="21"/>
                <w:szCs w:val="21"/>
                <w:lang w:val="en-US" w:eastAsia="zh-CN" w:bidi="ar"/>
              </w:rPr>
              <m:t>l</m:t>
            </m:r>
            <m:ctrlPr>
              <w:rPr>
                <w:rFonts w:hint="default" w:ascii="Cambria Math" w:hAnsi="Cambria Math" w:eastAsia="宋体" w:cs="Times New Roman"/>
                <w:b w:val="0"/>
                <w:i w:val="0"/>
                <w:kern w:val="0"/>
                <w:sz w:val="21"/>
                <w:szCs w:val="21"/>
                <w:lang w:val="en-US" w:eastAsia="zh-CN" w:bidi="ar"/>
              </w:rPr>
            </m:ctrlPr>
          </m:sub>
          <m:sup>
            <m:ctrlPr>
              <w:rPr>
                <w:rFonts w:hint="default" w:ascii="Cambria Math" w:hAnsi="Cambria Math" w:eastAsia="宋体" w:cs="Times New Roman"/>
                <w:b w:val="0"/>
                <w:i w:val="0"/>
                <w:kern w:val="0"/>
                <w:sz w:val="21"/>
                <w:szCs w:val="21"/>
                <w:lang w:val="en-US" w:eastAsia="zh-CN" w:bidi="ar"/>
              </w:rPr>
            </m:ctrlPr>
          </m:sup>
          <m:e>
            <m:sSub>
              <m:sSubPr>
                <m:ctrlPr>
                  <w:rPr>
                    <w:rFonts w:hint="default" w:ascii="Cambria Math" w:hAnsi="Cambria Math" w:eastAsia="宋体" w:cs="Times New Roman"/>
                    <w:b w:val="0"/>
                    <w:i/>
                    <w:iCs/>
                    <w:kern w:val="0"/>
                    <w:sz w:val="21"/>
                    <w:szCs w:val="21"/>
                    <w:lang w:val="en-US" w:eastAsia="zh-CN" w:bidi="ar"/>
                  </w:rPr>
                </m:ctrlPr>
              </m:sSubPr>
              <m:e>
                <m:r>
                  <m:rPr>
                    <m:nor/>
                    <m:sty m:val="p"/>
                  </m:rPr>
                  <w:rPr>
                    <w:rFonts w:hint="eastAsia" w:ascii="Cambria Math" w:hAnsi="Cambria Math" w:eastAsia="宋体" w:cs="Times New Roman"/>
                    <w:b w:val="0"/>
                    <w:i w:val="0"/>
                    <w:iCs w:val="0"/>
                    <w:kern w:val="0"/>
                    <w:sz w:val="21"/>
                    <w:szCs w:val="21"/>
                    <w:lang w:val="en-US" w:eastAsia="zh-CN" w:bidi="ar"/>
                  </w:rPr>
                  <m:t>（</m:t>
                </m:r>
                <m:r>
                  <m:rPr>
                    <m:nor/>
                  </m:rPr>
                  <w:rPr>
                    <w:rFonts w:hint="default" w:ascii="Times New Roman" w:hAnsi="Times New Roman" w:eastAsia="宋体" w:cs="Times New Roman"/>
                    <w:b w:val="0"/>
                    <w:i/>
                    <w:iCs/>
                    <w:kern w:val="0"/>
                    <w:sz w:val="21"/>
                    <w:szCs w:val="21"/>
                    <w:lang w:val="en-US" w:eastAsia="zh-CN" w:bidi="ar"/>
                  </w:rPr>
                  <m:t>EL</m:t>
                </m:r>
                <m:ctrlPr>
                  <w:rPr>
                    <w:rFonts w:hint="default" w:ascii="Cambria Math" w:hAnsi="Cambria Math" w:eastAsia="宋体" w:cs="Times New Roman"/>
                    <w:b w:val="0"/>
                    <w:i/>
                    <w:iCs/>
                    <w:kern w:val="0"/>
                    <w:sz w:val="21"/>
                    <w:szCs w:val="21"/>
                    <w:lang w:val="en-US" w:eastAsia="zh-CN" w:bidi="ar"/>
                  </w:rPr>
                </m:ctrlPr>
              </m:e>
              <m:sub>
                <m:r>
                  <m:rPr>
                    <m:nor/>
                  </m:rPr>
                  <w:rPr>
                    <w:rFonts w:hint="default" w:ascii="Times New Roman" w:hAnsi="Times New Roman" w:eastAsia="宋体" w:cs="Times New Roman"/>
                    <w:b w:val="0"/>
                    <w:i/>
                    <w:iCs/>
                    <w:kern w:val="0"/>
                    <w:sz w:val="21"/>
                    <w:szCs w:val="21"/>
                    <w:lang w:val="en-US" w:eastAsia="zh-CN" w:bidi="ar"/>
                  </w:rPr>
                  <m:t>B</m:t>
                </m:r>
                <m:r>
                  <m:rPr>
                    <m:nor/>
                    <m:sty m:val="p"/>
                  </m:rPr>
                  <w:rPr>
                    <w:rFonts w:hint="default" w:ascii="Times New Roman" w:hAnsi="Times New Roman" w:eastAsia="宋体" w:cs="Times New Roman"/>
                    <w:b w:val="0"/>
                    <w:i w:val="0"/>
                    <w:iCs/>
                    <w:kern w:val="0"/>
                    <w:sz w:val="21"/>
                    <w:szCs w:val="21"/>
                    <w:lang w:val="en-US" w:eastAsia="zh-CN" w:bidi="ar"/>
                  </w:rPr>
                  <m:t xml:space="preserve">, </m:t>
                </m:r>
                <m:r>
                  <m:rPr>
                    <m:nor/>
                  </m:rPr>
                  <w:rPr>
                    <w:rFonts w:hint="default" w:ascii="Times New Roman" w:hAnsi="Times New Roman" w:eastAsia="宋体" w:cs="Times New Roman"/>
                    <w:b w:val="0"/>
                    <w:i/>
                    <w:iCs/>
                    <w:kern w:val="0"/>
                    <w:sz w:val="21"/>
                    <w:szCs w:val="21"/>
                    <w:lang w:val="en-US" w:eastAsia="zh-CN" w:bidi="ar"/>
                  </w:rPr>
                  <m:t>l</m:t>
                </m:r>
                <m:ctrlPr>
                  <w:rPr>
                    <w:rFonts w:hint="default" w:ascii="Cambria Math" w:hAnsi="Cambria Math" w:eastAsia="宋体" w:cs="Times New Roman"/>
                    <w:b w:val="0"/>
                    <w:i/>
                    <w:iCs/>
                    <w:kern w:val="0"/>
                    <w:sz w:val="21"/>
                    <w:szCs w:val="21"/>
                    <w:lang w:val="en-US" w:eastAsia="zh-CN" w:bidi="ar"/>
                  </w:rPr>
                </m:ctrlPr>
              </m:sub>
            </m:sSub>
            <m:r>
              <m:rPr>
                <m:nor/>
                <m:sty m:val="p"/>
              </m:rPr>
              <w:rPr>
                <w:rFonts w:hint="default" w:ascii="Times New Roman" w:hAnsi="Times New Roman" w:cs="Times New Roman"/>
                <w:b w:val="0"/>
                <w:i w:val="0"/>
                <w:kern w:val="0"/>
                <w:sz w:val="21"/>
                <w:szCs w:val="21"/>
                <w:lang w:val="en-US" w:bidi="ar"/>
              </w:rPr>
              <m:t>×</m:t>
            </m:r>
            <m:sSub>
              <m:sSubPr>
                <m:ctrlPr>
                  <w:rPr>
                    <w:rFonts w:hint="default" w:ascii="Cambria Math" w:hAnsi="Cambria Math" w:cs="Times New Roman"/>
                    <w:i/>
                    <w:iCs/>
                    <w:kern w:val="0"/>
                    <w:sz w:val="21"/>
                    <w:szCs w:val="21"/>
                    <w:lang w:val="en-US" w:bidi="ar"/>
                  </w:rPr>
                </m:ctrlPr>
              </m:sSubPr>
              <m:e>
                <m:r>
                  <m:rPr>
                    <m:nor/>
                  </m:rPr>
                  <w:rPr>
                    <w:rFonts w:hint="default" w:ascii="Times New Roman" w:hAnsi="Times New Roman" w:cs="Times New Roman"/>
                    <w:i/>
                    <w:iCs/>
                    <w:kern w:val="0"/>
                    <w:sz w:val="21"/>
                    <w:szCs w:val="21"/>
                    <w:lang w:val="en-US" w:eastAsia="zh-CN" w:bidi="ar"/>
                  </w:rPr>
                  <m:t>EEF</m:t>
                </m:r>
                <m:ctrlPr>
                  <w:rPr>
                    <w:rFonts w:hint="default" w:ascii="Cambria Math" w:hAnsi="Cambria Math" w:cs="Times New Roman"/>
                    <w:i/>
                    <w:iCs/>
                    <w:kern w:val="0"/>
                    <w:sz w:val="21"/>
                    <w:szCs w:val="21"/>
                    <w:lang w:val="en-US" w:bidi="ar"/>
                  </w:rPr>
                </m:ctrlPr>
              </m:e>
              <m:sub>
                <m:r>
                  <m:rPr>
                    <m:nor/>
                  </m:rPr>
                  <w:rPr>
                    <w:rFonts w:hint="default" w:ascii="Times New Roman" w:hAnsi="Times New Roman" w:cs="Times New Roman"/>
                    <w:i/>
                    <w:iCs/>
                    <w:kern w:val="0"/>
                    <w:sz w:val="21"/>
                    <w:szCs w:val="21"/>
                    <w:lang w:val="en-US" w:eastAsia="zh-CN" w:bidi="ar"/>
                  </w:rPr>
                  <m:t>B</m:t>
                </m:r>
                <m:r>
                  <m:rPr>
                    <m:nor/>
                    <m:sty m:val="p"/>
                  </m:rPr>
                  <w:rPr>
                    <w:rFonts w:hint="default" w:ascii="Times New Roman" w:hAnsi="Times New Roman" w:cs="Times New Roman"/>
                    <w:b w:val="0"/>
                    <w:i w:val="0"/>
                    <w:iCs/>
                    <w:kern w:val="0"/>
                    <w:sz w:val="21"/>
                    <w:szCs w:val="21"/>
                    <w:lang w:val="en-US" w:eastAsia="zh-CN" w:bidi="ar"/>
                  </w:rPr>
                  <m:t xml:space="preserve">, </m:t>
                </m:r>
                <m:r>
                  <m:rPr>
                    <m:nor/>
                  </m:rPr>
                  <w:rPr>
                    <w:rFonts w:hint="default" w:ascii="Times New Roman" w:hAnsi="Times New Roman" w:cs="Times New Roman"/>
                    <w:i/>
                    <w:iCs/>
                    <w:kern w:val="0"/>
                    <w:sz w:val="21"/>
                    <w:szCs w:val="21"/>
                    <w:lang w:val="en-US" w:eastAsia="zh-CN" w:bidi="ar"/>
                  </w:rPr>
                  <m:t>l</m:t>
                </m:r>
                <m:ctrlPr>
                  <w:rPr>
                    <w:rFonts w:hint="default" w:ascii="Cambria Math" w:hAnsi="Cambria Math" w:cs="Times New Roman"/>
                    <w:i/>
                    <w:iCs/>
                    <w:kern w:val="0"/>
                    <w:sz w:val="21"/>
                    <w:szCs w:val="21"/>
                    <w:lang w:val="en-US" w:bidi="ar"/>
                  </w:rPr>
                </m:ctrlPr>
              </m:sub>
            </m:sSub>
            <m:r>
              <m:rPr>
                <m:sty m:val="p"/>
              </m:rPr>
              <w:rPr>
                <w:rFonts w:hint="eastAsia" w:ascii="Cambria Math" w:hAnsi="Cambria Math" w:cs="Times New Roman"/>
                <w:kern w:val="0"/>
                <w:sz w:val="21"/>
                <w:szCs w:val="21"/>
                <w:lang w:val="en-US" w:eastAsia="zh-CN" w:bidi="ar"/>
              </w:rPr>
              <m:t>）</m:t>
            </m:r>
            <m:r>
              <m:rPr>
                <m:sty m:val="p"/>
              </m:rPr>
              <w:rPr>
                <w:rFonts w:hint="default" w:ascii="Cambria Math" w:hAnsi="Cambria Math" w:cs="Times New Roman"/>
                <w:kern w:val="0"/>
                <w:sz w:val="21"/>
                <w:szCs w:val="21"/>
                <w:lang w:val="en-US" w:eastAsia="zh-CN" w:bidi="ar"/>
              </w:rPr>
              <m:t>+</m:t>
            </m:r>
            <m:sSub>
              <m:sSubPr>
                <m:ctrlPr>
                  <w:rPr>
                    <w:rFonts w:hint="default" w:ascii="Cambria Math" w:hAnsi="Cambria Math" w:eastAsia="宋体" w:cs="Times New Roman"/>
                    <w:b w:val="0"/>
                    <w:i w:val="0"/>
                    <w:kern w:val="0"/>
                    <w:sz w:val="21"/>
                    <w:szCs w:val="21"/>
                    <w:lang w:val="en-US" w:eastAsia="zh-CN" w:bidi="ar"/>
                  </w:rPr>
                </m:ctrlPr>
              </m:sSubPr>
              <m:e>
                <m:r>
                  <m:rPr>
                    <m:nor/>
                  </m:rPr>
                  <w:rPr>
                    <w:rFonts w:hint="default" w:ascii="Times New Roman" w:hAnsi="Times New Roman" w:eastAsia="宋体" w:cs="Times New Roman"/>
                    <w:b w:val="0"/>
                    <w:i/>
                    <w:iCs w:val="0"/>
                    <w:kern w:val="0"/>
                    <w:sz w:val="21"/>
                    <w:szCs w:val="21"/>
                    <w:lang w:val="en-US" w:eastAsia="zh-CN" w:bidi="ar"/>
                  </w:rPr>
                  <m:t>TH</m:t>
                </m:r>
                <m:ctrlPr>
                  <w:rPr>
                    <w:rFonts w:hint="default" w:ascii="Cambria Math" w:hAnsi="Cambria Math" w:eastAsia="宋体" w:cs="Times New Roman"/>
                    <w:b w:val="0"/>
                    <w:i w:val="0"/>
                    <w:kern w:val="0"/>
                    <w:sz w:val="21"/>
                    <w:szCs w:val="21"/>
                    <w:lang w:val="en-US" w:eastAsia="zh-CN" w:bidi="ar"/>
                  </w:rPr>
                </m:ctrlPr>
              </m:e>
              <m:sub>
                <m:r>
                  <m:rPr>
                    <m:nor/>
                  </m:rPr>
                  <w:rPr>
                    <w:rFonts w:hint="default" w:ascii="Times New Roman" w:hAnsi="Times New Roman" w:eastAsia="宋体" w:cs="Times New Roman"/>
                    <w:b w:val="0"/>
                    <w:i/>
                    <w:iCs w:val="0"/>
                    <w:kern w:val="0"/>
                    <w:sz w:val="21"/>
                    <w:szCs w:val="21"/>
                    <w:lang w:val="en-US" w:eastAsia="zh-CN" w:bidi="ar"/>
                  </w:rPr>
                  <m:t>B</m:t>
                </m:r>
                <m:ctrlPr>
                  <w:rPr>
                    <w:rFonts w:hint="default" w:ascii="Cambria Math" w:hAnsi="Cambria Math" w:eastAsia="宋体" w:cs="Times New Roman"/>
                    <w:b w:val="0"/>
                    <w:i w:val="0"/>
                    <w:kern w:val="0"/>
                    <w:sz w:val="21"/>
                    <w:szCs w:val="21"/>
                    <w:lang w:val="en-US" w:eastAsia="zh-CN" w:bidi="ar"/>
                  </w:rPr>
                </m:ctrlPr>
              </m:sub>
            </m:sSub>
            <m:r>
              <m:rPr>
                <m:sty m:val="p"/>
              </m:rPr>
              <w:rPr>
                <w:rFonts w:hint="default" w:ascii="Times New Roman" w:hAnsi="Times New Roman" w:cs="Times New Roman"/>
                <w:kern w:val="0"/>
                <w:sz w:val="21"/>
                <w:szCs w:val="21"/>
                <w:lang w:val="en-US" w:bidi="ar"/>
              </w:rPr>
              <m:t>×</m:t>
            </m:r>
            <m:sSub>
              <m:sSubPr>
                <m:ctrlPr>
                  <w:rPr>
                    <w:rFonts w:hint="default" w:ascii="Cambria Math" w:hAnsi="Cambria Math" w:cs="Times New Roman"/>
                    <w:b w:val="0"/>
                    <w:i w:val="0"/>
                    <w:iCs/>
                    <w:kern w:val="0"/>
                    <w:sz w:val="21"/>
                    <w:szCs w:val="21"/>
                    <w:lang w:val="en-US" w:bidi="ar"/>
                  </w:rPr>
                </m:ctrlPr>
              </m:sSubPr>
              <m:e>
                <m:r>
                  <m:rPr>
                    <m:nor/>
                  </m:rPr>
                  <w:rPr>
                    <w:rFonts w:hint="default" w:ascii="Cambria Math" w:hAnsi="Cambria Math" w:cs="Times New Roman"/>
                    <w:b w:val="0"/>
                    <w:i/>
                    <w:iCs/>
                    <w:kern w:val="0"/>
                    <w:sz w:val="21"/>
                    <w:szCs w:val="21"/>
                    <w:lang w:val="en-US" w:eastAsia="zh-CN" w:bidi="ar"/>
                  </w:rPr>
                  <m:t>H</m:t>
                </m:r>
                <m:r>
                  <m:rPr>
                    <m:nor/>
                  </m:rPr>
                  <w:rPr>
                    <w:rFonts w:hint="default" w:ascii="Times New Roman" w:hAnsi="Times New Roman" w:cs="Times New Roman"/>
                    <w:b w:val="0"/>
                    <w:i/>
                    <w:iCs w:val="0"/>
                    <w:kern w:val="0"/>
                    <w:sz w:val="21"/>
                    <w:szCs w:val="21"/>
                    <w:lang w:val="en-US" w:eastAsia="zh-CN" w:bidi="ar"/>
                  </w:rPr>
                  <m:t>EF</m:t>
                </m:r>
                <m:ctrlPr>
                  <w:rPr>
                    <w:rFonts w:hint="default" w:ascii="Cambria Math" w:hAnsi="Cambria Math" w:cs="Times New Roman"/>
                    <w:b w:val="0"/>
                    <w:i w:val="0"/>
                    <w:iCs/>
                    <w:kern w:val="0"/>
                    <w:sz w:val="21"/>
                    <w:szCs w:val="21"/>
                    <w:lang w:val="en-US" w:bidi="ar"/>
                  </w:rPr>
                </m:ctrlPr>
              </m:e>
              <m:sub>
                <m:r>
                  <m:rPr>
                    <m:nor/>
                  </m:rPr>
                  <w:rPr>
                    <w:rFonts w:hint="default" w:ascii="Times New Roman" w:hAnsi="Times New Roman" w:cs="Times New Roman"/>
                    <w:b w:val="0"/>
                    <w:i/>
                    <w:iCs w:val="0"/>
                    <w:kern w:val="0"/>
                    <w:sz w:val="21"/>
                    <w:szCs w:val="21"/>
                    <w:lang w:val="en-US" w:eastAsia="zh-CN" w:bidi="ar"/>
                  </w:rPr>
                  <m:t>B</m:t>
                </m:r>
                <m:ctrlPr>
                  <w:rPr>
                    <w:rFonts w:hint="default" w:ascii="Cambria Math" w:hAnsi="Cambria Math" w:cs="Times New Roman"/>
                    <w:b w:val="0"/>
                    <w:i w:val="0"/>
                    <w:iCs/>
                    <w:kern w:val="0"/>
                    <w:sz w:val="21"/>
                    <w:szCs w:val="21"/>
                    <w:lang w:val="en-US" w:bidi="ar"/>
                  </w:rPr>
                </m:ctrlPr>
              </m:sub>
            </m:sSub>
            <m:r>
              <m:rPr>
                <m:sty m:val="p"/>
              </m:rPr>
              <w:rPr>
                <w:rFonts w:hint="default" w:ascii="Cambria Math" w:hAnsi="Cambria Math" w:cs="Times New Roman"/>
                <w:kern w:val="0"/>
                <w:sz w:val="21"/>
                <w:szCs w:val="21"/>
                <w:lang w:val="en-US" w:eastAsia="zh-CN" w:bidi="ar"/>
              </w:rPr>
              <m:t>+</m:t>
            </m:r>
            <m:nary>
              <m:naryPr>
                <m:chr m:val="∑"/>
                <m:limLoc m:val="undOvr"/>
                <m:supHide m:val="1"/>
                <m:ctrlPr>
                  <w:rPr>
                    <w:rFonts w:hint="default" w:ascii="Cambria Math" w:hAnsi="Cambria Math" w:eastAsia="宋体" w:cs="Times New Roman"/>
                    <w:b w:val="0"/>
                    <w:i w:val="0"/>
                    <w:kern w:val="0"/>
                    <w:sz w:val="21"/>
                    <w:szCs w:val="21"/>
                    <w:lang w:val="en-US" w:eastAsia="zh-CN" w:bidi="ar"/>
                  </w:rPr>
                </m:ctrlPr>
              </m:naryPr>
              <m:sub>
                <m:r>
                  <m:rPr>
                    <m:nor/>
                  </m:rPr>
                  <w:rPr>
                    <w:rFonts w:hint="default" w:ascii="Times New Roman" w:hAnsi="Times New Roman" w:eastAsia="宋体" w:cs="Times New Roman"/>
                    <w:b w:val="0"/>
                    <w:i/>
                    <w:iCs/>
                    <w:kern w:val="0"/>
                    <w:sz w:val="21"/>
                    <w:szCs w:val="21"/>
                    <w:lang w:val="en-US" w:eastAsia="zh-CN" w:bidi="ar"/>
                  </w:rPr>
                  <m:t>k</m:t>
                </m:r>
                <m:ctrlPr>
                  <w:rPr>
                    <w:rFonts w:hint="default" w:ascii="Cambria Math" w:hAnsi="Cambria Math" w:eastAsia="宋体" w:cs="Times New Roman"/>
                    <w:b w:val="0"/>
                    <w:i w:val="0"/>
                    <w:kern w:val="0"/>
                    <w:sz w:val="21"/>
                    <w:szCs w:val="21"/>
                    <w:lang w:val="en-US" w:eastAsia="zh-CN" w:bidi="ar"/>
                  </w:rPr>
                </m:ctrlPr>
              </m:sub>
              <m:sup>
                <m:ctrlPr>
                  <w:rPr>
                    <w:rFonts w:hint="default" w:ascii="Cambria Math" w:hAnsi="Cambria Math" w:eastAsia="宋体" w:cs="Times New Roman"/>
                    <w:b w:val="0"/>
                    <w:i w:val="0"/>
                    <w:kern w:val="0"/>
                    <w:sz w:val="21"/>
                    <w:szCs w:val="21"/>
                    <w:lang w:val="en-US" w:eastAsia="zh-CN" w:bidi="ar"/>
                  </w:rPr>
                </m:ctrlPr>
              </m:sup>
              <m:e>
                <m:r>
                  <m:rPr>
                    <m:nor/>
                    <m:sty m:val="p"/>
                  </m:rPr>
                  <w:rPr>
                    <w:rFonts w:hint="default" w:ascii="Times New Roman" w:hAnsi="Times New Roman" w:eastAsia="宋体" w:cs="Times New Roman"/>
                    <w:b w:val="0"/>
                    <w:i w:val="0"/>
                    <w:kern w:val="0"/>
                    <w:sz w:val="21"/>
                    <w:szCs w:val="21"/>
                    <w:lang w:val="en-US" w:eastAsia="zh-CN" w:bidi="ar"/>
                  </w:rPr>
                  <m:t>[</m:t>
                </m:r>
                <m:sSub>
                  <m:sSubPr>
                    <m:ctrlPr>
                      <w:rPr>
                        <w:rFonts w:hint="default" w:ascii="Cambria Math" w:hAnsi="Cambria Math" w:eastAsia="宋体" w:cs="Times New Roman"/>
                        <w:b w:val="0"/>
                        <w:i w:val="0"/>
                        <w:kern w:val="0"/>
                        <w:sz w:val="21"/>
                        <w:szCs w:val="21"/>
                        <w:lang w:val="en-US" w:eastAsia="zh-CN" w:bidi="ar"/>
                      </w:rPr>
                    </m:ctrlPr>
                  </m:sSubPr>
                  <m:e>
                    <m:r>
                      <m:rPr>
                        <m:nor/>
                      </m:rPr>
                      <w:rPr>
                        <w:rFonts w:hint="default" w:ascii="Times New Roman" w:hAnsi="Times New Roman" w:eastAsia="宋体" w:cs="Times New Roman"/>
                        <w:b w:val="0"/>
                        <w:i/>
                        <w:iCs/>
                        <w:kern w:val="0"/>
                        <w:sz w:val="21"/>
                        <w:szCs w:val="21"/>
                        <w:lang w:val="en-US" w:eastAsia="zh-CN" w:bidi="ar"/>
                      </w:rPr>
                      <m:t>FU</m:t>
                    </m:r>
                    <m:ctrlPr>
                      <w:rPr>
                        <w:rFonts w:hint="default" w:ascii="Cambria Math" w:hAnsi="Cambria Math" w:eastAsia="宋体" w:cs="Times New Roman"/>
                        <w:b w:val="0"/>
                        <w:i w:val="0"/>
                        <w:kern w:val="0"/>
                        <w:sz w:val="21"/>
                        <w:szCs w:val="21"/>
                        <w:lang w:val="en-US" w:eastAsia="zh-CN" w:bidi="ar"/>
                      </w:rPr>
                    </m:ctrlPr>
                  </m:e>
                  <m:sub>
                    <m:r>
                      <m:rPr>
                        <m:nor/>
                      </m:rPr>
                      <w:rPr>
                        <w:rFonts w:hint="default" w:ascii="Times New Roman" w:hAnsi="Times New Roman" w:eastAsia="宋体" w:cs="Times New Roman"/>
                        <w:b w:val="0"/>
                        <w:i/>
                        <w:iCs/>
                        <w:kern w:val="0"/>
                        <w:sz w:val="21"/>
                        <w:szCs w:val="21"/>
                        <w:lang w:val="en-US" w:eastAsia="zh-CN" w:bidi="ar"/>
                      </w:rPr>
                      <m:t>B</m:t>
                    </m:r>
                    <m:r>
                      <m:rPr>
                        <m:nor/>
                        <m:sty m:val="p"/>
                      </m:rPr>
                      <w:rPr>
                        <w:rFonts w:hint="default" w:ascii="Times New Roman" w:hAnsi="Times New Roman" w:eastAsia="宋体" w:cs="Times New Roman"/>
                        <w:b w:val="0"/>
                        <w:i w:val="0"/>
                        <w:kern w:val="0"/>
                        <w:sz w:val="21"/>
                        <w:szCs w:val="21"/>
                        <w:lang w:val="en-US" w:eastAsia="zh-CN" w:bidi="ar"/>
                      </w:rPr>
                      <m:t xml:space="preserve">, </m:t>
                    </m:r>
                    <m:r>
                      <m:rPr>
                        <m:nor/>
                      </m:rPr>
                      <w:rPr>
                        <w:rFonts w:hint="default" w:ascii="Times New Roman" w:hAnsi="Times New Roman" w:eastAsia="宋体" w:cs="Times New Roman"/>
                        <w:b w:val="0"/>
                        <w:i/>
                        <w:iCs/>
                        <w:kern w:val="0"/>
                        <w:sz w:val="21"/>
                        <w:szCs w:val="21"/>
                        <w:lang w:val="en-US" w:eastAsia="zh-CN" w:bidi="ar"/>
                      </w:rPr>
                      <m:t>k</m:t>
                    </m:r>
                    <m:ctrlPr>
                      <w:rPr>
                        <w:rFonts w:hint="default" w:ascii="Cambria Math" w:hAnsi="Cambria Math" w:eastAsia="宋体" w:cs="Times New Roman"/>
                        <w:b w:val="0"/>
                        <w:kern w:val="0"/>
                        <w:sz w:val="21"/>
                        <w:szCs w:val="21"/>
                        <w:lang w:val="en-US" w:eastAsia="zh-CN" w:bidi="ar"/>
                      </w:rPr>
                    </m:ctrlPr>
                  </m:sub>
                </m:sSub>
                <m:r>
                  <m:rPr>
                    <m:nor/>
                    <m:sty m:val="p"/>
                  </m:rPr>
                  <w:rPr>
                    <w:rFonts w:hint="default" w:ascii="Times New Roman" w:hAnsi="Times New Roman" w:cs="Times New Roman"/>
                    <w:b w:val="0"/>
                    <w:i w:val="0"/>
                    <w:kern w:val="0"/>
                    <w:sz w:val="21"/>
                    <w:szCs w:val="21"/>
                    <w:lang w:val="en-US" w:bidi="ar"/>
                  </w:rPr>
                  <m:t>×</m:t>
                </m:r>
                <m:sSub>
                  <m:sSubPr>
                    <m:ctrlPr>
                      <w:rPr>
                        <w:rFonts w:hint="default" w:ascii="Cambria Math" w:hAnsi="Cambria Math" w:cs="Times New Roman"/>
                        <w:kern w:val="0"/>
                        <w:sz w:val="21"/>
                        <w:szCs w:val="21"/>
                        <w:highlight w:val="yellow"/>
                        <w:lang w:val="en-US" w:eastAsia="zh-CN" w:bidi="ar"/>
                      </w:rPr>
                    </m:ctrlPr>
                  </m:sSubPr>
                  <m:e>
                    <m:r>
                      <m:rPr>
                        <m:nor/>
                        <m:sty m:val="p"/>
                      </m:rPr>
                      <w:rPr>
                        <w:rFonts w:hint="default" w:ascii="Times New Roman" w:hAnsi="Times New Roman" w:cs="Times New Roman"/>
                        <w:b w:val="0"/>
                        <w:i w:val="0"/>
                        <w:iCs/>
                        <w:kern w:val="0"/>
                        <w:sz w:val="21"/>
                        <w:szCs w:val="21"/>
                        <w:highlight w:val="none"/>
                        <w:lang w:val="en-US" w:eastAsia="zh-CN" w:bidi="ar"/>
                      </w:rPr>
                      <m:t>（</m:t>
                    </m:r>
                    <m:r>
                      <m:rPr>
                        <m:nor/>
                      </m:rPr>
                      <w:rPr>
                        <w:rFonts w:hint="default" w:ascii="Times New Roman" w:hAnsi="Times New Roman" w:cs="Times New Roman"/>
                        <w:i/>
                        <w:iCs/>
                        <w:kern w:val="0"/>
                        <w:sz w:val="21"/>
                        <w:szCs w:val="21"/>
                        <w:highlight w:val="none"/>
                        <w:lang w:val="en-US" w:eastAsia="zh-CN" w:bidi="ar"/>
                      </w:rPr>
                      <m:t>EF</m:t>
                    </m:r>
                    <m:ctrlPr>
                      <w:rPr>
                        <w:rFonts w:hint="default" w:ascii="Cambria Math" w:hAnsi="Cambria Math" w:cs="Times New Roman"/>
                        <w:kern w:val="0"/>
                        <w:sz w:val="21"/>
                        <w:szCs w:val="21"/>
                        <w:highlight w:val="yellow"/>
                        <w:lang w:val="en-US" w:eastAsia="zh-CN" w:bidi="ar"/>
                      </w:rPr>
                    </m:ctrlPr>
                  </m:e>
                  <m:sub>
                    <m:r>
                      <m:rPr>
                        <m:nor/>
                      </m:rPr>
                      <w:rPr>
                        <w:rFonts w:hint="default" w:ascii="Times New Roman" w:hAnsi="Times New Roman" w:cs="Times New Roman"/>
                        <w:i/>
                        <w:iCs/>
                        <w:kern w:val="0"/>
                        <w:sz w:val="21"/>
                        <w:szCs w:val="21"/>
                        <w:highlight w:val="none"/>
                        <w:lang w:val="en-US" w:eastAsia="zh-CN" w:bidi="ar"/>
                      </w:rPr>
                      <m:t>B</m:t>
                    </m:r>
                    <m:r>
                      <m:rPr>
                        <m:nor/>
                        <m:sty m:val="p"/>
                      </m:rPr>
                      <w:rPr>
                        <w:rFonts w:hint="default" w:ascii="Times New Roman" w:hAnsi="Times New Roman" w:cs="Times New Roman"/>
                        <w:b w:val="0"/>
                        <w:i w:val="0"/>
                        <w:iCs w:val="0"/>
                        <w:kern w:val="0"/>
                        <w:sz w:val="21"/>
                        <w:szCs w:val="21"/>
                        <w:highlight w:val="none"/>
                        <w:lang w:val="en-US" w:eastAsia="zh-CN" w:bidi="ar"/>
                      </w:rPr>
                      <m:t>1</m:t>
                    </m:r>
                    <m:r>
                      <m:rPr>
                        <m:nor/>
                        <m:sty m:val="p"/>
                      </m:rPr>
                      <w:rPr>
                        <w:rFonts w:hint="default" w:ascii="Times New Roman" w:hAnsi="Times New Roman" w:cs="Times New Roman"/>
                        <w:b w:val="0"/>
                        <w:i w:val="0"/>
                        <w:kern w:val="0"/>
                        <w:sz w:val="21"/>
                        <w:szCs w:val="21"/>
                        <w:highlight w:val="none"/>
                        <w:lang w:val="en-US" w:eastAsia="zh-CN" w:bidi="ar"/>
                      </w:rPr>
                      <m:t xml:space="preserve">, </m:t>
                    </m:r>
                    <m:r>
                      <m:rPr>
                        <m:nor/>
                      </m:rPr>
                      <w:rPr>
                        <w:rFonts w:hint="default" w:ascii="Times New Roman" w:hAnsi="Times New Roman" w:cs="Times New Roman"/>
                        <w:i/>
                        <w:iCs/>
                        <w:kern w:val="0"/>
                        <w:sz w:val="21"/>
                        <w:szCs w:val="21"/>
                        <w:highlight w:val="none"/>
                        <w:lang w:val="en-US" w:eastAsia="zh-CN" w:bidi="ar"/>
                      </w:rPr>
                      <m:t>k</m:t>
                    </m:r>
                    <m:ctrlPr>
                      <w:rPr>
                        <w:rFonts w:hint="default" w:ascii="Cambria Math" w:hAnsi="Cambria Math" w:cs="Times New Roman"/>
                        <w:kern w:val="0"/>
                        <w:sz w:val="21"/>
                        <w:szCs w:val="21"/>
                        <w:highlight w:val="yellow"/>
                        <w:lang w:val="en-US" w:eastAsia="zh-CN" w:bidi="ar"/>
                      </w:rPr>
                    </m:ctrlPr>
                  </m:sub>
                </m:sSub>
                <m:r>
                  <m:rPr>
                    <m:nor/>
                    <m:sty m:val="p"/>
                  </m:rPr>
                  <w:rPr>
                    <w:rFonts w:hint="default" w:ascii="Times New Roman" w:hAnsi="Times New Roman" w:cs="Times New Roman"/>
                    <w:b w:val="0"/>
                    <w:i w:val="0"/>
                    <w:kern w:val="0"/>
                    <w:sz w:val="21"/>
                    <w:szCs w:val="21"/>
                    <w:highlight w:val="none"/>
                    <w:lang w:val="en-US" w:eastAsia="zh-CN" w:bidi="ar"/>
                  </w:rPr>
                  <m:t>+</m:t>
                </m:r>
                <m:sSub>
                  <m:sSubPr>
                    <m:ctrlPr>
                      <w:rPr>
                        <w:rFonts w:hint="default" w:ascii="Cambria Math" w:hAnsi="Cambria Math" w:cs="Times New Roman"/>
                        <w:kern w:val="0"/>
                        <w:sz w:val="21"/>
                        <w:szCs w:val="21"/>
                        <w:highlight w:val="yellow"/>
                        <w:lang w:val="en-US" w:eastAsia="zh-CN" w:bidi="ar"/>
                      </w:rPr>
                    </m:ctrlPr>
                  </m:sSubPr>
                  <m:e>
                    <m:r>
                      <m:rPr>
                        <m:nor/>
                      </m:rPr>
                      <w:rPr>
                        <w:rFonts w:hint="default" w:ascii="Times New Roman" w:hAnsi="Times New Roman" w:cs="Times New Roman"/>
                        <w:b w:val="0"/>
                        <w:i/>
                        <w:iCs/>
                        <w:kern w:val="0"/>
                        <w:sz w:val="21"/>
                        <w:szCs w:val="21"/>
                        <w:highlight w:val="none"/>
                        <w:lang w:val="en-US" w:eastAsia="zh-CN" w:bidi="ar"/>
                      </w:rPr>
                      <m:t>EF</m:t>
                    </m:r>
                    <m:ctrlPr>
                      <w:rPr>
                        <w:rFonts w:hint="default" w:ascii="Cambria Math" w:hAnsi="Cambria Math" w:cs="Times New Roman"/>
                        <w:kern w:val="0"/>
                        <w:sz w:val="21"/>
                        <w:szCs w:val="21"/>
                        <w:highlight w:val="yellow"/>
                        <w:lang w:val="en-US" w:eastAsia="zh-CN" w:bidi="ar"/>
                      </w:rPr>
                    </m:ctrlPr>
                  </m:e>
                  <m:sub>
                    <m:r>
                      <m:rPr>
                        <m:nor/>
                      </m:rPr>
                      <w:rPr>
                        <w:rFonts w:hint="default" w:ascii="Times New Roman" w:hAnsi="Times New Roman" w:cs="Times New Roman"/>
                        <w:b w:val="0"/>
                        <w:i/>
                        <w:iCs/>
                        <w:kern w:val="0"/>
                        <w:sz w:val="21"/>
                        <w:szCs w:val="21"/>
                        <w:highlight w:val="none"/>
                        <w:lang w:val="en-US" w:eastAsia="zh-CN" w:bidi="ar"/>
                      </w:rPr>
                      <m:t>B</m:t>
                    </m:r>
                    <m:r>
                      <m:rPr>
                        <m:nor/>
                        <m:sty m:val="p"/>
                      </m:rPr>
                      <w:rPr>
                        <w:rFonts w:hint="default" w:ascii="Times New Roman" w:hAnsi="Times New Roman" w:cs="Times New Roman"/>
                        <w:b w:val="0"/>
                        <w:i w:val="0"/>
                        <w:kern w:val="0"/>
                        <w:sz w:val="21"/>
                        <w:szCs w:val="21"/>
                        <w:highlight w:val="none"/>
                        <w:lang w:val="en-US" w:eastAsia="zh-CN" w:bidi="ar"/>
                      </w:rPr>
                      <m:t xml:space="preserve">2, </m:t>
                    </m:r>
                    <m:r>
                      <m:rPr>
                        <m:nor/>
                      </m:rPr>
                      <w:rPr>
                        <w:rFonts w:hint="default" w:ascii="Times New Roman" w:hAnsi="Times New Roman" w:cs="Times New Roman"/>
                        <w:b w:val="0"/>
                        <w:i/>
                        <w:iCs/>
                        <w:kern w:val="0"/>
                        <w:sz w:val="21"/>
                        <w:szCs w:val="21"/>
                        <w:highlight w:val="none"/>
                        <w:lang w:val="en-US" w:eastAsia="zh-CN" w:bidi="ar"/>
                      </w:rPr>
                      <m:t>k</m:t>
                    </m:r>
                    <m:ctrlPr>
                      <w:rPr>
                        <w:rFonts w:hint="default" w:ascii="Cambria Math" w:hAnsi="Cambria Math" w:cs="Times New Roman"/>
                        <w:kern w:val="0"/>
                        <w:sz w:val="21"/>
                        <w:szCs w:val="21"/>
                        <w:highlight w:val="yellow"/>
                        <w:lang w:val="en-US" w:eastAsia="zh-CN" w:bidi="ar"/>
                      </w:rPr>
                    </m:ctrlPr>
                  </m:sub>
                </m:sSub>
                <m:r>
                  <m:rPr>
                    <m:nor/>
                    <m:sty m:val="p"/>
                  </m:rPr>
                  <w:rPr>
                    <w:rFonts w:hint="default" w:ascii="Times New Roman" w:hAnsi="Times New Roman" w:cs="Times New Roman"/>
                    <w:b w:val="0"/>
                    <w:i w:val="0"/>
                    <w:iCs w:val="0"/>
                    <w:kern w:val="0"/>
                    <w:sz w:val="21"/>
                    <w:szCs w:val="21"/>
                    <w:highlight w:val="none"/>
                    <w:lang w:val="en-US" w:eastAsia="zh-CN" w:bidi="ar"/>
                  </w:rPr>
                  <m:t>）</m:t>
                </m:r>
                <m:r>
                  <m:rPr>
                    <m:nor/>
                    <m:sty m:val="p"/>
                  </m:rPr>
                  <w:rPr>
                    <w:rFonts w:hint="default" w:ascii="Times New Roman" w:hAnsi="Times New Roman" w:cs="Times New Roman"/>
                    <w:b w:val="0"/>
                    <w:i w:val="0"/>
                    <w:kern w:val="0"/>
                    <w:sz w:val="21"/>
                    <w:szCs w:val="21"/>
                    <w:lang w:val="en-US" w:eastAsia="zh-CN" w:bidi="ar"/>
                  </w:rPr>
                  <m:t>]+</m:t>
                </m:r>
                <m:sSub>
                  <m:sSubPr>
                    <m:ctrlPr>
                      <w:rPr>
                        <w:rFonts w:hint="default" w:ascii="Cambria Math" w:hAnsi="Cambria Math" w:eastAsia="宋体" w:cs="Times New Roman"/>
                        <w:i/>
                        <w:iCs/>
                        <w:kern w:val="0"/>
                        <w:sz w:val="21"/>
                        <w:szCs w:val="21"/>
                        <w:lang w:val="en-US" w:eastAsia="zh-CN" w:bidi="ar"/>
                      </w:rPr>
                    </m:ctrlPr>
                  </m:sSubPr>
                  <m:e>
                    <m:r>
                      <m:rPr>
                        <m:nor/>
                      </m:rPr>
                      <w:rPr>
                        <w:rFonts w:hint="default" w:ascii="Times New Roman" w:hAnsi="Times New Roman" w:eastAsia="宋体" w:cs="Times New Roman"/>
                        <w:i/>
                        <w:iCs/>
                        <w:kern w:val="0"/>
                        <w:sz w:val="21"/>
                        <w:szCs w:val="21"/>
                        <w:lang w:val="en-US" w:eastAsia="zh-CN" w:bidi="ar"/>
                      </w:rPr>
                      <m:t>E</m:t>
                    </m:r>
                    <m:ctrlPr>
                      <w:rPr>
                        <w:rFonts w:hint="default" w:ascii="Cambria Math" w:hAnsi="Cambria Math" w:eastAsia="宋体" w:cs="Times New Roman"/>
                        <w:i/>
                        <w:iCs/>
                        <w:kern w:val="0"/>
                        <w:sz w:val="21"/>
                        <w:szCs w:val="21"/>
                        <w:lang w:val="en-US" w:eastAsia="zh-CN" w:bidi="ar"/>
                      </w:rPr>
                    </m:ctrlPr>
                  </m:e>
                  <m:sub>
                    <m:r>
                      <m:rPr>
                        <m:nor/>
                      </m:rPr>
                      <w:rPr>
                        <w:rFonts w:hint="default" w:ascii="Times New Roman" w:hAnsi="Times New Roman" w:eastAsia="宋体" w:cs="Times New Roman"/>
                        <w:i/>
                        <w:iCs/>
                        <w:kern w:val="0"/>
                        <w:sz w:val="21"/>
                        <w:szCs w:val="21"/>
                        <w:lang w:val="en-US" w:eastAsia="zh-CN" w:bidi="ar"/>
                      </w:rPr>
                      <m:t>B</m:t>
                    </m:r>
                    <m:r>
                      <m:rPr>
                        <m:nor/>
                        <m:sty m:val="p"/>
                      </m:rPr>
                      <w:rPr>
                        <w:rFonts w:hint="default" w:ascii="Times New Roman" w:hAnsi="Times New Roman" w:eastAsia="宋体" w:cs="Times New Roman"/>
                        <w:b w:val="0"/>
                        <w:i w:val="0"/>
                        <w:iCs/>
                        <w:kern w:val="0"/>
                        <w:sz w:val="21"/>
                        <w:szCs w:val="21"/>
                        <w:lang w:val="en-US" w:eastAsia="zh-CN" w:bidi="ar"/>
                      </w:rPr>
                      <m:t xml:space="preserve">, </m:t>
                    </m:r>
                    <m:r>
                      <m:rPr>
                        <m:nor/>
                      </m:rPr>
                      <w:rPr>
                        <w:rFonts w:hint="eastAsia" w:ascii="Times New Roman" w:hAnsi="Times New Roman" w:eastAsia="宋体" w:cs="Times New Roman"/>
                        <w:i/>
                        <w:iCs/>
                        <w:kern w:val="0"/>
                        <w:sz w:val="21"/>
                        <w:szCs w:val="21"/>
                        <w:lang w:val="en-US" w:eastAsia="zh-CN" w:bidi="ar"/>
                      </w:rPr>
                      <m:t>wast</m:t>
                    </m:r>
                    <m:ctrlPr>
                      <w:rPr>
                        <w:rFonts w:hint="default" w:ascii="Cambria Math" w:hAnsi="Cambria Math" w:eastAsia="宋体" w:cs="Times New Roman"/>
                        <w:i/>
                        <w:iCs/>
                        <w:kern w:val="0"/>
                        <w:sz w:val="21"/>
                        <w:szCs w:val="21"/>
                        <w:lang w:val="en-US" w:eastAsia="zh-CN" w:bidi="ar"/>
                      </w:rPr>
                    </m:ctrlPr>
                  </m:sub>
                </m:sSub>
                <m:ctrlPr>
                  <w:rPr>
                    <w:rFonts w:hint="default" w:ascii="Cambria Math" w:hAnsi="Cambria Math" w:eastAsia="宋体" w:cs="Times New Roman"/>
                    <w:b w:val="0"/>
                    <w:i w:val="0"/>
                    <w:kern w:val="0"/>
                    <w:sz w:val="21"/>
                    <w:szCs w:val="21"/>
                    <w:lang w:val="en-US" w:eastAsia="zh-CN" w:bidi="ar"/>
                  </w:rPr>
                </m:ctrlPr>
              </m:e>
            </m:nary>
            <m:ctrlPr>
              <w:rPr>
                <w:rFonts w:hint="default" w:ascii="Cambria Math" w:hAnsi="Cambria Math" w:eastAsia="宋体" w:cs="Times New Roman"/>
                <w:b w:val="0"/>
                <w:i w:val="0"/>
                <w:kern w:val="0"/>
                <w:sz w:val="21"/>
                <w:szCs w:val="21"/>
                <w:lang w:val="en-US" w:eastAsia="zh-CN" w:bidi="ar"/>
              </w:rPr>
            </m:ctrlPr>
          </m:e>
        </m:nary>
      </m:oMath>
      <w:r>
        <w:rPr>
          <w:rFonts w:hint="eastAsia" w:hAnsi="Cambria Math" w:eastAsia="宋体" w:cs="Times New Roman"/>
          <w:i w:val="0"/>
          <w:iCs/>
          <w:kern w:val="0"/>
          <w:sz w:val="21"/>
          <w:szCs w:val="21"/>
          <w:lang w:val="en-US" w:eastAsia="zh-CN" w:bidi="ar"/>
        </w:rPr>
        <w:tab/>
      </w:r>
      <w:r>
        <w:rPr>
          <w:rFonts w:hint="default" w:ascii="Times New Roman" w:hAnsi="Times New Roman" w:eastAsia="宋体" w:cs="Times New Roman"/>
          <w:i w:val="0"/>
          <w:iCs/>
          <w:kern w:val="0"/>
          <w:sz w:val="21"/>
          <w:szCs w:val="21"/>
          <w:lang w:val="en-US" w:eastAsia="zh-CN" w:bidi="ar"/>
        </w:rPr>
        <w:t>（</w:t>
      </w:r>
      <w:r>
        <w:rPr>
          <w:rFonts w:hint="eastAsia" w:ascii="Times New Roman" w:hAnsi="Times New Roman" w:eastAsia="宋体" w:cs="Times New Roman"/>
          <w:i w:val="0"/>
          <w:iCs/>
          <w:kern w:val="0"/>
          <w:sz w:val="21"/>
          <w:szCs w:val="21"/>
          <w:lang w:val="en-US" w:eastAsia="zh-CN" w:bidi="ar"/>
        </w:rPr>
        <w:t>3</w:t>
      </w:r>
      <w:r>
        <w:rPr>
          <w:rFonts w:hint="default" w:ascii="Times New Roman" w:hAnsi="Times New Roman" w:eastAsia="宋体" w:cs="Times New Roman"/>
          <w:i w:val="0"/>
          <w:iCs/>
          <w:kern w:val="0"/>
          <w:sz w:val="21"/>
          <w:szCs w:val="21"/>
          <w:lang w:val="en-US" w:eastAsia="zh-CN" w:bidi="ar"/>
        </w:rPr>
        <w:t>）</w:t>
      </w:r>
    </w:p>
    <w:p w14:paraId="45B6EDB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i w:val="0"/>
          <w:iCs/>
          <w:kern w:val="0"/>
          <w:sz w:val="21"/>
          <w:szCs w:val="21"/>
          <w:lang w:val="en-US" w:eastAsia="zh-CN" w:bidi="ar"/>
        </w:rPr>
      </w:pPr>
      <w:r>
        <w:rPr>
          <w:rFonts w:hint="eastAsia" w:ascii="Times New Roman" w:hAnsi="Times New Roman" w:eastAsia="宋体" w:cs="Times New Roman"/>
          <w:i w:val="0"/>
          <w:iCs/>
          <w:kern w:val="0"/>
          <w:sz w:val="21"/>
          <w:szCs w:val="21"/>
          <w:lang w:val="en-US" w:eastAsia="zh-CN" w:bidi="ar"/>
        </w:rPr>
        <w:t>式中：</w:t>
      </w:r>
    </w:p>
    <w:p w14:paraId="392A7A9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both"/>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EL</w:t>
      </w:r>
      <w:r>
        <w:rPr>
          <w:rFonts w:hint="eastAsia" w:ascii="Times New Roman" w:hAnsi="Times New Roman" w:eastAsia="宋体" w:cs="Times New Roman"/>
          <w:i/>
          <w:iCs/>
          <w:sz w:val="21"/>
          <w:szCs w:val="21"/>
          <w:vertAlign w:val="subscript"/>
          <w:lang w:val="en-US" w:eastAsia="zh-CN"/>
        </w:rPr>
        <w:t>B,l</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每声明单位软饮料产品生产阶段第</w:t>
      </w:r>
      <w:r>
        <w:rPr>
          <w:rFonts w:hint="eastAsia" w:ascii="Times New Roman" w:hAnsi="Times New Roman" w:eastAsia="宋体" w:cs="Times New Roman"/>
          <w:i/>
          <w:iCs/>
          <w:sz w:val="21"/>
          <w:szCs w:val="21"/>
          <w:lang w:val="en-US" w:eastAsia="zh-CN"/>
        </w:rPr>
        <w:t>l</w:t>
      </w:r>
      <w:r>
        <w:rPr>
          <w:rFonts w:hint="eastAsia" w:ascii="Times New Roman" w:hAnsi="Times New Roman" w:eastAsia="宋体" w:cs="Times New Roman"/>
          <w:sz w:val="21"/>
          <w:szCs w:val="21"/>
          <w:lang w:val="en-US" w:eastAsia="zh-CN"/>
        </w:rPr>
        <w:t>种来源电力的消耗量，单位为千瓦时/声明单位（kWh/声明单位）；</w:t>
      </w:r>
    </w:p>
    <w:p w14:paraId="6393A15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both"/>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EEF</w:t>
      </w:r>
      <w:r>
        <w:rPr>
          <w:rFonts w:hint="eastAsia" w:ascii="Times New Roman" w:hAnsi="Times New Roman" w:eastAsia="宋体" w:cs="Times New Roman"/>
          <w:i/>
          <w:iCs/>
          <w:sz w:val="21"/>
          <w:szCs w:val="21"/>
          <w:vertAlign w:val="subscript"/>
          <w:lang w:val="en-US" w:eastAsia="zh-CN"/>
        </w:rPr>
        <w:t>B,l</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生产阶段第</w:t>
      </w:r>
      <w:r>
        <w:rPr>
          <w:rFonts w:hint="eastAsia" w:ascii="Times New Roman" w:hAnsi="Times New Roman" w:eastAsia="宋体" w:cs="Times New Roman"/>
          <w:i/>
          <w:iCs/>
          <w:sz w:val="21"/>
          <w:szCs w:val="21"/>
          <w:lang w:val="en-US" w:eastAsia="zh-CN"/>
        </w:rPr>
        <w:t>l</w:t>
      </w:r>
      <w:r>
        <w:rPr>
          <w:rFonts w:hint="eastAsia" w:ascii="Times New Roman" w:hAnsi="Times New Roman" w:eastAsia="宋体" w:cs="Times New Roman"/>
          <w:sz w:val="21"/>
          <w:szCs w:val="21"/>
          <w:lang w:val="en-US" w:eastAsia="zh-CN"/>
        </w:rPr>
        <w:t>种来源电力的碳足迹因子，单位为千克二氧化碳当量每千瓦时（kgCO</w:t>
      </w:r>
      <w:r>
        <w:rPr>
          <w:rFonts w:hint="eastAsia" w:ascii="Times New Roman" w:hAnsi="Times New Roman" w:eastAsia="宋体" w:cs="Times New Roman"/>
          <w:sz w:val="21"/>
          <w:szCs w:val="21"/>
          <w:vertAlign w:val="subscript"/>
          <w:lang w:val="en-US" w:eastAsia="zh-CN"/>
        </w:rPr>
        <w:t>2</w:t>
      </w:r>
      <w:r>
        <w:rPr>
          <w:rFonts w:hint="eastAsia" w:ascii="Times New Roman" w:hAnsi="Times New Roman" w:eastAsia="宋体" w:cs="Times New Roman"/>
          <w:sz w:val="21"/>
          <w:szCs w:val="21"/>
          <w:lang w:val="en-US" w:eastAsia="zh-CN"/>
        </w:rPr>
        <w:t>e/kWh），电力碳足迹因子可参考附表</w:t>
      </w:r>
      <w:r>
        <w:rPr>
          <w:rFonts w:hint="eastAsia" w:ascii="Times New Roman" w:hAnsi="Times New Roman" w:eastAsia="宋体" w:cs="Times New Roman"/>
          <w:sz w:val="21"/>
          <w:szCs w:val="21"/>
          <w:highlight w:val="none"/>
          <w:lang w:val="en-US" w:eastAsia="zh-CN"/>
        </w:rPr>
        <w:t>C.1</w:t>
      </w:r>
      <w:r>
        <w:rPr>
          <w:rFonts w:hint="eastAsia" w:ascii="Times New Roman" w:hAnsi="Times New Roman" w:eastAsia="宋体" w:cs="Times New Roman"/>
          <w:sz w:val="21"/>
          <w:szCs w:val="21"/>
          <w:lang w:val="en-US" w:eastAsia="zh-CN"/>
        </w:rPr>
        <w:t>取值。</w:t>
      </w:r>
    </w:p>
    <w:p w14:paraId="502B961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both"/>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TH</w:t>
      </w:r>
      <w:r>
        <w:rPr>
          <w:rFonts w:hint="eastAsia" w:ascii="Times New Roman" w:hAnsi="Times New Roman" w:eastAsia="宋体" w:cs="Times New Roman"/>
          <w:i/>
          <w:iCs/>
          <w:sz w:val="21"/>
          <w:szCs w:val="21"/>
          <w:vertAlign w:val="subscript"/>
          <w:lang w:val="en-US" w:eastAsia="zh-CN"/>
        </w:rPr>
        <w:t>B</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每声明单位软饮料产品生产阶段的热力消耗量，单位为吉焦/声明单位（GJ/声明单位）；</w:t>
      </w:r>
    </w:p>
    <w:p w14:paraId="5F627E2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both"/>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HEF</w:t>
      </w:r>
      <w:r>
        <w:rPr>
          <w:rFonts w:hint="eastAsia" w:ascii="Times New Roman" w:hAnsi="Times New Roman" w:eastAsia="宋体" w:cs="Times New Roman"/>
          <w:i/>
          <w:iCs/>
          <w:sz w:val="21"/>
          <w:szCs w:val="21"/>
          <w:vertAlign w:val="subscript"/>
          <w:lang w:val="en-US" w:eastAsia="zh-CN"/>
        </w:rPr>
        <w:t>B</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生产阶段热力碳排放因子，单位为千克二氧化碳当量每吉焦（kgCO</w:t>
      </w:r>
      <w:r>
        <w:rPr>
          <w:rFonts w:hint="eastAsia" w:ascii="Times New Roman" w:hAnsi="Times New Roman" w:eastAsia="宋体" w:cs="Times New Roman"/>
          <w:sz w:val="21"/>
          <w:szCs w:val="21"/>
          <w:vertAlign w:val="subscript"/>
          <w:lang w:val="en-US" w:eastAsia="zh-CN"/>
        </w:rPr>
        <w:t>2</w:t>
      </w:r>
      <w:r>
        <w:rPr>
          <w:rFonts w:hint="eastAsia" w:ascii="Times New Roman" w:hAnsi="Times New Roman" w:eastAsia="宋体" w:cs="Times New Roman"/>
          <w:sz w:val="21"/>
          <w:szCs w:val="21"/>
          <w:lang w:val="en-US" w:eastAsia="zh-CN"/>
        </w:rPr>
        <w:t>e/GJ），热力碳排放因子可参考附表</w:t>
      </w:r>
      <w:r>
        <w:rPr>
          <w:rFonts w:hint="eastAsia" w:ascii="Times New Roman" w:hAnsi="Times New Roman" w:eastAsia="宋体" w:cs="Times New Roman"/>
          <w:sz w:val="21"/>
          <w:szCs w:val="21"/>
          <w:highlight w:val="none"/>
          <w:lang w:val="en-US" w:eastAsia="zh-CN"/>
        </w:rPr>
        <w:t>C.2</w:t>
      </w:r>
      <w:r>
        <w:rPr>
          <w:rFonts w:hint="eastAsia" w:ascii="Times New Roman" w:hAnsi="Times New Roman" w:eastAsia="宋体" w:cs="Times New Roman"/>
          <w:sz w:val="21"/>
          <w:szCs w:val="21"/>
          <w:lang w:val="en-US" w:eastAsia="zh-CN"/>
        </w:rPr>
        <w:t>取值。</w:t>
      </w:r>
    </w:p>
    <w:p w14:paraId="4180AE4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both"/>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FU</w:t>
      </w:r>
      <w:r>
        <w:rPr>
          <w:rFonts w:hint="eastAsia" w:ascii="Times New Roman" w:hAnsi="Times New Roman" w:eastAsia="宋体" w:cs="Times New Roman"/>
          <w:i/>
          <w:iCs/>
          <w:sz w:val="21"/>
          <w:szCs w:val="21"/>
          <w:vertAlign w:val="subscript"/>
          <w:lang w:val="en-US" w:eastAsia="zh-CN"/>
        </w:rPr>
        <w:t>B</w:t>
      </w:r>
      <w:r>
        <w:rPr>
          <w:rFonts w:hint="eastAsia" w:ascii="Times New Roman" w:hAnsi="Times New Roman" w:eastAsia="宋体" w:cs="Times New Roman"/>
          <w:i w:val="0"/>
          <w:iCs w:val="0"/>
          <w:sz w:val="21"/>
          <w:szCs w:val="21"/>
          <w:vertAlign w:val="subscript"/>
          <w:lang w:val="en-US" w:eastAsia="zh-CN"/>
        </w:rPr>
        <w:t>,</w:t>
      </w:r>
      <w:r>
        <w:rPr>
          <w:rFonts w:hint="eastAsia" w:ascii="Times New Roman" w:hAnsi="Times New Roman" w:eastAsia="宋体" w:cs="Times New Roman"/>
          <w:i/>
          <w:iCs/>
          <w:sz w:val="21"/>
          <w:szCs w:val="21"/>
          <w:vertAlign w:val="subscript"/>
          <w:lang w:val="en-US" w:eastAsia="zh-CN"/>
        </w:rPr>
        <w:t>k</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每声明单位软饮料产品生产阶段第</w:t>
      </w:r>
      <w:r>
        <w:rPr>
          <w:rFonts w:hint="eastAsia" w:ascii="Times New Roman" w:hAnsi="Times New Roman" w:eastAsia="宋体" w:cs="Times New Roman"/>
          <w:i/>
          <w:iCs/>
          <w:sz w:val="21"/>
          <w:szCs w:val="21"/>
          <w:lang w:val="en-US" w:eastAsia="zh-CN"/>
        </w:rPr>
        <w:t>k</w:t>
      </w:r>
      <w:r>
        <w:rPr>
          <w:rFonts w:hint="eastAsia" w:ascii="Times New Roman" w:hAnsi="Times New Roman" w:eastAsia="宋体" w:cs="Times New Roman"/>
          <w:sz w:val="21"/>
          <w:szCs w:val="21"/>
          <w:lang w:val="en-US" w:eastAsia="zh-CN"/>
        </w:rPr>
        <w:t>种燃料的消耗量，单位根据燃料确定，如千克/声明单位（kg/声明单位）或标准立方米/声明单位（Nm</w:t>
      </w:r>
      <w:r>
        <w:rPr>
          <w:rFonts w:hint="eastAsia" w:ascii="Times New Roman" w:hAnsi="Times New Roman" w:eastAsia="宋体" w:cs="Times New Roman"/>
          <w:sz w:val="21"/>
          <w:szCs w:val="21"/>
          <w:vertAlign w:val="superscript"/>
          <w:lang w:val="en-US" w:eastAsia="zh-CN"/>
        </w:rPr>
        <w:t>3</w:t>
      </w:r>
      <w:r>
        <w:rPr>
          <w:rFonts w:hint="eastAsia" w:ascii="Times New Roman" w:hAnsi="Times New Roman" w:eastAsia="宋体" w:cs="Times New Roman"/>
          <w:sz w:val="21"/>
          <w:szCs w:val="21"/>
          <w:vertAlign w:val="baseline"/>
          <w:lang w:val="en-US" w:eastAsia="zh-CN"/>
        </w:rPr>
        <w:t>/声明单位</w:t>
      </w:r>
      <w:r>
        <w:rPr>
          <w:rFonts w:hint="eastAsia" w:ascii="Times New Roman" w:hAnsi="Times New Roman" w:eastAsia="宋体" w:cs="Times New Roman"/>
          <w:sz w:val="21"/>
          <w:szCs w:val="21"/>
          <w:lang w:val="en-US" w:eastAsia="zh-CN"/>
        </w:rPr>
        <w:t>）；</w:t>
      </w:r>
    </w:p>
    <w:p w14:paraId="7BB104A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both"/>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EF</w:t>
      </w:r>
      <w:r>
        <w:rPr>
          <w:rFonts w:hint="eastAsia" w:ascii="Times New Roman" w:hAnsi="Times New Roman" w:eastAsia="宋体" w:cs="Times New Roman"/>
          <w:i/>
          <w:iCs/>
          <w:sz w:val="21"/>
          <w:szCs w:val="21"/>
          <w:vertAlign w:val="subscript"/>
          <w:lang w:val="en-US" w:eastAsia="zh-CN"/>
        </w:rPr>
        <w:t>B</w:t>
      </w:r>
      <w:r>
        <w:rPr>
          <w:rFonts w:hint="eastAsia" w:ascii="Times New Roman" w:hAnsi="Times New Roman" w:eastAsia="宋体" w:cs="Times New Roman"/>
          <w:i w:val="0"/>
          <w:iCs w:val="0"/>
          <w:sz w:val="21"/>
          <w:szCs w:val="21"/>
          <w:vertAlign w:val="subscript"/>
          <w:lang w:val="en-US" w:eastAsia="zh-CN"/>
        </w:rPr>
        <w:t>1</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i/>
          <w:iCs/>
          <w:sz w:val="21"/>
          <w:szCs w:val="21"/>
          <w:vertAlign w:val="subscript"/>
          <w:lang w:val="en-US" w:eastAsia="zh-CN"/>
        </w:rPr>
        <w:t>k</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生产阶段第</w:t>
      </w:r>
      <w:r>
        <w:rPr>
          <w:rFonts w:hint="eastAsia" w:ascii="Times New Roman" w:hAnsi="Times New Roman" w:eastAsia="宋体" w:cs="Times New Roman"/>
          <w:i/>
          <w:iCs/>
          <w:sz w:val="21"/>
          <w:szCs w:val="21"/>
          <w:lang w:val="en-US" w:eastAsia="zh-CN"/>
        </w:rPr>
        <w:t>k</w:t>
      </w:r>
      <w:r>
        <w:rPr>
          <w:rFonts w:hint="eastAsia" w:ascii="Times New Roman" w:hAnsi="Times New Roman" w:eastAsia="宋体" w:cs="Times New Roman"/>
          <w:sz w:val="21"/>
          <w:szCs w:val="21"/>
          <w:lang w:val="en-US" w:eastAsia="zh-CN"/>
        </w:rPr>
        <w:t>种燃料的上游排放因子，单位与燃料相匹配，如千克二氧化碳当量每千克（kgCO</w:t>
      </w:r>
      <w:r>
        <w:rPr>
          <w:rFonts w:hint="eastAsia" w:ascii="Times New Roman" w:hAnsi="Times New Roman" w:eastAsia="宋体" w:cs="Times New Roman"/>
          <w:sz w:val="21"/>
          <w:szCs w:val="21"/>
          <w:vertAlign w:val="subscript"/>
          <w:lang w:val="en-US" w:eastAsia="zh-CN"/>
        </w:rPr>
        <w:t>2</w:t>
      </w:r>
      <w:r>
        <w:rPr>
          <w:rFonts w:hint="eastAsia" w:ascii="Times New Roman" w:hAnsi="Times New Roman" w:eastAsia="宋体" w:cs="Times New Roman"/>
          <w:sz w:val="21"/>
          <w:szCs w:val="21"/>
          <w:lang w:val="en-US" w:eastAsia="zh-CN"/>
        </w:rPr>
        <w:t>e/kg）或千克二氧化碳当量每标准立方米（kgCO</w:t>
      </w:r>
      <w:r>
        <w:rPr>
          <w:rFonts w:hint="eastAsia" w:ascii="Times New Roman" w:hAnsi="Times New Roman" w:eastAsia="宋体" w:cs="Times New Roman"/>
          <w:sz w:val="21"/>
          <w:szCs w:val="21"/>
          <w:vertAlign w:val="subscript"/>
          <w:lang w:val="en-US" w:eastAsia="zh-CN"/>
        </w:rPr>
        <w:t>2</w:t>
      </w:r>
      <w:r>
        <w:rPr>
          <w:rFonts w:hint="eastAsia" w:ascii="Times New Roman" w:hAnsi="Times New Roman" w:eastAsia="宋体" w:cs="Times New Roman"/>
          <w:sz w:val="21"/>
          <w:szCs w:val="21"/>
          <w:lang w:val="en-US" w:eastAsia="zh-CN"/>
        </w:rPr>
        <w:t>e/Nm</w:t>
      </w:r>
      <w:r>
        <w:rPr>
          <w:rFonts w:hint="eastAsia" w:ascii="Times New Roman" w:hAnsi="Times New Roman" w:eastAsia="宋体" w:cs="Times New Roman"/>
          <w:sz w:val="21"/>
          <w:szCs w:val="21"/>
          <w:vertAlign w:val="superscript"/>
          <w:lang w:val="en-US" w:eastAsia="zh-CN"/>
        </w:rPr>
        <w:t>3</w:t>
      </w:r>
      <w:r>
        <w:rPr>
          <w:rFonts w:hint="eastAsia" w:ascii="Times New Roman" w:hAnsi="Times New Roman" w:eastAsia="宋体" w:cs="Times New Roman"/>
          <w:sz w:val="21"/>
          <w:szCs w:val="21"/>
          <w:lang w:val="en-US" w:eastAsia="zh-CN"/>
        </w:rPr>
        <w:t>）；</w:t>
      </w:r>
    </w:p>
    <w:p w14:paraId="3DDEEC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both"/>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EF</w:t>
      </w:r>
      <w:r>
        <w:rPr>
          <w:rFonts w:hint="eastAsia" w:ascii="Times New Roman" w:hAnsi="Times New Roman" w:eastAsia="宋体" w:cs="Times New Roman"/>
          <w:i/>
          <w:iCs/>
          <w:sz w:val="21"/>
          <w:szCs w:val="21"/>
          <w:vertAlign w:val="subscript"/>
          <w:lang w:val="en-US" w:eastAsia="zh-CN"/>
        </w:rPr>
        <w:t>B</w:t>
      </w:r>
      <w:r>
        <w:rPr>
          <w:rFonts w:hint="eastAsia" w:ascii="Times New Roman" w:hAnsi="Times New Roman" w:eastAsia="宋体" w:cs="Times New Roman"/>
          <w:i w:val="0"/>
          <w:iCs w:val="0"/>
          <w:sz w:val="21"/>
          <w:szCs w:val="21"/>
          <w:vertAlign w:val="subscript"/>
          <w:lang w:val="en-US" w:eastAsia="zh-CN"/>
        </w:rPr>
        <w:t>2</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i/>
          <w:iCs/>
          <w:sz w:val="21"/>
          <w:szCs w:val="21"/>
          <w:vertAlign w:val="subscript"/>
          <w:lang w:val="en-US" w:eastAsia="zh-CN"/>
        </w:rPr>
        <w:t>k</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生产阶段第</w:t>
      </w:r>
      <w:r>
        <w:rPr>
          <w:rFonts w:hint="eastAsia" w:ascii="Times New Roman" w:hAnsi="Times New Roman" w:eastAsia="宋体" w:cs="Times New Roman"/>
          <w:i/>
          <w:iCs/>
          <w:sz w:val="21"/>
          <w:szCs w:val="21"/>
          <w:lang w:val="en-US" w:eastAsia="zh-CN"/>
        </w:rPr>
        <w:t>k</w:t>
      </w:r>
      <w:r>
        <w:rPr>
          <w:rFonts w:hint="eastAsia" w:ascii="Times New Roman" w:hAnsi="Times New Roman" w:eastAsia="宋体" w:cs="Times New Roman"/>
          <w:sz w:val="21"/>
          <w:szCs w:val="21"/>
          <w:lang w:val="en-US" w:eastAsia="zh-CN"/>
        </w:rPr>
        <w:t>种燃料的燃烧排放因子，如千克二氧化碳当量每千克（kgCO</w:t>
      </w:r>
      <w:r>
        <w:rPr>
          <w:rFonts w:hint="eastAsia" w:ascii="Times New Roman" w:hAnsi="Times New Roman" w:eastAsia="宋体" w:cs="Times New Roman"/>
          <w:sz w:val="21"/>
          <w:szCs w:val="21"/>
          <w:vertAlign w:val="subscript"/>
          <w:lang w:val="en-US" w:eastAsia="zh-CN"/>
        </w:rPr>
        <w:t>2</w:t>
      </w:r>
      <w:r>
        <w:rPr>
          <w:rFonts w:hint="eastAsia" w:ascii="Times New Roman" w:hAnsi="Times New Roman" w:eastAsia="宋体" w:cs="Times New Roman"/>
          <w:sz w:val="21"/>
          <w:szCs w:val="21"/>
          <w:lang w:val="en-US" w:eastAsia="zh-CN"/>
        </w:rPr>
        <w:t>e/kg）或千克二氧化碳当量每标准立方米（kgCO</w:t>
      </w:r>
      <w:r>
        <w:rPr>
          <w:rFonts w:hint="eastAsia" w:ascii="Times New Roman" w:hAnsi="Times New Roman" w:eastAsia="宋体" w:cs="Times New Roman"/>
          <w:sz w:val="21"/>
          <w:szCs w:val="21"/>
          <w:vertAlign w:val="subscript"/>
          <w:lang w:val="en-US" w:eastAsia="zh-CN"/>
        </w:rPr>
        <w:t>2</w:t>
      </w:r>
      <w:r>
        <w:rPr>
          <w:rFonts w:hint="eastAsia" w:ascii="Times New Roman" w:hAnsi="Times New Roman" w:eastAsia="宋体" w:cs="Times New Roman"/>
          <w:sz w:val="21"/>
          <w:szCs w:val="21"/>
          <w:lang w:val="en-US" w:eastAsia="zh-CN"/>
        </w:rPr>
        <w:t>e/Nm</w:t>
      </w:r>
      <w:r>
        <w:rPr>
          <w:rFonts w:hint="eastAsia" w:ascii="Times New Roman" w:hAnsi="Times New Roman" w:eastAsia="宋体" w:cs="Times New Roman"/>
          <w:sz w:val="21"/>
          <w:szCs w:val="21"/>
          <w:vertAlign w:val="superscript"/>
          <w:lang w:val="en-US" w:eastAsia="zh-CN"/>
        </w:rPr>
        <w:t>3</w:t>
      </w:r>
      <w:r>
        <w:rPr>
          <w:rFonts w:hint="eastAsia" w:ascii="Times New Roman" w:hAnsi="Times New Roman" w:eastAsia="宋体" w:cs="Times New Roman"/>
          <w:sz w:val="21"/>
          <w:szCs w:val="21"/>
          <w:lang w:val="en-US" w:eastAsia="zh-CN"/>
        </w:rPr>
        <w:t>），主要化石燃料燃烧碳排放因子可参考附录</w:t>
      </w:r>
      <w:r>
        <w:rPr>
          <w:rFonts w:hint="eastAsia" w:ascii="Times New Roman" w:hAnsi="Times New Roman" w:eastAsia="宋体" w:cs="Times New Roman"/>
          <w:sz w:val="21"/>
          <w:szCs w:val="21"/>
          <w:highlight w:val="none"/>
          <w:lang w:val="en-US" w:eastAsia="zh-CN"/>
        </w:rPr>
        <w:t>D</w:t>
      </w:r>
      <w:r>
        <w:rPr>
          <w:rFonts w:hint="eastAsia" w:ascii="Times New Roman" w:hAnsi="Times New Roman" w:eastAsia="宋体" w:cs="Times New Roman"/>
          <w:sz w:val="21"/>
          <w:szCs w:val="21"/>
          <w:lang w:val="en-US" w:eastAsia="zh-CN"/>
        </w:rPr>
        <w:t>计算获取。</w:t>
      </w:r>
    </w:p>
    <w:p w14:paraId="24920E7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both"/>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i/>
          <w:iCs/>
          <w:sz w:val="21"/>
          <w:szCs w:val="21"/>
          <w:highlight w:val="none"/>
          <w:lang w:val="en-US" w:eastAsia="zh-CN"/>
        </w:rPr>
        <w:t>E</w:t>
      </w:r>
      <w:r>
        <w:rPr>
          <w:rFonts w:hint="eastAsia" w:ascii="Times New Roman" w:hAnsi="Times New Roman" w:eastAsia="宋体" w:cs="Times New Roman"/>
          <w:i/>
          <w:iCs/>
          <w:sz w:val="21"/>
          <w:szCs w:val="21"/>
          <w:highlight w:val="none"/>
          <w:vertAlign w:val="subscript"/>
          <w:lang w:val="en-US" w:eastAsia="zh-CN"/>
        </w:rPr>
        <w:t>B,wast</w:t>
      </w: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每声明单位软饮料产品生产阶段废弃物处理产生的温室气体排放量，单位为千克二氧化碳当量每声明单位（kgCO</w:t>
      </w:r>
      <w:r>
        <w:rPr>
          <w:rFonts w:hint="eastAsia" w:ascii="Times New Roman" w:hAnsi="Times New Roman" w:eastAsia="宋体" w:cs="Times New Roman"/>
          <w:sz w:val="21"/>
          <w:szCs w:val="21"/>
          <w:highlight w:val="none"/>
          <w:vertAlign w:val="subscript"/>
          <w:lang w:val="en-US" w:eastAsia="zh-CN"/>
        </w:rPr>
        <w:t>2</w:t>
      </w:r>
      <w:r>
        <w:rPr>
          <w:rFonts w:hint="eastAsia" w:ascii="Times New Roman" w:hAnsi="Times New Roman" w:eastAsia="宋体" w:cs="Times New Roman"/>
          <w:sz w:val="21"/>
          <w:szCs w:val="21"/>
          <w:highlight w:val="none"/>
          <w:lang w:val="en-US" w:eastAsia="zh-CN"/>
        </w:rPr>
        <w:t>e/声明单位）。</w:t>
      </w:r>
    </w:p>
    <w:p w14:paraId="031B157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黑体" w:hAnsi="黑体" w:eastAsia="黑体" w:cs="黑体"/>
          <w:sz w:val="21"/>
          <w:szCs w:val="21"/>
          <w:lang w:val="en-US" w:eastAsia="zh-CN"/>
        </w:rPr>
      </w:pPr>
      <w:bookmarkStart w:id="32" w:name="_Toc25895"/>
      <w:r>
        <w:rPr>
          <w:rFonts w:hint="eastAsia" w:ascii="黑体" w:hAnsi="黑体" w:eastAsia="黑体" w:cs="黑体"/>
          <w:sz w:val="21"/>
          <w:szCs w:val="21"/>
          <w:lang w:val="en-US" w:eastAsia="zh-CN"/>
        </w:rPr>
        <w:t>7.4 分销阶段碳足迹</w:t>
      </w:r>
      <w:bookmarkEnd w:id="32"/>
    </w:p>
    <w:p w14:paraId="1E70BFF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分销阶段碳足迹按照公式（4）进行计算。</w:t>
      </w:r>
    </w:p>
    <w:p w14:paraId="29D4D7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3368" w:leftChars="0" w:right="0" w:firstLine="421" w:firstLineChars="0"/>
        <w:jc w:val="left"/>
        <w:textAlignment w:val="baseline"/>
        <w:rPr>
          <w:rFonts w:hint="default" w:ascii="Times New Roman" w:hAnsi="Times New Roman" w:eastAsia="宋体" w:cs="Times New Roman"/>
          <w:sz w:val="21"/>
          <w:szCs w:val="21"/>
          <w:lang w:val="en-US" w:eastAsia="zh-CN"/>
        </w:rPr>
      </w:pPr>
      <m:oMath>
        <m:sSub>
          <m:sSubPr>
            <m:ctrlPr>
              <w:rPr>
                <w:rFonts w:hint="default" w:ascii="Cambria Math" w:hAnsi="Cambria Math" w:eastAsia="宋体" w:cs="Times New Roman"/>
                <w:b w:val="0"/>
                <w:i/>
                <w:iCs/>
                <w:kern w:val="0"/>
                <w:sz w:val="21"/>
                <w:szCs w:val="21"/>
                <w:lang w:val="en-US" w:eastAsia="zh-CN" w:bidi="ar"/>
              </w:rPr>
            </m:ctrlPr>
          </m:sSubPr>
          <m:e>
            <m:r>
              <m:rPr>
                <m:nor/>
              </m:rPr>
              <w:rPr>
                <w:rFonts w:hint="default" w:ascii="Times New Roman" w:hAnsi="Times New Roman" w:eastAsia="宋体" w:cs="Times New Roman"/>
                <w:b w:val="0"/>
                <w:i/>
                <w:iCs/>
                <w:kern w:val="0"/>
                <w:sz w:val="21"/>
                <w:szCs w:val="21"/>
                <w:lang w:val="en-US" w:eastAsia="zh-CN" w:bidi="ar"/>
              </w:rPr>
              <m:t>CFP</m:t>
            </m:r>
            <m:ctrlPr>
              <w:rPr>
                <w:rFonts w:hint="default" w:ascii="Cambria Math" w:hAnsi="Cambria Math" w:eastAsia="宋体" w:cs="Times New Roman"/>
                <w:b w:val="0"/>
                <w:i/>
                <w:iCs/>
                <w:kern w:val="0"/>
                <w:sz w:val="21"/>
                <w:szCs w:val="21"/>
                <w:lang w:val="en-US" w:eastAsia="zh-CN" w:bidi="ar"/>
              </w:rPr>
            </m:ctrlPr>
          </m:e>
          <m:sub>
            <m:r>
              <m:rPr>
                <m:nor/>
              </m:rPr>
              <w:rPr>
                <w:rFonts w:hint="default" w:ascii="Times New Roman" w:hAnsi="Times New Roman" w:eastAsia="宋体" w:cs="Times New Roman"/>
                <w:b w:val="0"/>
                <w:i/>
                <w:iCs/>
                <w:kern w:val="0"/>
                <w:sz w:val="21"/>
                <w:szCs w:val="21"/>
                <w:lang w:val="en-US" w:eastAsia="zh-CN" w:bidi="ar"/>
              </w:rPr>
              <m:t>C</m:t>
            </m:r>
            <m:ctrlPr>
              <w:rPr>
                <w:rFonts w:hint="default" w:ascii="Cambria Math" w:hAnsi="Cambria Math" w:eastAsia="宋体" w:cs="Times New Roman"/>
                <w:b w:val="0"/>
                <w:i/>
                <w:iCs/>
                <w:kern w:val="0"/>
                <w:sz w:val="21"/>
                <w:szCs w:val="21"/>
                <w:lang w:val="en-US" w:eastAsia="zh-CN" w:bidi="ar"/>
              </w:rPr>
            </m:ctrlPr>
          </m:sub>
        </m:sSub>
        <m:r>
          <m:rPr>
            <m:nor/>
            <m:sty m:val="p"/>
          </m:rPr>
          <w:rPr>
            <w:rFonts w:hint="default" w:ascii="Times New Roman" w:hAnsi="Times New Roman" w:eastAsia="宋体" w:cs="Times New Roman"/>
            <w:b w:val="0"/>
            <w:i w:val="0"/>
            <w:kern w:val="0"/>
            <w:sz w:val="21"/>
            <w:szCs w:val="21"/>
            <w:lang w:val="en-US" w:eastAsia="zh-CN" w:bidi="ar"/>
          </w:rPr>
          <m:t>=</m:t>
        </m:r>
        <m:nary>
          <m:naryPr>
            <m:chr m:val="∑"/>
            <m:limLoc m:val="undOvr"/>
            <m:supHide m:val="1"/>
            <m:ctrlPr>
              <w:rPr>
                <w:rFonts w:hint="default" w:ascii="Cambria Math" w:hAnsi="Cambria Math" w:eastAsia="宋体" w:cs="Times New Roman"/>
                <w:b w:val="0"/>
                <w:i w:val="0"/>
                <w:kern w:val="0"/>
                <w:sz w:val="21"/>
                <w:szCs w:val="21"/>
                <w:lang w:val="en-US" w:eastAsia="zh-CN" w:bidi="ar"/>
              </w:rPr>
            </m:ctrlPr>
          </m:naryPr>
          <m:sub>
            <m:r>
              <m:rPr>
                <m:nor/>
              </m:rPr>
              <w:rPr>
                <w:rFonts w:hint="default" w:ascii="Times New Roman" w:hAnsi="Times New Roman" w:eastAsia="宋体" w:cs="Times New Roman"/>
                <w:b w:val="0"/>
                <w:i/>
                <w:iCs/>
                <w:kern w:val="0"/>
                <w:sz w:val="21"/>
                <w:szCs w:val="21"/>
                <w:lang w:val="en-US" w:eastAsia="zh-CN" w:bidi="ar"/>
              </w:rPr>
              <m:t>j</m:t>
            </m:r>
            <m:ctrlPr>
              <w:rPr>
                <w:rFonts w:hint="default" w:ascii="Cambria Math" w:hAnsi="Cambria Math" w:eastAsia="宋体" w:cs="Times New Roman"/>
                <w:b w:val="0"/>
                <w:i w:val="0"/>
                <w:kern w:val="0"/>
                <w:sz w:val="21"/>
                <w:szCs w:val="21"/>
                <w:lang w:val="en-US" w:eastAsia="zh-CN" w:bidi="ar"/>
              </w:rPr>
            </m:ctrlPr>
          </m:sub>
          <m:sup>
            <m:ctrlPr>
              <w:rPr>
                <w:rFonts w:hint="default" w:ascii="Cambria Math" w:hAnsi="Cambria Math" w:eastAsia="宋体" w:cs="Times New Roman"/>
                <w:b w:val="0"/>
                <w:i w:val="0"/>
                <w:kern w:val="0"/>
                <w:sz w:val="21"/>
                <w:szCs w:val="21"/>
                <w:lang w:val="en-US" w:eastAsia="zh-CN" w:bidi="ar"/>
              </w:rPr>
            </m:ctrlPr>
          </m:sup>
          <m:e>
            <m:r>
              <m:rPr>
                <m:nor/>
                <m:sty m:val="p"/>
              </m:rPr>
              <w:rPr>
                <w:rFonts w:hint="default" w:ascii="Times New Roman" w:hAnsi="Times New Roman" w:eastAsia="宋体" w:cs="Times New Roman"/>
                <w:b w:val="0"/>
                <w:i w:val="0"/>
                <w:kern w:val="0"/>
                <w:sz w:val="21"/>
                <w:szCs w:val="21"/>
                <w:lang w:val="en-US" w:eastAsia="zh-CN" w:bidi="ar"/>
              </w:rPr>
              <m:t>(</m:t>
            </m:r>
            <m:f>
              <m:fPr>
                <m:ctrlPr>
                  <w:rPr>
                    <w:rFonts w:hint="default" w:ascii="Cambria Math" w:hAnsi="Cambria Math" w:eastAsia="宋体" w:cs="Times New Roman"/>
                    <w:b w:val="0"/>
                    <w:i w:val="0"/>
                    <w:kern w:val="0"/>
                    <w:sz w:val="21"/>
                    <w:szCs w:val="21"/>
                    <w:lang w:val="en-US" w:eastAsia="zh-CN" w:bidi="ar"/>
                  </w:rPr>
                </m:ctrlPr>
              </m:fPr>
              <m:num>
                <m:sSub>
                  <m:sSubPr>
                    <m:ctrlPr>
                      <w:rPr>
                        <w:rFonts w:hint="default" w:ascii="Cambria Math" w:hAnsi="Cambria Math" w:eastAsia="宋体" w:cs="Times New Roman"/>
                        <w:b w:val="0"/>
                        <w:i w:val="0"/>
                        <w:kern w:val="0"/>
                        <w:sz w:val="21"/>
                        <w:szCs w:val="21"/>
                        <w:lang w:val="en-US" w:eastAsia="zh-CN" w:bidi="ar"/>
                      </w:rPr>
                    </m:ctrlPr>
                  </m:sSubPr>
                  <m:e>
                    <m:r>
                      <m:rPr>
                        <m:nor/>
                      </m:rPr>
                      <w:rPr>
                        <w:rFonts w:hint="default" w:ascii="Times New Roman" w:hAnsi="Times New Roman" w:eastAsia="宋体" w:cs="Times New Roman"/>
                        <w:b w:val="0"/>
                        <w:i/>
                        <w:iCs/>
                        <w:kern w:val="0"/>
                        <w:sz w:val="21"/>
                        <w:szCs w:val="21"/>
                        <w:lang w:val="en-US" w:eastAsia="zh-CN" w:bidi="ar"/>
                      </w:rPr>
                      <m:t>m</m:t>
                    </m:r>
                    <m:ctrlPr>
                      <w:rPr>
                        <w:rFonts w:hint="default" w:ascii="Cambria Math" w:hAnsi="Cambria Math" w:eastAsia="宋体" w:cs="Times New Roman"/>
                        <w:b w:val="0"/>
                        <w:i w:val="0"/>
                        <w:kern w:val="0"/>
                        <w:sz w:val="21"/>
                        <w:szCs w:val="21"/>
                        <w:lang w:val="en-US" w:eastAsia="zh-CN" w:bidi="ar"/>
                      </w:rPr>
                    </m:ctrlPr>
                  </m:e>
                  <m:sub>
                    <m:r>
                      <m:rPr>
                        <m:nor/>
                      </m:rPr>
                      <w:rPr>
                        <w:rFonts w:hint="default" w:ascii="Times New Roman" w:hAnsi="Times New Roman" w:eastAsia="宋体" w:cs="Times New Roman"/>
                        <w:b w:val="0"/>
                        <w:i/>
                        <w:iCs/>
                        <w:kern w:val="0"/>
                        <w:sz w:val="21"/>
                        <w:szCs w:val="21"/>
                        <w:lang w:val="en-US" w:eastAsia="zh-CN" w:bidi="ar"/>
                      </w:rPr>
                      <m:t>C</m:t>
                    </m:r>
                    <m:r>
                      <m:rPr>
                        <m:nor/>
                        <m:sty m:val="p"/>
                      </m:rPr>
                      <w:rPr>
                        <w:rFonts w:hint="default" w:ascii="Times New Roman" w:hAnsi="Times New Roman" w:eastAsia="宋体" w:cs="Times New Roman"/>
                        <w:b w:val="0"/>
                        <w:i w:val="0"/>
                        <w:iCs/>
                        <w:kern w:val="0"/>
                        <w:sz w:val="21"/>
                        <w:szCs w:val="21"/>
                        <w:lang w:val="en-US" w:eastAsia="zh-CN" w:bidi="ar"/>
                      </w:rPr>
                      <m:t>,</m:t>
                    </m:r>
                    <m:r>
                      <m:rPr>
                        <m:nor/>
                        <m:sty m:val="p"/>
                      </m:rPr>
                      <w:rPr>
                        <w:rFonts w:hint="default" w:ascii="Times New Roman" w:hAnsi="Times New Roman" w:eastAsia="宋体" w:cs="Times New Roman"/>
                        <w:b w:val="0"/>
                        <w:i w:val="0"/>
                        <w:iCs w:val="0"/>
                        <w:kern w:val="0"/>
                        <w:sz w:val="21"/>
                        <w:szCs w:val="21"/>
                        <w:lang w:val="en-US" w:eastAsia="zh-CN" w:bidi="ar"/>
                      </w:rPr>
                      <m:t xml:space="preserve"> </m:t>
                    </m:r>
                    <m:r>
                      <m:rPr>
                        <m:nor/>
                      </m:rPr>
                      <w:rPr>
                        <w:rFonts w:hint="default" w:ascii="Times New Roman" w:hAnsi="Times New Roman" w:eastAsia="宋体" w:cs="Times New Roman"/>
                        <w:b w:val="0"/>
                        <w:i/>
                        <w:iCs w:val="0"/>
                        <w:kern w:val="0"/>
                        <w:sz w:val="21"/>
                        <w:szCs w:val="21"/>
                        <w:lang w:val="en-US" w:eastAsia="zh-CN" w:bidi="ar"/>
                      </w:rPr>
                      <m:t>j</m:t>
                    </m:r>
                    <m:ctrlPr>
                      <w:rPr>
                        <w:rFonts w:hint="default" w:ascii="Cambria Math" w:hAnsi="Cambria Math" w:eastAsia="宋体" w:cs="Times New Roman"/>
                        <w:b w:val="0"/>
                        <w:kern w:val="0"/>
                        <w:sz w:val="21"/>
                        <w:szCs w:val="21"/>
                        <w:lang w:val="en-US" w:eastAsia="zh-CN" w:bidi="ar"/>
                      </w:rPr>
                    </m:ctrlPr>
                  </m:sub>
                </m:sSub>
                <m:r>
                  <m:rPr>
                    <m:nor/>
                    <m:sty m:val="p"/>
                  </m:rPr>
                  <w:rPr>
                    <w:rFonts w:hint="default" w:ascii="Times New Roman" w:hAnsi="Times New Roman" w:cs="Times New Roman"/>
                    <w:b w:val="0"/>
                    <w:i w:val="0"/>
                    <w:kern w:val="0"/>
                    <w:sz w:val="21"/>
                    <w:szCs w:val="21"/>
                    <w:lang w:val="en-US" w:bidi="ar"/>
                  </w:rPr>
                  <m:t>×</m:t>
                </m:r>
                <m:sSub>
                  <m:sSubPr>
                    <m:ctrlPr>
                      <w:rPr>
                        <w:rFonts w:hint="default" w:ascii="Cambria Math" w:hAnsi="Cambria Math" w:cs="Times New Roman"/>
                        <w:kern w:val="0"/>
                        <w:sz w:val="21"/>
                        <w:szCs w:val="21"/>
                        <w:lang w:val="en-US" w:eastAsia="zh-CN" w:bidi="ar"/>
                      </w:rPr>
                    </m:ctrlPr>
                  </m:sSubPr>
                  <m:e>
                    <m:r>
                      <m:rPr>
                        <m:nor/>
                      </m:rPr>
                      <w:rPr>
                        <w:rFonts w:hint="default" w:ascii="Times New Roman" w:hAnsi="Times New Roman" w:cs="Times New Roman"/>
                        <w:i/>
                        <w:iCs/>
                        <w:kern w:val="0"/>
                        <w:sz w:val="21"/>
                        <w:szCs w:val="21"/>
                        <w:lang w:val="en-US" w:eastAsia="zh-CN" w:bidi="ar"/>
                      </w:rPr>
                      <m:t>D</m:t>
                    </m:r>
                    <m:ctrlPr>
                      <w:rPr>
                        <w:rFonts w:hint="default" w:ascii="Cambria Math" w:hAnsi="Cambria Math" w:cs="Times New Roman"/>
                        <w:kern w:val="0"/>
                        <w:sz w:val="21"/>
                        <w:szCs w:val="21"/>
                        <w:lang w:val="en-US" w:eastAsia="zh-CN" w:bidi="ar"/>
                      </w:rPr>
                    </m:ctrlPr>
                  </m:e>
                  <m:sub>
                    <m:r>
                      <m:rPr>
                        <m:nor/>
                      </m:rPr>
                      <w:rPr>
                        <w:rFonts w:hint="default" w:ascii="Times New Roman" w:hAnsi="Times New Roman" w:cs="Times New Roman"/>
                        <w:i/>
                        <w:iCs/>
                        <w:kern w:val="0"/>
                        <w:sz w:val="21"/>
                        <w:szCs w:val="21"/>
                        <w:lang w:val="en-US" w:eastAsia="zh-CN" w:bidi="ar"/>
                      </w:rPr>
                      <m:t>C</m:t>
                    </m:r>
                    <m:r>
                      <m:rPr>
                        <m:nor/>
                        <m:sty m:val="p"/>
                      </m:rPr>
                      <w:rPr>
                        <w:rFonts w:hint="default" w:ascii="Times New Roman" w:hAnsi="Times New Roman" w:cs="Times New Roman"/>
                        <w:b w:val="0"/>
                        <w:i w:val="0"/>
                        <w:kern w:val="0"/>
                        <w:sz w:val="21"/>
                        <w:szCs w:val="21"/>
                        <w:lang w:val="en-US" w:eastAsia="zh-CN" w:bidi="ar"/>
                      </w:rPr>
                      <m:t xml:space="preserve">, </m:t>
                    </m:r>
                    <m:r>
                      <m:rPr>
                        <m:nor/>
                      </m:rPr>
                      <w:rPr>
                        <w:rFonts w:hint="default" w:ascii="Times New Roman" w:hAnsi="Times New Roman" w:cs="Times New Roman"/>
                        <w:i/>
                        <w:iCs/>
                        <w:kern w:val="0"/>
                        <w:sz w:val="21"/>
                        <w:szCs w:val="21"/>
                        <w:lang w:val="en-US" w:eastAsia="zh-CN" w:bidi="ar"/>
                      </w:rPr>
                      <m:t>j</m:t>
                    </m:r>
                    <m:ctrlPr>
                      <w:rPr>
                        <w:rFonts w:hint="default" w:ascii="Cambria Math" w:hAnsi="Cambria Math" w:cs="Times New Roman"/>
                        <w:kern w:val="0"/>
                        <w:sz w:val="21"/>
                        <w:szCs w:val="21"/>
                        <w:lang w:val="en-US" w:eastAsia="zh-CN" w:bidi="ar"/>
                      </w:rPr>
                    </m:ctrlPr>
                  </m:sub>
                </m:sSub>
                <m:r>
                  <m:rPr>
                    <m:nor/>
                    <m:sty m:val="p"/>
                  </m:rPr>
                  <w:rPr>
                    <w:rFonts w:hint="default" w:ascii="Times New Roman" w:hAnsi="Times New Roman" w:cs="Times New Roman"/>
                    <w:b w:val="0"/>
                    <w:i w:val="0"/>
                    <w:kern w:val="0"/>
                    <w:sz w:val="21"/>
                    <w:szCs w:val="21"/>
                    <w:lang w:val="en-US" w:bidi="ar"/>
                  </w:rPr>
                  <m:t>×</m:t>
                </m:r>
                <m:sSub>
                  <m:sSubPr>
                    <m:ctrlPr>
                      <w:rPr>
                        <w:rFonts w:hint="default" w:ascii="Cambria Math" w:hAnsi="Cambria Math" w:cs="Times New Roman"/>
                        <w:kern w:val="0"/>
                        <w:sz w:val="21"/>
                        <w:szCs w:val="21"/>
                        <w:lang w:val="en-US" w:eastAsia="zh-CN" w:bidi="ar"/>
                      </w:rPr>
                    </m:ctrlPr>
                  </m:sSubPr>
                  <m:e>
                    <m:r>
                      <m:rPr>
                        <m:nor/>
                      </m:rPr>
                      <w:rPr>
                        <w:rFonts w:hint="default" w:ascii="Times New Roman" w:hAnsi="Times New Roman" w:cs="Times New Roman"/>
                        <w:i/>
                        <w:iCs/>
                        <w:kern w:val="0"/>
                        <w:sz w:val="21"/>
                        <w:szCs w:val="21"/>
                        <w:lang w:val="en-US" w:eastAsia="zh-CN" w:bidi="ar"/>
                      </w:rPr>
                      <m:t>EF</m:t>
                    </m:r>
                    <m:ctrlPr>
                      <w:rPr>
                        <w:rFonts w:hint="default" w:ascii="Cambria Math" w:hAnsi="Cambria Math" w:cs="Times New Roman"/>
                        <w:kern w:val="0"/>
                        <w:sz w:val="21"/>
                        <w:szCs w:val="21"/>
                        <w:lang w:val="en-US" w:eastAsia="zh-CN" w:bidi="ar"/>
                      </w:rPr>
                    </m:ctrlPr>
                  </m:e>
                  <m:sub>
                    <m:r>
                      <m:rPr>
                        <m:nor/>
                      </m:rPr>
                      <w:rPr>
                        <w:rFonts w:hint="default" w:ascii="Times New Roman" w:hAnsi="Times New Roman" w:cs="Times New Roman"/>
                        <w:i/>
                        <w:iCs/>
                        <w:kern w:val="0"/>
                        <w:sz w:val="21"/>
                        <w:szCs w:val="21"/>
                        <w:lang w:val="en-US" w:eastAsia="zh-CN" w:bidi="ar"/>
                      </w:rPr>
                      <m:t>C</m:t>
                    </m:r>
                    <m:r>
                      <m:rPr>
                        <m:nor/>
                        <m:sty m:val="p"/>
                      </m:rPr>
                      <w:rPr>
                        <w:rFonts w:hint="default" w:ascii="Times New Roman" w:hAnsi="Times New Roman" w:cs="Times New Roman"/>
                        <w:b w:val="0"/>
                        <w:i w:val="0"/>
                        <w:kern w:val="0"/>
                        <w:sz w:val="21"/>
                        <w:szCs w:val="21"/>
                        <w:lang w:val="en-US" w:eastAsia="zh-CN" w:bidi="ar"/>
                      </w:rPr>
                      <m:t xml:space="preserve">, </m:t>
                    </m:r>
                    <m:r>
                      <m:rPr>
                        <m:nor/>
                      </m:rPr>
                      <w:rPr>
                        <w:rFonts w:hint="default" w:ascii="Times New Roman" w:hAnsi="Times New Roman" w:cs="Times New Roman"/>
                        <w:i/>
                        <w:iCs/>
                        <w:kern w:val="0"/>
                        <w:sz w:val="21"/>
                        <w:szCs w:val="21"/>
                        <w:lang w:val="en-US" w:eastAsia="zh-CN" w:bidi="ar"/>
                      </w:rPr>
                      <m:t>j</m:t>
                    </m:r>
                    <m:ctrlPr>
                      <w:rPr>
                        <w:rFonts w:hint="default" w:ascii="Cambria Math" w:hAnsi="Cambria Math" w:cs="Times New Roman"/>
                        <w:kern w:val="0"/>
                        <w:sz w:val="21"/>
                        <w:szCs w:val="21"/>
                        <w:lang w:val="en-US" w:eastAsia="zh-CN" w:bidi="ar"/>
                      </w:rPr>
                    </m:ctrlPr>
                  </m:sub>
                </m:sSub>
                <m:ctrlPr>
                  <w:rPr>
                    <w:rFonts w:hint="default" w:ascii="Cambria Math" w:hAnsi="Cambria Math" w:eastAsia="宋体" w:cs="Times New Roman"/>
                    <w:b w:val="0"/>
                    <w:i w:val="0"/>
                    <w:kern w:val="0"/>
                    <w:sz w:val="21"/>
                    <w:szCs w:val="21"/>
                    <w:lang w:val="en-US" w:eastAsia="zh-CN" w:bidi="ar"/>
                  </w:rPr>
                </m:ctrlPr>
              </m:num>
              <m:den>
                <m:sSub>
                  <m:sSubPr>
                    <m:ctrlPr>
                      <w:rPr>
                        <w:rFonts w:hint="default" w:ascii="Cambria Math" w:hAnsi="Cambria Math" w:eastAsia="宋体" w:cs="Times New Roman"/>
                        <w:b w:val="0"/>
                        <w:i/>
                        <w:iCs/>
                        <w:kern w:val="0"/>
                        <w:sz w:val="21"/>
                        <w:szCs w:val="21"/>
                        <w:lang w:val="en-US" w:eastAsia="zh-CN" w:bidi="ar"/>
                      </w:rPr>
                    </m:ctrlPr>
                  </m:sSubPr>
                  <m:e>
                    <m:r>
                      <m:rPr>
                        <m:nor/>
                      </m:rPr>
                      <w:rPr>
                        <w:rFonts w:hint="default" w:ascii="Times New Roman" w:hAnsi="Times New Roman" w:eastAsia="宋体" w:cs="Times New Roman"/>
                        <w:b w:val="0"/>
                        <w:i/>
                        <w:iCs/>
                        <w:kern w:val="0"/>
                        <w:sz w:val="21"/>
                        <w:szCs w:val="21"/>
                        <w:lang w:val="en-US" w:eastAsia="zh-CN" w:bidi="ar"/>
                      </w:rPr>
                      <m:t>N</m:t>
                    </m:r>
                    <m:ctrlPr>
                      <w:rPr>
                        <w:rFonts w:hint="default" w:ascii="Cambria Math" w:hAnsi="Cambria Math" w:eastAsia="宋体" w:cs="Times New Roman"/>
                        <w:b w:val="0"/>
                        <w:i/>
                        <w:iCs/>
                        <w:kern w:val="0"/>
                        <w:sz w:val="21"/>
                        <w:szCs w:val="21"/>
                        <w:lang w:val="en-US" w:eastAsia="zh-CN" w:bidi="ar"/>
                      </w:rPr>
                    </m:ctrlPr>
                  </m:e>
                  <m:sub>
                    <m:r>
                      <m:rPr>
                        <m:nor/>
                      </m:rPr>
                      <w:rPr>
                        <w:rFonts w:hint="default" w:ascii="Times New Roman" w:hAnsi="Times New Roman" w:eastAsia="宋体" w:cs="Times New Roman"/>
                        <w:b w:val="0"/>
                        <w:i/>
                        <w:iCs/>
                        <w:kern w:val="0"/>
                        <w:sz w:val="21"/>
                        <w:szCs w:val="21"/>
                        <w:lang w:val="en-US" w:eastAsia="zh-CN" w:bidi="ar"/>
                      </w:rPr>
                      <m:t>j</m:t>
                    </m:r>
                    <m:ctrlPr>
                      <w:rPr>
                        <w:rFonts w:hint="default" w:ascii="Cambria Math" w:hAnsi="Cambria Math" w:eastAsia="宋体" w:cs="Times New Roman"/>
                        <w:b w:val="0"/>
                        <w:i/>
                        <w:iCs/>
                        <w:kern w:val="0"/>
                        <w:sz w:val="21"/>
                        <w:szCs w:val="21"/>
                        <w:lang w:val="en-US" w:eastAsia="zh-CN" w:bidi="ar"/>
                      </w:rPr>
                    </m:ctrlPr>
                  </m:sub>
                </m:sSub>
                <m:ctrlPr>
                  <w:rPr>
                    <w:rFonts w:hint="default" w:ascii="Cambria Math" w:hAnsi="Cambria Math" w:eastAsia="宋体" w:cs="Times New Roman"/>
                    <w:b w:val="0"/>
                    <w:kern w:val="0"/>
                    <w:sz w:val="21"/>
                    <w:szCs w:val="21"/>
                    <w:lang w:val="en-US" w:eastAsia="zh-CN" w:bidi="ar"/>
                  </w:rPr>
                </m:ctrlPr>
              </m:den>
            </m:f>
            <m:r>
              <m:rPr>
                <m:nor/>
                <m:sty m:val="p"/>
              </m:rPr>
              <w:rPr>
                <w:rFonts w:hint="default" w:ascii="Times New Roman" w:hAnsi="Times New Roman" w:cs="Times New Roman"/>
                <w:b w:val="0"/>
                <w:i w:val="0"/>
                <w:kern w:val="0"/>
                <w:sz w:val="21"/>
                <w:szCs w:val="21"/>
                <w:lang w:val="en-US" w:bidi="ar"/>
              </w:rPr>
              <m:t>×</m:t>
            </m:r>
            <m:sSub>
              <m:sSubPr>
                <m:ctrlPr>
                  <w:rPr>
                    <w:rFonts w:hint="default" w:ascii="Cambria Math" w:hAnsi="Cambria Math" w:cs="Times New Roman"/>
                    <w:i/>
                    <w:iCs/>
                    <w:kern w:val="0"/>
                    <w:sz w:val="21"/>
                    <w:szCs w:val="21"/>
                    <w:lang w:val="en-US" w:bidi="ar"/>
                  </w:rPr>
                </m:ctrlPr>
              </m:sSubPr>
              <m:e>
                <m:r>
                  <m:rPr>
                    <m:nor/>
                  </m:rPr>
                  <w:rPr>
                    <w:rFonts w:hint="default" w:ascii="Times New Roman" w:hAnsi="Times New Roman" w:cs="Times New Roman"/>
                    <w:i/>
                    <w:iCs/>
                    <w:kern w:val="0"/>
                    <w:sz w:val="21"/>
                    <w:szCs w:val="21"/>
                    <w:lang w:val="en-US" w:eastAsia="zh-CN" w:bidi="ar"/>
                  </w:rPr>
                  <m:t>R</m:t>
                </m:r>
                <m:ctrlPr>
                  <w:rPr>
                    <w:rFonts w:hint="default" w:ascii="Cambria Math" w:hAnsi="Cambria Math" w:cs="Times New Roman"/>
                    <w:i/>
                    <w:iCs/>
                    <w:kern w:val="0"/>
                    <w:sz w:val="21"/>
                    <w:szCs w:val="21"/>
                    <w:lang w:val="en-US" w:bidi="ar"/>
                  </w:rPr>
                </m:ctrlPr>
              </m:e>
              <m:sub>
                <m:r>
                  <m:rPr>
                    <m:nor/>
                  </m:rPr>
                  <w:rPr>
                    <w:rFonts w:hint="default" w:ascii="Times New Roman" w:hAnsi="Times New Roman" w:cs="Times New Roman"/>
                    <w:i/>
                    <w:iCs/>
                    <w:kern w:val="0"/>
                    <w:sz w:val="21"/>
                    <w:szCs w:val="21"/>
                    <w:lang w:val="en-US" w:eastAsia="zh-CN" w:bidi="ar"/>
                  </w:rPr>
                  <m:t>j</m:t>
                </m:r>
                <m:ctrlPr>
                  <w:rPr>
                    <w:rFonts w:hint="default" w:ascii="Cambria Math" w:hAnsi="Cambria Math" w:cs="Times New Roman"/>
                    <w:i/>
                    <w:iCs/>
                    <w:kern w:val="0"/>
                    <w:sz w:val="21"/>
                    <w:szCs w:val="21"/>
                    <w:lang w:val="en-US" w:bidi="ar"/>
                  </w:rPr>
                </m:ctrlPr>
              </m:sub>
            </m:sSub>
            <m:r>
              <m:rPr>
                <m:nor/>
                <m:sty m:val="p"/>
              </m:rPr>
              <w:rPr>
                <w:rFonts w:hint="default" w:ascii="Times New Roman" w:hAnsi="Times New Roman" w:cs="Times New Roman"/>
                <w:b w:val="0"/>
                <w:i w:val="0"/>
                <w:kern w:val="0"/>
                <w:sz w:val="21"/>
                <w:szCs w:val="21"/>
                <w:lang w:val="en-US" w:eastAsia="zh-CN" w:bidi="ar"/>
              </w:rPr>
              <m:t>)</m:t>
            </m:r>
            <m:ctrlPr>
              <w:rPr>
                <w:rFonts w:hint="default" w:ascii="Cambria Math" w:hAnsi="Cambria Math" w:eastAsia="宋体" w:cs="Times New Roman"/>
                <w:b w:val="0"/>
                <w:i w:val="0"/>
                <w:kern w:val="0"/>
                <w:sz w:val="21"/>
                <w:szCs w:val="21"/>
                <w:lang w:val="en-US" w:eastAsia="zh-CN" w:bidi="ar"/>
              </w:rPr>
            </m:ctrlPr>
          </m:e>
        </m:nary>
      </m:oMath>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default" w:ascii="Times New Roman" w:hAnsi="Times New Roman" w:eastAsia="宋体" w:cs="Times New Roman"/>
          <w:i w:val="0"/>
          <w:iCs/>
          <w:kern w:val="0"/>
          <w:sz w:val="21"/>
          <w:szCs w:val="21"/>
          <w:lang w:val="en-US" w:eastAsia="zh-CN" w:bidi="ar"/>
        </w:rPr>
        <w:t>（</w:t>
      </w:r>
      <w:r>
        <w:rPr>
          <w:rFonts w:hint="eastAsia" w:ascii="Times New Roman" w:hAnsi="Times New Roman" w:eastAsia="宋体" w:cs="Times New Roman"/>
          <w:i w:val="0"/>
          <w:iCs/>
          <w:kern w:val="0"/>
          <w:sz w:val="21"/>
          <w:szCs w:val="21"/>
          <w:lang w:val="en-US" w:eastAsia="zh-CN" w:bidi="ar"/>
        </w:rPr>
        <w:t>4</w:t>
      </w:r>
      <w:r>
        <w:rPr>
          <w:rFonts w:hint="default" w:ascii="Times New Roman" w:hAnsi="Times New Roman" w:eastAsia="宋体" w:cs="Times New Roman"/>
          <w:i w:val="0"/>
          <w:iCs/>
          <w:kern w:val="0"/>
          <w:sz w:val="21"/>
          <w:szCs w:val="21"/>
          <w:lang w:val="en-US" w:eastAsia="zh-CN" w:bidi="ar"/>
        </w:rPr>
        <w:t>）</w:t>
      </w:r>
    </w:p>
    <w:p w14:paraId="0AB657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3368" w:leftChars="0" w:right="0" w:firstLine="421" w:firstLineChars="0"/>
        <w:jc w:val="left"/>
        <w:textAlignment w:val="baseline"/>
        <w:rPr>
          <w:rFonts w:hint="default" w:ascii="Times New Roman" w:hAnsi="Times New Roman" w:eastAsia="宋体" w:cs="Times New Roman"/>
          <w:i w:val="0"/>
          <w:iCs/>
          <w:kern w:val="0"/>
          <w:sz w:val="21"/>
          <w:szCs w:val="21"/>
          <w:lang w:val="en-US" w:eastAsia="zh-CN" w:bidi="ar"/>
        </w:rPr>
      </w:pPr>
    </w:p>
    <w:p w14:paraId="7704D43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式中：</w:t>
      </w:r>
    </w:p>
    <w:p w14:paraId="65385C0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m</w:t>
      </w:r>
      <w:r>
        <w:rPr>
          <w:rFonts w:hint="eastAsia" w:ascii="Times New Roman" w:hAnsi="Times New Roman" w:eastAsia="宋体" w:cs="Times New Roman"/>
          <w:i/>
          <w:iCs/>
          <w:sz w:val="21"/>
          <w:szCs w:val="21"/>
          <w:vertAlign w:val="subscript"/>
          <w:lang w:val="en-US" w:eastAsia="zh-CN"/>
        </w:rPr>
        <w:t>C,j</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第</w:t>
      </w:r>
      <w:r>
        <w:rPr>
          <w:rFonts w:hint="eastAsia" w:ascii="Times New Roman" w:hAnsi="Times New Roman" w:eastAsia="宋体" w:cs="Times New Roman"/>
          <w:i/>
          <w:iCs/>
          <w:sz w:val="21"/>
          <w:szCs w:val="21"/>
          <w:lang w:val="en-US" w:eastAsia="zh-CN"/>
        </w:rPr>
        <w:t>j</w:t>
      </w:r>
      <w:r>
        <w:rPr>
          <w:rFonts w:hint="eastAsia" w:ascii="Times New Roman" w:hAnsi="Times New Roman" w:eastAsia="宋体" w:cs="Times New Roman"/>
          <w:sz w:val="21"/>
          <w:szCs w:val="21"/>
          <w:lang w:val="en-US" w:eastAsia="zh-CN"/>
        </w:rPr>
        <w:t>种运输的装载量，单位为吨（t）；</w:t>
      </w:r>
    </w:p>
    <w:p w14:paraId="68CF3F0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D</w:t>
      </w:r>
      <w:r>
        <w:rPr>
          <w:rFonts w:hint="eastAsia" w:ascii="Times New Roman" w:hAnsi="Times New Roman" w:eastAsia="宋体" w:cs="Times New Roman"/>
          <w:i/>
          <w:iCs/>
          <w:sz w:val="21"/>
          <w:szCs w:val="21"/>
          <w:vertAlign w:val="subscript"/>
          <w:lang w:val="en-US" w:eastAsia="zh-CN"/>
        </w:rPr>
        <w:t>C</w:t>
      </w:r>
      <w:r>
        <w:rPr>
          <w:rFonts w:hint="eastAsia" w:ascii="Times New Roman" w:hAnsi="Times New Roman" w:eastAsia="宋体" w:cs="Times New Roman"/>
          <w:sz w:val="21"/>
          <w:szCs w:val="21"/>
          <w:vertAlign w:val="subscript"/>
          <w:lang w:val="en-US" w:eastAsia="zh-CN"/>
        </w:rPr>
        <w:t>,</w:t>
      </w:r>
      <w:r>
        <w:rPr>
          <w:rFonts w:hint="eastAsia" w:ascii="Times New Roman" w:hAnsi="Times New Roman" w:eastAsia="宋体" w:cs="Times New Roman"/>
          <w:i/>
          <w:iCs/>
          <w:sz w:val="21"/>
          <w:szCs w:val="21"/>
          <w:vertAlign w:val="subscript"/>
          <w:lang w:val="en-US" w:eastAsia="zh-CN"/>
        </w:rPr>
        <w:t>j</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第</w:t>
      </w:r>
      <w:r>
        <w:rPr>
          <w:rFonts w:hint="eastAsia" w:ascii="Times New Roman" w:hAnsi="Times New Roman" w:eastAsia="宋体" w:cs="Times New Roman"/>
          <w:i/>
          <w:iCs/>
          <w:sz w:val="21"/>
          <w:szCs w:val="21"/>
          <w:lang w:val="en-US" w:eastAsia="zh-CN"/>
        </w:rPr>
        <w:t>j</w:t>
      </w:r>
      <w:r>
        <w:rPr>
          <w:rFonts w:hint="eastAsia" w:ascii="Times New Roman" w:hAnsi="Times New Roman" w:eastAsia="宋体" w:cs="Times New Roman"/>
          <w:i w:val="0"/>
          <w:iCs w:val="0"/>
          <w:sz w:val="21"/>
          <w:szCs w:val="21"/>
          <w:lang w:val="en-US" w:eastAsia="zh-CN"/>
        </w:rPr>
        <w:t>种</w:t>
      </w:r>
      <w:r>
        <w:rPr>
          <w:rFonts w:hint="eastAsia" w:ascii="Times New Roman" w:hAnsi="Times New Roman" w:eastAsia="宋体" w:cs="Times New Roman"/>
          <w:sz w:val="21"/>
          <w:szCs w:val="21"/>
          <w:lang w:val="en-US" w:eastAsia="zh-CN"/>
        </w:rPr>
        <w:t>运输的运输距离，单位为千米（km）；</w:t>
      </w:r>
    </w:p>
    <w:p w14:paraId="13CCABB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EF</w:t>
      </w:r>
      <w:r>
        <w:rPr>
          <w:rFonts w:hint="eastAsia" w:ascii="Times New Roman" w:hAnsi="Times New Roman" w:eastAsia="宋体" w:cs="Times New Roman"/>
          <w:i/>
          <w:iCs/>
          <w:sz w:val="21"/>
          <w:szCs w:val="21"/>
          <w:vertAlign w:val="subscript"/>
          <w:lang w:val="en-US" w:eastAsia="zh-CN"/>
        </w:rPr>
        <w:t>C</w:t>
      </w:r>
      <w:r>
        <w:rPr>
          <w:rFonts w:hint="eastAsia" w:ascii="Times New Roman" w:hAnsi="Times New Roman" w:eastAsia="宋体" w:cs="Times New Roman"/>
          <w:sz w:val="21"/>
          <w:szCs w:val="21"/>
          <w:vertAlign w:val="subscript"/>
          <w:lang w:val="en-US" w:eastAsia="zh-CN"/>
        </w:rPr>
        <w:t>,</w:t>
      </w:r>
      <w:r>
        <w:rPr>
          <w:rFonts w:hint="eastAsia" w:ascii="Times New Roman" w:hAnsi="Times New Roman" w:eastAsia="宋体" w:cs="Times New Roman"/>
          <w:i/>
          <w:iCs/>
          <w:sz w:val="21"/>
          <w:szCs w:val="21"/>
          <w:vertAlign w:val="subscript"/>
          <w:lang w:val="en-US" w:eastAsia="zh-CN"/>
        </w:rPr>
        <w:t>j</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第</w:t>
      </w:r>
      <w:r>
        <w:rPr>
          <w:rFonts w:hint="eastAsia" w:ascii="Times New Roman" w:hAnsi="Times New Roman" w:eastAsia="宋体" w:cs="Times New Roman"/>
          <w:i/>
          <w:iCs/>
          <w:sz w:val="21"/>
          <w:szCs w:val="21"/>
          <w:lang w:val="en-US" w:eastAsia="zh-CN"/>
        </w:rPr>
        <w:t>j</w:t>
      </w:r>
      <w:r>
        <w:rPr>
          <w:rFonts w:hint="eastAsia" w:ascii="Times New Roman" w:hAnsi="Times New Roman" w:eastAsia="宋体" w:cs="Times New Roman"/>
          <w:i w:val="0"/>
          <w:iCs w:val="0"/>
          <w:sz w:val="21"/>
          <w:szCs w:val="21"/>
          <w:lang w:val="en-US" w:eastAsia="zh-CN"/>
        </w:rPr>
        <w:t>种</w:t>
      </w:r>
      <w:r>
        <w:rPr>
          <w:rFonts w:hint="eastAsia" w:ascii="Times New Roman" w:hAnsi="Times New Roman" w:eastAsia="宋体" w:cs="Times New Roman"/>
          <w:sz w:val="21"/>
          <w:szCs w:val="21"/>
          <w:lang w:val="en-US" w:eastAsia="zh-CN"/>
        </w:rPr>
        <w:t>运输对应的碳足迹因子，单位与该运输环节相匹配，如千克二氧化碳当量每吨千米</w:t>
      </w:r>
      <w:r>
        <w:rPr>
          <w:rFonts w:hint="default" w:ascii="Times New Roman" w:hAnsi="Times New Roman" w:eastAsia="宋体" w:cs="Times New Roman"/>
          <w:sz w:val="21"/>
          <w:szCs w:val="21"/>
          <w:lang w:val="en-US" w:eastAsia="zh-CN"/>
        </w:rPr>
        <w:t>[kgCO</w:t>
      </w:r>
      <w:r>
        <w:rPr>
          <w:rFonts w:hint="default" w:ascii="Times New Roman" w:hAnsi="Times New Roman" w:eastAsia="宋体" w:cs="Times New Roman"/>
          <w:sz w:val="21"/>
          <w:szCs w:val="21"/>
          <w:vertAlign w:val="subscript"/>
          <w:lang w:val="en-US" w:eastAsia="zh-CN"/>
        </w:rPr>
        <w:t>2</w:t>
      </w:r>
      <w:r>
        <w:rPr>
          <w:rFonts w:hint="default" w:ascii="Times New Roman" w:hAnsi="Times New Roman" w:eastAsia="宋体" w:cs="Times New Roman"/>
          <w:sz w:val="21"/>
          <w:szCs w:val="21"/>
          <w:lang w:val="en-US" w:eastAsia="zh-CN"/>
        </w:rPr>
        <w:t>e/t·km</w:t>
      </w:r>
      <w:r>
        <w:rPr>
          <w:rFonts w:hint="eastAsia" w:ascii="Times New Roman" w:hAnsi="Times New Roman" w:eastAsia="宋体" w:cs="Times New Roman"/>
          <w:sz w:val="21"/>
          <w:szCs w:val="21"/>
          <w:lang w:val="en-US" w:eastAsia="zh-CN"/>
        </w:rPr>
        <w:t>]；</w:t>
      </w:r>
    </w:p>
    <w:p w14:paraId="6E6D9F8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N</w:t>
      </w:r>
      <w:r>
        <w:rPr>
          <w:rFonts w:hint="eastAsia" w:ascii="Times New Roman" w:hAnsi="Times New Roman" w:eastAsia="宋体" w:cs="Times New Roman"/>
          <w:i/>
          <w:iCs/>
          <w:sz w:val="21"/>
          <w:szCs w:val="21"/>
          <w:vertAlign w:val="subscript"/>
          <w:lang w:val="en-US" w:eastAsia="zh-CN"/>
        </w:rPr>
        <w:t>j</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第</w:t>
      </w:r>
      <w:r>
        <w:rPr>
          <w:rFonts w:hint="eastAsia" w:ascii="Times New Roman" w:hAnsi="Times New Roman" w:eastAsia="宋体" w:cs="Times New Roman"/>
          <w:i/>
          <w:iCs/>
          <w:sz w:val="21"/>
          <w:szCs w:val="21"/>
          <w:lang w:val="en-US" w:eastAsia="zh-CN"/>
        </w:rPr>
        <w:t>j</w:t>
      </w:r>
      <w:r>
        <w:rPr>
          <w:rFonts w:hint="eastAsia" w:ascii="Times New Roman" w:hAnsi="Times New Roman" w:eastAsia="宋体" w:cs="Times New Roman"/>
          <w:sz w:val="21"/>
          <w:szCs w:val="21"/>
          <w:lang w:val="en-US" w:eastAsia="zh-CN"/>
        </w:rPr>
        <w:t>种运输装载的单位产品数量，单位根据软饮料产品确定；</w:t>
      </w:r>
    </w:p>
    <w:p w14:paraId="614E853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R</w:t>
      </w:r>
      <w:r>
        <w:rPr>
          <w:rFonts w:hint="eastAsia" w:ascii="Times New Roman" w:hAnsi="Times New Roman" w:eastAsia="宋体" w:cs="Times New Roman"/>
          <w:i/>
          <w:iCs/>
          <w:sz w:val="21"/>
          <w:szCs w:val="21"/>
          <w:vertAlign w:val="subscript"/>
          <w:lang w:val="en-US" w:eastAsia="zh-CN"/>
        </w:rPr>
        <w:t>j</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第</w:t>
      </w:r>
      <w:r>
        <w:rPr>
          <w:rFonts w:hint="eastAsia" w:ascii="Times New Roman" w:hAnsi="Times New Roman" w:eastAsia="宋体" w:cs="Times New Roman"/>
          <w:i/>
          <w:iCs/>
          <w:sz w:val="21"/>
          <w:szCs w:val="21"/>
          <w:lang w:val="en-US" w:eastAsia="zh-CN"/>
        </w:rPr>
        <w:t>j</w:t>
      </w:r>
      <w:r>
        <w:rPr>
          <w:rFonts w:hint="eastAsia" w:ascii="Times New Roman" w:hAnsi="Times New Roman" w:eastAsia="宋体" w:cs="Times New Roman"/>
          <w:sz w:val="21"/>
          <w:szCs w:val="21"/>
          <w:lang w:val="en-US" w:eastAsia="zh-CN"/>
        </w:rPr>
        <w:t>种运输的分销比例，单位为百分比（%）。</w:t>
      </w:r>
    </w:p>
    <w:p w14:paraId="558630D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黑体" w:hAnsi="黑体" w:eastAsia="黑体" w:cs="黑体"/>
          <w:sz w:val="21"/>
          <w:szCs w:val="21"/>
          <w:lang w:val="en-US" w:eastAsia="zh-CN"/>
        </w:rPr>
      </w:pPr>
      <w:bookmarkStart w:id="33" w:name="_Toc23584"/>
      <w:r>
        <w:rPr>
          <w:rFonts w:hint="eastAsia" w:ascii="黑体" w:hAnsi="黑体" w:eastAsia="黑体" w:cs="黑体"/>
          <w:sz w:val="21"/>
          <w:szCs w:val="21"/>
          <w:lang w:val="en-US" w:eastAsia="zh-CN"/>
        </w:rPr>
        <w:t>7.5 生命末期阶段碳足迹</w:t>
      </w:r>
      <w:bookmarkEnd w:id="33"/>
    </w:p>
    <w:p w14:paraId="15D0627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生命末期阶段碳足迹按照公式（5）进行计算。</w:t>
      </w:r>
    </w:p>
    <w:p w14:paraId="3A16636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1684" w:leftChars="0" w:right="0" w:firstLine="421" w:firstLineChars="0"/>
        <w:jc w:val="left"/>
        <w:textAlignment w:val="baseline"/>
        <w:rPr>
          <w:rFonts w:hint="default" w:ascii="Times New Roman" w:hAnsi="Times New Roman" w:eastAsia="宋体" w:cs="Times New Roman"/>
          <w:sz w:val="21"/>
          <w:szCs w:val="21"/>
          <w:lang w:val="en-US" w:eastAsia="zh-CN"/>
        </w:rPr>
      </w:pPr>
      <m:oMath>
        <m:sSub>
          <m:sSubPr>
            <m:ctrlPr>
              <w:rPr>
                <w:rFonts w:hint="default" w:ascii="Cambria Math" w:hAnsi="Cambria Math" w:eastAsia="宋体" w:cs="Times New Roman"/>
                <w:b w:val="0"/>
                <w:i/>
                <w:iCs/>
                <w:kern w:val="0"/>
                <w:sz w:val="21"/>
                <w:szCs w:val="21"/>
                <w:lang w:val="en-US" w:eastAsia="zh-CN" w:bidi="ar"/>
              </w:rPr>
            </m:ctrlPr>
          </m:sSubPr>
          <m:e>
            <m:r>
              <m:rPr>
                <m:nor/>
              </m:rPr>
              <w:rPr>
                <w:rFonts w:hint="default" w:ascii="Times New Roman" w:hAnsi="Times New Roman" w:eastAsia="宋体" w:cs="Times New Roman"/>
                <w:b w:val="0"/>
                <w:i/>
                <w:iCs/>
                <w:kern w:val="0"/>
                <w:sz w:val="21"/>
                <w:szCs w:val="21"/>
                <w:lang w:val="en-US" w:eastAsia="zh-CN" w:bidi="ar"/>
              </w:rPr>
              <m:t>CFP</m:t>
            </m:r>
            <m:ctrlPr>
              <w:rPr>
                <w:rFonts w:hint="default" w:ascii="Cambria Math" w:hAnsi="Cambria Math" w:eastAsia="宋体" w:cs="Times New Roman"/>
                <w:b w:val="0"/>
                <w:i/>
                <w:iCs/>
                <w:kern w:val="0"/>
                <w:sz w:val="21"/>
                <w:szCs w:val="21"/>
                <w:lang w:val="en-US" w:eastAsia="zh-CN" w:bidi="ar"/>
              </w:rPr>
            </m:ctrlPr>
          </m:e>
          <m:sub>
            <m:r>
              <m:rPr>
                <m:nor/>
              </m:rPr>
              <w:rPr>
                <w:rFonts w:hint="default" w:ascii="Times New Roman" w:hAnsi="Times New Roman" w:eastAsia="宋体" w:cs="Times New Roman"/>
                <w:b w:val="0"/>
                <w:i/>
                <w:iCs/>
                <w:kern w:val="0"/>
                <w:sz w:val="21"/>
                <w:szCs w:val="21"/>
                <w:lang w:val="en-US" w:eastAsia="zh-CN" w:bidi="ar"/>
              </w:rPr>
              <m:t>D</m:t>
            </m:r>
            <m:ctrlPr>
              <w:rPr>
                <w:rFonts w:hint="default" w:ascii="Cambria Math" w:hAnsi="Cambria Math" w:eastAsia="宋体" w:cs="Times New Roman"/>
                <w:b w:val="0"/>
                <w:i/>
                <w:iCs/>
                <w:kern w:val="0"/>
                <w:sz w:val="21"/>
                <w:szCs w:val="21"/>
                <w:lang w:val="en-US" w:eastAsia="zh-CN" w:bidi="ar"/>
              </w:rPr>
            </m:ctrlPr>
          </m:sub>
        </m:sSub>
        <m:r>
          <m:rPr>
            <m:nor/>
            <m:sty m:val="p"/>
          </m:rPr>
          <w:rPr>
            <w:rFonts w:hint="default" w:ascii="Times New Roman" w:hAnsi="Times New Roman" w:eastAsia="宋体" w:cs="Times New Roman"/>
            <w:b w:val="0"/>
            <w:i w:val="0"/>
            <w:kern w:val="0"/>
            <w:sz w:val="21"/>
            <w:szCs w:val="21"/>
            <w:lang w:val="en-US" w:eastAsia="zh-CN" w:bidi="ar"/>
          </w:rPr>
          <m:t>=</m:t>
        </m:r>
        <m:f>
          <m:fPr>
            <m:ctrlPr>
              <w:rPr>
                <w:rFonts w:hint="default" w:ascii="Times New Roman" w:hAnsi="Times New Roman" w:eastAsia="宋体" w:cs="Times New Roman"/>
                <w:b w:val="0"/>
                <w:i w:val="0"/>
                <w:kern w:val="0"/>
                <w:sz w:val="21"/>
                <w:szCs w:val="21"/>
                <w:lang w:val="en-US" w:eastAsia="zh-CN" w:bidi="ar"/>
              </w:rPr>
            </m:ctrlPr>
          </m:fPr>
          <m:num>
            <m:r>
              <m:rPr>
                <m:nor/>
                <m:sty m:val="p"/>
              </m:rPr>
              <w:rPr>
                <w:rFonts w:hint="default" w:ascii="Times New Roman" w:hAnsi="Times New Roman" w:eastAsia="宋体" w:cs="Times New Roman"/>
                <w:b w:val="0"/>
                <w:i w:val="0"/>
                <w:kern w:val="0"/>
                <w:sz w:val="21"/>
                <w:szCs w:val="21"/>
                <w:lang w:val="en-US" w:eastAsia="zh-CN" w:bidi="ar"/>
              </w:rPr>
              <m:t>1</m:t>
            </m:r>
            <m:ctrlPr>
              <w:rPr>
                <w:rFonts w:hint="default" w:ascii="Times New Roman" w:hAnsi="Times New Roman" w:eastAsia="宋体" w:cs="Times New Roman"/>
                <w:b w:val="0"/>
                <w:i w:val="0"/>
                <w:kern w:val="0"/>
                <w:sz w:val="21"/>
                <w:szCs w:val="21"/>
                <w:lang w:val="en-US" w:eastAsia="zh-CN" w:bidi="ar"/>
              </w:rPr>
            </m:ctrlPr>
          </m:num>
          <m:den>
            <m:r>
              <m:rPr>
                <m:nor/>
              </m:rPr>
              <w:rPr>
                <w:rFonts w:hint="default" w:ascii="Times New Roman" w:hAnsi="Times New Roman" w:eastAsia="宋体" w:cs="Times New Roman"/>
                <w:b w:val="0"/>
                <w:i/>
                <w:iCs/>
                <w:kern w:val="0"/>
                <w:sz w:val="21"/>
                <w:szCs w:val="21"/>
                <w:lang w:val="en-US" w:eastAsia="zh-CN" w:bidi="ar"/>
              </w:rPr>
              <m:t>N</m:t>
            </m:r>
            <m:ctrlPr>
              <w:rPr>
                <w:rFonts w:hint="default" w:ascii="Times New Roman" w:hAnsi="Times New Roman" w:eastAsia="宋体" w:cs="Times New Roman"/>
                <w:b w:val="0"/>
                <w:i w:val="0"/>
                <w:kern w:val="0"/>
                <w:sz w:val="21"/>
                <w:szCs w:val="21"/>
                <w:lang w:val="en-US" w:eastAsia="zh-CN" w:bidi="ar"/>
              </w:rPr>
            </m:ctrlPr>
          </m:den>
        </m:f>
        <m:r>
          <m:rPr>
            <m:nor/>
            <m:sty m:val="p"/>
          </m:rPr>
          <w:rPr>
            <w:rFonts w:ascii="Cambria Math" w:hAnsi="Cambria Math" w:cs="Times New Roman"/>
            <w:b w:val="0"/>
            <w:i w:val="0"/>
            <w:kern w:val="0"/>
            <w:sz w:val="21"/>
            <w:szCs w:val="21"/>
            <w:lang w:val="en-US" w:bidi="ar"/>
          </w:rPr>
          <m:t>×</m:t>
        </m:r>
        <m:nary>
          <m:naryPr>
            <m:chr m:val="∑"/>
            <m:limLoc m:val="undOvr"/>
            <m:supHide m:val="1"/>
            <m:ctrlPr>
              <w:rPr>
                <w:rFonts w:hint="default" w:ascii="Cambria Math" w:hAnsi="Cambria Math" w:eastAsia="宋体" w:cs="Times New Roman"/>
                <w:b w:val="0"/>
                <w:i w:val="0"/>
                <w:kern w:val="0"/>
                <w:sz w:val="21"/>
                <w:szCs w:val="21"/>
                <w:lang w:val="en-US" w:eastAsia="zh-CN" w:bidi="ar"/>
              </w:rPr>
            </m:ctrlPr>
          </m:naryPr>
          <m:sub>
            <m:r>
              <m:rPr>
                <m:nor/>
              </m:rPr>
              <w:rPr>
                <w:rFonts w:hint="default" w:ascii="Times New Roman" w:hAnsi="Times New Roman" w:eastAsia="宋体" w:cs="Times New Roman"/>
                <w:b w:val="0"/>
                <w:i/>
                <w:iCs/>
                <w:kern w:val="0"/>
                <w:sz w:val="21"/>
                <w:szCs w:val="21"/>
                <w:lang w:val="en-US" w:eastAsia="zh-CN" w:bidi="ar"/>
              </w:rPr>
              <m:t>o</m:t>
            </m:r>
            <m:r>
              <m:rPr>
                <m:nor/>
                <m:sty m:val="p"/>
              </m:rPr>
              <w:rPr>
                <w:rFonts w:hint="default" w:ascii="Times New Roman" w:hAnsi="Times New Roman" w:eastAsia="宋体" w:cs="Times New Roman"/>
                <w:b w:val="0"/>
                <w:i w:val="0"/>
                <w:iCs/>
                <w:kern w:val="0"/>
                <w:sz w:val="21"/>
                <w:szCs w:val="21"/>
                <w:lang w:val="en-US" w:eastAsia="zh-CN" w:bidi="ar"/>
              </w:rPr>
              <m:t>,</m:t>
            </m:r>
            <m:r>
              <m:rPr>
                <m:nor/>
              </m:rPr>
              <w:rPr>
                <w:rFonts w:hint="default" w:ascii="Times New Roman" w:hAnsi="Times New Roman" w:eastAsia="宋体" w:cs="Times New Roman"/>
                <w:b w:val="0"/>
                <w:i/>
                <w:iCs w:val="0"/>
                <w:kern w:val="0"/>
                <w:sz w:val="21"/>
                <w:szCs w:val="21"/>
                <w:lang w:val="en-US" w:eastAsia="zh-CN" w:bidi="ar"/>
              </w:rPr>
              <m:t>j</m:t>
            </m:r>
            <m:ctrlPr>
              <w:rPr>
                <w:rFonts w:hint="default" w:ascii="Cambria Math" w:hAnsi="Cambria Math" w:eastAsia="宋体" w:cs="Times New Roman"/>
                <w:b w:val="0"/>
                <w:i w:val="0"/>
                <w:kern w:val="0"/>
                <w:sz w:val="21"/>
                <w:szCs w:val="21"/>
                <w:lang w:val="en-US" w:eastAsia="zh-CN" w:bidi="ar"/>
              </w:rPr>
            </m:ctrlPr>
          </m:sub>
          <m:sup>
            <m:ctrlPr>
              <w:rPr>
                <w:rFonts w:hint="default" w:ascii="Cambria Math" w:hAnsi="Cambria Math" w:eastAsia="宋体" w:cs="Times New Roman"/>
                <w:b w:val="0"/>
                <w:i w:val="0"/>
                <w:kern w:val="0"/>
                <w:sz w:val="21"/>
                <w:szCs w:val="21"/>
                <w:lang w:val="en-US" w:eastAsia="zh-CN" w:bidi="ar"/>
              </w:rPr>
            </m:ctrlPr>
          </m:sup>
          <m:e>
            <m:r>
              <m:rPr>
                <m:nor/>
                <m:sty m:val="p"/>
              </m:rPr>
              <w:rPr>
                <w:rFonts w:hint="default" w:ascii="Times New Roman" w:hAnsi="Times New Roman" w:eastAsia="宋体" w:cs="Times New Roman"/>
                <w:b w:val="0"/>
                <w:i w:val="0"/>
                <w:kern w:val="0"/>
                <w:sz w:val="21"/>
                <w:szCs w:val="21"/>
                <w:lang w:val="en-US" w:eastAsia="zh-CN" w:bidi="ar"/>
              </w:rPr>
              <m:t>(</m:t>
            </m:r>
            <m:sSub>
              <m:sSubPr>
                <m:ctrlPr>
                  <w:rPr>
                    <w:rFonts w:hint="default" w:ascii="Cambria Math" w:hAnsi="Cambria Math" w:eastAsia="宋体" w:cs="Times New Roman"/>
                    <w:b w:val="0"/>
                    <w:i w:val="0"/>
                    <w:kern w:val="0"/>
                    <w:sz w:val="21"/>
                    <w:szCs w:val="21"/>
                    <w:lang w:val="en-US" w:eastAsia="zh-CN" w:bidi="ar"/>
                  </w:rPr>
                </m:ctrlPr>
              </m:sSubPr>
              <m:e>
                <m:r>
                  <m:rPr>
                    <m:nor/>
                  </m:rPr>
                  <w:rPr>
                    <w:rFonts w:hint="default" w:ascii="Times New Roman" w:hAnsi="Times New Roman" w:eastAsia="宋体" w:cs="Times New Roman"/>
                    <w:b w:val="0"/>
                    <w:i/>
                    <w:iCs/>
                    <w:kern w:val="0"/>
                    <w:sz w:val="21"/>
                    <w:szCs w:val="21"/>
                    <w:lang w:val="en-US" w:eastAsia="zh-CN" w:bidi="ar"/>
                  </w:rPr>
                  <m:t>m</m:t>
                </m:r>
                <m:ctrlPr>
                  <w:rPr>
                    <w:rFonts w:hint="default" w:ascii="Cambria Math" w:hAnsi="Cambria Math" w:eastAsia="宋体" w:cs="Times New Roman"/>
                    <w:b w:val="0"/>
                    <w:i w:val="0"/>
                    <w:kern w:val="0"/>
                    <w:sz w:val="21"/>
                    <w:szCs w:val="21"/>
                    <w:lang w:val="en-US" w:eastAsia="zh-CN" w:bidi="ar"/>
                  </w:rPr>
                </m:ctrlPr>
              </m:e>
              <m:sub>
                <m:r>
                  <m:rPr>
                    <m:nor/>
                  </m:rPr>
                  <w:rPr>
                    <w:rFonts w:hint="default" w:ascii="Times New Roman" w:hAnsi="Times New Roman" w:eastAsia="宋体" w:cs="Times New Roman"/>
                    <w:b w:val="0"/>
                    <w:i/>
                    <w:iCs/>
                    <w:kern w:val="0"/>
                    <w:sz w:val="21"/>
                    <w:szCs w:val="21"/>
                    <w:lang w:val="en-US" w:eastAsia="zh-CN" w:bidi="ar"/>
                  </w:rPr>
                  <m:t>D</m:t>
                </m:r>
                <m:r>
                  <m:rPr>
                    <m:nor/>
                    <m:sty m:val="p"/>
                  </m:rPr>
                  <w:rPr>
                    <w:rFonts w:hint="default" w:ascii="Times New Roman" w:hAnsi="Times New Roman" w:eastAsia="宋体" w:cs="Times New Roman"/>
                    <w:b w:val="0"/>
                    <w:i w:val="0"/>
                    <w:iCs/>
                    <w:kern w:val="0"/>
                    <w:sz w:val="21"/>
                    <w:szCs w:val="21"/>
                    <w:lang w:val="en-US" w:eastAsia="zh-CN" w:bidi="ar"/>
                  </w:rPr>
                  <m:t>1,</m:t>
                </m:r>
                <m:r>
                  <m:rPr>
                    <m:nor/>
                  </m:rPr>
                  <w:rPr>
                    <w:rFonts w:hint="default" w:ascii="Times New Roman" w:hAnsi="Times New Roman" w:eastAsia="宋体" w:cs="Times New Roman"/>
                    <w:b w:val="0"/>
                    <w:i/>
                    <w:iCs w:val="0"/>
                    <w:kern w:val="0"/>
                    <w:sz w:val="21"/>
                    <w:szCs w:val="21"/>
                    <w:lang w:val="en-US" w:eastAsia="zh-CN" w:bidi="ar"/>
                  </w:rPr>
                  <m:t>o</m:t>
                </m:r>
                <m:ctrlPr>
                  <w:rPr>
                    <w:rFonts w:hint="default" w:ascii="Cambria Math" w:hAnsi="Cambria Math" w:eastAsia="宋体" w:cs="Times New Roman"/>
                    <w:b w:val="0"/>
                    <w:kern w:val="0"/>
                    <w:sz w:val="21"/>
                    <w:szCs w:val="21"/>
                    <w:lang w:val="en-US" w:eastAsia="zh-CN" w:bidi="ar"/>
                  </w:rPr>
                </m:ctrlPr>
              </m:sub>
            </m:sSub>
            <m:r>
              <m:rPr>
                <m:nor/>
                <m:sty m:val="p"/>
              </m:rPr>
              <w:rPr>
                <w:rFonts w:hint="default" w:ascii="Times New Roman" w:hAnsi="Times New Roman" w:cs="Times New Roman"/>
                <w:b w:val="0"/>
                <w:i w:val="0"/>
                <w:kern w:val="0"/>
                <w:sz w:val="21"/>
                <w:szCs w:val="21"/>
                <w:lang w:val="en-US" w:bidi="ar"/>
              </w:rPr>
              <m:t>×</m:t>
            </m:r>
            <m:sSub>
              <m:sSubPr>
                <m:ctrlPr>
                  <w:rPr>
                    <w:rFonts w:hint="default" w:ascii="Cambria Math" w:hAnsi="Cambria Math" w:cs="Times New Roman"/>
                    <w:kern w:val="0"/>
                    <w:sz w:val="21"/>
                    <w:szCs w:val="21"/>
                    <w:lang w:val="en-US" w:eastAsia="zh-CN" w:bidi="ar"/>
                  </w:rPr>
                </m:ctrlPr>
              </m:sSubPr>
              <m:e>
                <m:r>
                  <m:rPr>
                    <m:nor/>
                  </m:rPr>
                  <w:rPr>
                    <w:rFonts w:hint="default" w:ascii="Times New Roman" w:hAnsi="Times New Roman" w:cs="Times New Roman"/>
                    <w:i/>
                    <w:iCs/>
                    <w:kern w:val="0"/>
                    <w:sz w:val="21"/>
                    <w:szCs w:val="21"/>
                    <w:lang w:val="en-US" w:eastAsia="zh-CN" w:bidi="ar"/>
                  </w:rPr>
                  <m:t>D</m:t>
                </m:r>
                <m:ctrlPr>
                  <w:rPr>
                    <w:rFonts w:hint="default" w:ascii="Cambria Math" w:hAnsi="Cambria Math" w:cs="Times New Roman"/>
                    <w:kern w:val="0"/>
                    <w:sz w:val="21"/>
                    <w:szCs w:val="21"/>
                    <w:lang w:val="en-US" w:eastAsia="zh-CN" w:bidi="ar"/>
                  </w:rPr>
                </m:ctrlPr>
              </m:e>
              <m:sub>
                <m:r>
                  <m:rPr>
                    <m:nor/>
                  </m:rPr>
                  <w:rPr>
                    <w:rFonts w:hint="default" w:ascii="Times New Roman" w:hAnsi="Times New Roman" w:cs="Times New Roman"/>
                    <w:i/>
                    <w:iCs/>
                    <w:kern w:val="0"/>
                    <w:sz w:val="21"/>
                    <w:szCs w:val="21"/>
                    <w:lang w:val="en-US" w:eastAsia="zh-CN" w:bidi="ar"/>
                  </w:rPr>
                  <m:t>D</m:t>
                </m:r>
                <m:r>
                  <m:rPr>
                    <m:nor/>
                    <m:sty m:val="p"/>
                  </m:rPr>
                  <w:rPr>
                    <w:rFonts w:hint="default" w:ascii="Times New Roman" w:hAnsi="Times New Roman" w:cs="Times New Roman"/>
                    <w:b w:val="0"/>
                    <w:i w:val="0"/>
                    <w:iCs/>
                    <w:kern w:val="0"/>
                    <w:sz w:val="21"/>
                    <w:szCs w:val="21"/>
                    <w:lang w:val="en-US" w:eastAsia="zh-CN" w:bidi="ar"/>
                  </w:rPr>
                  <m:t>1</m:t>
                </m:r>
                <m:r>
                  <m:rPr>
                    <m:nor/>
                    <m:sty m:val="p"/>
                  </m:rPr>
                  <w:rPr>
                    <w:rFonts w:hint="default" w:ascii="Times New Roman" w:hAnsi="Times New Roman" w:cs="Times New Roman"/>
                    <w:b w:val="0"/>
                    <w:i w:val="0"/>
                    <w:kern w:val="0"/>
                    <w:sz w:val="21"/>
                    <w:szCs w:val="21"/>
                    <w:lang w:val="en-US" w:eastAsia="zh-CN" w:bidi="ar"/>
                  </w:rPr>
                  <m:t xml:space="preserve">, </m:t>
                </m:r>
                <m:r>
                  <m:rPr>
                    <m:nor/>
                  </m:rPr>
                  <w:rPr>
                    <w:rFonts w:hint="default" w:ascii="Times New Roman" w:hAnsi="Times New Roman" w:cs="Times New Roman"/>
                    <w:i/>
                    <w:iCs/>
                    <w:kern w:val="0"/>
                    <w:sz w:val="21"/>
                    <w:szCs w:val="21"/>
                    <w:lang w:val="en-US" w:eastAsia="zh-CN" w:bidi="ar"/>
                  </w:rPr>
                  <m:t>o</m:t>
                </m:r>
                <m:r>
                  <m:rPr>
                    <m:nor/>
                    <m:sty m:val="p"/>
                  </m:rPr>
                  <w:rPr>
                    <w:rFonts w:hint="default" w:ascii="Times New Roman" w:hAnsi="Times New Roman" w:cs="Times New Roman"/>
                    <w:b w:val="0"/>
                    <w:i w:val="0"/>
                    <w:iCs/>
                    <w:kern w:val="0"/>
                    <w:sz w:val="21"/>
                    <w:szCs w:val="21"/>
                    <w:lang w:val="en-US" w:eastAsia="zh-CN" w:bidi="ar"/>
                  </w:rPr>
                  <m:t xml:space="preserve">, </m:t>
                </m:r>
                <m:r>
                  <m:rPr>
                    <m:nor/>
                  </m:rPr>
                  <w:rPr>
                    <w:rFonts w:hint="default" w:ascii="Times New Roman" w:hAnsi="Times New Roman" w:cs="Times New Roman"/>
                    <w:i/>
                    <w:iCs w:val="0"/>
                    <w:kern w:val="0"/>
                    <w:sz w:val="21"/>
                    <w:szCs w:val="21"/>
                    <w:lang w:val="en-US" w:eastAsia="zh-CN" w:bidi="ar"/>
                  </w:rPr>
                  <m:t>j</m:t>
                </m:r>
                <m:ctrlPr>
                  <w:rPr>
                    <w:rFonts w:hint="default" w:ascii="Cambria Math" w:hAnsi="Cambria Math" w:cs="Times New Roman"/>
                    <w:kern w:val="0"/>
                    <w:sz w:val="21"/>
                    <w:szCs w:val="21"/>
                    <w:lang w:val="en-US" w:eastAsia="zh-CN" w:bidi="ar"/>
                  </w:rPr>
                </m:ctrlPr>
              </m:sub>
            </m:sSub>
            <m:r>
              <m:rPr>
                <m:nor/>
                <m:sty m:val="p"/>
              </m:rPr>
              <w:rPr>
                <w:rFonts w:hint="default" w:ascii="Times New Roman" w:hAnsi="Times New Roman" w:cs="Times New Roman"/>
                <w:b w:val="0"/>
                <w:i w:val="0"/>
                <w:kern w:val="0"/>
                <w:sz w:val="21"/>
                <w:szCs w:val="21"/>
                <w:lang w:val="en-US" w:bidi="ar"/>
              </w:rPr>
              <m:t>×</m:t>
            </m:r>
            <m:sSub>
              <m:sSubPr>
                <m:ctrlPr>
                  <w:rPr>
                    <w:rFonts w:hint="default" w:ascii="Cambria Math" w:hAnsi="Cambria Math" w:cs="Times New Roman"/>
                    <w:kern w:val="0"/>
                    <w:sz w:val="21"/>
                    <w:szCs w:val="21"/>
                    <w:lang w:val="en-US" w:eastAsia="zh-CN" w:bidi="ar"/>
                  </w:rPr>
                </m:ctrlPr>
              </m:sSubPr>
              <m:e>
                <m:r>
                  <m:rPr>
                    <m:nor/>
                  </m:rPr>
                  <w:rPr>
                    <w:rFonts w:hint="default" w:ascii="Cambria Math" w:hAnsi="Cambria Math" w:cs="Times New Roman"/>
                    <w:i/>
                    <w:kern w:val="0"/>
                    <w:sz w:val="21"/>
                    <w:szCs w:val="21"/>
                    <w:lang w:val="en-US" w:eastAsia="zh-CN" w:bidi="ar"/>
                  </w:rPr>
                  <m:t>T</m:t>
                </m:r>
                <m:r>
                  <m:rPr>
                    <m:nor/>
                  </m:rPr>
                  <w:rPr>
                    <w:rFonts w:hint="default" w:ascii="Times New Roman" w:hAnsi="Times New Roman" w:cs="Times New Roman"/>
                    <w:i/>
                    <w:iCs/>
                    <w:kern w:val="0"/>
                    <w:sz w:val="21"/>
                    <w:szCs w:val="21"/>
                    <w:lang w:val="en-US" w:eastAsia="zh-CN" w:bidi="ar"/>
                  </w:rPr>
                  <m:t>EF</m:t>
                </m:r>
                <m:ctrlPr>
                  <w:rPr>
                    <w:rFonts w:hint="default" w:ascii="Cambria Math" w:hAnsi="Cambria Math" w:cs="Times New Roman"/>
                    <w:kern w:val="0"/>
                    <w:sz w:val="21"/>
                    <w:szCs w:val="21"/>
                    <w:lang w:val="en-US" w:eastAsia="zh-CN" w:bidi="ar"/>
                  </w:rPr>
                </m:ctrlPr>
              </m:e>
              <m:sub>
                <m:r>
                  <m:rPr>
                    <m:nor/>
                  </m:rPr>
                  <w:rPr>
                    <w:rFonts w:hint="default" w:ascii="Times New Roman" w:hAnsi="Times New Roman" w:cs="Times New Roman"/>
                    <w:i/>
                    <w:iCs/>
                    <w:kern w:val="0"/>
                    <w:sz w:val="21"/>
                    <w:szCs w:val="21"/>
                    <w:lang w:val="en-US" w:eastAsia="zh-CN" w:bidi="ar"/>
                  </w:rPr>
                  <m:t>D</m:t>
                </m:r>
                <m:r>
                  <m:rPr>
                    <m:nor/>
                    <m:sty m:val="p"/>
                  </m:rPr>
                  <w:rPr>
                    <w:rFonts w:hint="default" w:ascii="Times New Roman" w:hAnsi="Times New Roman" w:cs="Times New Roman"/>
                    <w:b w:val="0"/>
                    <w:i w:val="0"/>
                    <w:iCs/>
                    <w:kern w:val="0"/>
                    <w:sz w:val="21"/>
                    <w:szCs w:val="21"/>
                    <w:lang w:val="en-US" w:eastAsia="zh-CN" w:bidi="ar"/>
                  </w:rPr>
                  <m:t>1</m:t>
                </m:r>
                <m:r>
                  <m:rPr>
                    <m:nor/>
                    <m:sty m:val="p"/>
                  </m:rPr>
                  <w:rPr>
                    <w:rFonts w:hint="default" w:ascii="Times New Roman" w:hAnsi="Times New Roman" w:cs="Times New Roman"/>
                    <w:b w:val="0"/>
                    <w:i w:val="0"/>
                    <w:kern w:val="0"/>
                    <w:sz w:val="21"/>
                    <w:szCs w:val="21"/>
                    <w:lang w:val="en-US" w:eastAsia="zh-CN" w:bidi="ar"/>
                  </w:rPr>
                  <m:t xml:space="preserve">, </m:t>
                </m:r>
                <m:r>
                  <m:rPr>
                    <m:nor/>
                  </m:rPr>
                  <w:rPr>
                    <w:rFonts w:hint="default" w:ascii="Times New Roman" w:hAnsi="Times New Roman" w:cs="Times New Roman"/>
                    <w:i/>
                    <w:iCs/>
                    <w:kern w:val="0"/>
                    <w:sz w:val="21"/>
                    <w:szCs w:val="21"/>
                    <w:lang w:val="en-US" w:eastAsia="zh-CN" w:bidi="ar"/>
                  </w:rPr>
                  <m:t>o</m:t>
                </m:r>
                <m:r>
                  <m:rPr>
                    <m:nor/>
                    <m:sty m:val="p"/>
                  </m:rPr>
                  <w:rPr>
                    <w:rFonts w:hint="default" w:ascii="Times New Roman" w:hAnsi="Times New Roman" w:cs="Times New Roman"/>
                    <w:b w:val="0"/>
                    <w:i w:val="0"/>
                    <w:iCs/>
                    <w:kern w:val="0"/>
                    <w:sz w:val="21"/>
                    <w:szCs w:val="21"/>
                    <w:lang w:val="en-US" w:eastAsia="zh-CN" w:bidi="ar"/>
                  </w:rPr>
                  <m:t xml:space="preserve">, </m:t>
                </m:r>
                <m:r>
                  <m:rPr>
                    <m:nor/>
                  </m:rPr>
                  <w:rPr>
                    <w:rFonts w:hint="default" w:ascii="Times New Roman" w:hAnsi="Times New Roman" w:cs="Times New Roman"/>
                    <w:i/>
                    <w:iCs w:val="0"/>
                    <w:kern w:val="0"/>
                    <w:sz w:val="21"/>
                    <w:szCs w:val="21"/>
                    <w:lang w:val="en-US" w:eastAsia="zh-CN" w:bidi="ar"/>
                  </w:rPr>
                  <m:t>j</m:t>
                </m:r>
                <m:ctrlPr>
                  <w:rPr>
                    <w:rFonts w:hint="default" w:ascii="Cambria Math" w:hAnsi="Cambria Math" w:cs="Times New Roman"/>
                    <w:kern w:val="0"/>
                    <w:sz w:val="21"/>
                    <w:szCs w:val="21"/>
                    <w:lang w:val="en-US" w:eastAsia="zh-CN" w:bidi="ar"/>
                  </w:rPr>
                </m:ctrlPr>
              </m:sub>
            </m:sSub>
            <m:r>
              <m:rPr>
                <m:nor/>
                <m:sty m:val="p"/>
              </m:rPr>
              <w:rPr>
                <w:rFonts w:hint="default" w:ascii="Times New Roman" w:hAnsi="Times New Roman" w:cs="Times New Roman"/>
                <w:b w:val="0"/>
                <w:i w:val="0"/>
                <w:kern w:val="0"/>
                <w:sz w:val="21"/>
                <w:szCs w:val="21"/>
                <w:lang w:val="en-US" w:eastAsia="zh-CN" w:bidi="ar"/>
              </w:rPr>
              <m:t>)+</m:t>
            </m:r>
            <m:nary>
              <m:naryPr>
                <m:chr m:val="∑"/>
                <m:limLoc m:val="undOvr"/>
                <m:supHide m:val="1"/>
                <m:ctrlPr>
                  <w:rPr>
                    <w:rFonts w:hint="default" w:ascii="Cambria Math" w:hAnsi="Cambria Math" w:cs="Times New Roman"/>
                    <w:kern w:val="0"/>
                    <w:sz w:val="21"/>
                    <w:szCs w:val="21"/>
                    <w:lang w:val="en-US" w:eastAsia="zh-CN" w:bidi="ar"/>
                  </w:rPr>
                </m:ctrlPr>
              </m:naryPr>
              <m:sub>
                <m:r>
                  <m:rPr>
                    <m:nor/>
                  </m:rPr>
                  <w:rPr>
                    <w:rFonts w:hint="default" w:ascii="Times New Roman" w:hAnsi="Times New Roman" w:cs="Times New Roman"/>
                    <w:i/>
                    <w:iCs/>
                    <w:kern w:val="0"/>
                    <w:sz w:val="21"/>
                    <w:szCs w:val="21"/>
                    <w:lang w:val="en-US" w:eastAsia="zh-CN" w:bidi="ar"/>
                  </w:rPr>
                  <m:t>o</m:t>
                </m:r>
                <m:ctrlPr>
                  <w:rPr>
                    <w:rFonts w:hint="default" w:ascii="Cambria Math" w:hAnsi="Cambria Math" w:cs="Times New Roman"/>
                    <w:kern w:val="0"/>
                    <w:sz w:val="21"/>
                    <w:szCs w:val="21"/>
                    <w:lang w:val="en-US" w:eastAsia="zh-CN" w:bidi="ar"/>
                  </w:rPr>
                </m:ctrlPr>
              </m:sub>
              <m:sup>
                <m:ctrlPr>
                  <w:rPr>
                    <w:rFonts w:hint="default" w:ascii="Cambria Math" w:hAnsi="Cambria Math" w:cs="Times New Roman"/>
                    <w:kern w:val="0"/>
                    <w:sz w:val="21"/>
                    <w:szCs w:val="21"/>
                    <w:lang w:val="en-US" w:eastAsia="zh-CN" w:bidi="ar"/>
                  </w:rPr>
                </m:ctrlPr>
              </m:sup>
              <m:e>
                <m:r>
                  <m:rPr>
                    <m:nor/>
                    <m:sty m:val="p"/>
                  </m:rPr>
                  <w:rPr>
                    <w:rFonts w:hint="default" w:ascii="Times New Roman" w:hAnsi="Times New Roman" w:cs="Times New Roman"/>
                    <w:b w:val="0"/>
                    <w:i w:val="0"/>
                    <w:kern w:val="0"/>
                    <w:sz w:val="21"/>
                    <w:szCs w:val="21"/>
                    <w:lang w:val="en-US" w:eastAsia="zh-CN" w:bidi="ar"/>
                  </w:rPr>
                  <m:t>(</m:t>
                </m:r>
                <m:sSub>
                  <m:sSubPr>
                    <m:ctrlPr>
                      <w:rPr>
                        <w:rFonts w:hint="default" w:ascii="Cambria Math" w:hAnsi="Cambria Math" w:cs="Times New Roman"/>
                        <w:i/>
                        <w:iCs/>
                        <w:kern w:val="0"/>
                        <w:sz w:val="21"/>
                        <w:szCs w:val="21"/>
                        <w:lang w:val="en-US" w:eastAsia="zh-CN" w:bidi="ar"/>
                      </w:rPr>
                    </m:ctrlPr>
                  </m:sSubPr>
                  <m:e>
                    <m:r>
                      <m:rPr>
                        <m:nor/>
                      </m:rPr>
                      <w:rPr>
                        <w:rFonts w:hint="default" w:ascii="Times New Roman" w:hAnsi="Times New Roman" w:cs="Times New Roman"/>
                        <w:i/>
                        <w:iCs/>
                        <w:kern w:val="0"/>
                        <w:sz w:val="21"/>
                        <w:szCs w:val="21"/>
                        <w:lang w:val="en-US" w:eastAsia="zh-CN" w:bidi="ar"/>
                      </w:rPr>
                      <m:t>m</m:t>
                    </m:r>
                    <m:ctrlPr>
                      <w:rPr>
                        <w:rFonts w:hint="default" w:ascii="Cambria Math" w:hAnsi="Cambria Math" w:cs="Times New Roman"/>
                        <w:i/>
                        <w:iCs/>
                        <w:kern w:val="0"/>
                        <w:sz w:val="21"/>
                        <w:szCs w:val="21"/>
                        <w:lang w:val="en-US" w:eastAsia="zh-CN" w:bidi="ar"/>
                      </w:rPr>
                    </m:ctrlPr>
                  </m:e>
                  <m:sub>
                    <m:r>
                      <m:rPr>
                        <m:nor/>
                      </m:rPr>
                      <w:rPr>
                        <w:rFonts w:hint="default" w:ascii="Times New Roman" w:hAnsi="Times New Roman" w:cs="Times New Roman"/>
                        <w:i/>
                        <w:iCs/>
                        <w:kern w:val="0"/>
                        <w:sz w:val="21"/>
                        <w:szCs w:val="21"/>
                        <w:lang w:val="en-US" w:eastAsia="zh-CN" w:bidi="ar"/>
                      </w:rPr>
                      <m:t>D</m:t>
                    </m:r>
                    <m:r>
                      <m:rPr>
                        <m:nor/>
                        <m:sty m:val="p"/>
                      </m:rPr>
                      <w:rPr>
                        <w:rFonts w:hint="default" w:ascii="Times New Roman" w:hAnsi="Times New Roman" w:cs="Times New Roman"/>
                        <w:b w:val="0"/>
                        <w:i w:val="0"/>
                        <w:iCs w:val="0"/>
                        <w:kern w:val="0"/>
                        <w:sz w:val="21"/>
                        <w:szCs w:val="21"/>
                        <w:lang w:val="en-US" w:eastAsia="zh-CN" w:bidi="ar"/>
                      </w:rPr>
                      <m:t>2</m:t>
                    </m:r>
                    <m:ctrlPr>
                      <w:rPr>
                        <w:rFonts w:hint="default" w:ascii="Cambria Math" w:hAnsi="Cambria Math" w:cs="Times New Roman"/>
                        <w:i/>
                        <w:iCs/>
                        <w:kern w:val="0"/>
                        <w:sz w:val="21"/>
                        <w:szCs w:val="21"/>
                        <w:lang w:val="en-US" w:eastAsia="zh-CN" w:bidi="ar"/>
                      </w:rPr>
                    </m:ctrlPr>
                  </m:sub>
                </m:sSub>
                <m:ctrlPr>
                  <w:rPr>
                    <w:rFonts w:hint="default" w:ascii="Cambria Math" w:hAnsi="Cambria Math" w:cs="Times New Roman"/>
                    <w:kern w:val="0"/>
                    <w:sz w:val="21"/>
                    <w:szCs w:val="21"/>
                    <w:lang w:val="en-US" w:eastAsia="zh-CN" w:bidi="ar"/>
                  </w:rPr>
                </m:ctrlPr>
              </m:e>
            </m:nary>
            <m:ctrlPr>
              <w:rPr>
                <w:rFonts w:hint="default" w:ascii="Cambria Math" w:hAnsi="Cambria Math" w:eastAsia="宋体" w:cs="Times New Roman"/>
                <w:b w:val="0"/>
                <w:i w:val="0"/>
                <w:kern w:val="0"/>
                <w:sz w:val="21"/>
                <w:szCs w:val="21"/>
                <w:lang w:val="en-US" w:eastAsia="zh-CN" w:bidi="ar"/>
              </w:rPr>
            </m:ctrlPr>
          </m:e>
        </m:nary>
        <m:r>
          <m:rPr>
            <m:nor/>
            <m:sty m:val="p"/>
          </m:rPr>
          <w:rPr>
            <w:rFonts w:hint="default" w:ascii="Times New Roman" w:hAnsi="Times New Roman" w:eastAsia="宋体" w:cs="Times New Roman"/>
            <w:b w:val="0"/>
            <w:i w:val="0"/>
            <w:kern w:val="0"/>
            <w:sz w:val="21"/>
            <w:szCs w:val="21"/>
            <w:lang w:val="en-US" w:eastAsia="zh-CN" w:bidi="ar"/>
          </w:rPr>
          <m:t>×</m:t>
        </m:r>
        <m:sSub>
          <m:sSubPr>
            <m:ctrlPr>
              <w:rPr>
                <w:rFonts w:hint="default" w:ascii="Times New Roman" w:hAnsi="Times New Roman" w:eastAsia="宋体" w:cs="Times New Roman"/>
                <w:b w:val="0"/>
                <w:i w:val="0"/>
                <w:kern w:val="0"/>
                <w:sz w:val="21"/>
                <w:szCs w:val="21"/>
                <w:lang w:val="en-US" w:eastAsia="zh-CN" w:bidi="ar"/>
              </w:rPr>
            </m:ctrlPr>
          </m:sSubPr>
          <m:e>
            <m:r>
              <m:rPr>
                <m:nor/>
              </m:rPr>
              <w:rPr>
                <w:rFonts w:hint="default" w:ascii="Times New Roman" w:hAnsi="Times New Roman" w:eastAsia="宋体" w:cs="Times New Roman"/>
                <w:b w:val="0"/>
                <w:i/>
                <w:iCs/>
                <w:kern w:val="0"/>
                <w:sz w:val="21"/>
                <w:szCs w:val="21"/>
                <w:lang w:val="en-US" w:eastAsia="zh-CN" w:bidi="ar"/>
              </w:rPr>
              <m:t>CEF</m:t>
            </m:r>
            <m:ctrlPr>
              <w:rPr>
                <w:rFonts w:hint="default" w:ascii="Times New Roman" w:hAnsi="Times New Roman" w:eastAsia="宋体" w:cs="Times New Roman"/>
                <w:b w:val="0"/>
                <w:i w:val="0"/>
                <w:kern w:val="0"/>
                <w:sz w:val="21"/>
                <w:szCs w:val="21"/>
                <w:lang w:val="en-US" w:eastAsia="zh-CN" w:bidi="ar"/>
              </w:rPr>
            </m:ctrlPr>
          </m:e>
          <m:sub>
            <m:r>
              <m:rPr>
                <m:nor/>
              </m:rPr>
              <w:rPr>
                <w:rFonts w:hint="default" w:ascii="Times New Roman" w:hAnsi="Times New Roman" w:eastAsia="宋体" w:cs="Times New Roman"/>
                <w:b w:val="0"/>
                <w:i/>
                <w:iCs/>
                <w:kern w:val="0"/>
                <w:sz w:val="21"/>
                <w:szCs w:val="21"/>
                <w:lang w:val="en-US" w:eastAsia="zh-CN" w:bidi="ar"/>
              </w:rPr>
              <m:t>D</m:t>
            </m:r>
            <m:r>
              <m:rPr>
                <m:nor/>
                <m:sty m:val="p"/>
              </m:rPr>
              <w:rPr>
                <w:rFonts w:hint="default" w:ascii="Times New Roman" w:hAnsi="Times New Roman" w:eastAsia="宋体" w:cs="Times New Roman"/>
                <w:b w:val="0"/>
                <w:i w:val="0"/>
                <w:iCs w:val="0"/>
                <w:kern w:val="0"/>
                <w:sz w:val="21"/>
                <w:szCs w:val="21"/>
                <w:lang w:val="en-US" w:eastAsia="zh-CN" w:bidi="ar"/>
              </w:rPr>
              <m:t>2</m:t>
            </m:r>
            <m:r>
              <m:rPr>
                <m:nor/>
                <m:sty m:val="p"/>
              </m:rPr>
              <w:rPr>
                <w:rFonts w:hint="default" w:ascii="Times New Roman" w:hAnsi="Times New Roman" w:eastAsia="宋体" w:cs="Times New Roman"/>
                <w:b w:val="0"/>
                <w:i w:val="0"/>
                <w:kern w:val="0"/>
                <w:sz w:val="21"/>
                <w:szCs w:val="21"/>
                <w:lang w:val="en-US" w:eastAsia="zh-CN" w:bidi="ar"/>
              </w:rPr>
              <m:t>,</m:t>
            </m:r>
            <m:r>
              <m:rPr>
                <m:nor/>
              </m:rPr>
              <w:rPr>
                <w:rFonts w:hint="default" w:ascii="Times New Roman" w:hAnsi="Times New Roman" w:eastAsia="宋体" w:cs="Times New Roman"/>
                <w:b w:val="0"/>
                <w:i/>
                <w:iCs/>
                <w:kern w:val="0"/>
                <w:sz w:val="21"/>
                <w:szCs w:val="21"/>
                <w:lang w:val="en-US" w:eastAsia="zh-CN" w:bidi="ar"/>
              </w:rPr>
              <m:t>o</m:t>
            </m:r>
            <m:ctrlPr>
              <w:rPr>
                <w:rFonts w:hint="default" w:ascii="Times New Roman" w:hAnsi="Times New Roman" w:eastAsia="宋体" w:cs="Times New Roman"/>
                <w:b w:val="0"/>
                <w:i w:val="0"/>
                <w:kern w:val="0"/>
                <w:sz w:val="21"/>
                <w:szCs w:val="21"/>
                <w:lang w:val="en-US" w:eastAsia="zh-CN" w:bidi="ar"/>
              </w:rPr>
            </m:ctrlPr>
          </m:sub>
        </m:sSub>
        <m:r>
          <m:rPr>
            <m:nor/>
            <m:sty m:val="p"/>
          </m:rPr>
          <w:rPr>
            <w:rFonts w:hint="default" w:ascii="Times New Roman" w:hAnsi="Times New Roman" w:eastAsia="宋体" w:cs="Times New Roman"/>
            <w:b w:val="0"/>
            <w:i w:val="0"/>
            <w:kern w:val="0"/>
            <w:sz w:val="21"/>
            <w:szCs w:val="21"/>
            <w:lang w:val="en-US" w:eastAsia="zh-CN" w:bidi="ar"/>
          </w:rPr>
          <m:t>)</m:t>
        </m:r>
      </m:oMath>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eastAsia" w:hAnsi="Cambria Math" w:eastAsia="宋体" w:cs="Times New Roman"/>
          <w:i w:val="0"/>
          <w:iCs/>
          <w:kern w:val="0"/>
          <w:sz w:val="21"/>
          <w:szCs w:val="21"/>
          <w:lang w:val="en-US" w:eastAsia="zh-CN" w:bidi="ar"/>
        </w:rPr>
        <w:tab/>
      </w:r>
      <w:r>
        <w:rPr>
          <w:rFonts w:hint="default" w:ascii="Times New Roman" w:hAnsi="Times New Roman" w:eastAsia="宋体" w:cs="Times New Roman"/>
          <w:i w:val="0"/>
          <w:iCs/>
          <w:kern w:val="0"/>
          <w:sz w:val="21"/>
          <w:szCs w:val="21"/>
          <w:lang w:val="en-US" w:eastAsia="zh-CN" w:bidi="ar"/>
        </w:rPr>
        <w:t>（</w:t>
      </w:r>
      <w:r>
        <w:rPr>
          <w:rFonts w:hint="eastAsia" w:ascii="Times New Roman" w:hAnsi="Times New Roman" w:eastAsia="宋体" w:cs="Times New Roman"/>
          <w:i w:val="0"/>
          <w:iCs/>
          <w:kern w:val="0"/>
          <w:sz w:val="21"/>
          <w:szCs w:val="21"/>
          <w:lang w:val="en-US" w:eastAsia="zh-CN" w:bidi="ar"/>
        </w:rPr>
        <w:t>5</w:t>
      </w:r>
      <w:r>
        <w:rPr>
          <w:rFonts w:hint="default" w:ascii="Times New Roman" w:hAnsi="Times New Roman" w:eastAsia="宋体" w:cs="Times New Roman"/>
          <w:i w:val="0"/>
          <w:iCs/>
          <w:kern w:val="0"/>
          <w:sz w:val="21"/>
          <w:szCs w:val="21"/>
          <w:lang w:val="en-US" w:eastAsia="zh-CN" w:bidi="ar"/>
        </w:rPr>
        <w:t>）</w:t>
      </w:r>
    </w:p>
    <w:p w14:paraId="05F20B3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式中：</w:t>
      </w:r>
    </w:p>
    <w:p w14:paraId="2F0553F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N</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数据搜集时间范围内软饮料产品的数量，单位根据软饮料产品确定；</w:t>
      </w:r>
    </w:p>
    <w:p w14:paraId="626C08E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m</w:t>
      </w:r>
      <w:r>
        <w:rPr>
          <w:rFonts w:hint="eastAsia" w:ascii="Times New Roman" w:hAnsi="Times New Roman" w:eastAsia="宋体" w:cs="Times New Roman"/>
          <w:i/>
          <w:iCs/>
          <w:sz w:val="21"/>
          <w:szCs w:val="21"/>
          <w:vertAlign w:val="subscript"/>
          <w:lang w:val="en-US" w:eastAsia="zh-CN"/>
        </w:rPr>
        <w:t>D</w:t>
      </w:r>
      <w:r>
        <w:rPr>
          <w:rFonts w:hint="eastAsia" w:ascii="Times New Roman" w:hAnsi="Times New Roman" w:eastAsia="宋体" w:cs="Times New Roman"/>
          <w:i w:val="0"/>
          <w:iCs w:val="0"/>
          <w:sz w:val="21"/>
          <w:szCs w:val="21"/>
          <w:vertAlign w:val="subscript"/>
          <w:lang w:val="en-US" w:eastAsia="zh-CN"/>
        </w:rPr>
        <w:t>1</w:t>
      </w:r>
      <w:r>
        <w:rPr>
          <w:rFonts w:hint="eastAsia" w:ascii="Times New Roman" w:hAnsi="Times New Roman" w:eastAsia="宋体" w:cs="Times New Roman"/>
          <w:i/>
          <w:iCs/>
          <w:sz w:val="21"/>
          <w:szCs w:val="21"/>
          <w:vertAlign w:val="subscript"/>
          <w:lang w:val="en-US" w:eastAsia="zh-CN"/>
        </w:rPr>
        <w:t>,o</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软饮料产品废弃包装采取第</w:t>
      </w:r>
      <w:r>
        <w:rPr>
          <w:rFonts w:hint="eastAsia" w:ascii="Times New Roman" w:hAnsi="Times New Roman" w:eastAsia="宋体" w:cs="Times New Roman"/>
          <w:i/>
          <w:iCs/>
          <w:sz w:val="21"/>
          <w:szCs w:val="21"/>
          <w:lang w:val="en-US" w:eastAsia="zh-CN"/>
        </w:rPr>
        <w:t>o</w:t>
      </w:r>
      <w:r>
        <w:rPr>
          <w:rFonts w:hint="eastAsia" w:ascii="Times New Roman" w:hAnsi="Times New Roman" w:eastAsia="宋体" w:cs="Times New Roman"/>
          <w:sz w:val="21"/>
          <w:szCs w:val="21"/>
          <w:lang w:val="en-US" w:eastAsia="zh-CN"/>
        </w:rPr>
        <w:t>种处置方式的运输量，单位为吨（t）；</w:t>
      </w:r>
    </w:p>
    <w:p w14:paraId="62F6CAB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D</w:t>
      </w:r>
      <w:r>
        <w:rPr>
          <w:rFonts w:hint="eastAsia" w:ascii="Times New Roman" w:hAnsi="Times New Roman" w:eastAsia="宋体" w:cs="Times New Roman"/>
          <w:i/>
          <w:iCs/>
          <w:sz w:val="21"/>
          <w:szCs w:val="21"/>
          <w:vertAlign w:val="subscript"/>
          <w:lang w:val="en-US" w:eastAsia="zh-CN"/>
        </w:rPr>
        <w:t>D</w:t>
      </w:r>
      <w:r>
        <w:rPr>
          <w:rFonts w:hint="eastAsia" w:ascii="Times New Roman" w:hAnsi="Times New Roman" w:eastAsia="宋体" w:cs="Times New Roman"/>
          <w:i w:val="0"/>
          <w:iCs w:val="0"/>
          <w:sz w:val="21"/>
          <w:szCs w:val="21"/>
          <w:vertAlign w:val="subscript"/>
          <w:lang w:val="en-US" w:eastAsia="zh-CN"/>
        </w:rPr>
        <w:t>1</w:t>
      </w:r>
      <w:r>
        <w:rPr>
          <w:rFonts w:hint="eastAsia" w:ascii="Times New Roman" w:hAnsi="Times New Roman" w:eastAsia="宋体" w:cs="Times New Roman"/>
          <w:i/>
          <w:iCs/>
          <w:sz w:val="21"/>
          <w:szCs w:val="21"/>
          <w:vertAlign w:val="subscript"/>
          <w:lang w:val="en-US" w:eastAsia="zh-CN"/>
        </w:rPr>
        <w:t>,o,j</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软饮料产品废弃包装采取第</w:t>
      </w:r>
      <w:r>
        <w:rPr>
          <w:rFonts w:hint="eastAsia" w:ascii="Times New Roman" w:hAnsi="Times New Roman" w:eastAsia="宋体" w:cs="Times New Roman"/>
          <w:i/>
          <w:iCs/>
          <w:sz w:val="21"/>
          <w:szCs w:val="21"/>
          <w:lang w:val="en-US" w:eastAsia="zh-CN"/>
        </w:rPr>
        <w:t>o</w:t>
      </w:r>
      <w:r>
        <w:rPr>
          <w:rFonts w:hint="eastAsia" w:ascii="Times New Roman" w:hAnsi="Times New Roman" w:eastAsia="宋体" w:cs="Times New Roman"/>
          <w:sz w:val="21"/>
          <w:szCs w:val="21"/>
          <w:lang w:val="en-US" w:eastAsia="zh-CN"/>
        </w:rPr>
        <w:t>种处置方式第</w:t>
      </w:r>
      <w:r>
        <w:rPr>
          <w:rFonts w:hint="eastAsia" w:ascii="Times New Roman" w:hAnsi="Times New Roman" w:eastAsia="宋体" w:cs="Times New Roman"/>
          <w:i/>
          <w:iCs/>
          <w:sz w:val="21"/>
          <w:szCs w:val="21"/>
          <w:lang w:val="en-US" w:eastAsia="zh-CN"/>
        </w:rPr>
        <w:t>j</w:t>
      </w:r>
      <w:r>
        <w:rPr>
          <w:rFonts w:hint="eastAsia" w:ascii="Times New Roman" w:hAnsi="Times New Roman" w:eastAsia="宋体" w:cs="Times New Roman"/>
          <w:sz w:val="21"/>
          <w:szCs w:val="21"/>
          <w:lang w:val="en-US" w:eastAsia="zh-CN"/>
        </w:rPr>
        <w:t>类运输方式的运输距离，单位为千米（km）；</w:t>
      </w:r>
    </w:p>
    <w:p w14:paraId="001C518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TEF</w:t>
      </w:r>
      <w:r>
        <w:rPr>
          <w:rFonts w:hint="eastAsia" w:ascii="Times New Roman" w:hAnsi="Times New Roman" w:eastAsia="宋体" w:cs="Times New Roman"/>
          <w:i/>
          <w:iCs/>
          <w:sz w:val="21"/>
          <w:szCs w:val="21"/>
          <w:vertAlign w:val="subscript"/>
          <w:lang w:val="en-US" w:eastAsia="zh-CN"/>
        </w:rPr>
        <w:t>D</w:t>
      </w:r>
      <w:r>
        <w:rPr>
          <w:rFonts w:hint="eastAsia" w:ascii="Times New Roman" w:hAnsi="Times New Roman" w:eastAsia="宋体" w:cs="Times New Roman"/>
          <w:i w:val="0"/>
          <w:iCs w:val="0"/>
          <w:sz w:val="21"/>
          <w:szCs w:val="21"/>
          <w:vertAlign w:val="subscript"/>
          <w:lang w:val="en-US" w:eastAsia="zh-CN"/>
        </w:rPr>
        <w:t>1</w:t>
      </w:r>
      <w:r>
        <w:rPr>
          <w:rFonts w:hint="eastAsia" w:ascii="Times New Roman" w:hAnsi="Times New Roman" w:eastAsia="宋体" w:cs="Times New Roman"/>
          <w:i/>
          <w:iCs/>
          <w:sz w:val="21"/>
          <w:szCs w:val="21"/>
          <w:vertAlign w:val="subscript"/>
          <w:lang w:val="en-US" w:eastAsia="zh-CN"/>
        </w:rPr>
        <w:t>,o,j</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软饮料产品废弃包装采取第</w:t>
      </w:r>
      <w:r>
        <w:rPr>
          <w:rFonts w:hint="eastAsia" w:ascii="Times New Roman" w:hAnsi="Times New Roman" w:eastAsia="宋体" w:cs="Times New Roman"/>
          <w:i/>
          <w:iCs/>
          <w:sz w:val="21"/>
          <w:szCs w:val="21"/>
          <w:lang w:val="en-US" w:eastAsia="zh-CN"/>
        </w:rPr>
        <w:t>o</w:t>
      </w:r>
      <w:r>
        <w:rPr>
          <w:rFonts w:hint="eastAsia" w:ascii="Times New Roman" w:hAnsi="Times New Roman" w:eastAsia="宋体" w:cs="Times New Roman"/>
          <w:sz w:val="21"/>
          <w:szCs w:val="21"/>
          <w:lang w:val="en-US" w:eastAsia="zh-CN"/>
        </w:rPr>
        <w:t>种处置方式第</w:t>
      </w:r>
      <w:r>
        <w:rPr>
          <w:rFonts w:hint="eastAsia" w:ascii="Times New Roman" w:hAnsi="Times New Roman" w:eastAsia="宋体" w:cs="Times New Roman"/>
          <w:i/>
          <w:iCs/>
          <w:sz w:val="21"/>
          <w:szCs w:val="21"/>
          <w:lang w:val="en-US" w:eastAsia="zh-CN"/>
        </w:rPr>
        <w:t>j</w:t>
      </w:r>
      <w:r>
        <w:rPr>
          <w:rFonts w:hint="eastAsia" w:ascii="Times New Roman" w:hAnsi="Times New Roman" w:eastAsia="宋体" w:cs="Times New Roman"/>
          <w:sz w:val="21"/>
          <w:szCs w:val="21"/>
          <w:lang w:val="en-US" w:eastAsia="zh-CN"/>
        </w:rPr>
        <w:t>类运输方式对应的碳足迹因子，单位与该运输环节相匹配，如千克二氧化碳当量每吨千米</w:t>
      </w:r>
      <w:r>
        <w:rPr>
          <w:rFonts w:hint="default" w:ascii="Times New Roman" w:hAnsi="Times New Roman" w:eastAsia="宋体" w:cs="Times New Roman"/>
          <w:sz w:val="21"/>
          <w:szCs w:val="21"/>
          <w:lang w:val="en-US" w:eastAsia="zh-CN"/>
        </w:rPr>
        <w:t>[kgCO</w:t>
      </w:r>
      <w:r>
        <w:rPr>
          <w:rFonts w:hint="default" w:ascii="Times New Roman" w:hAnsi="Times New Roman" w:eastAsia="宋体" w:cs="Times New Roman"/>
          <w:sz w:val="21"/>
          <w:szCs w:val="21"/>
          <w:vertAlign w:val="subscript"/>
          <w:lang w:val="en-US" w:eastAsia="zh-CN"/>
        </w:rPr>
        <w:t>2</w:t>
      </w:r>
      <w:r>
        <w:rPr>
          <w:rFonts w:hint="default" w:ascii="Times New Roman" w:hAnsi="Times New Roman" w:eastAsia="宋体" w:cs="Times New Roman"/>
          <w:sz w:val="21"/>
          <w:szCs w:val="21"/>
          <w:lang w:val="en-US" w:eastAsia="zh-CN"/>
        </w:rPr>
        <w:t>e/t·km</w:t>
      </w:r>
      <w:r>
        <w:rPr>
          <w:rFonts w:hint="eastAsia" w:ascii="Times New Roman" w:hAnsi="Times New Roman" w:eastAsia="宋体" w:cs="Times New Roman"/>
          <w:sz w:val="21"/>
          <w:szCs w:val="21"/>
          <w:lang w:val="en-US" w:eastAsia="zh-CN"/>
        </w:rPr>
        <w:t>];</w:t>
      </w:r>
    </w:p>
    <w:p w14:paraId="2A9131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m</w:t>
      </w:r>
      <w:r>
        <w:rPr>
          <w:rFonts w:hint="eastAsia" w:ascii="Times New Roman" w:hAnsi="Times New Roman" w:eastAsia="宋体" w:cs="Times New Roman"/>
          <w:i/>
          <w:iCs/>
          <w:sz w:val="21"/>
          <w:szCs w:val="21"/>
          <w:vertAlign w:val="subscript"/>
          <w:lang w:val="en-US" w:eastAsia="zh-CN"/>
        </w:rPr>
        <w:t>D</w:t>
      </w:r>
      <w:r>
        <w:rPr>
          <w:rFonts w:hint="eastAsia" w:ascii="Times New Roman" w:hAnsi="Times New Roman" w:eastAsia="宋体" w:cs="Times New Roman"/>
          <w:i w:val="0"/>
          <w:iCs w:val="0"/>
          <w:sz w:val="21"/>
          <w:szCs w:val="21"/>
          <w:vertAlign w:val="subscript"/>
          <w:lang w:val="en-US" w:eastAsia="zh-CN"/>
        </w:rPr>
        <w:t>2</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软饮料产品废弃包装第</w:t>
      </w:r>
      <w:r>
        <w:rPr>
          <w:rFonts w:hint="eastAsia" w:ascii="Times New Roman" w:hAnsi="Times New Roman" w:eastAsia="宋体" w:cs="Times New Roman"/>
          <w:i/>
          <w:iCs/>
          <w:sz w:val="21"/>
          <w:szCs w:val="21"/>
          <w:lang w:val="en-US" w:eastAsia="zh-CN"/>
        </w:rPr>
        <w:t>o</w:t>
      </w:r>
      <w:r>
        <w:rPr>
          <w:rFonts w:hint="eastAsia" w:ascii="Times New Roman" w:hAnsi="Times New Roman" w:eastAsia="宋体" w:cs="Times New Roman"/>
          <w:sz w:val="21"/>
          <w:szCs w:val="21"/>
          <w:lang w:val="en-US" w:eastAsia="zh-CN"/>
        </w:rPr>
        <w:t>种处置方式的处置量，单位为吨（t）；</w:t>
      </w:r>
    </w:p>
    <w:p w14:paraId="17B2F95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i/>
          <w:iCs/>
          <w:sz w:val="21"/>
          <w:szCs w:val="21"/>
          <w:lang w:val="en-US" w:eastAsia="zh-CN"/>
        </w:rPr>
        <w:t>CEF</w:t>
      </w:r>
      <w:r>
        <w:rPr>
          <w:rFonts w:hint="eastAsia" w:ascii="Times New Roman" w:hAnsi="Times New Roman" w:eastAsia="宋体" w:cs="Times New Roman"/>
          <w:i/>
          <w:iCs/>
          <w:sz w:val="21"/>
          <w:szCs w:val="21"/>
          <w:vertAlign w:val="subscript"/>
          <w:lang w:val="en-US" w:eastAsia="zh-CN"/>
        </w:rPr>
        <w:t>D</w:t>
      </w:r>
      <w:r>
        <w:rPr>
          <w:rFonts w:hint="eastAsia" w:ascii="Times New Roman" w:hAnsi="Times New Roman" w:eastAsia="宋体" w:cs="Times New Roman"/>
          <w:i w:val="0"/>
          <w:iCs w:val="0"/>
          <w:sz w:val="21"/>
          <w:szCs w:val="21"/>
          <w:vertAlign w:val="subscript"/>
          <w:lang w:val="en-US" w:eastAsia="zh-CN"/>
        </w:rPr>
        <w:t>2</w:t>
      </w:r>
      <w:r>
        <w:rPr>
          <w:rFonts w:hint="eastAsia" w:ascii="Times New Roman" w:hAnsi="Times New Roman" w:eastAsia="宋体" w:cs="Times New Roman"/>
          <w:sz w:val="21"/>
          <w:szCs w:val="21"/>
          <w:vertAlign w:val="subscript"/>
          <w:lang w:val="en-US" w:eastAsia="zh-CN"/>
        </w:rPr>
        <w:t>,</w:t>
      </w:r>
      <w:r>
        <w:rPr>
          <w:rFonts w:hint="eastAsia" w:ascii="Times New Roman" w:hAnsi="Times New Roman" w:eastAsia="宋体" w:cs="Times New Roman"/>
          <w:i/>
          <w:iCs/>
          <w:sz w:val="21"/>
          <w:szCs w:val="21"/>
          <w:vertAlign w:val="subscript"/>
          <w:lang w:val="en-US" w:eastAsia="zh-CN"/>
        </w:rPr>
        <w:t>o</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软饮料产品废弃包装第</w:t>
      </w:r>
      <w:r>
        <w:rPr>
          <w:rFonts w:hint="eastAsia" w:ascii="Times New Roman" w:hAnsi="Times New Roman" w:eastAsia="宋体" w:cs="Times New Roman"/>
          <w:i/>
          <w:iCs/>
          <w:sz w:val="21"/>
          <w:szCs w:val="21"/>
          <w:lang w:val="en-US" w:eastAsia="zh-CN"/>
        </w:rPr>
        <w:t>o</w:t>
      </w:r>
      <w:r>
        <w:rPr>
          <w:rFonts w:hint="eastAsia" w:ascii="Times New Roman" w:hAnsi="Times New Roman" w:eastAsia="宋体" w:cs="Times New Roman"/>
          <w:sz w:val="21"/>
          <w:szCs w:val="21"/>
          <w:lang w:val="en-US" w:eastAsia="zh-CN"/>
        </w:rPr>
        <w:t>种处置方式的排放因子，单位为千克二氧化碳当量每吨（kgCO</w:t>
      </w:r>
      <w:r>
        <w:rPr>
          <w:rFonts w:hint="eastAsia" w:ascii="Times New Roman" w:hAnsi="Times New Roman" w:eastAsia="宋体" w:cs="Times New Roman"/>
          <w:sz w:val="21"/>
          <w:szCs w:val="21"/>
          <w:vertAlign w:val="subscript"/>
          <w:lang w:val="en-US" w:eastAsia="zh-CN"/>
        </w:rPr>
        <w:t>2</w:t>
      </w:r>
      <w:r>
        <w:rPr>
          <w:rFonts w:hint="eastAsia" w:ascii="Times New Roman" w:hAnsi="Times New Roman" w:eastAsia="宋体" w:cs="Times New Roman"/>
          <w:sz w:val="21"/>
          <w:szCs w:val="21"/>
          <w:lang w:val="en-US" w:eastAsia="zh-CN"/>
        </w:rPr>
        <w:t>e/t）。</w:t>
      </w:r>
    </w:p>
    <w:p w14:paraId="05DD882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88" w:lineRule="auto"/>
        <w:ind w:left="0" w:right="0"/>
        <w:jc w:val="left"/>
        <w:textAlignment w:val="baseline"/>
        <w:outlineLvl w:val="0"/>
        <w:rPr>
          <w:rStyle w:val="14"/>
          <w:rFonts w:hint="default" w:ascii="黑体" w:hAnsi="黑体" w:eastAsia="黑体" w:cs="黑体"/>
          <w:b w:val="0"/>
          <w:bCs w:val="0"/>
          <w:i w:val="0"/>
          <w:iCs w:val="0"/>
          <w:caps w:val="0"/>
          <w:color w:val="000000"/>
          <w:spacing w:val="-2"/>
          <w:sz w:val="21"/>
          <w:szCs w:val="21"/>
          <w:shd w:val="clear" w:fill="FFFFFF"/>
          <w:vertAlign w:val="baseline"/>
          <w:lang w:val="en-US" w:eastAsia="zh-CN"/>
        </w:rPr>
      </w:pPr>
      <w:bookmarkStart w:id="34" w:name="_Toc15589"/>
      <w:r>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t>8  结果解释</w:t>
      </w:r>
      <w:bookmarkEnd w:id="34"/>
    </w:p>
    <w:p w14:paraId="3DEFE46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黑体" w:hAnsi="黑体" w:eastAsia="黑体" w:cs="黑体"/>
          <w:sz w:val="21"/>
          <w:szCs w:val="21"/>
          <w:lang w:val="en-US" w:eastAsia="zh-CN"/>
        </w:rPr>
      </w:pPr>
      <w:bookmarkStart w:id="35" w:name="_Toc24505"/>
      <w:r>
        <w:rPr>
          <w:rFonts w:hint="eastAsia" w:ascii="黑体" w:hAnsi="黑体" w:eastAsia="黑体" w:cs="黑体"/>
          <w:sz w:val="21"/>
          <w:szCs w:val="21"/>
          <w:lang w:val="en-US" w:eastAsia="zh-CN"/>
        </w:rPr>
        <w:t>8.1 解释步骤</w:t>
      </w:r>
      <w:bookmarkEnd w:id="35"/>
    </w:p>
    <w:p w14:paraId="483B33E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软饮料产品碳足迹结果解释应包括以下步骤：</w:t>
      </w:r>
    </w:p>
    <w:p w14:paraId="0FFF21A2">
      <w:pPr>
        <w:pStyle w:val="10"/>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应根据软饮料产品碳足迹的量化结果，识别显著的生命周期阶段、单元过程或物质流、能量流；</w:t>
      </w:r>
    </w:p>
    <w:p w14:paraId="73298163">
      <w:pPr>
        <w:pStyle w:val="10"/>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leftChars="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完整性、一致性和敏感性分析的评估；</w:t>
      </w:r>
    </w:p>
    <w:p w14:paraId="41C719B1">
      <w:pPr>
        <w:pStyle w:val="10"/>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leftChars="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结论、局限性和建议的编制。</w:t>
      </w:r>
    </w:p>
    <w:p w14:paraId="2F0D7AE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黑体" w:hAnsi="黑体" w:eastAsia="黑体" w:cs="黑体"/>
          <w:sz w:val="21"/>
          <w:szCs w:val="21"/>
          <w:lang w:val="en-US" w:eastAsia="zh-CN"/>
        </w:rPr>
      </w:pPr>
      <w:bookmarkStart w:id="36" w:name="_Toc9547"/>
      <w:r>
        <w:rPr>
          <w:rFonts w:hint="eastAsia" w:ascii="黑体" w:hAnsi="黑体" w:eastAsia="黑体" w:cs="黑体"/>
          <w:sz w:val="21"/>
          <w:szCs w:val="21"/>
          <w:lang w:val="en-US" w:eastAsia="zh-CN"/>
        </w:rPr>
        <w:t>8.2 内容要求</w:t>
      </w:r>
      <w:bookmarkEnd w:id="36"/>
    </w:p>
    <w:p w14:paraId="531A76D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应根据</w:t>
      </w:r>
      <w:r>
        <w:rPr>
          <w:rFonts w:hint="eastAsia" w:ascii="Times New Roman" w:hAnsi="Times New Roman" w:eastAsia="宋体" w:cs="Times New Roman"/>
          <w:sz w:val="21"/>
          <w:szCs w:val="21"/>
          <w:lang w:val="en-US" w:eastAsia="zh-CN"/>
        </w:rPr>
        <w:t>软饮料</w:t>
      </w:r>
      <w:r>
        <w:rPr>
          <w:rFonts w:hint="default" w:ascii="Times New Roman" w:hAnsi="Times New Roman" w:eastAsia="宋体" w:cs="Times New Roman"/>
          <w:sz w:val="21"/>
          <w:szCs w:val="21"/>
          <w:lang w:val="en-US" w:eastAsia="zh-CN"/>
        </w:rPr>
        <w:t>产品碳足迹研究的目的和范围进行结果解释，解释应包括以下内容：</w:t>
      </w:r>
    </w:p>
    <w:p w14:paraId="58100A10">
      <w:pPr>
        <w:pStyle w:val="10"/>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说明产品碳足迹</w:t>
      </w:r>
      <w:r>
        <w:rPr>
          <w:rFonts w:hint="eastAsia" w:ascii="Times New Roman" w:hAnsi="Times New Roman" w:eastAsia="宋体" w:cs="Times New Roman"/>
          <w:sz w:val="21"/>
          <w:szCs w:val="21"/>
          <w:lang w:val="en-US" w:eastAsia="zh-CN"/>
        </w:rPr>
        <w:t>、产品部分碳足迹</w:t>
      </w:r>
      <w:r>
        <w:rPr>
          <w:rFonts w:hint="default" w:ascii="Times New Roman" w:hAnsi="Times New Roman" w:eastAsia="宋体" w:cs="Times New Roman"/>
          <w:sz w:val="21"/>
          <w:szCs w:val="21"/>
          <w:lang w:val="en-US" w:eastAsia="zh-CN"/>
        </w:rPr>
        <w:t>和各生命周期阶段的碳足迹；</w:t>
      </w:r>
    </w:p>
    <w:p w14:paraId="2ADDC7DF">
      <w:pPr>
        <w:pStyle w:val="10"/>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leftChars="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分析不确定性，包括取舍准则的应用或范围；</w:t>
      </w:r>
    </w:p>
    <w:p w14:paraId="6CF137A5">
      <w:pPr>
        <w:pStyle w:val="10"/>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leftChars="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详细记录选定的分配程序；</w:t>
      </w:r>
    </w:p>
    <w:p w14:paraId="71762BE3">
      <w:pPr>
        <w:pStyle w:val="10"/>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leftChars="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说明产品碳足迹研究的局限性。</w:t>
      </w:r>
    </w:p>
    <w:p w14:paraId="11CCAB8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结果解释宜包括以下内容：</w:t>
      </w:r>
    </w:p>
    <w:p w14:paraId="597A3308">
      <w:pPr>
        <w:pStyle w:val="10"/>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分析重要输入、输出和方法学选择（如分配程序）的敏感性，以了解结果的敏感性和不确定性</w:t>
      </w:r>
      <w:r>
        <w:rPr>
          <w:rFonts w:hint="eastAsia" w:ascii="Times New Roman" w:hAnsi="Times New Roman" w:eastAsia="宋体" w:cs="Times New Roman"/>
          <w:sz w:val="21"/>
          <w:szCs w:val="21"/>
          <w:lang w:val="en-US" w:eastAsia="zh-CN"/>
        </w:rPr>
        <w:t>；</w:t>
      </w:r>
    </w:p>
    <w:p w14:paraId="0BEAD3F7">
      <w:pPr>
        <w:pStyle w:val="10"/>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评估替代使用情景对最终结果的影响评价；</w:t>
      </w:r>
    </w:p>
    <w:p w14:paraId="6D44C0C1">
      <w:pPr>
        <w:pStyle w:val="10"/>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评估不同生命末期阶段情景对最终结果的影响评价；</w:t>
      </w:r>
    </w:p>
    <w:p w14:paraId="57160107">
      <w:pPr>
        <w:pStyle w:val="10"/>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评估建议对结果的影响；</w:t>
      </w:r>
    </w:p>
    <w:p w14:paraId="4F872489">
      <w:pPr>
        <w:pStyle w:val="10"/>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描述地理格网的划分方法及地理格网尺度要求原则（如适用）。</w:t>
      </w:r>
    </w:p>
    <w:p w14:paraId="5A52CCD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88" w:lineRule="auto"/>
        <w:ind w:left="0" w:right="0"/>
        <w:jc w:val="left"/>
        <w:textAlignment w:val="baseline"/>
        <w:outlineLvl w:val="0"/>
        <w:rPr>
          <w:rStyle w:val="14"/>
          <w:rFonts w:hint="default" w:ascii="黑体" w:hAnsi="黑体" w:eastAsia="黑体" w:cs="黑体"/>
          <w:b w:val="0"/>
          <w:bCs w:val="0"/>
          <w:i w:val="0"/>
          <w:iCs w:val="0"/>
          <w:caps w:val="0"/>
          <w:color w:val="000000"/>
          <w:spacing w:val="-2"/>
          <w:sz w:val="21"/>
          <w:szCs w:val="21"/>
          <w:shd w:val="clear" w:fill="FFFFFF"/>
          <w:vertAlign w:val="baseline"/>
          <w:lang w:val="en-US" w:eastAsia="zh-CN"/>
        </w:rPr>
      </w:pPr>
      <w:bookmarkStart w:id="37" w:name="_Toc4633"/>
      <w:r>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t>9  产品碳足迹</w:t>
      </w:r>
      <w:r>
        <w:rPr>
          <w:rStyle w:val="14"/>
          <w:rFonts w:hint="default" w:ascii="黑体" w:hAnsi="黑体" w:eastAsia="黑体" w:cs="黑体"/>
          <w:b w:val="0"/>
          <w:bCs w:val="0"/>
          <w:i w:val="0"/>
          <w:iCs w:val="0"/>
          <w:caps w:val="0"/>
          <w:color w:val="000000"/>
          <w:spacing w:val="-2"/>
          <w:sz w:val="21"/>
          <w:szCs w:val="21"/>
          <w:shd w:val="clear" w:fill="FFFFFF"/>
          <w:vertAlign w:val="baseline"/>
          <w:lang w:val="en-US" w:eastAsia="zh-CN"/>
        </w:rPr>
        <w:t>报告</w:t>
      </w:r>
      <w:bookmarkEnd w:id="37"/>
    </w:p>
    <w:p w14:paraId="1E4CE71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黑体" w:hAnsi="黑体" w:eastAsia="黑体" w:cs="黑体"/>
          <w:sz w:val="21"/>
          <w:szCs w:val="21"/>
          <w:lang w:val="en-US" w:eastAsia="zh-CN"/>
        </w:rPr>
      </w:pPr>
      <w:bookmarkStart w:id="38" w:name="_Toc31757"/>
      <w:r>
        <w:rPr>
          <w:rFonts w:hint="eastAsia" w:ascii="黑体" w:hAnsi="黑体" w:eastAsia="黑体" w:cs="黑体"/>
          <w:sz w:val="21"/>
          <w:szCs w:val="21"/>
          <w:lang w:val="en-US" w:eastAsia="zh-CN"/>
        </w:rPr>
        <w:t>9.1 报告内容</w:t>
      </w:r>
      <w:bookmarkEnd w:id="38"/>
    </w:p>
    <w:p w14:paraId="5271572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eastAsia" w:ascii="黑体" w:hAnsi="黑体" w:eastAsia="黑体" w:cs="黑体"/>
          <w:sz w:val="21"/>
          <w:szCs w:val="21"/>
          <w:lang w:val="en-US" w:eastAsia="zh-CN"/>
        </w:rPr>
      </w:pPr>
      <w:bookmarkStart w:id="39" w:name="_Toc12867"/>
      <w:r>
        <w:rPr>
          <w:rFonts w:hint="eastAsia" w:ascii="黑体" w:hAnsi="黑体" w:eastAsia="黑体" w:cs="黑体"/>
          <w:sz w:val="21"/>
          <w:szCs w:val="21"/>
          <w:lang w:val="en-US" w:eastAsia="zh-CN"/>
        </w:rPr>
        <w:t>9.1.1 基本情况</w:t>
      </w:r>
      <w:bookmarkEnd w:id="39"/>
    </w:p>
    <w:p w14:paraId="235CD03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软饮料产品碳足迹报告基本情况应包含以下信息：</w:t>
      </w:r>
    </w:p>
    <w:p w14:paraId="4F1BEEFB">
      <w:pPr>
        <w:pStyle w:val="10"/>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委托方与评价方信息；</w:t>
      </w:r>
    </w:p>
    <w:p w14:paraId="02CCBB90">
      <w:pPr>
        <w:pStyle w:val="10"/>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报告信息；</w:t>
      </w:r>
    </w:p>
    <w:p w14:paraId="7FD4F2C5">
      <w:pPr>
        <w:pStyle w:val="10"/>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依据的标准；</w:t>
      </w:r>
    </w:p>
    <w:p w14:paraId="4DFEEB92">
      <w:pPr>
        <w:pStyle w:val="10"/>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使用的产品种类规则或其他补充要求的参考资料（如有</w:t>
      </w:r>
      <w:r>
        <w:rPr>
          <w:rFonts w:hint="eastAsia" w:ascii="Times New Roman" w:hAnsi="Times New Roman" w:eastAsia="宋体" w:cs="Times New Roman"/>
          <w:sz w:val="21"/>
          <w:szCs w:val="21"/>
          <w:lang w:val="en-US" w:eastAsia="zh-CN"/>
        </w:rPr>
        <w:t>）。</w:t>
      </w:r>
    </w:p>
    <w:p w14:paraId="76F46FD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eastAsia" w:ascii="黑体" w:hAnsi="黑体" w:eastAsia="黑体" w:cs="黑体"/>
          <w:sz w:val="21"/>
          <w:szCs w:val="21"/>
          <w:lang w:val="en-US" w:eastAsia="zh-CN"/>
        </w:rPr>
      </w:pPr>
      <w:bookmarkStart w:id="40" w:name="_Toc25565"/>
      <w:r>
        <w:rPr>
          <w:rFonts w:hint="eastAsia" w:ascii="黑体" w:hAnsi="黑体" w:eastAsia="黑体" w:cs="黑体"/>
          <w:sz w:val="21"/>
          <w:szCs w:val="21"/>
          <w:lang w:val="en-US" w:eastAsia="zh-CN"/>
        </w:rPr>
        <w:t>9.1.2 量化目的</w:t>
      </w:r>
      <w:bookmarkEnd w:id="40"/>
    </w:p>
    <w:p w14:paraId="059AAAC0">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Chars="200" w:right="0" w:rightChars="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软饮料产品碳足迹报告量化目的应包含以下信息：</w:t>
      </w:r>
    </w:p>
    <w:p w14:paraId="4AB3D12E">
      <w:pPr>
        <w:pStyle w:val="10"/>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Chars="200" w:right="0" w:rightChars="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开展研究的目的；</w:t>
      </w:r>
    </w:p>
    <w:p w14:paraId="7B303C84">
      <w:pPr>
        <w:pStyle w:val="10"/>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Chars="200" w:right="0" w:rightChars="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预期用途</w:t>
      </w:r>
      <w:r>
        <w:rPr>
          <w:rFonts w:hint="eastAsia" w:ascii="Times New Roman" w:hAnsi="Times New Roman" w:eastAsia="宋体" w:cs="Times New Roman"/>
          <w:sz w:val="21"/>
          <w:szCs w:val="21"/>
          <w:lang w:val="en-US" w:eastAsia="zh-CN"/>
        </w:rPr>
        <w:t>。</w:t>
      </w:r>
    </w:p>
    <w:p w14:paraId="392F515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eastAsia" w:ascii="黑体" w:hAnsi="黑体" w:eastAsia="黑体" w:cs="黑体"/>
          <w:sz w:val="21"/>
          <w:szCs w:val="21"/>
          <w:lang w:val="en-US" w:eastAsia="zh-CN"/>
        </w:rPr>
      </w:pPr>
      <w:bookmarkStart w:id="41" w:name="_Toc269"/>
      <w:r>
        <w:rPr>
          <w:rFonts w:hint="eastAsia" w:ascii="黑体" w:hAnsi="黑体" w:eastAsia="黑体" w:cs="黑体"/>
          <w:sz w:val="21"/>
          <w:szCs w:val="21"/>
          <w:lang w:val="en-US" w:eastAsia="zh-CN"/>
        </w:rPr>
        <w:t>9.1.3 量化范围</w:t>
      </w:r>
      <w:bookmarkEnd w:id="41"/>
    </w:p>
    <w:p w14:paraId="465A45C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Chars="200" w:right="0" w:rightChars="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软饮料</w:t>
      </w:r>
      <w:r>
        <w:rPr>
          <w:rFonts w:hint="default" w:ascii="Times New Roman" w:hAnsi="Times New Roman" w:eastAsia="宋体" w:cs="Times New Roman"/>
          <w:sz w:val="21"/>
          <w:szCs w:val="21"/>
          <w:lang w:val="en-US" w:eastAsia="zh-CN"/>
        </w:rPr>
        <w:t>产品碳足迹报告量化范围应包含以下信息</w:t>
      </w:r>
      <w:r>
        <w:rPr>
          <w:rFonts w:hint="eastAsia" w:ascii="Times New Roman" w:hAnsi="Times New Roman" w:eastAsia="宋体" w:cs="Times New Roman"/>
          <w:sz w:val="21"/>
          <w:szCs w:val="21"/>
          <w:lang w:val="en-US" w:eastAsia="zh-CN"/>
        </w:rPr>
        <w:t>；</w:t>
      </w:r>
    </w:p>
    <w:p w14:paraId="0492C896">
      <w:pPr>
        <w:pStyle w:val="10"/>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Chars="200" w:right="0" w:rightChars="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产品说明，包括功能和技术参数；</w:t>
      </w:r>
    </w:p>
    <w:p w14:paraId="49A56051">
      <w:pPr>
        <w:pStyle w:val="10"/>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Chars="200" w:right="0" w:rightChars="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功能单位或声明单位以及基准流；</w:t>
      </w:r>
    </w:p>
    <w:p w14:paraId="5F5BDE66">
      <w:pPr>
        <w:pStyle w:val="10"/>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Chars="200" w:right="0" w:rightChars="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系统边界；</w:t>
      </w:r>
    </w:p>
    <w:p w14:paraId="382F5AC9">
      <w:pPr>
        <w:pStyle w:val="10"/>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Chars="200" w:right="0" w:rightChars="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取舍准则和取舍说明；</w:t>
      </w:r>
    </w:p>
    <w:p w14:paraId="4EB01DBC">
      <w:pPr>
        <w:pStyle w:val="10"/>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Chars="200" w:right="0" w:rightChars="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生命周期各阶段描述</w:t>
      </w:r>
      <w:r>
        <w:rPr>
          <w:rFonts w:hint="eastAsia" w:ascii="Times New Roman" w:hAnsi="Times New Roman" w:eastAsia="宋体" w:cs="Times New Roman"/>
          <w:sz w:val="21"/>
          <w:szCs w:val="21"/>
          <w:lang w:val="en-US" w:eastAsia="zh-CN"/>
        </w:rPr>
        <w:t>。</w:t>
      </w:r>
    </w:p>
    <w:p w14:paraId="1C730D4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default" w:ascii="黑体" w:hAnsi="黑体" w:eastAsia="黑体" w:cs="黑体"/>
          <w:sz w:val="21"/>
          <w:szCs w:val="21"/>
          <w:lang w:val="en-US" w:eastAsia="zh-CN"/>
        </w:rPr>
      </w:pPr>
      <w:bookmarkStart w:id="42" w:name="_Toc18296"/>
      <w:r>
        <w:rPr>
          <w:rFonts w:hint="default" w:ascii="黑体" w:hAnsi="黑体" w:eastAsia="黑体" w:cs="黑体"/>
          <w:sz w:val="21"/>
          <w:szCs w:val="21"/>
          <w:lang w:val="en-US" w:eastAsia="zh-CN"/>
        </w:rPr>
        <w:t>9.1.4 清单分析</w:t>
      </w:r>
      <w:bookmarkEnd w:id="42"/>
    </w:p>
    <w:p w14:paraId="0CBC5EED">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软饮料</w:t>
      </w:r>
      <w:r>
        <w:rPr>
          <w:rFonts w:hint="default" w:ascii="Times New Roman" w:hAnsi="Times New Roman" w:eastAsia="宋体" w:cs="Times New Roman"/>
          <w:sz w:val="21"/>
          <w:szCs w:val="21"/>
          <w:lang w:val="en-US" w:eastAsia="zh-CN"/>
        </w:rPr>
        <w:t>产品碳足迹报告清单分析应包含以下信息：</w:t>
      </w:r>
    </w:p>
    <w:p w14:paraId="7C08D392">
      <w:pPr>
        <w:pStyle w:val="10"/>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数据收集信息，包括数据来源；</w:t>
      </w:r>
    </w:p>
    <w:p w14:paraId="190E826D">
      <w:pPr>
        <w:pStyle w:val="10"/>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重要的单元过程清单；</w:t>
      </w:r>
    </w:p>
    <w:p w14:paraId="59B30597">
      <w:pPr>
        <w:pStyle w:val="10"/>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纳入范围的温室气体清单；</w:t>
      </w:r>
    </w:p>
    <w:p w14:paraId="1C29D2A2">
      <w:pPr>
        <w:pStyle w:val="10"/>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分配原则与程序；</w:t>
      </w:r>
    </w:p>
    <w:p w14:paraId="6AFF29D8">
      <w:pPr>
        <w:pStyle w:val="10"/>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数据说明，包括有关数据的决定和数据质量评价</w:t>
      </w:r>
      <w:r>
        <w:rPr>
          <w:rFonts w:hint="eastAsia" w:ascii="Times New Roman" w:hAnsi="Times New Roman" w:eastAsia="宋体" w:cs="Times New Roman"/>
          <w:sz w:val="21"/>
          <w:szCs w:val="21"/>
          <w:lang w:val="en-US" w:eastAsia="zh-CN"/>
        </w:rPr>
        <w:t>。</w:t>
      </w:r>
    </w:p>
    <w:p w14:paraId="44CF3A2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default" w:ascii="黑体" w:hAnsi="黑体" w:eastAsia="黑体" w:cs="黑体"/>
          <w:sz w:val="21"/>
          <w:szCs w:val="21"/>
          <w:lang w:val="en-US" w:eastAsia="zh-CN"/>
        </w:rPr>
      </w:pPr>
      <w:bookmarkStart w:id="43" w:name="_Toc15987"/>
      <w:r>
        <w:rPr>
          <w:rFonts w:hint="eastAsia" w:ascii="黑体" w:hAnsi="黑体" w:eastAsia="黑体" w:cs="黑体"/>
          <w:sz w:val="21"/>
          <w:szCs w:val="21"/>
          <w:lang w:val="en-US" w:eastAsia="zh-CN"/>
        </w:rPr>
        <w:t>9.1.5 影响评价</w:t>
      </w:r>
      <w:bookmarkEnd w:id="43"/>
    </w:p>
    <w:p w14:paraId="62786FF8">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Chars="200" w:right="0" w:rightChars="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软饮料</w:t>
      </w:r>
      <w:r>
        <w:rPr>
          <w:rFonts w:hint="default" w:ascii="Times New Roman" w:hAnsi="Times New Roman" w:eastAsia="宋体" w:cs="Times New Roman"/>
          <w:sz w:val="21"/>
          <w:szCs w:val="21"/>
          <w:lang w:val="en-US" w:eastAsia="zh-CN"/>
        </w:rPr>
        <w:t>产品碳足迹报告影响评价应包含以下信息：</w:t>
      </w:r>
    </w:p>
    <w:p w14:paraId="34CEB731">
      <w:pPr>
        <w:pStyle w:val="10"/>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Chars="200" w:right="0" w:rightChars="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影响评价方法；</w:t>
      </w:r>
    </w:p>
    <w:p w14:paraId="65FB12E4">
      <w:pPr>
        <w:pStyle w:val="10"/>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Chars="200" w:right="0" w:rightChars="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特征化因子；</w:t>
      </w:r>
    </w:p>
    <w:p w14:paraId="6392A5FC">
      <w:pPr>
        <w:pStyle w:val="10"/>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Chars="200" w:right="0" w:rightChars="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产品碳足迹或产品部分碳足迹计算；</w:t>
      </w:r>
    </w:p>
    <w:p w14:paraId="01C98F56">
      <w:pPr>
        <w:pStyle w:val="10"/>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Chars="200" w:right="0" w:rightChars="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结果图示（可选）。</w:t>
      </w:r>
    </w:p>
    <w:p w14:paraId="1A0A87E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default" w:ascii="黑体" w:hAnsi="黑体" w:eastAsia="黑体" w:cs="黑体"/>
          <w:sz w:val="21"/>
          <w:szCs w:val="21"/>
          <w:lang w:val="en-US" w:eastAsia="zh-CN"/>
        </w:rPr>
      </w:pPr>
      <w:bookmarkStart w:id="44" w:name="_Toc20025"/>
      <w:r>
        <w:rPr>
          <w:rFonts w:hint="default" w:ascii="黑体" w:hAnsi="黑体" w:eastAsia="黑体" w:cs="黑体"/>
          <w:sz w:val="21"/>
          <w:szCs w:val="21"/>
          <w:lang w:val="en-US" w:eastAsia="zh-CN"/>
        </w:rPr>
        <w:t>9.1.6 结果解释</w:t>
      </w:r>
      <w:bookmarkEnd w:id="44"/>
    </w:p>
    <w:p w14:paraId="0C1C158E">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软饮料</w:t>
      </w:r>
      <w:r>
        <w:rPr>
          <w:rFonts w:hint="default" w:ascii="Times New Roman" w:hAnsi="Times New Roman" w:eastAsia="宋体" w:cs="Times New Roman"/>
          <w:sz w:val="21"/>
          <w:szCs w:val="21"/>
          <w:lang w:val="en-US" w:eastAsia="zh-CN"/>
        </w:rPr>
        <w:t>产品碳足迹报告结果解释应包含以下信息：</w:t>
      </w:r>
    </w:p>
    <w:p w14:paraId="1C7E1F97">
      <w:pPr>
        <w:pStyle w:val="10"/>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结论和局限性；</w:t>
      </w:r>
    </w:p>
    <w:p w14:paraId="29BB680C">
      <w:pPr>
        <w:pStyle w:val="10"/>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敏感性分析和不确定性分析结果；</w:t>
      </w:r>
    </w:p>
    <w:p w14:paraId="3902BA75">
      <w:pPr>
        <w:pStyle w:val="10"/>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电力处理，</w:t>
      </w:r>
      <w:r>
        <w:rPr>
          <w:rFonts w:hint="eastAsia" w:ascii="Times New Roman" w:hAnsi="Times New Roman" w:eastAsia="宋体" w:cs="Times New Roman"/>
          <w:sz w:val="21"/>
          <w:szCs w:val="21"/>
          <w:lang w:val="en-US" w:eastAsia="zh-CN"/>
        </w:rPr>
        <w:t>宜</w:t>
      </w:r>
      <w:r>
        <w:rPr>
          <w:rFonts w:hint="default" w:ascii="Times New Roman" w:hAnsi="Times New Roman" w:eastAsia="宋体" w:cs="Times New Roman"/>
          <w:sz w:val="21"/>
          <w:szCs w:val="21"/>
          <w:lang w:val="en-US" w:eastAsia="zh-CN"/>
        </w:rPr>
        <w:t>包括关于电网排放因子计算和相关电网的特殊局限信息；</w:t>
      </w:r>
    </w:p>
    <w:p w14:paraId="038B5C76">
      <w:pPr>
        <w:pStyle w:val="10"/>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在产品碳足迹研究中披露和证明相关信息项的选择并说明理由</w:t>
      </w:r>
      <w:r>
        <w:rPr>
          <w:rFonts w:hint="eastAsia" w:ascii="Times New Roman" w:hAnsi="Times New Roman" w:eastAsia="宋体" w:cs="Times New Roman"/>
          <w:sz w:val="21"/>
          <w:szCs w:val="21"/>
          <w:lang w:val="en-US" w:eastAsia="zh-CN"/>
        </w:rPr>
        <w:t>。</w:t>
      </w:r>
    </w:p>
    <w:p w14:paraId="10074E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jc w:val="left"/>
        <w:textAlignment w:val="baseline"/>
        <w:outlineLvl w:val="2"/>
        <w:rPr>
          <w:rFonts w:hint="eastAsia" w:ascii="黑体" w:hAnsi="黑体" w:eastAsia="黑体" w:cs="黑体"/>
          <w:sz w:val="21"/>
          <w:szCs w:val="21"/>
          <w:lang w:val="en-US" w:eastAsia="zh-CN"/>
        </w:rPr>
      </w:pPr>
      <w:bookmarkStart w:id="45" w:name="_Toc1653"/>
      <w:r>
        <w:rPr>
          <w:rFonts w:hint="eastAsia" w:ascii="黑体" w:hAnsi="黑体" w:eastAsia="黑体" w:cs="黑体"/>
          <w:sz w:val="21"/>
          <w:szCs w:val="21"/>
          <w:lang w:val="en-US" w:eastAsia="zh-CN"/>
        </w:rPr>
        <w:t>9.1.7 补充说明</w:t>
      </w:r>
      <w:bookmarkEnd w:id="45"/>
    </w:p>
    <w:p w14:paraId="33E570A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研究中使用的产品种类规则或其他补充要求的参考资料。</w:t>
      </w:r>
    </w:p>
    <w:p w14:paraId="69BDD2A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10"/>
        </w:tabs>
        <w:kinsoku/>
        <w:wordWrap/>
        <w:overflowPunct/>
        <w:topLinePunct w:val="0"/>
        <w:autoSpaceDE/>
        <w:autoSpaceDN/>
        <w:bidi w:val="0"/>
        <w:adjustRightInd/>
        <w:snapToGrid/>
        <w:spacing w:before="0" w:beforeAutospacing="0" w:after="0" w:afterAutospacing="0" w:line="288" w:lineRule="auto"/>
        <w:ind w:right="0"/>
        <w:jc w:val="left"/>
        <w:textAlignment w:val="baseline"/>
        <w:outlineLvl w:val="1"/>
        <w:rPr>
          <w:rFonts w:hint="eastAsia" w:ascii="黑体" w:hAnsi="黑体" w:eastAsia="黑体" w:cs="黑体"/>
          <w:sz w:val="21"/>
          <w:szCs w:val="21"/>
          <w:lang w:val="en-US" w:eastAsia="zh-CN"/>
        </w:rPr>
      </w:pPr>
      <w:bookmarkStart w:id="46" w:name="_Toc5636"/>
      <w:r>
        <w:rPr>
          <w:rFonts w:hint="eastAsia" w:ascii="黑体" w:hAnsi="黑体" w:eastAsia="黑体" w:cs="黑体"/>
          <w:sz w:val="21"/>
          <w:szCs w:val="21"/>
          <w:lang w:val="en-US" w:eastAsia="zh-CN"/>
        </w:rPr>
        <w:t>9.2 报告模板</w:t>
      </w:r>
      <w:bookmarkEnd w:id="46"/>
    </w:p>
    <w:p w14:paraId="51E503C2">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软饮料产品碳足迹报告模板可参考附</w:t>
      </w:r>
      <w:r>
        <w:rPr>
          <w:rFonts w:hint="eastAsia" w:ascii="Times New Roman" w:hAnsi="Times New Roman" w:eastAsia="宋体" w:cs="Times New Roman"/>
          <w:sz w:val="21"/>
          <w:szCs w:val="21"/>
          <w:highlight w:val="none"/>
          <w:lang w:val="en-US" w:eastAsia="zh-CN"/>
        </w:rPr>
        <w:t>录F。</w:t>
      </w:r>
    </w:p>
    <w:p w14:paraId="1D8F33E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88" w:lineRule="auto"/>
        <w:ind w:left="0" w:right="0"/>
        <w:jc w:val="left"/>
        <w:textAlignment w:val="baseline"/>
        <w:outlineLvl w:val="0"/>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pPr>
      <w:bookmarkStart w:id="47" w:name="_Toc12736"/>
      <w:r>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t>10 产品碳足迹声明</w:t>
      </w:r>
      <w:bookmarkEnd w:id="47"/>
    </w:p>
    <w:p w14:paraId="46D186B0">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可按照GB/T 24025的规定开展产品碳足迹声明或信息交流，使具有同样功能的产品之间进行比较。应用本文件得到的产品碳足迹，其声明的发布应符合国家或地方的有关规定。</w:t>
      </w:r>
    </w:p>
    <w:p w14:paraId="1A5C1D92">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rightChars="0" w:firstLine="420" w:firstLineChars="200"/>
        <w:jc w:val="left"/>
        <w:textAlignment w:val="baseline"/>
        <w:rPr>
          <w:rFonts w:hint="default" w:ascii="Times New Roman" w:hAnsi="Times New Roman" w:eastAsia="宋体" w:cs="Times New Roman"/>
          <w:sz w:val="21"/>
          <w:szCs w:val="21"/>
          <w:lang w:val="en-US" w:eastAsia="zh-CN"/>
        </w:rPr>
        <w:sectPr>
          <w:footerReference r:id="rId10" w:type="default"/>
          <w:footerReference r:id="rId11" w:type="even"/>
          <w:pgSz w:w="11906" w:h="16838"/>
          <w:pgMar w:top="1440" w:right="1134" w:bottom="1440" w:left="1800" w:header="851" w:footer="992" w:gutter="0"/>
          <w:pgNumType w:fmt="decimal" w:start="1"/>
          <w:cols w:space="425" w:num="1"/>
          <w:docGrid w:type="lines" w:linePitch="312" w:charSpace="0"/>
        </w:sectPr>
      </w:pPr>
    </w:p>
    <w:p w14:paraId="6691C4B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0"/>
        <w:rPr>
          <w:rStyle w:val="14"/>
          <w:rFonts w:hint="default"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bookmarkStart w:id="48" w:name="_Toc26055"/>
      <w:r>
        <w:rPr>
          <w:rStyle w:val="14"/>
          <w:rFonts w:hint="default" w:ascii="Times New Roman" w:hAnsi="Times New Roman" w:eastAsia="黑体" w:cs="Times New Roman"/>
          <w:b w:val="0"/>
          <w:bCs w:val="0"/>
          <w:i w:val="0"/>
          <w:iCs w:val="0"/>
          <w:caps w:val="0"/>
          <w:color w:val="000000"/>
          <w:spacing w:val="-2"/>
          <w:sz w:val="21"/>
          <w:szCs w:val="21"/>
          <w:shd w:val="clear" w:fill="FFFFFF"/>
          <w:vertAlign w:val="baseline"/>
          <w:lang w:val="en-US" w:eastAsia="zh-CN"/>
        </w:rPr>
        <w:t>附</w:t>
      </w:r>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 xml:space="preserve">  </w:t>
      </w:r>
      <w:r>
        <w:rPr>
          <w:rStyle w:val="14"/>
          <w:rFonts w:hint="default" w:ascii="Times New Roman" w:hAnsi="Times New Roman" w:eastAsia="黑体" w:cs="Times New Roman"/>
          <w:b w:val="0"/>
          <w:bCs w:val="0"/>
          <w:i w:val="0"/>
          <w:iCs w:val="0"/>
          <w:caps w:val="0"/>
          <w:color w:val="000000"/>
          <w:spacing w:val="-2"/>
          <w:sz w:val="21"/>
          <w:szCs w:val="21"/>
          <w:shd w:val="clear" w:fill="FFFFFF"/>
          <w:vertAlign w:val="baseline"/>
          <w:lang w:val="en-US" w:eastAsia="zh-CN"/>
        </w:rPr>
        <w:t>录</w:t>
      </w:r>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 xml:space="preserve">  </w:t>
      </w:r>
      <w:r>
        <w:rPr>
          <w:rStyle w:val="14"/>
          <w:rFonts w:hint="default" w:ascii="Times New Roman" w:hAnsi="Times New Roman" w:eastAsia="黑体" w:cs="Times New Roman"/>
          <w:b w:val="0"/>
          <w:bCs w:val="0"/>
          <w:i w:val="0"/>
          <w:iCs w:val="0"/>
          <w:caps w:val="0"/>
          <w:color w:val="000000"/>
          <w:spacing w:val="-2"/>
          <w:sz w:val="21"/>
          <w:szCs w:val="21"/>
          <w:shd w:val="clear" w:fill="FFFFFF"/>
          <w:vertAlign w:val="baseline"/>
          <w:lang w:val="en-US" w:eastAsia="zh-CN"/>
        </w:rPr>
        <w:t>A</w:t>
      </w:r>
      <w:bookmarkEnd w:id="48"/>
    </w:p>
    <w:p w14:paraId="4534A24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9"/>
        <w:rPr>
          <w:rStyle w:val="14"/>
          <w:rFonts w:hint="default"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r>
        <w:rPr>
          <w:rStyle w:val="14"/>
          <w:rFonts w:hint="default" w:ascii="Times New Roman" w:hAnsi="Times New Roman" w:eastAsia="黑体" w:cs="Times New Roman"/>
          <w:b w:val="0"/>
          <w:bCs w:val="0"/>
          <w:i w:val="0"/>
          <w:iCs w:val="0"/>
          <w:caps w:val="0"/>
          <w:color w:val="000000"/>
          <w:spacing w:val="-2"/>
          <w:sz w:val="21"/>
          <w:szCs w:val="21"/>
          <w:shd w:val="clear" w:fill="FFFFFF"/>
          <w:vertAlign w:val="baseline"/>
          <w:lang w:val="en-US" w:eastAsia="zh-CN"/>
        </w:rPr>
        <w:t>（资料性）</w:t>
      </w:r>
    </w:p>
    <w:p w14:paraId="1821DFD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9"/>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pPr>
      <w:r>
        <w:rPr>
          <w:rStyle w:val="14"/>
          <w:rFonts w:hint="eastAsia" w:ascii="黑体" w:hAnsi="黑体" w:eastAsia="黑体" w:cs="黑体"/>
          <w:b w:val="0"/>
          <w:bCs w:val="0"/>
          <w:i w:val="0"/>
          <w:iCs w:val="0"/>
          <w:caps w:val="0"/>
          <w:color w:val="000000"/>
          <w:spacing w:val="-2"/>
          <w:sz w:val="21"/>
          <w:szCs w:val="21"/>
          <w:shd w:val="clear" w:fill="FFFFFF"/>
          <w:vertAlign w:val="baseline"/>
          <w:lang w:val="en-US" w:eastAsia="zh-CN"/>
        </w:rPr>
        <w:t>软饮料产品碳足迹量化数据收集清单</w:t>
      </w:r>
    </w:p>
    <w:p w14:paraId="4A8EF76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9"/>
        <w:rPr>
          <w:rStyle w:val="14"/>
          <w:rFonts w:hint="eastAsia" w:ascii="黑体" w:hAnsi="黑体" w:eastAsia="黑体" w:cs="黑体"/>
          <w:b w:val="0"/>
          <w:bCs w:val="0"/>
          <w:i w:val="0"/>
          <w:iCs w:val="0"/>
          <w:caps w:val="0"/>
          <w:color w:val="000000"/>
          <w:spacing w:val="-2"/>
          <w:sz w:val="24"/>
          <w:szCs w:val="24"/>
          <w:shd w:val="clear" w:fill="FFFFFF"/>
          <w:vertAlign w:val="baseline"/>
          <w:lang w:val="en-US" w:eastAsia="zh-CN"/>
        </w:rPr>
      </w:pPr>
    </w:p>
    <w:p w14:paraId="5054274B">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Arial" w:eastAsia="黑体"/>
          <w:sz w:val="21"/>
          <w:szCs w:val="21"/>
          <w:lang w:val="en-US" w:eastAsia="zh-CN"/>
        </w:rPr>
      </w:pPr>
      <w:r>
        <w:rPr>
          <w:rFonts w:hint="default" w:ascii="Times New Roman" w:hAnsi="Times New Roman" w:eastAsia="黑体" w:cs="Times New Roman"/>
          <w:b w:val="0"/>
          <w:bCs w:val="0"/>
          <w:color w:val="000000" w:themeColor="text1"/>
          <w:sz w:val="21"/>
          <w:szCs w:val="21"/>
          <w14:textFill>
            <w14:solidFill>
              <w14:schemeClr w14:val="tx1"/>
            </w14:solidFill>
          </w14:textFill>
        </w:rPr>
        <w:t>表A.1 原材料获取阶段</w:t>
      </w: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数据清单</w:t>
      </w:r>
    </w:p>
    <w:tbl>
      <w:tblPr>
        <w:tblStyle w:val="1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656"/>
        <w:gridCol w:w="802"/>
        <w:gridCol w:w="882"/>
        <w:gridCol w:w="450"/>
        <w:gridCol w:w="699"/>
        <w:gridCol w:w="833"/>
        <w:gridCol w:w="803"/>
        <w:gridCol w:w="708"/>
        <w:gridCol w:w="675"/>
        <w:gridCol w:w="717"/>
        <w:gridCol w:w="697"/>
        <w:gridCol w:w="874"/>
      </w:tblGrid>
      <w:tr w14:paraId="00C2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98" w:type="pct"/>
            <w:gridSpan w:val="2"/>
            <w:vMerge w:val="restart"/>
            <w:vAlign w:val="center"/>
          </w:tcPr>
          <w:p w14:paraId="26DF5A53">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原材料</w:t>
            </w:r>
          </w:p>
        </w:tc>
        <w:tc>
          <w:tcPr>
            <w:tcW w:w="433" w:type="pct"/>
            <w:vMerge w:val="restart"/>
            <w:vAlign w:val="center"/>
          </w:tcPr>
          <w:p w14:paraId="0FDA2FDF">
            <w:pPr>
              <w:spacing w:line="240" w:lineRule="auto"/>
              <w:jc w:val="center"/>
              <w:rPr>
                <w:rFonts w:hint="default" w:ascii="Times New Roman" w:hAnsi="Times New Roman" w:cs="Times New Roman" w:eastAsiaTheme="minorEastAsia"/>
                <w:sz w:val="18"/>
                <w:szCs w:val="18"/>
                <w:vertAlign w:val="baseline"/>
                <w:lang w:val="en-US" w:eastAsia="zh-CN"/>
              </w:rPr>
            </w:pPr>
            <w:r>
              <w:rPr>
                <w:rFonts w:hint="default" w:ascii="Times New Roman" w:hAnsi="Times New Roman" w:cs="Times New Roman"/>
                <w:sz w:val="18"/>
                <w:szCs w:val="18"/>
                <w:vertAlign w:val="baseline"/>
                <w:lang w:val="en-US" w:eastAsia="zh-CN"/>
              </w:rPr>
              <w:t>成分</w:t>
            </w:r>
            <w:r>
              <w:rPr>
                <w:rFonts w:hint="eastAsia" w:ascii="Times New Roman" w:hAnsi="Times New Roman" w:cs="Times New Roman"/>
                <w:sz w:val="18"/>
                <w:szCs w:val="18"/>
                <w:vertAlign w:val="baseline"/>
                <w:lang w:val="en-US" w:eastAsia="zh-CN"/>
              </w:rPr>
              <w:t>/材质</w:t>
            </w:r>
          </w:p>
        </w:tc>
        <w:tc>
          <w:tcPr>
            <w:tcW w:w="476" w:type="pct"/>
            <w:vMerge w:val="restart"/>
            <w:vAlign w:val="center"/>
          </w:tcPr>
          <w:p w14:paraId="1EB1422A">
            <w:pPr>
              <w:spacing w:line="240" w:lineRule="auto"/>
              <w:jc w:val="center"/>
              <w:rPr>
                <w:rFonts w:hint="default" w:ascii="Times New Roman" w:hAnsi="Times New Roman" w:cs="Times New Roman" w:eastAsiaTheme="minorEastAsia"/>
                <w:sz w:val="18"/>
                <w:szCs w:val="18"/>
                <w:vertAlign w:val="baseline"/>
                <w:lang w:val="en-US" w:eastAsia="zh-CN"/>
              </w:rPr>
            </w:pPr>
            <w:r>
              <w:rPr>
                <w:rFonts w:hint="default" w:ascii="Times New Roman" w:hAnsi="Times New Roman" w:cs="Times New Roman"/>
                <w:sz w:val="18"/>
                <w:szCs w:val="18"/>
                <w:vertAlign w:val="baseline"/>
                <w:lang w:val="en-US" w:eastAsia="zh-CN"/>
              </w:rPr>
              <w:t>消耗量</w:t>
            </w:r>
            <w:r>
              <w:rPr>
                <w:rFonts w:hint="eastAsia" w:ascii="Times New Roman" w:hAnsi="Times New Roman" w:cs="Times New Roman"/>
                <w:sz w:val="18"/>
                <w:szCs w:val="18"/>
                <w:vertAlign w:val="superscript"/>
                <w:lang w:val="en-US" w:eastAsia="zh-CN"/>
              </w:rPr>
              <w:t>a</w:t>
            </w:r>
          </w:p>
        </w:tc>
        <w:tc>
          <w:tcPr>
            <w:tcW w:w="243" w:type="pct"/>
            <w:vMerge w:val="restart"/>
            <w:vAlign w:val="center"/>
          </w:tcPr>
          <w:p w14:paraId="4104D1A7">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单位</w:t>
            </w:r>
          </w:p>
        </w:tc>
        <w:tc>
          <w:tcPr>
            <w:tcW w:w="378" w:type="pct"/>
            <w:vMerge w:val="restart"/>
            <w:vAlign w:val="center"/>
          </w:tcPr>
          <w:p w14:paraId="3076B179">
            <w:pPr>
              <w:spacing w:line="240" w:lineRule="auto"/>
              <w:jc w:val="center"/>
              <w:rPr>
                <w:rFonts w:hint="default" w:ascii="Times New Roman" w:hAnsi="Times New Roman" w:cs="Times New Roman" w:eastAsiaTheme="minorEastAsia"/>
                <w:sz w:val="18"/>
                <w:szCs w:val="18"/>
                <w:vertAlign w:val="baseline"/>
                <w:lang w:val="en-US" w:eastAsia="zh-CN"/>
              </w:rPr>
            </w:pPr>
            <w:r>
              <w:rPr>
                <w:rFonts w:hint="default" w:ascii="Times New Roman" w:hAnsi="Times New Roman" w:cs="Times New Roman"/>
                <w:sz w:val="18"/>
                <w:szCs w:val="18"/>
                <w:vertAlign w:val="baseline"/>
                <w:lang w:val="en-US" w:eastAsia="zh-CN"/>
              </w:rPr>
              <w:t>数据来源</w:t>
            </w:r>
            <w:r>
              <w:rPr>
                <w:rFonts w:hint="eastAsia" w:ascii="Times New Roman" w:hAnsi="Times New Roman" w:cs="Times New Roman"/>
                <w:sz w:val="18"/>
                <w:szCs w:val="18"/>
                <w:vertAlign w:val="superscript"/>
                <w:lang w:val="en-US" w:eastAsia="zh-CN"/>
              </w:rPr>
              <w:t>b</w:t>
            </w:r>
          </w:p>
        </w:tc>
        <w:tc>
          <w:tcPr>
            <w:tcW w:w="450" w:type="pct"/>
            <w:vMerge w:val="restart"/>
            <w:vAlign w:val="center"/>
          </w:tcPr>
          <w:p w14:paraId="75C6E8C8">
            <w:pPr>
              <w:spacing w:line="24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数据获取方式</w:t>
            </w:r>
            <w:r>
              <w:rPr>
                <w:rFonts w:hint="eastAsia" w:ascii="Times New Roman" w:hAnsi="Times New Roman" w:cs="Times New Roman"/>
                <w:sz w:val="18"/>
                <w:szCs w:val="18"/>
                <w:vertAlign w:val="superscript"/>
                <w:lang w:val="en-US" w:eastAsia="zh-CN"/>
              </w:rPr>
              <w:t>c</w:t>
            </w:r>
          </w:p>
        </w:tc>
        <w:tc>
          <w:tcPr>
            <w:tcW w:w="2419" w:type="pct"/>
            <w:gridSpan w:val="6"/>
            <w:vAlign w:val="center"/>
          </w:tcPr>
          <w:p w14:paraId="54D4FFF3">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运输过程</w:t>
            </w:r>
          </w:p>
        </w:tc>
      </w:tr>
      <w:tr w14:paraId="3B51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8" w:type="pct"/>
            <w:gridSpan w:val="2"/>
            <w:vMerge w:val="continue"/>
            <w:vAlign w:val="center"/>
          </w:tcPr>
          <w:p w14:paraId="0943DCB6">
            <w:pPr>
              <w:spacing w:line="240" w:lineRule="auto"/>
              <w:jc w:val="center"/>
              <w:rPr>
                <w:rFonts w:hint="default" w:ascii="Times New Roman" w:hAnsi="Times New Roman" w:cs="Times New Roman" w:eastAsiaTheme="minorEastAsia"/>
                <w:sz w:val="18"/>
                <w:szCs w:val="18"/>
                <w:vertAlign w:val="baseline"/>
                <w:lang w:val="en-US" w:eastAsia="zh-CN"/>
              </w:rPr>
            </w:pPr>
          </w:p>
        </w:tc>
        <w:tc>
          <w:tcPr>
            <w:tcW w:w="433" w:type="pct"/>
            <w:vMerge w:val="continue"/>
            <w:vAlign w:val="center"/>
          </w:tcPr>
          <w:p w14:paraId="2C91CA7E">
            <w:pPr>
              <w:spacing w:line="240" w:lineRule="auto"/>
              <w:jc w:val="center"/>
              <w:rPr>
                <w:rFonts w:hint="default" w:ascii="Times New Roman" w:hAnsi="Times New Roman" w:cs="Times New Roman" w:eastAsiaTheme="minorEastAsia"/>
                <w:sz w:val="18"/>
                <w:szCs w:val="18"/>
                <w:vertAlign w:val="baseline"/>
                <w:lang w:val="en-US" w:eastAsia="zh-CN"/>
              </w:rPr>
            </w:pPr>
          </w:p>
        </w:tc>
        <w:tc>
          <w:tcPr>
            <w:tcW w:w="476" w:type="pct"/>
            <w:vMerge w:val="continue"/>
            <w:vAlign w:val="center"/>
          </w:tcPr>
          <w:p w14:paraId="75C1FAD7">
            <w:pPr>
              <w:spacing w:line="240" w:lineRule="auto"/>
              <w:jc w:val="center"/>
              <w:rPr>
                <w:rFonts w:hint="default" w:ascii="Times New Roman" w:hAnsi="Times New Roman" w:cs="Times New Roman" w:eastAsiaTheme="minorEastAsia"/>
                <w:sz w:val="18"/>
                <w:szCs w:val="18"/>
                <w:vertAlign w:val="baseline"/>
                <w:lang w:val="en-US" w:eastAsia="zh-CN"/>
              </w:rPr>
            </w:pPr>
          </w:p>
        </w:tc>
        <w:tc>
          <w:tcPr>
            <w:tcW w:w="243" w:type="pct"/>
            <w:vMerge w:val="continue"/>
            <w:vAlign w:val="center"/>
          </w:tcPr>
          <w:p w14:paraId="102DAABA">
            <w:pPr>
              <w:spacing w:line="240" w:lineRule="auto"/>
              <w:jc w:val="center"/>
              <w:rPr>
                <w:rFonts w:hint="default" w:ascii="Times New Roman" w:hAnsi="Times New Roman" w:cs="Times New Roman" w:eastAsiaTheme="minorEastAsia"/>
                <w:sz w:val="18"/>
                <w:szCs w:val="18"/>
                <w:vertAlign w:val="baseline"/>
                <w:lang w:val="en-US" w:eastAsia="zh-CN"/>
              </w:rPr>
            </w:pPr>
          </w:p>
        </w:tc>
        <w:tc>
          <w:tcPr>
            <w:tcW w:w="378" w:type="pct"/>
            <w:vMerge w:val="continue"/>
            <w:vAlign w:val="center"/>
          </w:tcPr>
          <w:p w14:paraId="25050404">
            <w:pPr>
              <w:spacing w:line="240" w:lineRule="auto"/>
              <w:jc w:val="center"/>
              <w:rPr>
                <w:rFonts w:hint="default" w:ascii="Times New Roman" w:hAnsi="Times New Roman" w:cs="Times New Roman" w:eastAsiaTheme="minorEastAsia"/>
                <w:sz w:val="18"/>
                <w:szCs w:val="18"/>
                <w:vertAlign w:val="baseline"/>
                <w:lang w:val="en-US" w:eastAsia="zh-CN"/>
              </w:rPr>
            </w:pPr>
          </w:p>
        </w:tc>
        <w:tc>
          <w:tcPr>
            <w:tcW w:w="450" w:type="pct"/>
            <w:vMerge w:val="continue"/>
            <w:vAlign w:val="center"/>
          </w:tcPr>
          <w:p w14:paraId="334498FE">
            <w:pPr>
              <w:spacing w:line="240" w:lineRule="auto"/>
              <w:jc w:val="center"/>
              <w:rPr>
                <w:rFonts w:hint="default" w:ascii="Times New Roman" w:hAnsi="Times New Roman" w:cs="Times New Roman"/>
                <w:sz w:val="18"/>
                <w:szCs w:val="18"/>
                <w:vertAlign w:val="baseline"/>
                <w:lang w:val="en-US" w:eastAsia="zh-CN"/>
              </w:rPr>
            </w:pPr>
          </w:p>
        </w:tc>
        <w:tc>
          <w:tcPr>
            <w:tcW w:w="434" w:type="pct"/>
            <w:vAlign w:val="center"/>
          </w:tcPr>
          <w:p w14:paraId="1D602A59">
            <w:pPr>
              <w:spacing w:line="24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供应商所在城市</w:t>
            </w:r>
          </w:p>
        </w:tc>
        <w:tc>
          <w:tcPr>
            <w:tcW w:w="382" w:type="pct"/>
            <w:vAlign w:val="center"/>
          </w:tcPr>
          <w:p w14:paraId="0A973BB8">
            <w:pPr>
              <w:spacing w:line="24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运输方式</w:t>
            </w:r>
            <w:r>
              <w:rPr>
                <w:rFonts w:hint="eastAsia" w:ascii="Times New Roman" w:hAnsi="Times New Roman" w:cs="Times New Roman"/>
                <w:sz w:val="18"/>
                <w:szCs w:val="18"/>
                <w:vertAlign w:val="superscript"/>
                <w:lang w:val="en-US" w:eastAsia="zh-CN"/>
              </w:rPr>
              <w:t>d</w:t>
            </w:r>
          </w:p>
        </w:tc>
        <w:tc>
          <w:tcPr>
            <w:tcW w:w="365" w:type="pct"/>
            <w:vAlign w:val="center"/>
          </w:tcPr>
          <w:p w14:paraId="2F73CA57">
            <w:pPr>
              <w:spacing w:line="24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运输工具</w:t>
            </w:r>
            <w:r>
              <w:rPr>
                <w:rFonts w:hint="eastAsia" w:ascii="Times New Roman" w:hAnsi="Times New Roman" w:cs="Times New Roman"/>
                <w:sz w:val="18"/>
                <w:szCs w:val="18"/>
                <w:vertAlign w:val="superscript"/>
                <w:lang w:val="en-US" w:eastAsia="zh-CN"/>
              </w:rPr>
              <w:t>e</w:t>
            </w:r>
          </w:p>
        </w:tc>
        <w:tc>
          <w:tcPr>
            <w:tcW w:w="387" w:type="pct"/>
            <w:vAlign w:val="center"/>
          </w:tcPr>
          <w:p w14:paraId="2193F542">
            <w:pPr>
              <w:spacing w:line="24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运输距离</w:t>
            </w:r>
          </w:p>
          <w:p w14:paraId="7825C59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r>
              <w:rPr>
                <w:rFonts w:hint="default" w:ascii="Times New Roman" w:hAnsi="Times New Roman" w:cs="Times New Roman"/>
                <w:sz w:val="18"/>
                <w:szCs w:val="18"/>
                <w:vertAlign w:val="baseline"/>
                <w:lang w:val="en-US" w:eastAsia="zh-CN"/>
              </w:rPr>
              <w:t>km</w:t>
            </w:r>
            <w:r>
              <w:rPr>
                <w:rFonts w:hint="eastAsia" w:ascii="Times New Roman" w:hAnsi="Times New Roman" w:cs="Times New Roman"/>
                <w:sz w:val="18"/>
                <w:szCs w:val="18"/>
                <w:vertAlign w:val="baseline"/>
                <w:lang w:val="en-US" w:eastAsia="zh-CN"/>
              </w:rPr>
              <w:t>）</w:t>
            </w:r>
          </w:p>
        </w:tc>
        <w:tc>
          <w:tcPr>
            <w:tcW w:w="376" w:type="pct"/>
            <w:vAlign w:val="center"/>
          </w:tcPr>
          <w:p w14:paraId="1736C72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数据来源</w:t>
            </w:r>
            <w:r>
              <w:rPr>
                <w:rFonts w:hint="eastAsia" w:ascii="Times New Roman" w:hAnsi="Times New Roman" w:cs="Times New Roman"/>
                <w:sz w:val="18"/>
                <w:szCs w:val="18"/>
                <w:vertAlign w:val="superscript"/>
                <w:lang w:val="en-US" w:eastAsia="zh-CN"/>
              </w:rPr>
              <w:t>b</w:t>
            </w:r>
          </w:p>
        </w:tc>
        <w:tc>
          <w:tcPr>
            <w:tcW w:w="472" w:type="pct"/>
            <w:vAlign w:val="center"/>
          </w:tcPr>
          <w:p w14:paraId="3E01774D">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数据获取方式</w:t>
            </w:r>
            <w:r>
              <w:rPr>
                <w:rFonts w:hint="eastAsia" w:ascii="Times New Roman" w:hAnsi="Times New Roman" w:cs="Times New Roman"/>
                <w:sz w:val="18"/>
                <w:szCs w:val="18"/>
                <w:vertAlign w:val="superscript"/>
                <w:lang w:val="en-US" w:eastAsia="zh-CN"/>
              </w:rPr>
              <w:t>c</w:t>
            </w:r>
          </w:p>
        </w:tc>
      </w:tr>
      <w:tr w14:paraId="0B33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8" w:type="pct"/>
            <w:gridSpan w:val="2"/>
            <w:vMerge w:val="restart"/>
            <w:vAlign w:val="center"/>
          </w:tcPr>
          <w:p w14:paraId="73606219">
            <w:pPr>
              <w:spacing w:line="24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核心原料</w:t>
            </w:r>
          </w:p>
        </w:tc>
        <w:tc>
          <w:tcPr>
            <w:tcW w:w="433" w:type="pct"/>
            <w:vAlign w:val="center"/>
          </w:tcPr>
          <w:p w14:paraId="3738D66B">
            <w:pPr>
              <w:spacing w:line="240" w:lineRule="auto"/>
              <w:jc w:val="center"/>
              <w:rPr>
                <w:rFonts w:hint="eastAsia" w:ascii="Times New Roman" w:hAnsi="Times New Roman" w:cs="Times New Roman" w:eastAsiaTheme="minorEastAsia"/>
                <w:sz w:val="18"/>
                <w:szCs w:val="18"/>
                <w:vertAlign w:val="baseline"/>
                <w:lang w:val="en-US" w:eastAsia="zh-CN"/>
              </w:rPr>
            </w:pPr>
            <w:r>
              <w:rPr>
                <w:rFonts w:hint="eastAsia" w:ascii="Times New Roman" w:hAnsi="Times New Roman" w:cs="Times New Roman"/>
                <w:sz w:val="18"/>
                <w:szCs w:val="18"/>
                <w:vertAlign w:val="baseline"/>
                <w:lang w:val="en-US" w:eastAsia="zh-CN"/>
              </w:rPr>
              <w:t>水</w:t>
            </w:r>
          </w:p>
        </w:tc>
        <w:tc>
          <w:tcPr>
            <w:tcW w:w="476" w:type="pct"/>
            <w:vAlign w:val="center"/>
          </w:tcPr>
          <w:p w14:paraId="4A03B708">
            <w:pPr>
              <w:spacing w:line="240" w:lineRule="auto"/>
              <w:jc w:val="center"/>
              <w:rPr>
                <w:rFonts w:hint="default" w:ascii="Times New Roman" w:hAnsi="Times New Roman" w:cs="Times New Roman"/>
                <w:sz w:val="18"/>
                <w:szCs w:val="18"/>
                <w:vertAlign w:val="baseline"/>
              </w:rPr>
            </w:pPr>
          </w:p>
        </w:tc>
        <w:tc>
          <w:tcPr>
            <w:tcW w:w="243" w:type="pct"/>
            <w:vAlign w:val="center"/>
          </w:tcPr>
          <w:p w14:paraId="667492BA">
            <w:pPr>
              <w:spacing w:line="240" w:lineRule="auto"/>
              <w:jc w:val="center"/>
              <w:rPr>
                <w:rFonts w:hint="default" w:ascii="Times New Roman" w:hAnsi="Times New Roman" w:cs="Times New Roman"/>
                <w:sz w:val="18"/>
                <w:szCs w:val="18"/>
                <w:vertAlign w:val="baseline"/>
              </w:rPr>
            </w:pPr>
          </w:p>
        </w:tc>
        <w:tc>
          <w:tcPr>
            <w:tcW w:w="378" w:type="pct"/>
            <w:vAlign w:val="center"/>
          </w:tcPr>
          <w:p w14:paraId="533A0A5A">
            <w:pPr>
              <w:spacing w:line="240" w:lineRule="auto"/>
              <w:jc w:val="center"/>
              <w:rPr>
                <w:rFonts w:hint="default" w:ascii="Times New Roman" w:hAnsi="Times New Roman" w:cs="Times New Roman"/>
                <w:sz w:val="18"/>
                <w:szCs w:val="18"/>
                <w:vertAlign w:val="baseline"/>
              </w:rPr>
            </w:pPr>
          </w:p>
        </w:tc>
        <w:tc>
          <w:tcPr>
            <w:tcW w:w="450" w:type="pct"/>
            <w:vAlign w:val="center"/>
          </w:tcPr>
          <w:p w14:paraId="7E8513C6">
            <w:pPr>
              <w:spacing w:line="240" w:lineRule="auto"/>
              <w:jc w:val="center"/>
              <w:rPr>
                <w:rFonts w:hint="default" w:ascii="Times New Roman" w:hAnsi="Times New Roman" w:cs="Times New Roman"/>
                <w:sz w:val="18"/>
                <w:szCs w:val="18"/>
                <w:vertAlign w:val="baseline"/>
              </w:rPr>
            </w:pPr>
          </w:p>
        </w:tc>
        <w:tc>
          <w:tcPr>
            <w:tcW w:w="434" w:type="pct"/>
            <w:vAlign w:val="center"/>
          </w:tcPr>
          <w:p w14:paraId="480CA1A3">
            <w:pPr>
              <w:spacing w:line="240" w:lineRule="auto"/>
              <w:jc w:val="center"/>
              <w:rPr>
                <w:rFonts w:hint="default" w:ascii="Times New Roman" w:hAnsi="Times New Roman" w:cs="Times New Roman"/>
                <w:sz w:val="18"/>
                <w:szCs w:val="18"/>
                <w:vertAlign w:val="baseline"/>
              </w:rPr>
            </w:pPr>
          </w:p>
        </w:tc>
        <w:tc>
          <w:tcPr>
            <w:tcW w:w="382" w:type="pct"/>
            <w:vAlign w:val="center"/>
          </w:tcPr>
          <w:p w14:paraId="30756C16">
            <w:pPr>
              <w:spacing w:line="240" w:lineRule="auto"/>
              <w:jc w:val="center"/>
              <w:rPr>
                <w:rFonts w:hint="default" w:ascii="Times New Roman" w:hAnsi="Times New Roman" w:cs="Times New Roman"/>
                <w:sz w:val="18"/>
                <w:szCs w:val="18"/>
                <w:vertAlign w:val="baseline"/>
              </w:rPr>
            </w:pPr>
          </w:p>
        </w:tc>
        <w:tc>
          <w:tcPr>
            <w:tcW w:w="365" w:type="pct"/>
            <w:vAlign w:val="center"/>
          </w:tcPr>
          <w:p w14:paraId="178190A9">
            <w:pPr>
              <w:spacing w:line="240" w:lineRule="auto"/>
              <w:jc w:val="center"/>
              <w:rPr>
                <w:rFonts w:hint="default" w:ascii="Times New Roman" w:hAnsi="Times New Roman" w:cs="Times New Roman"/>
                <w:sz w:val="18"/>
                <w:szCs w:val="18"/>
                <w:vertAlign w:val="baseline"/>
              </w:rPr>
            </w:pPr>
          </w:p>
        </w:tc>
        <w:tc>
          <w:tcPr>
            <w:tcW w:w="387" w:type="pct"/>
            <w:vAlign w:val="center"/>
          </w:tcPr>
          <w:p w14:paraId="7E51F7C6">
            <w:pPr>
              <w:spacing w:line="240" w:lineRule="auto"/>
              <w:jc w:val="center"/>
              <w:rPr>
                <w:rFonts w:hint="default" w:ascii="Times New Roman" w:hAnsi="Times New Roman" w:cs="Times New Roman"/>
                <w:sz w:val="18"/>
                <w:szCs w:val="18"/>
                <w:vertAlign w:val="baseline"/>
              </w:rPr>
            </w:pPr>
          </w:p>
        </w:tc>
        <w:tc>
          <w:tcPr>
            <w:tcW w:w="376" w:type="pct"/>
            <w:vAlign w:val="center"/>
          </w:tcPr>
          <w:p w14:paraId="4190CD9F">
            <w:pPr>
              <w:spacing w:line="240" w:lineRule="auto"/>
              <w:jc w:val="center"/>
              <w:rPr>
                <w:rFonts w:hint="default" w:ascii="Times New Roman" w:hAnsi="Times New Roman" w:cs="Times New Roman"/>
                <w:sz w:val="18"/>
                <w:szCs w:val="18"/>
                <w:vertAlign w:val="baseline"/>
              </w:rPr>
            </w:pPr>
          </w:p>
        </w:tc>
        <w:tc>
          <w:tcPr>
            <w:tcW w:w="472" w:type="pct"/>
            <w:vAlign w:val="center"/>
          </w:tcPr>
          <w:p w14:paraId="268A6A91">
            <w:pPr>
              <w:spacing w:line="240" w:lineRule="auto"/>
              <w:jc w:val="center"/>
              <w:rPr>
                <w:rFonts w:hint="default" w:ascii="Times New Roman" w:hAnsi="Times New Roman" w:cs="Times New Roman"/>
                <w:sz w:val="18"/>
                <w:szCs w:val="18"/>
                <w:vertAlign w:val="baseline"/>
              </w:rPr>
            </w:pPr>
          </w:p>
        </w:tc>
      </w:tr>
      <w:tr w14:paraId="71AA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98" w:type="pct"/>
            <w:gridSpan w:val="2"/>
            <w:vMerge w:val="continue"/>
            <w:vAlign w:val="center"/>
          </w:tcPr>
          <w:p w14:paraId="35E84DE3">
            <w:pPr>
              <w:spacing w:line="240" w:lineRule="auto"/>
              <w:jc w:val="center"/>
              <w:rPr>
                <w:rFonts w:hint="default" w:ascii="Times New Roman" w:hAnsi="Times New Roman" w:cs="Times New Roman"/>
                <w:sz w:val="18"/>
                <w:szCs w:val="18"/>
                <w:vertAlign w:val="baseline"/>
                <w:lang w:val="en-US" w:eastAsia="zh-CN"/>
              </w:rPr>
            </w:pPr>
          </w:p>
        </w:tc>
        <w:tc>
          <w:tcPr>
            <w:tcW w:w="433" w:type="pct"/>
            <w:vAlign w:val="center"/>
          </w:tcPr>
          <w:p w14:paraId="44BA49B4">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茶叶</w:t>
            </w:r>
          </w:p>
        </w:tc>
        <w:tc>
          <w:tcPr>
            <w:tcW w:w="476" w:type="pct"/>
            <w:vAlign w:val="center"/>
          </w:tcPr>
          <w:p w14:paraId="2B8AA481">
            <w:pPr>
              <w:spacing w:line="240" w:lineRule="auto"/>
              <w:jc w:val="center"/>
              <w:rPr>
                <w:rFonts w:hint="default" w:ascii="Times New Roman" w:hAnsi="Times New Roman" w:cs="Times New Roman"/>
                <w:sz w:val="18"/>
                <w:szCs w:val="18"/>
                <w:vertAlign w:val="baseline"/>
              </w:rPr>
            </w:pPr>
          </w:p>
        </w:tc>
        <w:tc>
          <w:tcPr>
            <w:tcW w:w="243" w:type="pct"/>
            <w:vAlign w:val="center"/>
          </w:tcPr>
          <w:p w14:paraId="4B3FA58E">
            <w:pPr>
              <w:spacing w:line="240" w:lineRule="auto"/>
              <w:jc w:val="center"/>
              <w:rPr>
                <w:rFonts w:hint="default" w:ascii="Times New Roman" w:hAnsi="Times New Roman" w:cs="Times New Roman"/>
                <w:sz w:val="18"/>
                <w:szCs w:val="18"/>
                <w:vertAlign w:val="baseline"/>
              </w:rPr>
            </w:pPr>
          </w:p>
        </w:tc>
        <w:tc>
          <w:tcPr>
            <w:tcW w:w="378" w:type="pct"/>
            <w:vAlign w:val="center"/>
          </w:tcPr>
          <w:p w14:paraId="710213EB">
            <w:pPr>
              <w:spacing w:line="240" w:lineRule="auto"/>
              <w:jc w:val="center"/>
              <w:rPr>
                <w:rFonts w:hint="default" w:ascii="Times New Roman" w:hAnsi="Times New Roman" w:cs="Times New Roman"/>
                <w:sz w:val="18"/>
                <w:szCs w:val="18"/>
                <w:vertAlign w:val="baseline"/>
              </w:rPr>
            </w:pPr>
          </w:p>
        </w:tc>
        <w:tc>
          <w:tcPr>
            <w:tcW w:w="450" w:type="pct"/>
            <w:vAlign w:val="center"/>
          </w:tcPr>
          <w:p w14:paraId="350380BB">
            <w:pPr>
              <w:spacing w:line="240" w:lineRule="auto"/>
              <w:jc w:val="center"/>
              <w:rPr>
                <w:rFonts w:hint="default" w:ascii="Times New Roman" w:hAnsi="Times New Roman" w:cs="Times New Roman"/>
                <w:sz w:val="18"/>
                <w:szCs w:val="18"/>
                <w:vertAlign w:val="baseline"/>
              </w:rPr>
            </w:pPr>
          </w:p>
        </w:tc>
        <w:tc>
          <w:tcPr>
            <w:tcW w:w="434" w:type="pct"/>
            <w:vAlign w:val="center"/>
          </w:tcPr>
          <w:p w14:paraId="512B3381">
            <w:pPr>
              <w:spacing w:line="240" w:lineRule="auto"/>
              <w:jc w:val="center"/>
              <w:rPr>
                <w:rFonts w:hint="default" w:ascii="Times New Roman" w:hAnsi="Times New Roman" w:cs="Times New Roman"/>
                <w:sz w:val="18"/>
                <w:szCs w:val="18"/>
                <w:vertAlign w:val="baseline"/>
              </w:rPr>
            </w:pPr>
          </w:p>
        </w:tc>
        <w:tc>
          <w:tcPr>
            <w:tcW w:w="382" w:type="pct"/>
            <w:vAlign w:val="center"/>
          </w:tcPr>
          <w:p w14:paraId="367D4407">
            <w:pPr>
              <w:spacing w:line="240" w:lineRule="auto"/>
              <w:jc w:val="center"/>
              <w:rPr>
                <w:rFonts w:hint="default" w:ascii="Times New Roman" w:hAnsi="Times New Roman" w:cs="Times New Roman"/>
                <w:sz w:val="18"/>
                <w:szCs w:val="18"/>
                <w:vertAlign w:val="baseline"/>
              </w:rPr>
            </w:pPr>
          </w:p>
        </w:tc>
        <w:tc>
          <w:tcPr>
            <w:tcW w:w="365" w:type="pct"/>
            <w:vAlign w:val="center"/>
          </w:tcPr>
          <w:p w14:paraId="109A6AC2">
            <w:pPr>
              <w:spacing w:line="240" w:lineRule="auto"/>
              <w:jc w:val="center"/>
              <w:rPr>
                <w:rFonts w:hint="default" w:ascii="Times New Roman" w:hAnsi="Times New Roman" w:cs="Times New Roman"/>
                <w:sz w:val="18"/>
                <w:szCs w:val="18"/>
                <w:vertAlign w:val="baseline"/>
              </w:rPr>
            </w:pPr>
          </w:p>
        </w:tc>
        <w:tc>
          <w:tcPr>
            <w:tcW w:w="387" w:type="pct"/>
            <w:vAlign w:val="center"/>
          </w:tcPr>
          <w:p w14:paraId="748A242F">
            <w:pPr>
              <w:spacing w:line="240" w:lineRule="auto"/>
              <w:jc w:val="center"/>
              <w:rPr>
                <w:rFonts w:hint="default" w:ascii="Times New Roman" w:hAnsi="Times New Roman" w:cs="Times New Roman"/>
                <w:sz w:val="18"/>
                <w:szCs w:val="18"/>
                <w:vertAlign w:val="baseline"/>
              </w:rPr>
            </w:pPr>
          </w:p>
        </w:tc>
        <w:tc>
          <w:tcPr>
            <w:tcW w:w="376" w:type="pct"/>
            <w:vAlign w:val="center"/>
          </w:tcPr>
          <w:p w14:paraId="32FEE935">
            <w:pPr>
              <w:spacing w:line="240" w:lineRule="auto"/>
              <w:jc w:val="center"/>
              <w:rPr>
                <w:rFonts w:hint="default" w:ascii="Times New Roman" w:hAnsi="Times New Roman" w:cs="Times New Roman"/>
                <w:sz w:val="18"/>
                <w:szCs w:val="18"/>
                <w:vertAlign w:val="baseline"/>
              </w:rPr>
            </w:pPr>
          </w:p>
        </w:tc>
        <w:tc>
          <w:tcPr>
            <w:tcW w:w="472" w:type="pct"/>
            <w:vAlign w:val="center"/>
          </w:tcPr>
          <w:p w14:paraId="7482B099">
            <w:pPr>
              <w:spacing w:line="240" w:lineRule="auto"/>
              <w:jc w:val="center"/>
              <w:rPr>
                <w:rFonts w:hint="default" w:ascii="Times New Roman" w:hAnsi="Times New Roman" w:cs="Times New Roman"/>
                <w:sz w:val="18"/>
                <w:szCs w:val="18"/>
                <w:vertAlign w:val="baseline"/>
              </w:rPr>
            </w:pPr>
          </w:p>
        </w:tc>
      </w:tr>
      <w:tr w14:paraId="38CD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8" w:type="pct"/>
            <w:gridSpan w:val="2"/>
            <w:vMerge w:val="continue"/>
            <w:vAlign w:val="center"/>
          </w:tcPr>
          <w:p w14:paraId="5D6AFB19">
            <w:pPr>
              <w:spacing w:line="240" w:lineRule="auto"/>
              <w:jc w:val="center"/>
              <w:rPr>
                <w:rFonts w:hint="default" w:ascii="Times New Roman" w:hAnsi="Times New Roman" w:cs="Times New Roman"/>
                <w:sz w:val="18"/>
                <w:szCs w:val="18"/>
                <w:vertAlign w:val="baseline"/>
                <w:lang w:val="en-US" w:eastAsia="zh-CN"/>
              </w:rPr>
            </w:pPr>
          </w:p>
        </w:tc>
        <w:tc>
          <w:tcPr>
            <w:tcW w:w="433" w:type="pct"/>
            <w:vAlign w:val="center"/>
          </w:tcPr>
          <w:p w14:paraId="11BA25A2">
            <w:pPr>
              <w:spacing w:line="240" w:lineRule="auto"/>
              <w:jc w:val="center"/>
              <w:rPr>
                <w:rFonts w:hint="default" w:ascii="Times New Roman" w:hAnsi="Times New Roman" w:cs="Times New Roman" w:eastAsiaTheme="minorEastAsia"/>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476" w:type="pct"/>
            <w:vAlign w:val="center"/>
          </w:tcPr>
          <w:p w14:paraId="009A95BF">
            <w:pPr>
              <w:spacing w:line="240" w:lineRule="auto"/>
              <w:jc w:val="center"/>
              <w:rPr>
                <w:rFonts w:hint="default" w:ascii="Times New Roman" w:hAnsi="Times New Roman" w:cs="Times New Roman"/>
                <w:sz w:val="18"/>
                <w:szCs w:val="18"/>
                <w:vertAlign w:val="baseline"/>
              </w:rPr>
            </w:pPr>
          </w:p>
        </w:tc>
        <w:tc>
          <w:tcPr>
            <w:tcW w:w="243" w:type="pct"/>
            <w:vAlign w:val="center"/>
          </w:tcPr>
          <w:p w14:paraId="101DCAD9">
            <w:pPr>
              <w:spacing w:line="240" w:lineRule="auto"/>
              <w:jc w:val="center"/>
              <w:rPr>
                <w:rFonts w:hint="default" w:ascii="Times New Roman" w:hAnsi="Times New Roman" w:cs="Times New Roman"/>
                <w:sz w:val="18"/>
                <w:szCs w:val="18"/>
                <w:vertAlign w:val="baseline"/>
              </w:rPr>
            </w:pPr>
          </w:p>
        </w:tc>
        <w:tc>
          <w:tcPr>
            <w:tcW w:w="378" w:type="pct"/>
            <w:vAlign w:val="center"/>
          </w:tcPr>
          <w:p w14:paraId="1B0D65D4">
            <w:pPr>
              <w:spacing w:line="240" w:lineRule="auto"/>
              <w:jc w:val="center"/>
              <w:rPr>
                <w:rFonts w:hint="default" w:ascii="Times New Roman" w:hAnsi="Times New Roman" w:cs="Times New Roman"/>
                <w:sz w:val="18"/>
                <w:szCs w:val="18"/>
                <w:vertAlign w:val="baseline"/>
              </w:rPr>
            </w:pPr>
          </w:p>
        </w:tc>
        <w:tc>
          <w:tcPr>
            <w:tcW w:w="450" w:type="pct"/>
            <w:vAlign w:val="center"/>
          </w:tcPr>
          <w:p w14:paraId="4C9A4ADF">
            <w:pPr>
              <w:spacing w:line="240" w:lineRule="auto"/>
              <w:jc w:val="center"/>
              <w:rPr>
                <w:rFonts w:hint="default" w:ascii="Times New Roman" w:hAnsi="Times New Roman" w:cs="Times New Roman"/>
                <w:sz w:val="18"/>
                <w:szCs w:val="18"/>
                <w:vertAlign w:val="baseline"/>
              </w:rPr>
            </w:pPr>
          </w:p>
        </w:tc>
        <w:tc>
          <w:tcPr>
            <w:tcW w:w="434" w:type="pct"/>
            <w:vAlign w:val="center"/>
          </w:tcPr>
          <w:p w14:paraId="459E18F5">
            <w:pPr>
              <w:spacing w:line="240" w:lineRule="auto"/>
              <w:jc w:val="center"/>
              <w:rPr>
                <w:rFonts w:hint="default" w:ascii="Times New Roman" w:hAnsi="Times New Roman" w:cs="Times New Roman"/>
                <w:sz w:val="18"/>
                <w:szCs w:val="18"/>
                <w:vertAlign w:val="baseline"/>
              </w:rPr>
            </w:pPr>
          </w:p>
        </w:tc>
        <w:tc>
          <w:tcPr>
            <w:tcW w:w="382" w:type="pct"/>
            <w:vAlign w:val="center"/>
          </w:tcPr>
          <w:p w14:paraId="6E94F89C">
            <w:pPr>
              <w:spacing w:line="240" w:lineRule="auto"/>
              <w:jc w:val="center"/>
              <w:rPr>
                <w:rFonts w:hint="default" w:ascii="Times New Roman" w:hAnsi="Times New Roman" w:cs="Times New Roman"/>
                <w:sz w:val="18"/>
                <w:szCs w:val="18"/>
                <w:vertAlign w:val="baseline"/>
              </w:rPr>
            </w:pPr>
          </w:p>
        </w:tc>
        <w:tc>
          <w:tcPr>
            <w:tcW w:w="365" w:type="pct"/>
            <w:vAlign w:val="center"/>
          </w:tcPr>
          <w:p w14:paraId="0EE47B17">
            <w:pPr>
              <w:spacing w:line="240" w:lineRule="auto"/>
              <w:jc w:val="center"/>
              <w:rPr>
                <w:rFonts w:hint="default" w:ascii="Times New Roman" w:hAnsi="Times New Roman" w:cs="Times New Roman"/>
                <w:sz w:val="18"/>
                <w:szCs w:val="18"/>
                <w:vertAlign w:val="baseline"/>
              </w:rPr>
            </w:pPr>
          </w:p>
        </w:tc>
        <w:tc>
          <w:tcPr>
            <w:tcW w:w="387" w:type="pct"/>
            <w:vAlign w:val="center"/>
          </w:tcPr>
          <w:p w14:paraId="4C75B2E4">
            <w:pPr>
              <w:spacing w:line="240" w:lineRule="auto"/>
              <w:jc w:val="center"/>
              <w:rPr>
                <w:rFonts w:hint="default" w:ascii="Times New Roman" w:hAnsi="Times New Roman" w:cs="Times New Roman"/>
                <w:sz w:val="18"/>
                <w:szCs w:val="18"/>
                <w:vertAlign w:val="baseline"/>
              </w:rPr>
            </w:pPr>
          </w:p>
        </w:tc>
        <w:tc>
          <w:tcPr>
            <w:tcW w:w="376" w:type="pct"/>
            <w:vAlign w:val="center"/>
          </w:tcPr>
          <w:p w14:paraId="16429062">
            <w:pPr>
              <w:spacing w:line="240" w:lineRule="auto"/>
              <w:jc w:val="center"/>
              <w:rPr>
                <w:rFonts w:hint="default" w:ascii="Times New Roman" w:hAnsi="Times New Roman" w:cs="Times New Roman"/>
                <w:sz w:val="18"/>
                <w:szCs w:val="18"/>
                <w:vertAlign w:val="baseline"/>
              </w:rPr>
            </w:pPr>
          </w:p>
        </w:tc>
        <w:tc>
          <w:tcPr>
            <w:tcW w:w="472" w:type="pct"/>
            <w:vAlign w:val="center"/>
          </w:tcPr>
          <w:p w14:paraId="399B570C">
            <w:pPr>
              <w:spacing w:line="240" w:lineRule="auto"/>
              <w:jc w:val="center"/>
              <w:rPr>
                <w:rFonts w:hint="default" w:ascii="Times New Roman" w:hAnsi="Times New Roman" w:cs="Times New Roman"/>
                <w:sz w:val="18"/>
                <w:szCs w:val="18"/>
                <w:vertAlign w:val="baseline"/>
              </w:rPr>
            </w:pPr>
          </w:p>
        </w:tc>
      </w:tr>
      <w:tr w14:paraId="110F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8" w:type="pct"/>
            <w:gridSpan w:val="2"/>
            <w:vMerge w:val="restart"/>
            <w:vAlign w:val="center"/>
          </w:tcPr>
          <w:p w14:paraId="6E8860A8">
            <w:pPr>
              <w:spacing w:line="24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其他辅料</w:t>
            </w:r>
          </w:p>
        </w:tc>
        <w:tc>
          <w:tcPr>
            <w:tcW w:w="433" w:type="pct"/>
            <w:vAlign w:val="center"/>
          </w:tcPr>
          <w:p w14:paraId="0C78758C">
            <w:pPr>
              <w:spacing w:line="240" w:lineRule="auto"/>
              <w:jc w:val="center"/>
              <w:rPr>
                <w:rFonts w:hint="eastAsia" w:ascii="Times New Roman" w:hAnsi="Times New Roman" w:cs="Times New Roman" w:eastAsiaTheme="minorEastAsia"/>
                <w:sz w:val="18"/>
                <w:szCs w:val="18"/>
                <w:vertAlign w:val="baseline"/>
                <w:lang w:val="en-US" w:eastAsia="zh-CN"/>
              </w:rPr>
            </w:pPr>
            <w:r>
              <w:rPr>
                <w:rFonts w:hint="eastAsia" w:ascii="Times New Roman" w:hAnsi="Times New Roman" w:cs="Times New Roman"/>
                <w:sz w:val="18"/>
                <w:szCs w:val="18"/>
                <w:vertAlign w:val="baseline"/>
                <w:lang w:val="en-US" w:eastAsia="zh-CN"/>
              </w:rPr>
              <w:t>甜味剂</w:t>
            </w:r>
          </w:p>
        </w:tc>
        <w:tc>
          <w:tcPr>
            <w:tcW w:w="476" w:type="pct"/>
            <w:vAlign w:val="center"/>
          </w:tcPr>
          <w:p w14:paraId="39FE3909">
            <w:pPr>
              <w:spacing w:line="240" w:lineRule="auto"/>
              <w:jc w:val="center"/>
              <w:rPr>
                <w:rFonts w:hint="default" w:ascii="Times New Roman" w:hAnsi="Times New Roman" w:cs="Times New Roman"/>
                <w:sz w:val="18"/>
                <w:szCs w:val="18"/>
                <w:vertAlign w:val="baseline"/>
              </w:rPr>
            </w:pPr>
          </w:p>
        </w:tc>
        <w:tc>
          <w:tcPr>
            <w:tcW w:w="243" w:type="pct"/>
            <w:vAlign w:val="center"/>
          </w:tcPr>
          <w:p w14:paraId="49682FF5">
            <w:pPr>
              <w:spacing w:line="240" w:lineRule="auto"/>
              <w:jc w:val="center"/>
              <w:rPr>
                <w:rFonts w:hint="default" w:ascii="Times New Roman" w:hAnsi="Times New Roman" w:cs="Times New Roman"/>
                <w:sz w:val="18"/>
                <w:szCs w:val="18"/>
                <w:vertAlign w:val="baseline"/>
              </w:rPr>
            </w:pPr>
          </w:p>
        </w:tc>
        <w:tc>
          <w:tcPr>
            <w:tcW w:w="378" w:type="pct"/>
            <w:vAlign w:val="center"/>
          </w:tcPr>
          <w:p w14:paraId="3B413E49">
            <w:pPr>
              <w:spacing w:line="240" w:lineRule="auto"/>
              <w:jc w:val="center"/>
              <w:rPr>
                <w:rFonts w:hint="default" w:ascii="Times New Roman" w:hAnsi="Times New Roman" w:cs="Times New Roman"/>
                <w:sz w:val="18"/>
                <w:szCs w:val="18"/>
                <w:vertAlign w:val="baseline"/>
              </w:rPr>
            </w:pPr>
          </w:p>
        </w:tc>
        <w:tc>
          <w:tcPr>
            <w:tcW w:w="450" w:type="pct"/>
            <w:vAlign w:val="center"/>
          </w:tcPr>
          <w:p w14:paraId="79C75A20">
            <w:pPr>
              <w:spacing w:line="240" w:lineRule="auto"/>
              <w:jc w:val="center"/>
              <w:rPr>
                <w:rFonts w:hint="default" w:ascii="Times New Roman" w:hAnsi="Times New Roman" w:cs="Times New Roman"/>
                <w:sz w:val="18"/>
                <w:szCs w:val="18"/>
                <w:vertAlign w:val="baseline"/>
              </w:rPr>
            </w:pPr>
          </w:p>
        </w:tc>
        <w:tc>
          <w:tcPr>
            <w:tcW w:w="434" w:type="pct"/>
            <w:vAlign w:val="center"/>
          </w:tcPr>
          <w:p w14:paraId="05B5E175">
            <w:pPr>
              <w:spacing w:line="240" w:lineRule="auto"/>
              <w:jc w:val="center"/>
              <w:rPr>
                <w:rFonts w:hint="default" w:ascii="Times New Roman" w:hAnsi="Times New Roman" w:cs="Times New Roman"/>
                <w:sz w:val="18"/>
                <w:szCs w:val="18"/>
                <w:vertAlign w:val="baseline"/>
              </w:rPr>
            </w:pPr>
          </w:p>
        </w:tc>
        <w:tc>
          <w:tcPr>
            <w:tcW w:w="382" w:type="pct"/>
            <w:vAlign w:val="center"/>
          </w:tcPr>
          <w:p w14:paraId="13AE4AB6">
            <w:pPr>
              <w:spacing w:line="240" w:lineRule="auto"/>
              <w:jc w:val="center"/>
              <w:rPr>
                <w:rFonts w:hint="default" w:ascii="Times New Roman" w:hAnsi="Times New Roman" w:cs="Times New Roman"/>
                <w:sz w:val="18"/>
                <w:szCs w:val="18"/>
                <w:vertAlign w:val="baseline"/>
              </w:rPr>
            </w:pPr>
          </w:p>
        </w:tc>
        <w:tc>
          <w:tcPr>
            <w:tcW w:w="365" w:type="pct"/>
            <w:vAlign w:val="center"/>
          </w:tcPr>
          <w:p w14:paraId="583D5B6E">
            <w:pPr>
              <w:spacing w:line="240" w:lineRule="auto"/>
              <w:jc w:val="center"/>
              <w:rPr>
                <w:rFonts w:hint="default" w:ascii="Times New Roman" w:hAnsi="Times New Roman" w:cs="Times New Roman"/>
                <w:sz w:val="18"/>
                <w:szCs w:val="18"/>
                <w:vertAlign w:val="baseline"/>
              </w:rPr>
            </w:pPr>
          </w:p>
        </w:tc>
        <w:tc>
          <w:tcPr>
            <w:tcW w:w="387" w:type="pct"/>
            <w:vAlign w:val="center"/>
          </w:tcPr>
          <w:p w14:paraId="3EA9A175">
            <w:pPr>
              <w:spacing w:line="240" w:lineRule="auto"/>
              <w:jc w:val="center"/>
              <w:rPr>
                <w:rFonts w:hint="default" w:ascii="Times New Roman" w:hAnsi="Times New Roman" w:cs="Times New Roman"/>
                <w:sz w:val="18"/>
                <w:szCs w:val="18"/>
                <w:vertAlign w:val="baseline"/>
              </w:rPr>
            </w:pPr>
          </w:p>
        </w:tc>
        <w:tc>
          <w:tcPr>
            <w:tcW w:w="376" w:type="pct"/>
            <w:vAlign w:val="center"/>
          </w:tcPr>
          <w:p w14:paraId="2F41A454">
            <w:pPr>
              <w:spacing w:line="240" w:lineRule="auto"/>
              <w:jc w:val="center"/>
              <w:rPr>
                <w:rFonts w:hint="default" w:ascii="Times New Roman" w:hAnsi="Times New Roman" w:cs="Times New Roman"/>
                <w:sz w:val="18"/>
                <w:szCs w:val="18"/>
                <w:vertAlign w:val="baseline"/>
              </w:rPr>
            </w:pPr>
          </w:p>
        </w:tc>
        <w:tc>
          <w:tcPr>
            <w:tcW w:w="472" w:type="pct"/>
            <w:vAlign w:val="center"/>
          </w:tcPr>
          <w:p w14:paraId="752358CB">
            <w:pPr>
              <w:spacing w:line="240" w:lineRule="auto"/>
              <w:jc w:val="center"/>
              <w:rPr>
                <w:rFonts w:hint="default" w:ascii="Times New Roman" w:hAnsi="Times New Roman" w:cs="Times New Roman"/>
                <w:sz w:val="18"/>
                <w:szCs w:val="18"/>
                <w:vertAlign w:val="baseline"/>
              </w:rPr>
            </w:pPr>
          </w:p>
        </w:tc>
      </w:tr>
      <w:tr w14:paraId="50D2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8" w:type="pct"/>
            <w:gridSpan w:val="2"/>
            <w:vMerge w:val="continue"/>
            <w:vAlign w:val="center"/>
          </w:tcPr>
          <w:p w14:paraId="7C624FFF">
            <w:pPr>
              <w:spacing w:line="240" w:lineRule="auto"/>
              <w:jc w:val="center"/>
              <w:rPr>
                <w:rFonts w:hint="default" w:ascii="Times New Roman" w:hAnsi="Times New Roman" w:cs="Times New Roman"/>
                <w:sz w:val="18"/>
                <w:szCs w:val="18"/>
                <w:vertAlign w:val="baseline"/>
                <w:lang w:val="en-US" w:eastAsia="zh-CN"/>
              </w:rPr>
            </w:pPr>
          </w:p>
        </w:tc>
        <w:tc>
          <w:tcPr>
            <w:tcW w:w="433" w:type="pct"/>
            <w:vAlign w:val="center"/>
          </w:tcPr>
          <w:p w14:paraId="7C7AF226">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白砂糖</w:t>
            </w:r>
          </w:p>
        </w:tc>
        <w:tc>
          <w:tcPr>
            <w:tcW w:w="476" w:type="pct"/>
            <w:vAlign w:val="center"/>
          </w:tcPr>
          <w:p w14:paraId="12B791C9">
            <w:pPr>
              <w:spacing w:line="240" w:lineRule="auto"/>
              <w:jc w:val="center"/>
              <w:rPr>
                <w:rFonts w:hint="default" w:ascii="Times New Roman" w:hAnsi="Times New Roman" w:cs="Times New Roman"/>
                <w:sz w:val="18"/>
                <w:szCs w:val="18"/>
                <w:vertAlign w:val="baseline"/>
              </w:rPr>
            </w:pPr>
          </w:p>
        </w:tc>
        <w:tc>
          <w:tcPr>
            <w:tcW w:w="243" w:type="pct"/>
            <w:vAlign w:val="center"/>
          </w:tcPr>
          <w:p w14:paraId="205EB576">
            <w:pPr>
              <w:spacing w:line="240" w:lineRule="auto"/>
              <w:jc w:val="center"/>
              <w:rPr>
                <w:rFonts w:hint="default" w:ascii="Times New Roman" w:hAnsi="Times New Roman" w:cs="Times New Roman"/>
                <w:sz w:val="18"/>
                <w:szCs w:val="18"/>
                <w:vertAlign w:val="baseline"/>
              </w:rPr>
            </w:pPr>
          </w:p>
        </w:tc>
        <w:tc>
          <w:tcPr>
            <w:tcW w:w="378" w:type="pct"/>
            <w:vAlign w:val="center"/>
          </w:tcPr>
          <w:p w14:paraId="13859427">
            <w:pPr>
              <w:spacing w:line="240" w:lineRule="auto"/>
              <w:jc w:val="center"/>
              <w:rPr>
                <w:rFonts w:hint="default" w:ascii="Times New Roman" w:hAnsi="Times New Roman" w:cs="Times New Roman"/>
                <w:sz w:val="18"/>
                <w:szCs w:val="18"/>
                <w:vertAlign w:val="baseline"/>
              </w:rPr>
            </w:pPr>
          </w:p>
        </w:tc>
        <w:tc>
          <w:tcPr>
            <w:tcW w:w="450" w:type="pct"/>
            <w:vAlign w:val="center"/>
          </w:tcPr>
          <w:p w14:paraId="7D9EAC89">
            <w:pPr>
              <w:spacing w:line="240" w:lineRule="auto"/>
              <w:jc w:val="center"/>
              <w:rPr>
                <w:rFonts w:hint="default" w:ascii="Times New Roman" w:hAnsi="Times New Roman" w:cs="Times New Roman"/>
                <w:sz w:val="18"/>
                <w:szCs w:val="18"/>
                <w:vertAlign w:val="baseline"/>
              </w:rPr>
            </w:pPr>
          </w:p>
        </w:tc>
        <w:tc>
          <w:tcPr>
            <w:tcW w:w="434" w:type="pct"/>
            <w:vAlign w:val="center"/>
          </w:tcPr>
          <w:p w14:paraId="249AFA6B">
            <w:pPr>
              <w:spacing w:line="240" w:lineRule="auto"/>
              <w:jc w:val="center"/>
              <w:rPr>
                <w:rFonts w:hint="default" w:ascii="Times New Roman" w:hAnsi="Times New Roman" w:cs="Times New Roman"/>
                <w:sz w:val="18"/>
                <w:szCs w:val="18"/>
                <w:vertAlign w:val="baseline"/>
              </w:rPr>
            </w:pPr>
          </w:p>
        </w:tc>
        <w:tc>
          <w:tcPr>
            <w:tcW w:w="382" w:type="pct"/>
            <w:vAlign w:val="center"/>
          </w:tcPr>
          <w:p w14:paraId="10B8134E">
            <w:pPr>
              <w:spacing w:line="240" w:lineRule="auto"/>
              <w:jc w:val="center"/>
              <w:rPr>
                <w:rFonts w:hint="default" w:ascii="Times New Roman" w:hAnsi="Times New Roman" w:cs="Times New Roman"/>
                <w:sz w:val="18"/>
                <w:szCs w:val="18"/>
                <w:vertAlign w:val="baseline"/>
              </w:rPr>
            </w:pPr>
          </w:p>
        </w:tc>
        <w:tc>
          <w:tcPr>
            <w:tcW w:w="365" w:type="pct"/>
            <w:vAlign w:val="center"/>
          </w:tcPr>
          <w:p w14:paraId="042CEA55">
            <w:pPr>
              <w:spacing w:line="240" w:lineRule="auto"/>
              <w:jc w:val="center"/>
              <w:rPr>
                <w:rFonts w:hint="default" w:ascii="Times New Roman" w:hAnsi="Times New Roman" w:cs="Times New Roman"/>
                <w:sz w:val="18"/>
                <w:szCs w:val="18"/>
                <w:vertAlign w:val="baseline"/>
              </w:rPr>
            </w:pPr>
          </w:p>
        </w:tc>
        <w:tc>
          <w:tcPr>
            <w:tcW w:w="387" w:type="pct"/>
            <w:vAlign w:val="center"/>
          </w:tcPr>
          <w:p w14:paraId="55B132A7">
            <w:pPr>
              <w:spacing w:line="240" w:lineRule="auto"/>
              <w:jc w:val="center"/>
              <w:rPr>
                <w:rFonts w:hint="default" w:ascii="Times New Roman" w:hAnsi="Times New Roman" w:cs="Times New Roman"/>
                <w:sz w:val="18"/>
                <w:szCs w:val="18"/>
                <w:vertAlign w:val="baseline"/>
              </w:rPr>
            </w:pPr>
          </w:p>
        </w:tc>
        <w:tc>
          <w:tcPr>
            <w:tcW w:w="376" w:type="pct"/>
            <w:vAlign w:val="center"/>
          </w:tcPr>
          <w:p w14:paraId="6E907536">
            <w:pPr>
              <w:spacing w:line="240" w:lineRule="auto"/>
              <w:jc w:val="center"/>
              <w:rPr>
                <w:rFonts w:hint="default" w:ascii="Times New Roman" w:hAnsi="Times New Roman" w:cs="Times New Roman"/>
                <w:sz w:val="18"/>
                <w:szCs w:val="18"/>
                <w:vertAlign w:val="baseline"/>
              </w:rPr>
            </w:pPr>
          </w:p>
        </w:tc>
        <w:tc>
          <w:tcPr>
            <w:tcW w:w="472" w:type="pct"/>
            <w:vAlign w:val="center"/>
          </w:tcPr>
          <w:p w14:paraId="50DE58FF">
            <w:pPr>
              <w:spacing w:line="240" w:lineRule="auto"/>
              <w:jc w:val="center"/>
              <w:rPr>
                <w:rFonts w:hint="default" w:ascii="Times New Roman" w:hAnsi="Times New Roman" w:cs="Times New Roman"/>
                <w:sz w:val="18"/>
                <w:szCs w:val="18"/>
                <w:vertAlign w:val="baseline"/>
              </w:rPr>
            </w:pPr>
          </w:p>
        </w:tc>
      </w:tr>
      <w:tr w14:paraId="0AC5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8" w:type="pct"/>
            <w:gridSpan w:val="2"/>
            <w:vMerge w:val="continue"/>
            <w:vAlign w:val="center"/>
          </w:tcPr>
          <w:p w14:paraId="7FEB2179">
            <w:pPr>
              <w:spacing w:line="240" w:lineRule="auto"/>
              <w:jc w:val="center"/>
              <w:rPr>
                <w:rFonts w:hint="default" w:ascii="Times New Roman" w:hAnsi="Times New Roman" w:cs="Times New Roman"/>
                <w:sz w:val="18"/>
                <w:szCs w:val="18"/>
                <w:vertAlign w:val="baseline"/>
                <w:lang w:val="en-US" w:eastAsia="zh-CN"/>
              </w:rPr>
            </w:pPr>
          </w:p>
        </w:tc>
        <w:tc>
          <w:tcPr>
            <w:tcW w:w="433" w:type="pct"/>
            <w:vAlign w:val="center"/>
          </w:tcPr>
          <w:p w14:paraId="4E19854B">
            <w:pPr>
              <w:spacing w:line="240" w:lineRule="auto"/>
              <w:jc w:val="center"/>
              <w:rPr>
                <w:rFonts w:hint="default" w:ascii="Times New Roman" w:hAnsi="Times New Roman" w:cs="Times New Roman" w:eastAsiaTheme="minorEastAsia"/>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476" w:type="pct"/>
            <w:vAlign w:val="center"/>
          </w:tcPr>
          <w:p w14:paraId="2D7474AD">
            <w:pPr>
              <w:spacing w:line="240" w:lineRule="auto"/>
              <w:jc w:val="center"/>
              <w:rPr>
                <w:rFonts w:hint="default" w:ascii="Times New Roman" w:hAnsi="Times New Roman" w:cs="Times New Roman"/>
                <w:sz w:val="18"/>
                <w:szCs w:val="18"/>
                <w:vertAlign w:val="baseline"/>
              </w:rPr>
            </w:pPr>
          </w:p>
        </w:tc>
        <w:tc>
          <w:tcPr>
            <w:tcW w:w="243" w:type="pct"/>
            <w:vAlign w:val="center"/>
          </w:tcPr>
          <w:p w14:paraId="6A92F38B">
            <w:pPr>
              <w:spacing w:line="240" w:lineRule="auto"/>
              <w:jc w:val="center"/>
              <w:rPr>
                <w:rFonts w:hint="default" w:ascii="Times New Roman" w:hAnsi="Times New Roman" w:cs="Times New Roman"/>
                <w:sz w:val="18"/>
                <w:szCs w:val="18"/>
                <w:vertAlign w:val="baseline"/>
              </w:rPr>
            </w:pPr>
          </w:p>
        </w:tc>
        <w:tc>
          <w:tcPr>
            <w:tcW w:w="378" w:type="pct"/>
            <w:vAlign w:val="center"/>
          </w:tcPr>
          <w:p w14:paraId="3D238A41">
            <w:pPr>
              <w:spacing w:line="240" w:lineRule="auto"/>
              <w:jc w:val="center"/>
              <w:rPr>
                <w:rFonts w:hint="default" w:ascii="Times New Roman" w:hAnsi="Times New Roman" w:cs="Times New Roman"/>
                <w:sz w:val="18"/>
                <w:szCs w:val="18"/>
                <w:vertAlign w:val="baseline"/>
              </w:rPr>
            </w:pPr>
          </w:p>
        </w:tc>
        <w:tc>
          <w:tcPr>
            <w:tcW w:w="450" w:type="pct"/>
            <w:vAlign w:val="center"/>
          </w:tcPr>
          <w:p w14:paraId="415F4484">
            <w:pPr>
              <w:spacing w:line="240" w:lineRule="auto"/>
              <w:jc w:val="center"/>
              <w:rPr>
                <w:rFonts w:hint="default" w:ascii="Times New Roman" w:hAnsi="Times New Roman" w:cs="Times New Roman"/>
                <w:sz w:val="18"/>
                <w:szCs w:val="18"/>
                <w:vertAlign w:val="baseline"/>
              </w:rPr>
            </w:pPr>
          </w:p>
        </w:tc>
        <w:tc>
          <w:tcPr>
            <w:tcW w:w="434" w:type="pct"/>
            <w:vAlign w:val="center"/>
          </w:tcPr>
          <w:p w14:paraId="4F363670">
            <w:pPr>
              <w:spacing w:line="240" w:lineRule="auto"/>
              <w:jc w:val="center"/>
              <w:rPr>
                <w:rFonts w:hint="default" w:ascii="Times New Roman" w:hAnsi="Times New Roman" w:cs="Times New Roman"/>
                <w:sz w:val="18"/>
                <w:szCs w:val="18"/>
                <w:vertAlign w:val="baseline"/>
              </w:rPr>
            </w:pPr>
          </w:p>
        </w:tc>
        <w:tc>
          <w:tcPr>
            <w:tcW w:w="382" w:type="pct"/>
            <w:vAlign w:val="center"/>
          </w:tcPr>
          <w:p w14:paraId="3D0188F5">
            <w:pPr>
              <w:spacing w:line="240" w:lineRule="auto"/>
              <w:jc w:val="center"/>
              <w:rPr>
                <w:rFonts w:hint="default" w:ascii="Times New Roman" w:hAnsi="Times New Roman" w:cs="Times New Roman"/>
                <w:sz w:val="18"/>
                <w:szCs w:val="18"/>
                <w:vertAlign w:val="baseline"/>
              </w:rPr>
            </w:pPr>
          </w:p>
        </w:tc>
        <w:tc>
          <w:tcPr>
            <w:tcW w:w="365" w:type="pct"/>
            <w:vAlign w:val="center"/>
          </w:tcPr>
          <w:p w14:paraId="0B3FB1FF">
            <w:pPr>
              <w:spacing w:line="240" w:lineRule="auto"/>
              <w:jc w:val="center"/>
              <w:rPr>
                <w:rFonts w:hint="default" w:ascii="Times New Roman" w:hAnsi="Times New Roman" w:cs="Times New Roman"/>
                <w:sz w:val="18"/>
                <w:szCs w:val="18"/>
                <w:vertAlign w:val="baseline"/>
              </w:rPr>
            </w:pPr>
          </w:p>
        </w:tc>
        <w:tc>
          <w:tcPr>
            <w:tcW w:w="387" w:type="pct"/>
            <w:vAlign w:val="center"/>
          </w:tcPr>
          <w:p w14:paraId="336AEDA6">
            <w:pPr>
              <w:spacing w:line="240" w:lineRule="auto"/>
              <w:jc w:val="center"/>
              <w:rPr>
                <w:rFonts w:hint="default" w:ascii="Times New Roman" w:hAnsi="Times New Roman" w:cs="Times New Roman"/>
                <w:sz w:val="18"/>
                <w:szCs w:val="18"/>
                <w:vertAlign w:val="baseline"/>
              </w:rPr>
            </w:pPr>
          </w:p>
        </w:tc>
        <w:tc>
          <w:tcPr>
            <w:tcW w:w="376" w:type="pct"/>
            <w:vAlign w:val="center"/>
          </w:tcPr>
          <w:p w14:paraId="045D4A80">
            <w:pPr>
              <w:spacing w:line="240" w:lineRule="auto"/>
              <w:jc w:val="center"/>
              <w:rPr>
                <w:rFonts w:hint="default" w:ascii="Times New Roman" w:hAnsi="Times New Roman" w:cs="Times New Roman"/>
                <w:sz w:val="18"/>
                <w:szCs w:val="18"/>
                <w:vertAlign w:val="baseline"/>
              </w:rPr>
            </w:pPr>
          </w:p>
        </w:tc>
        <w:tc>
          <w:tcPr>
            <w:tcW w:w="472" w:type="pct"/>
            <w:vAlign w:val="center"/>
          </w:tcPr>
          <w:p w14:paraId="305C10C9">
            <w:pPr>
              <w:spacing w:line="240" w:lineRule="auto"/>
              <w:jc w:val="center"/>
              <w:rPr>
                <w:rFonts w:hint="default" w:ascii="Times New Roman" w:hAnsi="Times New Roman" w:cs="Times New Roman"/>
                <w:sz w:val="18"/>
                <w:szCs w:val="18"/>
                <w:vertAlign w:val="baseline"/>
              </w:rPr>
            </w:pPr>
          </w:p>
        </w:tc>
      </w:tr>
      <w:tr w14:paraId="6A89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3" w:type="pct"/>
            <w:vMerge w:val="restart"/>
            <w:vAlign w:val="center"/>
          </w:tcPr>
          <w:p w14:paraId="6B79DF49">
            <w:pPr>
              <w:spacing w:line="24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包装材料</w:t>
            </w:r>
          </w:p>
        </w:tc>
        <w:tc>
          <w:tcPr>
            <w:tcW w:w="354" w:type="pct"/>
            <w:vAlign w:val="center"/>
          </w:tcPr>
          <w:p w14:paraId="2384D62E">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铝罐</w:t>
            </w:r>
          </w:p>
        </w:tc>
        <w:tc>
          <w:tcPr>
            <w:tcW w:w="433" w:type="pct"/>
            <w:vAlign w:val="center"/>
          </w:tcPr>
          <w:p w14:paraId="48744DA5">
            <w:pPr>
              <w:spacing w:line="240" w:lineRule="auto"/>
              <w:jc w:val="center"/>
              <w:rPr>
                <w:rFonts w:hint="default" w:ascii="Times New Roman" w:hAnsi="Times New Roman" w:cs="Times New Roman" w:eastAsiaTheme="minorEastAsia"/>
                <w:sz w:val="18"/>
                <w:szCs w:val="18"/>
                <w:vertAlign w:val="baseline"/>
                <w:lang w:val="en-US" w:eastAsia="zh-CN"/>
              </w:rPr>
            </w:pPr>
            <w:r>
              <w:rPr>
                <w:rFonts w:hint="eastAsia" w:ascii="Times New Roman" w:hAnsi="Times New Roman" w:cs="Times New Roman"/>
                <w:sz w:val="18"/>
                <w:szCs w:val="18"/>
                <w:vertAlign w:val="baseline"/>
                <w:lang w:val="en-US" w:eastAsia="zh-CN"/>
              </w:rPr>
              <w:t>铝</w:t>
            </w:r>
          </w:p>
        </w:tc>
        <w:tc>
          <w:tcPr>
            <w:tcW w:w="476" w:type="pct"/>
            <w:vAlign w:val="center"/>
          </w:tcPr>
          <w:p w14:paraId="02C9A607">
            <w:pPr>
              <w:spacing w:line="240" w:lineRule="auto"/>
              <w:jc w:val="center"/>
              <w:rPr>
                <w:rFonts w:hint="default" w:ascii="Times New Roman" w:hAnsi="Times New Roman" w:cs="Times New Roman"/>
                <w:sz w:val="18"/>
                <w:szCs w:val="18"/>
                <w:vertAlign w:val="baseline"/>
              </w:rPr>
            </w:pPr>
          </w:p>
        </w:tc>
        <w:tc>
          <w:tcPr>
            <w:tcW w:w="243" w:type="pct"/>
            <w:vAlign w:val="center"/>
          </w:tcPr>
          <w:p w14:paraId="2F745230">
            <w:pPr>
              <w:spacing w:line="240" w:lineRule="auto"/>
              <w:jc w:val="center"/>
              <w:rPr>
                <w:rFonts w:hint="default" w:ascii="Times New Roman" w:hAnsi="Times New Roman" w:cs="Times New Roman"/>
                <w:sz w:val="18"/>
                <w:szCs w:val="18"/>
                <w:vertAlign w:val="baseline"/>
              </w:rPr>
            </w:pPr>
          </w:p>
        </w:tc>
        <w:tc>
          <w:tcPr>
            <w:tcW w:w="378" w:type="pct"/>
            <w:vAlign w:val="center"/>
          </w:tcPr>
          <w:p w14:paraId="2279A5AA">
            <w:pPr>
              <w:spacing w:line="240" w:lineRule="auto"/>
              <w:jc w:val="center"/>
              <w:rPr>
                <w:rFonts w:hint="default" w:ascii="Times New Roman" w:hAnsi="Times New Roman" w:cs="Times New Roman"/>
                <w:sz w:val="18"/>
                <w:szCs w:val="18"/>
                <w:vertAlign w:val="baseline"/>
              </w:rPr>
            </w:pPr>
          </w:p>
        </w:tc>
        <w:tc>
          <w:tcPr>
            <w:tcW w:w="450" w:type="pct"/>
            <w:vAlign w:val="center"/>
          </w:tcPr>
          <w:p w14:paraId="29EB6A2B">
            <w:pPr>
              <w:spacing w:line="240" w:lineRule="auto"/>
              <w:jc w:val="center"/>
              <w:rPr>
                <w:rFonts w:hint="default" w:ascii="Times New Roman" w:hAnsi="Times New Roman" w:cs="Times New Roman"/>
                <w:sz w:val="18"/>
                <w:szCs w:val="18"/>
                <w:vertAlign w:val="baseline"/>
              </w:rPr>
            </w:pPr>
          </w:p>
        </w:tc>
        <w:tc>
          <w:tcPr>
            <w:tcW w:w="434" w:type="pct"/>
            <w:vAlign w:val="center"/>
          </w:tcPr>
          <w:p w14:paraId="2BE9B054">
            <w:pPr>
              <w:spacing w:line="240" w:lineRule="auto"/>
              <w:jc w:val="center"/>
              <w:rPr>
                <w:rFonts w:hint="default" w:ascii="Times New Roman" w:hAnsi="Times New Roman" w:cs="Times New Roman"/>
                <w:sz w:val="18"/>
                <w:szCs w:val="18"/>
                <w:vertAlign w:val="baseline"/>
              </w:rPr>
            </w:pPr>
          </w:p>
        </w:tc>
        <w:tc>
          <w:tcPr>
            <w:tcW w:w="382" w:type="pct"/>
            <w:vAlign w:val="center"/>
          </w:tcPr>
          <w:p w14:paraId="2E8A6419">
            <w:pPr>
              <w:spacing w:line="240" w:lineRule="auto"/>
              <w:jc w:val="center"/>
              <w:rPr>
                <w:rFonts w:hint="default" w:ascii="Times New Roman" w:hAnsi="Times New Roman" w:cs="Times New Roman"/>
                <w:sz w:val="18"/>
                <w:szCs w:val="18"/>
                <w:vertAlign w:val="baseline"/>
              </w:rPr>
            </w:pPr>
          </w:p>
        </w:tc>
        <w:tc>
          <w:tcPr>
            <w:tcW w:w="365" w:type="pct"/>
            <w:vAlign w:val="center"/>
          </w:tcPr>
          <w:p w14:paraId="146403EF">
            <w:pPr>
              <w:spacing w:line="240" w:lineRule="auto"/>
              <w:jc w:val="center"/>
              <w:rPr>
                <w:rFonts w:hint="default" w:ascii="Times New Roman" w:hAnsi="Times New Roman" w:cs="Times New Roman"/>
                <w:sz w:val="18"/>
                <w:szCs w:val="18"/>
                <w:vertAlign w:val="baseline"/>
              </w:rPr>
            </w:pPr>
          </w:p>
        </w:tc>
        <w:tc>
          <w:tcPr>
            <w:tcW w:w="387" w:type="pct"/>
            <w:vAlign w:val="center"/>
          </w:tcPr>
          <w:p w14:paraId="2DCBAA36">
            <w:pPr>
              <w:spacing w:line="240" w:lineRule="auto"/>
              <w:jc w:val="center"/>
              <w:rPr>
                <w:rFonts w:hint="default" w:ascii="Times New Roman" w:hAnsi="Times New Roman" w:cs="Times New Roman"/>
                <w:sz w:val="18"/>
                <w:szCs w:val="18"/>
                <w:vertAlign w:val="baseline"/>
              </w:rPr>
            </w:pPr>
          </w:p>
        </w:tc>
        <w:tc>
          <w:tcPr>
            <w:tcW w:w="376" w:type="pct"/>
            <w:vAlign w:val="center"/>
          </w:tcPr>
          <w:p w14:paraId="02FA38EA">
            <w:pPr>
              <w:spacing w:line="240" w:lineRule="auto"/>
              <w:jc w:val="center"/>
              <w:rPr>
                <w:rFonts w:hint="default" w:ascii="Times New Roman" w:hAnsi="Times New Roman" w:cs="Times New Roman"/>
                <w:sz w:val="18"/>
                <w:szCs w:val="18"/>
                <w:vertAlign w:val="baseline"/>
              </w:rPr>
            </w:pPr>
          </w:p>
        </w:tc>
        <w:tc>
          <w:tcPr>
            <w:tcW w:w="472" w:type="pct"/>
            <w:vAlign w:val="center"/>
          </w:tcPr>
          <w:p w14:paraId="4E2933AA">
            <w:pPr>
              <w:spacing w:line="240" w:lineRule="auto"/>
              <w:jc w:val="center"/>
              <w:rPr>
                <w:rFonts w:hint="default" w:ascii="Times New Roman" w:hAnsi="Times New Roman" w:cs="Times New Roman"/>
                <w:sz w:val="18"/>
                <w:szCs w:val="18"/>
                <w:vertAlign w:val="baseline"/>
              </w:rPr>
            </w:pPr>
          </w:p>
        </w:tc>
      </w:tr>
      <w:tr w14:paraId="5D63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3" w:type="pct"/>
            <w:vMerge w:val="continue"/>
            <w:vAlign w:val="center"/>
          </w:tcPr>
          <w:p w14:paraId="161068EB">
            <w:pPr>
              <w:spacing w:line="240" w:lineRule="auto"/>
              <w:jc w:val="center"/>
              <w:rPr>
                <w:rFonts w:hint="default" w:ascii="Times New Roman" w:hAnsi="Times New Roman" w:cs="Times New Roman"/>
                <w:sz w:val="18"/>
                <w:szCs w:val="18"/>
                <w:vertAlign w:val="baseline"/>
                <w:lang w:val="en-US" w:eastAsia="zh-CN"/>
              </w:rPr>
            </w:pPr>
          </w:p>
        </w:tc>
        <w:tc>
          <w:tcPr>
            <w:tcW w:w="354" w:type="pct"/>
            <w:vAlign w:val="center"/>
          </w:tcPr>
          <w:p w14:paraId="25D90697">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纸箱</w:t>
            </w:r>
          </w:p>
        </w:tc>
        <w:tc>
          <w:tcPr>
            <w:tcW w:w="433" w:type="pct"/>
            <w:vAlign w:val="center"/>
          </w:tcPr>
          <w:p w14:paraId="28DD5E4E">
            <w:pPr>
              <w:spacing w:line="240" w:lineRule="auto"/>
              <w:jc w:val="center"/>
              <w:rPr>
                <w:rFonts w:hint="default" w:ascii="Times New Roman" w:hAnsi="Times New Roman" w:cs="Times New Roman" w:eastAsiaTheme="minorEastAsia"/>
                <w:sz w:val="18"/>
                <w:szCs w:val="18"/>
                <w:vertAlign w:val="baseline"/>
                <w:lang w:val="en-US" w:eastAsia="zh-CN"/>
              </w:rPr>
            </w:pPr>
            <w:r>
              <w:rPr>
                <w:rFonts w:hint="eastAsia" w:ascii="Times New Roman" w:hAnsi="Times New Roman" w:cs="Times New Roman"/>
                <w:sz w:val="18"/>
                <w:szCs w:val="18"/>
                <w:vertAlign w:val="baseline"/>
                <w:lang w:val="en-US" w:eastAsia="zh-CN"/>
              </w:rPr>
              <w:t>瓦楞纸</w:t>
            </w:r>
          </w:p>
        </w:tc>
        <w:tc>
          <w:tcPr>
            <w:tcW w:w="476" w:type="pct"/>
            <w:vAlign w:val="center"/>
          </w:tcPr>
          <w:p w14:paraId="18FC226C">
            <w:pPr>
              <w:spacing w:line="240" w:lineRule="auto"/>
              <w:jc w:val="center"/>
              <w:rPr>
                <w:rFonts w:hint="default" w:ascii="Times New Roman" w:hAnsi="Times New Roman" w:cs="Times New Roman"/>
                <w:sz w:val="18"/>
                <w:szCs w:val="18"/>
                <w:vertAlign w:val="baseline"/>
              </w:rPr>
            </w:pPr>
          </w:p>
        </w:tc>
        <w:tc>
          <w:tcPr>
            <w:tcW w:w="243" w:type="pct"/>
            <w:vAlign w:val="center"/>
          </w:tcPr>
          <w:p w14:paraId="485F36F4">
            <w:pPr>
              <w:spacing w:line="240" w:lineRule="auto"/>
              <w:jc w:val="center"/>
              <w:rPr>
                <w:rFonts w:hint="default" w:ascii="Times New Roman" w:hAnsi="Times New Roman" w:cs="Times New Roman"/>
                <w:sz w:val="18"/>
                <w:szCs w:val="18"/>
                <w:vertAlign w:val="baseline"/>
              </w:rPr>
            </w:pPr>
          </w:p>
        </w:tc>
        <w:tc>
          <w:tcPr>
            <w:tcW w:w="378" w:type="pct"/>
            <w:vAlign w:val="center"/>
          </w:tcPr>
          <w:p w14:paraId="62D12598">
            <w:pPr>
              <w:spacing w:line="240" w:lineRule="auto"/>
              <w:jc w:val="center"/>
              <w:rPr>
                <w:rFonts w:hint="default" w:ascii="Times New Roman" w:hAnsi="Times New Roman" w:cs="Times New Roman"/>
                <w:sz w:val="18"/>
                <w:szCs w:val="18"/>
                <w:vertAlign w:val="baseline"/>
              </w:rPr>
            </w:pPr>
          </w:p>
        </w:tc>
        <w:tc>
          <w:tcPr>
            <w:tcW w:w="450" w:type="pct"/>
            <w:vAlign w:val="center"/>
          </w:tcPr>
          <w:p w14:paraId="52C948E5">
            <w:pPr>
              <w:spacing w:line="240" w:lineRule="auto"/>
              <w:jc w:val="center"/>
              <w:rPr>
                <w:rFonts w:hint="default" w:ascii="Times New Roman" w:hAnsi="Times New Roman" w:cs="Times New Roman"/>
                <w:sz w:val="18"/>
                <w:szCs w:val="18"/>
                <w:vertAlign w:val="baseline"/>
              </w:rPr>
            </w:pPr>
          </w:p>
        </w:tc>
        <w:tc>
          <w:tcPr>
            <w:tcW w:w="434" w:type="pct"/>
            <w:vAlign w:val="center"/>
          </w:tcPr>
          <w:p w14:paraId="4CFCC2BD">
            <w:pPr>
              <w:spacing w:line="240" w:lineRule="auto"/>
              <w:jc w:val="center"/>
              <w:rPr>
                <w:rFonts w:hint="default" w:ascii="Times New Roman" w:hAnsi="Times New Roman" w:cs="Times New Roman"/>
                <w:sz w:val="18"/>
                <w:szCs w:val="18"/>
                <w:vertAlign w:val="baseline"/>
              </w:rPr>
            </w:pPr>
          </w:p>
        </w:tc>
        <w:tc>
          <w:tcPr>
            <w:tcW w:w="382" w:type="pct"/>
            <w:vAlign w:val="center"/>
          </w:tcPr>
          <w:p w14:paraId="7DDDD109">
            <w:pPr>
              <w:spacing w:line="240" w:lineRule="auto"/>
              <w:jc w:val="center"/>
              <w:rPr>
                <w:rFonts w:hint="default" w:ascii="Times New Roman" w:hAnsi="Times New Roman" w:cs="Times New Roman"/>
                <w:sz w:val="18"/>
                <w:szCs w:val="18"/>
                <w:vertAlign w:val="baseline"/>
              </w:rPr>
            </w:pPr>
          </w:p>
        </w:tc>
        <w:tc>
          <w:tcPr>
            <w:tcW w:w="365" w:type="pct"/>
            <w:vAlign w:val="center"/>
          </w:tcPr>
          <w:p w14:paraId="73CAE7A8">
            <w:pPr>
              <w:spacing w:line="240" w:lineRule="auto"/>
              <w:jc w:val="center"/>
              <w:rPr>
                <w:rFonts w:hint="default" w:ascii="Times New Roman" w:hAnsi="Times New Roman" w:cs="Times New Roman"/>
                <w:sz w:val="18"/>
                <w:szCs w:val="18"/>
                <w:vertAlign w:val="baseline"/>
              </w:rPr>
            </w:pPr>
          </w:p>
        </w:tc>
        <w:tc>
          <w:tcPr>
            <w:tcW w:w="387" w:type="pct"/>
            <w:vAlign w:val="center"/>
          </w:tcPr>
          <w:p w14:paraId="1822C431">
            <w:pPr>
              <w:spacing w:line="240" w:lineRule="auto"/>
              <w:jc w:val="center"/>
              <w:rPr>
                <w:rFonts w:hint="default" w:ascii="Times New Roman" w:hAnsi="Times New Roman" w:cs="Times New Roman"/>
                <w:sz w:val="18"/>
                <w:szCs w:val="18"/>
                <w:vertAlign w:val="baseline"/>
              </w:rPr>
            </w:pPr>
          </w:p>
        </w:tc>
        <w:tc>
          <w:tcPr>
            <w:tcW w:w="376" w:type="pct"/>
            <w:vAlign w:val="center"/>
          </w:tcPr>
          <w:p w14:paraId="5AB1CED6">
            <w:pPr>
              <w:spacing w:line="240" w:lineRule="auto"/>
              <w:jc w:val="center"/>
              <w:rPr>
                <w:rFonts w:hint="default" w:ascii="Times New Roman" w:hAnsi="Times New Roman" w:cs="Times New Roman"/>
                <w:sz w:val="18"/>
                <w:szCs w:val="18"/>
                <w:vertAlign w:val="baseline"/>
              </w:rPr>
            </w:pPr>
          </w:p>
        </w:tc>
        <w:tc>
          <w:tcPr>
            <w:tcW w:w="472" w:type="pct"/>
            <w:vAlign w:val="center"/>
          </w:tcPr>
          <w:p w14:paraId="719D5BF0">
            <w:pPr>
              <w:spacing w:line="240" w:lineRule="auto"/>
              <w:jc w:val="center"/>
              <w:rPr>
                <w:rFonts w:hint="default" w:ascii="Times New Roman" w:hAnsi="Times New Roman" w:cs="Times New Roman"/>
                <w:sz w:val="18"/>
                <w:szCs w:val="18"/>
                <w:vertAlign w:val="baseline"/>
              </w:rPr>
            </w:pPr>
          </w:p>
        </w:tc>
      </w:tr>
      <w:tr w14:paraId="1A83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3" w:type="pct"/>
            <w:vMerge w:val="continue"/>
            <w:vAlign w:val="center"/>
          </w:tcPr>
          <w:p w14:paraId="3F1675BC">
            <w:pPr>
              <w:spacing w:line="240" w:lineRule="auto"/>
              <w:jc w:val="center"/>
              <w:rPr>
                <w:rFonts w:hint="default" w:ascii="Times New Roman" w:hAnsi="Times New Roman" w:cs="Times New Roman"/>
                <w:sz w:val="18"/>
                <w:szCs w:val="18"/>
                <w:vertAlign w:val="baseline"/>
                <w:lang w:val="en-US" w:eastAsia="zh-CN"/>
              </w:rPr>
            </w:pPr>
          </w:p>
        </w:tc>
        <w:tc>
          <w:tcPr>
            <w:tcW w:w="354" w:type="pct"/>
            <w:vAlign w:val="center"/>
          </w:tcPr>
          <w:p w14:paraId="5ED795F2">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433" w:type="pct"/>
            <w:vAlign w:val="center"/>
          </w:tcPr>
          <w:p w14:paraId="5BAC932E">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476" w:type="pct"/>
            <w:vAlign w:val="center"/>
          </w:tcPr>
          <w:p w14:paraId="5D14B35D">
            <w:pPr>
              <w:spacing w:line="240" w:lineRule="auto"/>
              <w:jc w:val="center"/>
              <w:rPr>
                <w:rFonts w:hint="default" w:ascii="Times New Roman" w:hAnsi="Times New Roman" w:cs="Times New Roman"/>
                <w:sz w:val="18"/>
                <w:szCs w:val="18"/>
                <w:vertAlign w:val="baseline"/>
              </w:rPr>
            </w:pPr>
          </w:p>
        </w:tc>
        <w:tc>
          <w:tcPr>
            <w:tcW w:w="243" w:type="pct"/>
            <w:vAlign w:val="center"/>
          </w:tcPr>
          <w:p w14:paraId="5AEF6F5D">
            <w:pPr>
              <w:spacing w:line="240" w:lineRule="auto"/>
              <w:jc w:val="center"/>
              <w:rPr>
                <w:rFonts w:hint="default" w:ascii="Times New Roman" w:hAnsi="Times New Roman" w:cs="Times New Roman"/>
                <w:sz w:val="18"/>
                <w:szCs w:val="18"/>
                <w:vertAlign w:val="baseline"/>
              </w:rPr>
            </w:pPr>
          </w:p>
        </w:tc>
        <w:tc>
          <w:tcPr>
            <w:tcW w:w="378" w:type="pct"/>
            <w:vAlign w:val="center"/>
          </w:tcPr>
          <w:p w14:paraId="3CEF31AA">
            <w:pPr>
              <w:spacing w:line="240" w:lineRule="auto"/>
              <w:jc w:val="center"/>
              <w:rPr>
                <w:rFonts w:hint="default" w:ascii="Times New Roman" w:hAnsi="Times New Roman" w:cs="Times New Roman"/>
                <w:sz w:val="18"/>
                <w:szCs w:val="18"/>
                <w:vertAlign w:val="baseline"/>
              </w:rPr>
            </w:pPr>
          </w:p>
        </w:tc>
        <w:tc>
          <w:tcPr>
            <w:tcW w:w="450" w:type="pct"/>
            <w:vAlign w:val="center"/>
          </w:tcPr>
          <w:p w14:paraId="4982AB40">
            <w:pPr>
              <w:spacing w:line="240" w:lineRule="auto"/>
              <w:jc w:val="center"/>
              <w:rPr>
                <w:rFonts w:hint="default" w:ascii="Times New Roman" w:hAnsi="Times New Roman" w:cs="Times New Roman"/>
                <w:sz w:val="18"/>
                <w:szCs w:val="18"/>
                <w:vertAlign w:val="baseline"/>
              </w:rPr>
            </w:pPr>
          </w:p>
        </w:tc>
        <w:tc>
          <w:tcPr>
            <w:tcW w:w="434" w:type="pct"/>
            <w:vAlign w:val="center"/>
          </w:tcPr>
          <w:p w14:paraId="3F436185">
            <w:pPr>
              <w:spacing w:line="240" w:lineRule="auto"/>
              <w:jc w:val="center"/>
              <w:rPr>
                <w:rFonts w:hint="default" w:ascii="Times New Roman" w:hAnsi="Times New Roman" w:cs="Times New Roman"/>
                <w:sz w:val="18"/>
                <w:szCs w:val="18"/>
                <w:vertAlign w:val="baseline"/>
              </w:rPr>
            </w:pPr>
          </w:p>
        </w:tc>
        <w:tc>
          <w:tcPr>
            <w:tcW w:w="382" w:type="pct"/>
            <w:vAlign w:val="center"/>
          </w:tcPr>
          <w:p w14:paraId="0252B7DF">
            <w:pPr>
              <w:spacing w:line="240" w:lineRule="auto"/>
              <w:jc w:val="center"/>
              <w:rPr>
                <w:rFonts w:hint="default" w:ascii="Times New Roman" w:hAnsi="Times New Roman" w:cs="Times New Roman"/>
                <w:sz w:val="18"/>
                <w:szCs w:val="18"/>
                <w:vertAlign w:val="baseline"/>
              </w:rPr>
            </w:pPr>
          </w:p>
        </w:tc>
        <w:tc>
          <w:tcPr>
            <w:tcW w:w="365" w:type="pct"/>
            <w:vAlign w:val="center"/>
          </w:tcPr>
          <w:p w14:paraId="1A8398CE">
            <w:pPr>
              <w:spacing w:line="240" w:lineRule="auto"/>
              <w:jc w:val="center"/>
              <w:rPr>
                <w:rFonts w:hint="default" w:ascii="Times New Roman" w:hAnsi="Times New Roman" w:cs="Times New Roman"/>
                <w:sz w:val="18"/>
                <w:szCs w:val="18"/>
                <w:vertAlign w:val="baseline"/>
              </w:rPr>
            </w:pPr>
          </w:p>
        </w:tc>
        <w:tc>
          <w:tcPr>
            <w:tcW w:w="387" w:type="pct"/>
            <w:vAlign w:val="center"/>
          </w:tcPr>
          <w:p w14:paraId="35DA81C4">
            <w:pPr>
              <w:spacing w:line="240" w:lineRule="auto"/>
              <w:jc w:val="center"/>
              <w:rPr>
                <w:rFonts w:hint="default" w:ascii="Times New Roman" w:hAnsi="Times New Roman" w:cs="Times New Roman"/>
                <w:sz w:val="18"/>
                <w:szCs w:val="18"/>
                <w:vertAlign w:val="baseline"/>
              </w:rPr>
            </w:pPr>
          </w:p>
        </w:tc>
        <w:tc>
          <w:tcPr>
            <w:tcW w:w="376" w:type="pct"/>
            <w:vAlign w:val="center"/>
          </w:tcPr>
          <w:p w14:paraId="1F449530">
            <w:pPr>
              <w:spacing w:line="240" w:lineRule="auto"/>
              <w:jc w:val="center"/>
              <w:rPr>
                <w:rFonts w:hint="default" w:ascii="Times New Roman" w:hAnsi="Times New Roman" w:cs="Times New Roman"/>
                <w:sz w:val="18"/>
                <w:szCs w:val="18"/>
                <w:vertAlign w:val="baseline"/>
              </w:rPr>
            </w:pPr>
          </w:p>
        </w:tc>
        <w:tc>
          <w:tcPr>
            <w:tcW w:w="472" w:type="pct"/>
            <w:vAlign w:val="center"/>
          </w:tcPr>
          <w:p w14:paraId="590EE3C8">
            <w:pPr>
              <w:spacing w:line="240" w:lineRule="auto"/>
              <w:jc w:val="center"/>
              <w:rPr>
                <w:rFonts w:hint="default" w:ascii="Times New Roman" w:hAnsi="Times New Roman" w:cs="Times New Roman"/>
                <w:sz w:val="18"/>
                <w:szCs w:val="18"/>
                <w:vertAlign w:val="baseline"/>
              </w:rPr>
            </w:pPr>
          </w:p>
        </w:tc>
      </w:tr>
      <w:tr w14:paraId="3483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13"/>
            <w:vAlign w:val="center"/>
          </w:tcPr>
          <w:p w14:paraId="5742232A">
            <w:pPr>
              <w:spacing w:line="240" w:lineRule="auto"/>
              <w:jc w:val="left"/>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a </w:t>
            </w:r>
            <w:r>
              <w:rPr>
                <w:rFonts w:hint="eastAsia" w:ascii="Times New Roman" w:hAnsi="Times New Roman" w:cs="Times New Roman"/>
                <w:sz w:val="18"/>
                <w:szCs w:val="18"/>
                <w:vertAlign w:val="baseline"/>
                <w:lang w:val="en-US" w:eastAsia="zh-CN"/>
              </w:rPr>
              <w:t>以冰红茶饮料为例，声明单位为“1瓶500 ml的冰红茶饮料”，则填写每生产1瓶500 ml的冰红茶饮料使用该原材料的消耗量；</w:t>
            </w:r>
          </w:p>
          <w:p w14:paraId="6C6C54D3">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b </w:t>
            </w:r>
            <w:r>
              <w:rPr>
                <w:rFonts w:hint="eastAsia" w:ascii="Times New Roman" w:hAnsi="Times New Roman" w:cs="Times New Roman"/>
                <w:sz w:val="18"/>
                <w:szCs w:val="18"/>
                <w:vertAlign w:val="baseline"/>
                <w:lang w:val="en-US" w:eastAsia="zh-CN"/>
              </w:rPr>
              <w:t>填写原材料消耗量、运输数据的来源部门，如采购部；</w:t>
            </w:r>
          </w:p>
          <w:p w14:paraId="76DD6760">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c </w:t>
            </w:r>
            <w:r>
              <w:rPr>
                <w:rFonts w:hint="eastAsia" w:ascii="Times New Roman" w:hAnsi="Times New Roman" w:cs="Times New Roman"/>
                <w:sz w:val="18"/>
                <w:szCs w:val="18"/>
                <w:vertAlign w:val="baseline"/>
                <w:lang w:val="en-US" w:eastAsia="zh-CN"/>
              </w:rPr>
              <w:t>如ERP系统、实际测量、理论估算等；</w:t>
            </w:r>
          </w:p>
          <w:p w14:paraId="75013369">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d</w:t>
            </w:r>
            <w:r>
              <w:rPr>
                <w:rFonts w:hint="eastAsia" w:ascii="Times New Roman" w:hAnsi="Times New Roman" w:cs="Times New Roman"/>
                <w:sz w:val="18"/>
                <w:szCs w:val="18"/>
                <w:vertAlign w:val="baseline"/>
                <w:lang w:val="en-US" w:eastAsia="zh-CN"/>
              </w:rPr>
              <w:t xml:space="preserve"> 如公路运输、铁路运输、水路运输、航空运输等；</w:t>
            </w:r>
          </w:p>
          <w:p w14:paraId="213CC71A">
            <w:pPr>
              <w:spacing w:line="240" w:lineRule="auto"/>
              <w:jc w:val="left"/>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e</w:t>
            </w:r>
            <w:r>
              <w:rPr>
                <w:rFonts w:hint="eastAsia" w:ascii="Times New Roman" w:hAnsi="Times New Roman" w:cs="Times New Roman"/>
                <w:sz w:val="18"/>
                <w:szCs w:val="18"/>
                <w:vertAlign w:val="baseline"/>
                <w:lang w:val="en-US" w:eastAsia="zh-CN"/>
              </w:rPr>
              <w:t xml:space="preserve"> 如卡车，载荷3.5~7.5 t。</w:t>
            </w:r>
          </w:p>
        </w:tc>
      </w:tr>
    </w:tbl>
    <w:p w14:paraId="4C4A60B4">
      <w:pPr>
        <w:spacing w:line="303" w:lineRule="auto"/>
        <w:rPr>
          <w:rFonts w:ascii="Arial"/>
          <w:sz w:val="21"/>
        </w:rPr>
      </w:pPr>
    </w:p>
    <w:p w14:paraId="17228C5E">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Times New Roman" w:hAnsi="Times New Roman" w:eastAsia="黑体" w:cs="Times New Roman"/>
          <w:b w:val="0"/>
          <w:bCs w:val="0"/>
          <w:color w:val="000000" w:themeColor="text1"/>
          <w:sz w:val="21"/>
          <w:szCs w:val="21"/>
          <w14:textFill>
            <w14:solidFill>
              <w14:schemeClr w14:val="tx1"/>
            </w14:solidFill>
          </w14:textFill>
        </w:rPr>
      </w:pPr>
      <w:r>
        <w:rPr>
          <w:rFonts w:hint="eastAsia" w:ascii="Times New Roman" w:hAnsi="Times New Roman" w:eastAsia="黑体" w:cs="Times New Roman"/>
          <w:b w:val="0"/>
          <w:bCs w:val="0"/>
          <w:color w:val="000000" w:themeColor="text1"/>
          <w:sz w:val="21"/>
          <w:szCs w:val="21"/>
          <w14:textFill>
            <w14:solidFill>
              <w14:schemeClr w14:val="tx1"/>
            </w14:solidFill>
          </w14:textFill>
        </w:rPr>
        <w:t>表A.</w:t>
      </w: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2</w:t>
      </w:r>
      <w:r>
        <w:rPr>
          <w:rFonts w:hint="eastAsia" w:ascii="Times New Roman" w:hAnsi="Times New Roman" w:eastAsia="黑体" w:cs="Times New Roman"/>
          <w:b w:val="0"/>
          <w:bCs w:val="0"/>
          <w:color w:val="000000" w:themeColor="text1"/>
          <w:sz w:val="21"/>
          <w:szCs w:val="21"/>
          <w14:textFill>
            <w14:solidFill>
              <w14:schemeClr w14:val="tx1"/>
            </w14:solidFill>
          </w14:textFill>
        </w:rPr>
        <w:t xml:space="preserve"> 生产阶段</w:t>
      </w:r>
      <w:r>
        <w:rPr>
          <w:rFonts w:hint="eastAsia" w:ascii="Times New Roman" w:hAnsi="Times New Roman" w:eastAsia="黑体" w:cs="Times New Roman"/>
          <w:b w:val="0"/>
          <w:bCs w:val="0"/>
          <w:color w:val="000000" w:themeColor="text1"/>
          <w:sz w:val="21"/>
          <w:szCs w:val="21"/>
          <w:lang w:eastAsia="zh-CN"/>
          <w14:textFill>
            <w14:solidFill>
              <w14:schemeClr w14:val="tx1"/>
            </w14:solidFill>
          </w14:textFill>
        </w:rPr>
        <w:t>（</w:t>
      </w: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能源/资源消耗）</w:t>
      </w:r>
      <w:r>
        <w:rPr>
          <w:rFonts w:hint="eastAsia" w:ascii="Times New Roman" w:hAnsi="Times New Roman" w:eastAsia="黑体" w:cs="Times New Roman"/>
          <w:b w:val="0"/>
          <w:bCs w:val="0"/>
          <w:color w:val="000000" w:themeColor="text1"/>
          <w:sz w:val="21"/>
          <w:szCs w:val="21"/>
          <w14:textFill>
            <w14:solidFill>
              <w14:schemeClr w14:val="tx1"/>
            </w14:solidFill>
          </w14:textFill>
        </w:rPr>
        <w:t>数据清单</w:t>
      </w:r>
    </w:p>
    <w:tbl>
      <w:tblPr>
        <w:tblStyle w:val="1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8"/>
        <w:gridCol w:w="1363"/>
        <w:gridCol w:w="1376"/>
        <w:gridCol w:w="1047"/>
        <w:gridCol w:w="1705"/>
        <w:gridCol w:w="2367"/>
      </w:tblGrid>
      <w:tr w14:paraId="736B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289CF759">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类型</w:t>
            </w:r>
          </w:p>
        </w:tc>
        <w:tc>
          <w:tcPr>
            <w:tcW w:w="737" w:type="pct"/>
            <w:vAlign w:val="center"/>
          </w:tcPr>
          <w:p w14:paraId="571C7DFC">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种类</w:t>
            </w:r>
          </w:p>
        </w:tc>
        <w:tc>
          <w:tcPr>
            <w:tcW w:w="744" w:type="pct"/>
            <w:vAlign w:val="center"/>
          </w:tcPr>
          <w:p w14:paraId="22A469D2">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消耗量</w:t>
            </w:r>
            <w:r>
              <w:rPr>
                <w:rFonts w:hint="eastAsia" w:ascii="Times New Roman" w:hAnsi="Times New Roman" w:cs="Times New Roman"/>
                <w:sz w:val="18"/>
                <w:szCs w:val="18"/>
                <w:vertAlign w:val="superscript"/>
                <w:lang w:val="en-US" w:eastAsia="zh-CN"/>
              </w:rPr>
              <w:t>b</w:t>
            </w:r>
          </w:p>
        </w:tc>
        <w:tc>
          <w:tcPr>
            <w:tcW w:w="566" w:type="pct"/>
            <w:vAlign w:val="center"/>
          </w:tcPr>
          <w:p w14:paraId="13AD49E7">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单位</w:t>
            </w:r>
          </w:p>
        </w:tc>
        <w:tc>
          <w:tcPr>
            <w:tcW w:w="922" w:type="pct"/>
            <w:vAlign w:val="center"/>
          </w:tcPr>
          <w:p w14:paraId="1148D732">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数据来源</w:t>
            </w:r>
            <w:r>
              <w:rPr>
                <w:rFonts w:hint="eastAsia" w:ascii="Times New Roman" w:hAnsi="Times New Roman" w:cs="Times New Roman"/>
                <w:sz w:val="18"/>
                <w:szCs w:val="18"/>
                <w:vertAlign w:val="superscript"/>
                <w:lang w:val="en-US" w:eastAsia="zh-CN"/>
              </w:rPr>
              <w:t>c</w:t>
            </w:r>
          </w:p>
        </w:tc>
        <w:tc>
          <w:tcPr>
            <w:tcW w:w="1278" w:type="pct"/>
            <w:vAlign w:val="center"/>
          </w:tcPr>
          <w:p w14:paraId="699BABD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数据获取方式</w:t>
            </w:r>
            <w:r>
              <w:rPr>
                <w:rFonts w:hint="eastAsia" w:ascii="Times New Roman" w:hAnsi="Times New Roman" w:cs="Times New Roman"/>
                <w:sz w:val="18"/>
                <w:szCs w:val="18"/>
                <w:vertAlign w:val="superscript"/>
                <w:lang w:val="en-US" w:eastAsia="zh-CN"/>
              </w:rPr>
              <w:t>d</w:t>
            </w:r>
          </w:p>
        </w:tc>
      </w:tr>
      <w:tr w14:paraId="631D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Merge w:val="restart"/>
            <w:vAlign w:val="center"/>
          </w:tcPr>
          <w:p w14:paraId="543880B3">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能源消耗</w:t>
            </w:r>
          </w:p>
        </w:tc>
        <w:tc>
          <w:tcPr>
            <w:tcW w:w="737" w:type="pct"/>
            <w:vAlign w:val="center"/>
          </w:tcPr>
          <w:p w14:paraId="684057A1">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电</w:t>
            </w:r>
            <w:r>
              <w:rPr>
                <w:rFonts w:hint="eastAsia" w:ascii="Times New Roman" w:hAnsi="Times New Roman" w:cs="Times New Roman"/>
                <w:sz w:val="18"/>
                <w:szCs w:val="18"/>
                <w:vertAlign w:val="superscript"/>
                <w:lang w:val="en-US" w:eastAsia="zh-CN"/>
              </w:rPr>
              <w:t>a</w:t>
            </w:r>
          </w:p>
        </w:tc>
        <w:tc>
          <w:tcPr>
            <w:tcW w:w="744" w:type="pct"/>
            <w:vAlign w:val="center"/>
          </w:tcPr>
          <w:p w14:paraId="228BA33A">
            <w:pPr>
              <w:spacing w:line="240" w:lineRule="auto"/>
              <w:jc w:val="center"/>
              <w:rPr>
                <w:rFonts w:hint="eastAsia" w:ascii="Times New Roman" w:hAnsi="Times New Roman" w:cs="Times New Roman"/>
                <w:sz w:val="18"/>
                <w:szCs w:val="18"/>
                <w:vertAlign w:val="baseline"/>
                <w:lang w:val="en-US" w:eastAsia="zh-CN"/>
              </w:rPr>
            </w:pPr>
          </w:p>
        </w:tc>
        <w:tc>
          <w:tcPr>
            <w:tcW w:w="566" w:type="pct"/>
            <w:vAlign w:val="center"/>
          </w:tcPr>
          <w:p w14:paraId="1554086A">
            <w:pPr>
              <w:spacing w:line="240" w:lineRule="auto"/>
              <w:jc w:val="center"/>
              <w:rPr>
                <w:rFonts w:hint="eastAsia" w:ascii="Times New Roman" w:hAnsi="Times New Roman" w:cs="Times New Roman"/>
                <w:sz w:val="18"/>
                <w:szCs w:val="18"/>
                <w:vertAlign w:val="baseline"/>
                <w:lang w:val="en-US" w:eastAsia="zh-CN"/>
              </w:rPr>
            </w:pPr>
          </w:p>
        </w:tc>
        <w:tc>
          <w:tcPr>
            <w:tcW w:w="922" w:type="pct"/>
            <w:vAlign w:val="center"/>
          </w:tcPr>
          <w:p w14:paraId="295776AB">
            <w:pPr>
              <w:spacing w:line="240" w:lineRule="auto"/>
              <w:jc w:val="center"/>
              <w:rPr>
                <w:rFonts w:hint="eastAsia" w:ascii="Times New Roman" w:hAnsi="Times New Roman" w:cs="Times New Roman"/>
                <w:sz w:val="18"/>
                <w:szCs w:val="18"/>
                <w:vertAlign w:val="baseline"/>
                <w:lang w:val="en-US" w:eastAsia="zh-CN"/>
              </w:rPr>
            </w:pPr>
          </w:p>
        </w:tc>
        <w:tc>
          <w:tcPr>
            <w:tcW w:w="1278" w:type="pct"/>
            <w:vAlign w:val="center"/>
          </w:tcPr>
          <w:p w14:paraId="5D1995A6">
            <w:pPr>
              <w:spacing w:line="240" w:lineRule="auto"/>
              <w:jc w:val="center"/>
              <w:rPr>
                <w:rFonts w:hint="eastAsia" w:ascii="Times New Roman" w:hAnsi="Times New Roman" w:cs="Times New Roman"/>
                <w:sz w:val="18"/>
                <w:szCs w:val="18"/>
                <w:vertAlign w:val="baseline"/>
                <w:lang w:val="en-US" w:eastAsia="zh-CN"/>
              </w:rPr>
            </w:pPr>
          </w:p>
        </w:tc>
      </w:tr>
      <w:tr w14:paraId="4889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Merge w:val="continue"/>
            <w:vAlign w:val="center"/>
          </w:tcPr>
          <w:p w14:paraId="56B0BCDF">
            <w:pPr>
              <w:spacing w:line="240" w:lineRule="auto"/>
              <w:jc w:val="center"/>
              <w:rPr>
                <w:rFonts w:hint="eastAsia" w:ascii="Times New Roman" w:hAnsi="Times New Roman" w:cs="Times New Roman"/>
                <w:sz w:val="18"/>
                <w:szCs w:val="18"/>
                <w:vertAlign w:val="baseline"/>
                <w:lang w:val="en-US" w:eastAsia="zh-CN"/>
              </w:rPr>
            </w:pPr>
          </w:p>
        </w:tc>
        <w:tc>
          <w:tcPr>
            <w:tcW w:w="737" w:type="pct"/>
            <w:vAlign w:val="center"/>
          </w:tcPr>
          <w:p w14:paraId="715B1D07">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天然气</w:t>
            </w:r>
          </w:p>
        </w:tc>
        <w:tc>
          <w:tcPr>
            <w:tcW w:w="744" w:type="pct"/>
            <w:vAlign w:val="center"/>
          </w:tcPr>
          <w:p w14:paraId="745A4EB6">
            <w:pPr>
              <w:spacing w:line="240" w:lineRule="auto"/>
              <w:jc w:val="center"/>
              <w:rPr>
                <w:rFonts w:hint="eastAsia" w:ascii="Times New Roman" w:hAnsi="Times New Roman" w:cs="Times New Roman"/>
                <w:sz w:val="18"/>
                <w:szCs w:val="18"/>
                <w:vertAlign w:val="baseline"/>
                <w:lang w:val="en-US" w:eastAsia="zh-CN"/>
              </w:rPr>
            </w:pPr>
          </w:p>
        </w:tc>
        <w:tc>
          <w:tcPr>
            <w:tcW w:w="566" w:type="pct"/>
            <w:vAlign w:val="center"/>
          </w:tcPr>
          <w:p w14:paraId="6C1840BB">
            <w:pPr>
              <w:spacing w:line="240" w:lineRule="auto"/>
              <w:jc w:val="center"/>
              <w:rPr>
                <w:rFonts w:hint="eastAsia" w:ascii="Times New Roman" w:hAnsi="Times New Roman" w:cs="Times New Roman"/>
                <w:sz w:val="18"/>
                <w:szCs w:val="18"/>
                <w:vertAlign w:val="baseline"/>
                <w:lang w:val="en-US" w:eastAsia="zh-CN"/>
              </w:rPr>
            </w:pPr>
          </w:p>
        </w:tc>
        <w:tc>
          <w:tcPr>
            <w:tcW w:w="922" w:type="pct"/>
            <w:vAlign w:val="center"/>
          </w:tcPr>
          <w:p w14:paraId="10B0B786">
            <w:pPr>
              <w:spacing w:line="240" w:lineRule="auto"/>
              <w:jc w:val="center"/>
              <w:rPr>
                <w:rFonts w:hint="eastAsia" w:ascii="Times New Roman" w:hAnsi="Times New Roman" w:cs="Times New Roman"/>
                <w:sz w:val="18"/>
                <w:szCs w:val="18"/>
                <w:vertAlign w:val="baseline"/>
                <w:lang w:val="en-US" w:eastAsia="zh-CN"/>
              </w:rPr>
            </w:pPr>
          </w:p>
        </w:tc>
        <w:tc>
          <w:tcPr>
            <w:tcW w:w="1278" w:type="pct"/>
            <w:vAlign w:val="center"/>
          </w:tcPr>
          <w:p w14:paraId="10E1D85B">
            <w:pPr>
              <w:spacing w:line="240" w:lineRule="auto"/>
              <w:jc w:val="center"/>
              <w:rPr>
                <w:rFonts w:hint="eastAsia" w:ascii="Times New Roman" w:hAnsi="Times New Roman" w:cs="Times New Roman"/>
                <w:sz w:val="18"/>
                <w:szCs w:val="18"/>
                <w:vertAlign w:val="baseline"/>
                <w:lang w:val="en-US" w:eastAsia="zh-CN"/>
              </w:rPr>
            </w:pPr>
          </w:p>
        </w:tc>
      </w:tr>
      <w:tr w14:paraId="3A92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Merge w:val="continue"/>
            <w:vAlign w:val="center"/>
          </w:tcPr>
          <w:p w14:paraId="1F941A31">
            <w:pPr>
              <w:spacing w:line="240" w:lineRule="auto"/>
              <w:jc w:val="center"/>
              <w:rPr>
                <w:rFonts w:hint="eastAsia" w:ascii="Times New Roman" w:hAnsi="Times New Roman" w:cs="Times New Roman"/>
                <w:sz w:val="18"/>
                <w:szCs w:val="18"/>
                <w:vertAlign w:val="baseline"/>
                <w:lang w:val="en-US" w:eastAsia="zh-CN"/>
              </w:rPr>
            </w:pPr>
          </w:p>
        </w:tc>
        <w:tc>
          <w:tcPr>
            <w:tcW w:w="737" w:type="pct"/>
            <w:vAlign w:val="center"/>
          </w:tcPr>
          <w:p w14:paraId="34382A0D">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蒸汽</w:t>
            </w:r>
          </w:p>
        </w:tc>
        <w:tc>
          <w:tcPr>
            <w:tcW w:w="744" w:type="pct"/>
            <w:vAlign w:val="center"/>
          </w:tcPr>
          <w:p w14:paraId="2C0C628B">
            <w:pPr>
              <w:spacing w:line="240" w:lineRule="auto"/>
              <w:jc w:val="center"/>
              <w:rPr>
                <w:rFonts w:hint="eastAsia" w:ascii="Times New Roman" w:hAnsi="Times New Roman" w:cs="Times New Roman"/>
                <w:sz w:val="18"/>
                <w:szCs w:val="18"/>
                <w:vertAlign w:val="baseline"/>
                <w:lang w:val="en-US" w:eastAsia="zh-CN"/>
              </w:rPr>
            </w:pPr>
          </w:p>
        </w:tc>
        <w:tc>
          <w:tcPr>
            <w:tcW w:w="566" w:type="pct"/>
            <w:vAlign w:val="center"/>
          </w:tcPr>
          <w:p w14:paraId="22568276">
            <w:pPr>
              <w:spacing w:line="240" w:lineRule="auto"/>
              <w:jc w:val="center"/>
              <w:rPr>
                <w:rFonts w:hint="eastAsia" w:ascii="Times New Roman" w:hAnsi="Times New Roman" w:cs="Times New Roman"/>
                <w:sz w:val="18"/>
                <w:szCs w:val="18"/>
                <w:vertAlign w:val="baseline"/>
                <w:lang w:val="en-US" w:eastAsia="zh-CN"/>
              </w:rPr>
            </w:pPr>
          </w:p>
        </w:tc>
        <w:tc>
          <w:tcPr>
            <w:tcW w:w="922" w:type="pct"/>
            <w:vAlign w:val="center"/>
          </w:tcPr>
          <w:p w14:paraId="689DF402">
            <w:pPr>
              <w:spacing w:line="240" w:lineRule="auto"/>
              <w:jc w:val="center"/>
              <w:rPr>
                <w:rFonts w:hint="eastAsia" w:ascii="Times New Roman" w:hAnsi="Times New Roman" w:cs="Times New Roman"/>
                <w:sz w:val="18"/>
                <w:szCs w:val="18"/>
                <w:vertAlign w:val="baseline"/>
                <w:lang w:val="en-US" w:eastAsia="zh-CN"/>
              </w:rPr>
            </w:pPr>
          </w:p>
        </w:tc>
        <w:tc>
          <w:tcPr>
            <w:tcW w:w="1278" w:type="pct"/>
            <w:vAlign w:val="center"/>
          </w:tcPr>
          <w:p w14:paraId="06C27874">
            <w:pPr>
              <w:spacing w:line="240" w:lineRule="auto"/>
              <w:jc w:val="center"/>
              <w:rPr>
                <w:rFonts w:hint="eastAsia" w:ascii="Times New Roman" w:hAnsi="Times New Roman" w:cs="Times New Roman"/>
                <w:sz w:val="18"/>
                <w:szCs w:val="18"/>
                <w:vertAlign w:val="baseline"/>
                <w:lang w:val="en-US" w:eastAsia="zh-CN"/>
              </w:rPr>
            </w:pPr>
          </w:p>
        </w:tc>
      </w:tr>
      <w:tr w14:paraId="1A49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Merge w:val="continue"/>
            <w:vAlign w:val="center"/>
          </w:tcPr>
          <w:p w14:paraId="75AE7BEB">
            <w:pPr>
              <w:spacing w:line="240" w:lineRule="auto"/>
              <w:jc w:val="center"/>
              <w:rPr>
                <w:rFonts w:hint="eastAsia" w:ascii="Times New Roman" w:hAnsi="Times New Roman" w:cs="Times New Roman"/>
                <w:sz w:val="18"/>
                <w:szCs w:val="18"/>
                <w:vertAlign w:val="baseline"/>
                <w:lang w:val="en-US" w:eastAsia="zh-CN"/>
              </w:rPr>
            </w:pPr>
          </w:p>
        </w:tc>
        <w:tc>
          <w:tcPr>
            <w:tcW w:w="737" w:type="pct"/>
            <w:vAlign w:val="center"/>
          </w:tcPr>
          <w:p w14:paraId="0AF10185">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744" w:type="pct"/>
            <w:vAlign w:val="center"/>
          </w:tcPr>
          <w:p w14:paraId="1A9FB792">
            <w:pPr>
              <w:spacing w:line="240" w:lineRule="auto"/>
              <w:jc w:val="center"/>
              <w:rPr>
                <w:rFonts w:hint="eastAsia" w:ascii="Times New Roman" w:hAnsi="Times New Roman" w:cs="Times New Roman"/>
                <w:sz w:val="18"/>
                <w:szCs w:val="18"/>
                <w:vertAlign w:val="baseline"/>
                <w:lang w:val="en-US" w:eastAsia="zh-CN"/>
              </w:rPr>
            </w:pPr>
          </w:p>
        </w:tc>
        <w:tc>
          <w:tcPr>
            <w:tcW w:w="566" w:type="pct"/>
            <w:vAlign w:val="center"/>
          </w:tcPr>
          <w:p w14:paraId="4D8A3B83">
            <w:pPr>
              <w:spacing w:line="240" w:lineRule="auto"/>
              <w:jc w:val="center"/>
              <w:rPr>
                <w:rFonts w:hint="eastAsia" w:ascii="Times New Roman" w:hAnsi="Times New Roman" w:cs="Times New Roman"/>
                <w:sz w:val="18"/>
                <w:szCs w:val="18"/>
                <w:vertAlign w:val="baseline"/>
                <w:lang w:val="en-US" w:eastAsia="zh-CN"/>
              </w:rPr>
            </w:pPr>
          </w:p>
        </w:tc>
        <w:tc>
          <w:tcPr>
            <w:tcW w:w="922" w:type="pct"/>
            <w:vAlign w:val="center"/>
          </w:tcPr>
          <w:p w14:paraId="170ECCAA">
            <w:pPr>
              <w:spacing w:line="240" w:lineRule="auto"/>
              <w:jc w:val="center"/>
              <w:rPr>
                <w:rFonts w:hint="eastAsia" w:ascii="Times New Roman" w:hAnsi="Times New Roman" w:cs="Times New Roman"/>
                <w:sz w:val="18"/>
                <w:szCs w:val="18"/>
                <w:vertAlign w:val="baseline"/>
                <w:lang w:val="en-US" w:eastAsia="zh-CN"/>
              </w:rPr>
            </w:pPr>
          </w:p>
        </w:tc>
        <w:tc>
          <w:tcPr>
            <w:tcW w:w="1278" w:type="pct"/>
            <w:vAlign w:val="center"/>
          </w:tcPr>
          <w:p w14:paraId="6BC60A25">
            <w:pPr>
              <w:spacing w:line="240" w:lineRule="auto"/>
              <w:jc w:val="center"/>
              <w:rPr>
                <w:rFonts w:hint="eastAsia" w:ascii="Times New Roman" w:hAnsi="Times New Roman" w:cs="Times New Roman"/>
                <w:sz w:val="18"/>
                <w:szCs w:val="18"/>
                <w:vertAlign w:val="baseline"/>
                <w:lang w:val="en-US" w:eastAsia="zh-CN"/>
              </w:rPr>
            </w:pPr>
          </w:p>
        </w:tc>
      </w:tr>
      <w:tr w14:paraId="68A5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Merge w:val="restart"/>
            <w:vAlign w:val="center"/>
          </w:tcPr>
          <w:p w14:paraId="4FF04C11">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资源消耗</w:t>
            </w:r>
          </w:p>
        </w:tc>
        <w:tc>
          <w:tcPr>
            <w:tcW w:w="737" w:type="pct"/>
            <w:vAlign w:val="center"/>
          </w:tcPr>
          <w:p w14:paraId="14A4A71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w:t>
            </w:r>
          </w:p>
        </w:tc>
        <w:tc>
          <w:tcPr>
            <w:tcW w:w="744" w:type="pct"/>
            <w:vAlign w:val="center"/>
          </w:tcPr>
          <w:p w14:paraId="76D139A2">
            <w:pPr>
              <w:spacing w:line="240" w:lineRule="auto"/>
              <w:jc w:val="center"/>
              <w:rPr>
                <w:rFonts w:hint="eastAsia" w:ascii="Times New Roman" w:hAnsi="Times New Roman" w:cs="Times New Roman"/>
                <w:sz w:val="18"/>
                <w:szCs w:val="18"/>
                <w:vertAlign w:val="baseline"/>
                <w:lang w:val="en-US" w:eastAsia="zh-CN"/>
              </w:rPr>
            </w:pPr>
          </w:p>
        </w:tc>
        <w:tc>
          <w:tcPr>
            <w:tcW w:w="566" w:type="pct"/>
            <w:vAlign w:val="center"/>
          </w:tcPr>
          <w:p w14:paraId="301840B3">
            <w:pPr>
              <w:spacing w:line="240" w:lineRule="auto"/>
              <w:jc w:val="center"/>
              <w:rPr>
                <w:rFonts w:hint="eastAsia" w:ascii="Times New Roman" w:hAnsi="Times New Roman" w:cs="Times New Roman"/>
                <w:sz w:val="18"/>
                <w:szCs w:val="18"/>
                <w:vertAlign w:val="baseline"/>
                <w:lang w:val="en-US" w:eastAsia="zh-CN"/>
              </w:rPr>
            </w:pPr>
          </w:p>
        </w:tc>
        <w:tc>
          <w:tcPr>
            <w:tcW w:w="922" w:type="pct"/>
            <w:vAlign w:val="center"/>
          </w:tcPr>
          <w:p w14:paraId="052C6220">
            <w:pPr>
              <w:spacing w:line="240" w:lineRule="auto"/>
              <w:jc w:val="center"/>
              <w:rPr>
                <w:rFonts w:hint="eastAsia" w:ascii="Times New Roman" w:hAnsi="Times New Roman" w:cs="Times New Roman"/>
                <w:sz w:val="18"/>
                <w:szCs w:val="18"/>
                <w:vertAlign w:val="baseline"/>
                <w:lang w:val="en-US" w:eastAsia="zh-CN"/>
              </w:rPr>
            </w:pPr>
          </w:p>
        </w:tc>
        <w:tc>
          <w:tcPr>
            <w:tcW w:w="1278" w:type="pct"/>
            <w:vAlign w:val="center"/>
          </w:tcPr>
          <w:p w14:paraId="07263D9F">
            <w:pPr>
              <w:spacing w:line="240" w:lineRule="auto"/>
              <w:jc w:val="center"/>
              <w:rPr>
                <w:rFonts w:hint="eastAsia" w:ascii="Times New Roman" w:hAnsi="Times New Roman" w:cs="Times New Roman"/>
                <w:sz w:val="18"/>
                <w:szCs w:val="18"/>
                <w:vertAlign w:val="baseline"/>
                <w:lang w:val="en-US" w:eastAsia="zh-CN"/>
              </w:rPr>
            </w:pPr>
          </w:p>
        </w:tc>
      </w:tr>
      <w:tr w14:paraId="6D4A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Merge w:val="continue"/>
            <w:vAlign w:val="center"/>
          </w:tcPr>
          <w:p w14:paraId="3BA57E61">
            <w:pPr>
              <w:spacing w:line="240" w:lineRule="auto"/>
              <w:jc w:val="center"/>
              <w:rPr>
                <w:rFonts w:hint="eastAsia" w:ascii="Times New Roman" w:hAnsi="Times New Roman" w:cs="Times New Roman"/>
                <w:sz w:val="18"/>
                <w:szCs w:val="18"/>
                <w:vertAlign w:val="baseline"/>
                <w:lang w:val="en-US" w:eastAsia="zh-CN"/>
              </w:rPr>
            </w:pPr>
          </w:p>
        </w:tc>
        <w:tc>
          <w:tcPr>
            <w:tcW w:w="737" w:type="pct"/>
            <w:vAlign w:val="center"/>
          </w:tcPr>
          <w:p w14:paraId="0311EB24">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压缩空气</w:t>
            </w:r>
          </w:p>
        </w:tc>
        <w:tc>
          <w:tcPr>
            <w:tcW w:w="744" w:type="pct"/>
            <w:vAlign w:val="center"/>
          </w:tcPr>
          <w:p w14:paraId="71E55BDD">
            <w:pPr>
              <w:spacing w:line="240" w:lineRule="auto"/>
              <w:jc w:val="center"/>
              <w:rPr>
                <w:rFonts w:hint="eastAsia" w:ascii="Times New Roman" w:hAnsi="Times New Roman" w:cs="Times New Roman"/>
                <w:sz w:val="18"/>
                <w:szCs w:val="18"/>
                <w:vertAlign w:val="baseline"/>
                <w:lang w:val="en-US" w:eastAsia="zh-CN"/>
              </w:rPr>
            </w:pPr>
          </w:p>
        </w:tc>
        <w:tc>
          <w:tcPr>
            <w:tcW w:w="566" w:type="pct"/>
            <w:vAlign w:val="center"/>
          </w:tcPr>
          <w:p w14:paraId="5D049B81">
            <w:pPr>
              <w:spacing w:line="240" w:lineRule="auto"/>
              <w:jc w:val="center"/>
              <w:rPr>
                <w:rFonts w:hint="eastAsia" w:ascii="Times New Roman" w:hAnsi="Times New Roman" w:cs="Times New Roman"/>
                <w:sz w:val="18"/>
                <w:szCs w:val="18"/>
                <w:vertAlign w:val="baseline"/>
                <w:lang w:val="en-US" w:eastAsia="zh-CN"/>
              </w:rPr>
            </w:pPr>
          </w:p>
        </w:tc>
        <w:tc>
          <w:tcPr>
            <w:tcW w:w="922" w:type="pct"/>
            <w:vAlign w:val="center"/>
          </w:tcPr>
          <w:p w14:paraId="5C9B3C3C">
            <w:pPr>
              <w:spacing w:line="240" w:lineRule="auto"/>
              <w:jc w:val="center"/>
              <w:rPr>
                <w:rFonts w:hint="eastAsia" w:ascii="Times New Roman" w:hAnsi="Times New Roman" w:cs="Times New Roman"/>
                <w:sz w:val="18"/>
                <w:szCs w:val="18"/>
                <w:vertAlign w:val="baseline"/>
                <w:lang w:val="en-US" w:eastAsia="zh-CN"/>
              </w:rPr>
            </w:pPr>
          </w:p>
        </w:tc>
        <w:tc>
          <w:tcPr>
            <w:tcW w:w="1278" w:type="pct"/>
            <w:vAlign w:val="center"/>
          </w:tcPr>
          <w:p w14:paraId="36A5FF6D">
            <w:pPr>
              <w:spacing w:line="240" w:lineRule="auto"/>
              <w:jc w:val="center"/>
              <w:rPr>
                <w:rFonts w:hint="eastAsia" w:ascii="Times New Roman" w:hAnsi="Times New Roman" w:cs="Times New Roman"/>
                <w:sz w:val="18"/>
                <w:szCs w:val="18"/>
                <w:vertAlign w:val="baseline"/>
                <w:lang w:val="en-US" w:eastAsia="zh-CN"/>
              </w:rPr>
            </w:pPr>
          </w:p>
        </w:tc>
      </w:tr>
      <w:tr w14:paraId="58FE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Merge w:val="continue"/>
            <w:vAlign w:val="center"/>
          </w:tcPr>
          <w:p w14:paraId="4E417CD5">
            <w:pPr>
              <w:spacing w:line="240" w:lineRule="auto"/>
              <w:jc w:val="center"/>
              <w:rPr>
                <w:rFonts w:hint="eastAsia" w:ascii="Times New Roman" w:hAnsi="Times New Roman" w:cs="Times New Roman"/>
                <w:sz w:val="18"/>
                <w:szCs w:val="18"/>
                <w:vertAlign w:val="baseline"/>
                <w:lang w:val="en-US" w:eastAsia="zh-CN"/>
              </w:rPr>
            </w:pPr>
          </w:p>
        </w:tc>
        <w:tc>
          <w:tcPr>
            <w:tcW w:w="737" w:type="pct"/>
            <w:vAlign w:val="center"/>
          </w:tcPr>
          <w:p w14:paraId="1FE09748">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744" w:type="pct"/>
            <w:vAlign w:val="center"/>
          </w:tcPr>
          <w:p w14:paraId="1F3F41F5">
            <w:pPr>
              <w:spacing w:line="240" w:lineRule="auto"/>
              <w:jc w:val="center"/>
              <w:rPr>
                <w:rFonts w:hint="eastAsia" w:ascii="Times New Roman" w:hAnsi="Times New Roman" w:cs="Times New Roman"/>
                <w:sz w:val="18"/>
                <w:szCs w:val="18"/>
                <w:vertAlign w:val="baseline"/>
                <w:lang w:val="en-US" w:eastAsia="zh-CN"/>
              </w:rPr>
            </w:pPr>
          </w:p>
        </w:tc>
        <w:tc>
          <w:tcPr>
            <w:tcW w:w="566" w:type="pct"/>
            <w:vAlign w:val="center"/>
          </w:tcPr>
          <w:p w14:paraId="7F401A1A">
            <w:pPr>
              <w:spacing w:line="240" w:lineRule="auto"/>
              <w:jc w:val="center"/>
              <w:rPr>
                <w:rFonts w:hint="eastAsia" w:ascii="Times New Roman" w:hAnsi="Times New Roman" w:cs="Times New Roman"/>
                <w:sz w:val="18"/>
                <w:szCs w:val="18"/>
                <w:vertAlign w:val="baseline"/>
                <w:lang w:val="en-US" w:eastAsia="zh-CN"/>
              </w:rPr>
            </w:pPr>
          </w:p>
        </w:tc>
        <w:tc>
          <w:tcPr>
            <w:tcW w:w="922" w:type="pct"/>
            <w:vAlign w:val="center"/>
          </w:tcPr>
          <w:p w14:paraId="1A5EE44F">
            <w:pPr>
              <w:spacing w:line="240" w:lineRule="auto"/>
              <w:jc w:val="center"/>
              <w:rPr>
                <w:rFonts w:hint="eastAsia" w:ascii="Times New Roman" w:hAnsi="Times New Roman" w:cs="Times New Roman"/>
                <w:sz w:val="18"/>
                <w:szCs w:val="18"/>
                <w:vertAlign w:val="baseline"/>
                <w:lang w:val="en-US" w:eastAsia="zh-CN"/>
              </w:rPr>
            </w:pPr>
          </w:p>
        </w:tc>
        <w:tc>
          <w:tcPr>
            <w:tcW w:w="1278" w:type="pct"/>
            <w:vAlign w:val="center"/>
          </w:tcPr>
          <w:p w14:paraId="7E50EDF5">
            <w:pPr>
              <w:spacing w:line="240" w:lineRule="auto"/>
              <w:jc w:val="center"/>
              <w:rPr>
                <w:rFonts w:hint="eastAsia" w:ascii="Times New Roman" w:hAnsi="Times New Roman" w:cs="Times New Roman"/>
                <w:sz w:val="18"/>
                <w:szCs w:val="18"/>
                <w:vertAlign w:val="baseline"/>
                <w:lang w:val="en-US" w:eastAsia="zh-CN"/>
              </w:rPr>
            </w:pPr>
          </w:p>
        </w:tc>
      </w:tr>
      <w:tr w14:paraId="59F3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tcPr>
          <w:p w14:paraId="183A5DA3">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a </w:t>
            </w:r>
            <w:r>
              <w:rPr>
                <w:rFonts w:hint="eastAsia" w:ascii="Times New Roman" w:hAnsi="Times New Roman" w:cs="Times New Roman"/>
                <w:sz w:val="18"/>
                <w:szCs w:val="18"/>
                <w:vertAlign w:val="baseline"/>
                <w:lang w:val="en-US" w:eastAsia="zh-CN"/>
              </w:rPr>
              <w:t>电的来源包括电网电力、光伏发电、风力发电等，应分别列出；</w:t>
            </w:r>
          </w:p>
          <w:p w14:paraId="2F998731">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b </w:t>
            </w:r>
            <w:r>
              <w:rPr>
                <w:rFonts w:hint="eastAsia" w:ascii="Times New Roman" w:hAnsi="Times New Roman" w:cs="Times New Roman"/>
                <w:sz w:val="18"/>
                <w:szCs w:val="18"/>
                <w:vertAlign w:val="baseline"/>
                <w:lang w:val="en-US" w:eastAsia="zh-CN"/>
              </w:rPr>
              <w:t>以冰红茶饮料为例，声明单位为“1瓶500 ml的冰红茶饮料”，则填写每生产1瓶500 ml的冰红茶饮料使用该能源/资源的消耗量；</w:t>
            </w:r>
          </w:p>
          <w:p w14:paraId="18829476">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c </w:t>
            </w:r>
            <w:r>
              <w:rPr>
                <w:rFonts w:hint="eastAsia" w:ascii="Times New Roman" w:hAnsi="Times New Roman" w:cs="Times New Roman"/>
                <w:sz w:val="18"/>
                <w:szCs w:val="18"/>
                <w:vertAlign w:val="baseline"/>
                <w:lang w:val="en-US" w:eastAsia="zh-CN"/>
              </w:rPr>
              <w:t>填写能源、资源消耗量数据的来源部门，如生产部；</w:t>
            </w:r>
          </w:p>
          <w:p w14:paraId="31FCB527">
            <w:pPr>
              <w:spacing w:line="240" w:lineRule="auto"/>
              <w:jc w:val="left"/>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d </w:t>
            </w:r>
            <w:r>
              <w:rPr>
                <w:rFonts w:hint="eastAsia" w:ascii="Times New Roman" w:hAnsi="Times New Roman" w:cs="Times New Roman"/>
                <w:sz w:val="18"/>
                <w:szCs w:val="18"/>
                <w:vertAlign w:val="baseline"/>
                <w:lang w:val="en-US" w:eastAsia="zh-CN"/>
              </w:rPr>
              <w:t>如实际测量、理论估算等。</w:t>
            </w:r>
          </w:p>
        </w:tc>
      </w:tr>
    </w:tbl>
    <w:p w14:paraId="79FA1383">
      <w:pPr>
        <w:spacing w:before="238" w:line="221" w:lineRule="auto"/>
        <w:jc w:val="center"/>
        <w:rPr>
          <w:rFonts w:hint="eastAsia" w:ascii="黑体" w:hAnsi="黑体" w:eastAsia="黑体" w:cs="黑体"/>
          <w:b w:val="0"/>
          <w:bCs w:val="0"/>
          <w:color w:val="000000" w:themeColor="text1"/>
          <w:sz w:val="24"/>
          <w:szCs w:val="24"/>
          <w14:textFill>
            <w14:solidFill>
              <w14:schemeClr w14:val="tx1"/>
            </w14:solidFill>
          </w14:textFill>
        </w:rPr>
      </w:pPr>
    </w:p>
    <w:p w14:paraId="1E36A73E">
      <w:pPr>
        <w:spacing w:before="238" w:line="221" w:lineRule="auto"/>
        <w:jc w:val="center"/>
        <w:rPr>
          <w:rFonts w:hint="eastAsia" w:ascii="黑体" w:hAnsi="黑体" w:eastAsia="黑体" w:cs="黑体"/>
          <w:b w:val="0"/>
          <w:bCs w:val="0"/>
          <w:color w:val="000000" w:themeColor="text1"/>
          <w:sz w:val="24"/>
          <w:szCs w:val="24"/>
          <w14:textFill>
            <w14:solidFill>
              <w14:schemeClr w14:val="tx1"/>
            </w14:solidFill>
          </w14:textFill>
        </w:rPr>
      </w:pPr>
    </w:p>
    <w:p w14:paraId="6317AA0B">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黑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表A.3 生产阶段（废弃物处理）数据清单</w:t>
      </w:r>
    </w:p>
    <w:tbl>
      <w:tblPr>
        <w:tblStyle w:val="1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930"/>
        <w:gridCol w:w="847"/>
        <w:gridCol w:w="644"/>
        <w:gridCol w:w="1060"/>
        <w:gridCol w:w="1391"/>
        <w:gridCol w:w="958"/>
        <w:gridCol w:w="962"/>
        <w:gridCol w:w="1479"/>
      </w:tblGrid>
      <w:tr w14:paraId="24BB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pct"/>
            <w:gridSpan w:val="2"/>
            <w:vAlign w:val="center"/>
          </w:tcPr>
          <w:p w14:paraId="592FCF01">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类别</w:t>
            </w:r>
          </w:p>
        </w:tc>
        <w:tc>
          <w:tcPr>
            <w:tcW w:w="458" w:type="pct"/>
            <w:vAlign w:val="center"/>
          </w:tcPr>
          <w:p w14:paraId="6227B7A7">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数量</w:t>
            </w:r>
            <w:r>
              <w:rPr>
                <w:rFonts w:hint="eastAsia" w:ascii="Times New Roman" w:hAnsi="Times New Roman" w:cs="Times New Roman"/>
                <w:sz w:val="18"/>
                <w:szCs w:val="18"/>
                <w:vertAlign w:val="superscript"/>
                <w:lang w:val="en-US" w:eastAsia="zh-CN"/>
              </w:rPr>
              <w:t>a</w:t>
            </w:r>
          </w:p>
        </w:tc>
        <w:tc>
          <w:tcPr>
            <w:tcW w:w="348" w:type="pct"/>
            <w:vAlign w:val="center"/>
          </w:tcPr>
          <w:p w14:paraId="6266D9B2">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单位</w:t>
            </w:r>
          </w:p>
        </w:tc>
        <w:tc>
          <w:tcPr>
            <w:tcW w:w="573" w:type="pct"/>
            <w:vAlign w:val="center"/>
          </w:tcPr>
          <w:p w14:paraId="2D23F825">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数据来源</w:t>
            </w:r>
            <w:r>
              <w:rPr>
                <w:rFonts w:hint="eastAsia" w:ascii="Times New Roman" w:hAnsi="Times New Roman" w:cs="Times New Roman"/>
                <w:sz w:val="18"/>
                <w:szCs w:val="18"/>
                <w:vertAlign w:val="superscript"/>
                <w:lang w:val="en-US" w:eastAsia="zh-CN"/>
              </w:rPr>
              <w:t>b</w:t>
            </w:r>
          </w:p>
        </w:tc>
        <w:tc>
          <w:tcPr>
            <w:tcW w:w="752" w:type="pct"/>
            <w:vAlign w:val="center"/>
          </w:tcPr>
          <w:p w14:paraId="0672F815">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数据获取方式</w:t>
            </w:r>
            <w:r>
              <w:rPr>
                <w:rFonts w:hint="eastAsia" w:ascii="Times New Roman" w:hAnsi="Times New Roman" w:cs="Times New Roman"/>
                <w:sz w:val="18"/>
                <w:szCs w:val="18"/>
                <w:vertAlign w:val="superscript"/>
                <w:lang w:val="en-US" w:eastAsia="zh-CN"/>
              </w:rPr>
              <w:t>c</w:t>
            </w:r>
          </w:p>
        </w:tc>
        <w:tc>
          <w:tcPr>
            <w:tcW w:w="518" w:type="pct"/>
            <w:vAlign w:val="center"/>
          </w:tcPr>
          <w:p w14:paraId="663AE2B1">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处理方式</w:t>
            </w:r>
          </w:p>
        </w:tc>
        <w:tc>
          <w:tcPr>
            <w:tcW w:w="520" w:type="pct"/>
            <w:vAlign w:val="center"/>
          </w:tcPr>
          <w:p w14:paraId="71C02A33">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运输方式</w:t>
            </w:r>
          </w:p>
        </w:tc>
        <w:tc>
          <w:tcPr>
            <w:tcW w:w="798" w:type="pct"/>
            <w:vAlign w:val="center"/>
          </w:tcPr>
          <w:p w14:paraId="080F38A3">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运输距离（km）</w:t>
            </w:r>
          </w:p>
        </w:tc>
      </w:tr>
      <w:tr w14:paraId="6844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vMerge w:val="restart"/>
            <w:vAlign w:val="center"/>
          </w:tcPr>
          <w:p w14:paraId="1F96F884">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废水</w:t>
            </w:r>
          </w:p>
        </w:tc>
        <w:tc>
          <w:tcPr>
            <w:tcW w:w="503" w:type="pct"/>
            <w:vAlign w:val="center"/>
          </w:tcPr>
          <w:p w14:paraId="33E33A27">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COD</w:t>
            </w:r>
          </w:p>
        </w:tc>
        <w:tc>
          <w:tcPr>
            <w:tcW w:w="458" w:type="pct"/>
            <w:vAlign w:val="center"/>
          </w:tcPr>
          <w:p w14:paraId="5B0FF8FA">
            <w:pPr>
              <w:spacing w:line="240" w:lineRule="auto"/>
              <w:jc w:val="center"/>
              <w:rPr>
                <w:rFonts w:hint="eastAsia" w:ascii="Times New Roman" w:hAnsi="Times New Roman" w:cs="Times New Roman"/>
                <w:sz w:val="18"/>
                <w:szCs w:val="18"/>
                <w:vertAlign w:val="baseline"/>
                <w:lang w:val="en-US" w:eastAsia="zh-CN"/>
              </w:rPr>
            </w:pPr>
          </w:p>
        </w:tc>
        <w:tc>
          <w:tcPr>
            <w:tcW w:w="348" w:type="pct"/>
            <w:vAlign w:val="center"/>
          </w:tcPr>
          <w:p w14:paraId="70B9301C">
            <w:pPr>
              <w:spacing w:line="240" w:lineRule="auto"/>
              <w:jc w:val="center"/>
              <w:rPr>
                <w:rFonts w:hint="eastAsia" w:ascii="Times New Roman" w:hAnsi="Times New Roman" w:cs="Times New Roman"/>
                <w:sz w:val="18"/>
                <w:szCs w:val="18"/>
                <w:vertAlign w:val="baseline"/>
                <w:lang w:val="en-US" w:eastAsia="zh-CN"/>
              </w:rPr>
            </w:pPr>
          </w:p>
        </w:tc>
        <w:tc>
          <w:tcPr>
            <w:tcW w:w="573" w:type="pct"/>
            <w:vAlign w:val="center"/>
          </w:tcPr>
          <w:p w14:paraId="52F34DCE">
            <w:pPr>
              <w:spacing w:line="240" w:lineRule="auto"/>
              <w:jc w:val="center"/>
              <w:rPr>
                <w:rFonts w:hint="eastAsia" w:ascii="Times New Roman" w:hAnsi="Times New Roman" w:cs="Times New Roman"/>
                <w:sz w:val="18"/>
                <w:szCs w:val="18"/>
                <w:vertAlign w:val="baseline"/>
                <w:lang w:val="en-US" w:eastAsia="zh-CN"/>
              </w:rPr>
            </w:pPr>
          </w:p>
        </w:tc>
        <w:tc>
          <w:tcPr>
            <w:tcW w:w="752" w:type="pct"/>
            <w:vAlign w:val="center"/>
          </w:tcPr>
          <w:p w14:paraId="4D0F2406">
            <w:pPr>
              <w:spacing w:line="240" w:lineRule="auto"/>
              <w:jc w:val="center"/>
              <w:rPr>
                <w:rFonts w:hint="eastAsia" w:ascii="Times New Roman" w:hAnsi="Times New Roman" w:cs="Times New Roman"/>
                <w:sz w:val="18"/>
                <w:szCs w:val="18"/>
                <w:vertAlign w:val="baseline"/>
                <w:lang w:val="en-US" w:eastAsia="zh-CN"/>
              </w:rPr>
            </w:pPr>
          </w:p>
        </w:tc>
        <w:tc>
          <w:tcPr>
            <w:tcW w:w="518" w:type="pct"/>
            <w:vAlign w:val="center"/>
          </w:tcPr>
          <w:p w14:paraId="4161262B">
            <w:pPr>
              <w:spacing w:line="240" w:lineRule="auto"/>
              <w:jc w:val="center"/>
              <w:rPr>
                <w:rFonts w:hint="eastAsia" w:ascii="Times New Roman" w:hAnsi="Times New Roman" w:cs="Times New Roman"/>
                <w:sz w:val="18"/>
                <w:szCs w:val="18"/>
                <w:vertAlign w:val="baseline"/>
                <w:lang w:val="en-US" w:eastAsia="zh-CN"/>
              </w:rPr>
            </w:pPr>
          </w:p>
        </w:tc>
        <w:tc>
          <w:tcPr>
            <w:tcW w:w="520" w:type="pct"/>
            <w:vAlign w:val="center"/>
          </w:tcPr>
          <w:p w14:paraId="49312213">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798" w:type="pct"/>
            <w:vAlign w:val="center"/>
          </w:tcPr>
          <w:p w14:paraId="12840083">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r>
      <w:tr w14:paraId="2DBC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vMerge w:val="continue"/>
            <w:vAlign w:val="center"/>
          </w:tcPr>
          <w:p w14:paraId="424FF000">
            <w:pPr>
              <w:spacing w:line="240" w:lineRule="auto"/>
              <w:jc w:val="center"/>
              <w:rPr>
                <w:rFonts w:hint="eastAsia" w:ascii="Times New Roman" w:hAnsi="Times New Roman" w:cs="Times New Roman"/>
                <w:sz w:val="18"/>
                <w:szCs w:val="18"/>
                <w:vertAlign w:val="baseline"/>
                <w:lang w:val="en-US" w:eastAsia="zh-CN"/>
              </w:rPr>
            </w:pPr>
          </w:p>
        </w:tc>
        <w:tc>
          <w:tcPr>
            <w:tcW w:w="503" w:type="pct"/>
            <w:vAlign w:val="center"/>
          </w:tcPr>
          <w:p w14:paraId="654E18D4">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458" w:type="pct"/>
            <w:vAlign w:val="center"/>
          </w:tcPr>
          <w:p w14:paraId="6FB6089A">
            <w:pPr>
              <w:spacing w:line="240" w:lineRule="auto"/>
              <w:jc w:val="center"/>
              <w:rPr>
                <w:rFonts w:hint="eastAsia" w:ascii="Times New Roman" w:hAnsi="Times New Roman" w:cs="Times New Roman"/>
                <w:sz w:val="18"/>
                <w:szCs w:val="18"/>
                <w:vertAlign w:val="baseline"/>
                <w:lang w:val="en-US" w:eastAsia="zh-CN"/>
              </w:rPr>
            </w:pPr>
          </w:p>
        </w:tc>
        <w:tc>
          <w:tcPr>
            <w:tcW w:w="348" w:type="pct"/>
            <w:vAlign w:val="center"/>
          </w:tcPr>
          <w:p w14:paraId="24BDF4C3">
            <w:pPr>
              <w:spacing w:line="240" w:lineRule="auto"/>
              <w:jc w:val="center"/>
              <w:rPr>
                <w:rFonts w:hint="eastAsia" w:ascii="Times New Roman" w:hAnsi="Times New Roman" w:cs="Times New Roman"/>
                <w:sz w:val="18"/>
                <w:szCs w:val="18"/>
                <w:vertAlign w:val="baseline"/>
                <w:lang w:val="en-US" w:eastAsia="zh-CN"/>
              </w:rPr>
            </w:pPr>
          </w:p>
        </w:tc>
        <w:tc>
          <w:tcPr>
            <w:tcW w:w="573" w:type="pct"/>
            <w:vAlign w:val="center"/>
          </w:tcPr>
          <w:p w14:paraId="4CF5C91C">
            <w:pPr>
              <w:spacing w:line="240" w:lineRule="auto"/>
              <w:jc w:val="center"/>
              <w:rPr>
                <w:rFonts w:hint="eastAsia" w:ascii="Times New Roman" w:hAnsi="Times New Roman" w:cs="Times New Roman"/>
                <w:sz w:val="18"/>
                <w:szCs w:val="18"/>
                <w:vertAlign w:val="baseline"/>
                <w:lang w:val="en-US" w:eastAsia="zh-CN"/>
              </w:rPr>
            </w:pPr>
          </w:p>
        </w:tc>
        <w:tc>
          <w:tcPr>
            <w:tcW w:w="752" w:type="pct"/>
            <w:vAlign w:val="center"/>
          </w:tcPr>
          <w:p w14:paraId="63EFCED6">
            <w:pPr>
              <w:spacing w:line="240" w:lineRule="auto"/>
              <w:jc w:val="center"/>
              <w:rPr>
                <w:rFonts w:hint="eastAsia" w:ascii="Times New Roman" w:hAnsi="Times New Roman" w:cs="Times New Roman"/>
                <w:sz w:val="18"/>
                <w:szCs w:val="18"/>
                <w:vertAlign w:val="baseline"/>
                <w:lang w:val="en-US" w:eastAsia="zh-CN"/>
              </w:rPr>
            </w:pPr>
          </w:p>
        </w:tc>
        <w:tc>
          <w:tcPr>
            <w:tcW w:w="518" w:type="pct"/>
            <w:vAlign w:val="center"/>
          </w:tcPr>
          <w:p w14:paraId="783B6BA5">
            <w:pPr>
              <w:spacing w:line="240" w:lineRule="auto"/>
              <w:jc w:val="center"/>
              <w:rPr>
                <w:rFonts w:hint="eastAsia" w:ascii="Times New Roman" w:hAnsi="Times New Roman" w:cs="Times New Roman"/>
                <w:sz w:val="18"/>
                <w:szCs w:val="18"/>
                <w:vertAlign w:val="baseline"/>
                <w:lang w:val="en-US" w:eastAsia="zh-CN"/>
              </w:rPr>
            </w:pPr>
          </w:p>
        </w:tc>
        <w:tc>
          <w:tcPr>
            <w:tcW w:w="520" w:type="pct"/>
            <w:vAlign w:val="center"/>
          </w:tcPr>
          <w:p w14:paraId="106436FC">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798" w:type="pct"/>
            <w:vAlign w:val="center"/>
          </w:tcPr>
          <w:p w14:paraId="794C549E">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r>
      <w:tr w14:paraId="75A1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vMerge w:val="restart"/>
            <w:vAlign w:val="center"/>
          </w:tcPr>
          <w:p w14:paraId="3698A4E8">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废气</w:t>
            </w:r>
          </w:p>
        </w:tc>
        <w:tc>
          <w:tcPr>
            <w:tcW w:w="503" w:type="pct"/>
            <w:vAlign w:val="center"/>
          </w:tcPr>
          <w:p w14:paraId="51E4ADB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CH</w:t>
            </w:r>
            <w:r>
              <w:rPr>
                <w:rFonts w:hint="eastAsia" w:ascii="Times New Roman" w:hAnsi="Times New Roman" w:cs="Times New Roman"/>
                <w:sz w:val="18"/>
                <w:szCs w:val="18"/>
                <w:vertAlign w:val="subscript"/>
                <w:lang w:val="en-US" w:eastAsia="zh-CN"/>
              </w:rPr>
              <w:t>4</w:t>
            </w:r>
          </w:p>
        </w:tc>
        <w:tc>
          <w:tcPr>
            <w:tcW w:w="458" w:type="pct"/>
            <w:vAlign w:val="center"/>
          </w:tcPr>
          <w:p w14:paraId="05248831">
            <w:pPr>
              <w:spacing w:line="240" w:lineRule="auto"/>
              <w:jc w:val="center"/>
              <w:rPr>
                <w:rFonts w:hint="eastAsia" w:ascii="Times New Roman" w:hAnsi="Times New Roman" w:cs="Times New Roman"/>
                <w:sz w:val="18"/>
                <w:szCs w:val="18"/>
                <w:vertAlign w:val="baseline"/>
                <w:lang w:val="en-US" w:eastAsia="zh-CN"/>
              </w:rPr>
            </w:pPr>
          </w:p>
        </w:tc>
        <w:tc>
          <w:tcPr>
            <w:tcW w:w="348" w:type="pct"/>
            <w:vAlign w:val="center"/>
          </w:tcPr>
          <w:p w14:paraId="5D3C4B43">
            <w:pPr>
              <w:spacing w:line="240" w:lineRule="auto"/>
              <w:jc w:val="center"/>
              <w:rPr>
                <w:rFonts w:hint="eastAsia" w:ascii="Times New Roman" w:hAnsi="Times New Roman" w:cs="Times New Roman"/>
                <w:sz w:val="18"/>
                <w:szCs w:val="18"/>
                <w:vertAlign w:val="baseline"/>
                <w:lang w:val="en-US" w:eastAsia="zh-CN"/>
              </w:rPr>
            </w:pPr>
          </w:p>
        </w:tc>
        <w:tc>
          <w:tcPr>
            <w:tcW w:w="573" w:type="pct"/>
            <w:vAlign w:val="center"/>
          </w:tcPr>
          <w:p w14:paraId="0B8FBC0C">
            <w:pPr>
              <w:spacing w:line="240" w:lineRule="auto"/>
              <w:jc w:val="center"/>
              <w:rPr>
                <w:rFonts w:hint="eastAsia" w:ascii="Times New Roman" w:hAnsi="Times New Roman" w:cs="Times New Roman"/>
                <w:sz w:val="18"/>
                <w:szCs w:val="18"/>
                <w:vertAlign w:val="baseline"/>
                <w:lang w:val="en-US" w:eastAsia="zh-CN"/>
              </w:rPr>
            </w:pPr>
          </w:p>
        </w:tc>
        <w:tc>
          <w:tcPr>
            <w:tcW w:w="752" w:type="pct"/>
            <w:vAlign w:val="center"/>
          </w:tcPr>
          <w:p w14:paraId="33545B8A">
            <w:pPr>
              <w:spacing w:line="240" w:lineRule="auto"/>
              <w:jc w:val="center"/>
              <w:rPr>
                <w:rFonts w:hint="eastAsia" w:ascii="Times New Roman" w:hAnsi="Times New Roman" w:cs="Times New Roman"/>
                <w:sz w:val="18"/>
                <w:szCs w:val="18"/>
                <w:vertAlign w:val="baseline"/>
                <w:lang w:val="en-US" w:eastAsia="zh-CN"/>
              </w:rPr>
            </w:pPr>
          </w:p>
        </w:tc>
        <w:tc>
          <w:tcPr>
            <w:tcW w:w="518" w:type="pct"/>
            <w:vAlign w:val="center"/>
          </w:tcPr>
          <w:p w14:paraId="73FFB2EA">
            <w:pPr>
              <w:spacing w:line="240" w:lineRule="auto"/>
              <w:jc w:val="center"/>
              <w:rPr>
                <w:rFonts w:hint="eastAsia" w:ascii="Times New Roman" w:hAnsi="Times New Roman" w:cs="Times New Roman"/>
                <w:sz w:val="18"/>
                <w:szCs w:val="18"/>
                <w:vertAlign w:val="baseline"/>
                <w:lang w:val="en-US" w:eastAsia="zh-CN"/>
              </w:rPr>
            </w:pPr>
          </w:p>
        </w:tc>
        <w:tc>
          <w:tcPr>
            <w:tcW w:w="520" w:type="pct"/>
            <w:vAlign w:val="center"/>
          </w:tcPr>
          <w:p w14:paraId="36C4EF7D">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798" w:type="pct"/>
            <w:vAlign w:val="center"/>
          </w:tcPr>
          <w:p w14:paraId="2A8F67E9">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r>
      <w:tr w14:paraId="5D58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vMerge w:val="continue"/>
            <w:vAlign w:val="center"/>
          </w:tcPr>
          <w:p w14:paraId="2AEB57B1">
            <w:pPr>
              <w:spacing w:line="240" w:lineRule="auto"/>
              <w:jc w:val="center"/>
              <w:rPr>
                <w:rFonts w:hint="default" w:ascii="Times New Roman" w:hAnsi="Times New Roman" w:cs="Times New Roman"/>
                <w:sz w:val="18"/>
                <w:szCs w:val="18"/>
                <w:vertAlign w:val="baseline"/>
                <w:lang w:val="en-US" w:eastAsia="zh-CN"/>
              </w:rPr>
            </w:pPr>
          </w:p>
        </w:tc>
        <w:tc>
          <w:tcPr>
            <w:tcW w:w="503" w:type="pct"/>
            <w:vAlign w:val="center"/>
          </w:tcPr>
          <w:p w14:paraId="3D849DF1">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458" w:type="pct"/>
            <w:vAlign w:val="center"/>
          </w:tcPr>
          <w:p w14:paraId="40AF3B72">
            <w:pPr>
              <w:spacing w:line="240" w:lineRule="auto"/>
              <w:jc w:val="center"/>
              <w:rPr>
                <w:rFonts w:hint="eastAsia" w:ascii="Times New Roman" w:hAnsi="Times New Roman" w:cs="Times New Roman"/>
                <w:sz w:val="18"/>
                <w:szCs w:val="18"/>
                <w:vertAlign w:val="baseline"/>
                <w:lang w:val="en-US" w:eastAsia="zh-CN"/>
              </w:rPr>
            </w:pPr>
          </w:p>
        </w:tc>
        <w:tc>
          <w:tcPr>
            <w:tcW w:w="348" w:type="pct"/>
            <w:vAlign w:val="center"/>
          </w:tcPr>
          <w:p w14:paraId="7F3E4912">
            <w:pPr>
              <w:spacing w:line="240" w:lineRule="auto"/>
              <w:jc w:val="center"/>
              <w:rPr>
                <w:rFonts w:hint="eastAsia" w:ascii="Times New Roman" w:hAnsi="Times New Roman" w:cs="Times New Roman"/>
                <w:sz w:val="18"/>
                <w:szCs w:val="18"/>
                <w:vertAlign w:val="baseline"/>
                <w:lang w:val="en-US" w:eastAsia="zh-CN"/>
              </w:rPr>
            </w:pPr>
          </w:p>
        </w:tc>
        <w:tc>
          <w:tcPr>
            <w:tcW w:w="573" w:type="pct"/>
            <w:vAlign w:val="center"/>
          </w:tcPr>
          <w:p w14:paraId="437D8CA2">
            <w:pPr>
              <w:spacing w:line="240" w:lineRule="auto"/>
              <w:jc w:val="center"/>
              <w:rPr>
                <w:rFonts w:hint="eastAsia" w:ascii="Times New Roman" w:hAnsi="Times New Roman" w:cs="Times New Roman"/>
                <w:sz w:val="18"/>
                <w:szCs w:val="18"/>
                <w:vertAlign w:val="baseline"/>
                <w:lang w:val="en-US" w:eastAsia="zh-CN"/>
              </w:rPr>
            </w:pPr>
          </w:p>
        </w:tc>
        <w:tc>
          <w:tcPr>
            <w:tcW w:w="752" w:type="pct"/>
            <w:vAlign w:val="center"/>
          </w:tcPr>
          <w:p w14:paraId="56DB77C4">
            <w:pPr>
              <w:spacing w:line="240" w:lineRule="auto"/>
              <w:jc w:val="center"/>
              <w:rPr>
                <w:rFonts w:hint="eastAsia" w:ascii="Times New Roman" w:hAnsi="Times New Roman" w:cs="Times New Roman"/>
                <w:sz w:val="18"/>
                <w:szCs w:val="18"/>
                <w:vertAlign w:val="baseline"/>
                <w:lang w:val="en-US" w:eastAsia="zh-CN"/>
              </w:rPr>
            </w:pPr>
          </w:p>
        </w:tc>
        <w:tc>
          <w:tcPr>
            <w:tcW w:w="518" w:type="pct"/>
            <w:vAlign w:val="center"/>
          </w:tcPr>
          <w:p w14:paraId="35E61009">
            <w:pPr>
              <w:spacing w:line="240" w:lineRule="auto"/>
              <w:jc w:val="center"/>
              <w:rPr>
                <w:rFonts w:hint="eastAsia" w:ascii="Times New Roman" w:hAnsi="Times New Roman" w:cs="Times New Roman"/>
                <w:sz w:val="18"/>
                <w:szCs w:val="18"/>
                <w:vertAlign w:val="baseline"/>
                <w:lang w:val="en-US" w:eastAsia="zh-CN"/>
              </w:rPr>
            </w:pPr>
          </w:p>
        </w:tc>
        <w:tc>
          <w:tcPr>
            <w:tcW w:w="520" w:type="pct"/>
            <w:vAlign w:val="center"/>
          </w:tcPr>
          <w:p w14:paraId="63889BE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798" w:type="pct"/>
            <w:vAlign w:val="center"/>
          </w:tcPr>
          <w:p w14:paraId="5AD89BC6">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r>
      <w:tr w14:paraId="085B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vMerge w:val="restart"/>
            <w:vAlign w:val="center"/>
          </w:tcPr>
          <w:p w14:paraId="0B6186AC">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固体</w:t>
            </w:r>
          </w:p>
          <w:p w14:paraId="577C3248">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废弃物</w:t>
            </w:r>
          </w:p>
        </w:tc>
        <w:tc>
          <w:tcPr>
            <w:tcW w:w="503" w:type="pct"/>
            <w:vAlign w:val="center"/>
          </w:tcPr>
          <w:p w14:paraId="4E4F9B9A">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废包装</w:t>
            </w:r>
          </w:p>
        </w:tc>
        <w:tc>
          <w:tcPr>
            <w:tcW w:w="458" w:type="pct"/>
            <w:vAlign w:val="center"/>
          </w:tcPr>
          <w:p w14:paraId="337D5C4D">
            <w:pPr>
              <w:spacing w:line="240" w:lineRule="auto"/>
              <w:jc w:val="center"/>
              <w:rPr>
                <w:rFonts w:hint="eastAsia" w:ascii="Times New Roman" w:hAnsi="Times New Roman" w:cs="Times New Roman"/>
                <w:sz w:val="18"/>
                <w:szCs w:val="18"/>
                <w:vertAlign w:val="baseline"/>
                <w:lang w:val="en-US" w:eastAsia="zh-CN"/>
              </w:rPr>
            </w:pPr>
          </w:p>
        </w:tc>
        <w:tc>
          <w:tcPr>
            <w:tcW w:w="348" w:type="pct"/>
            <w:vAlign w:val="center"/>
          </w:tcPr>
          <w:p w14:paraId="689A8CA8">
            <w:pPr>
              <w:spacing w:line="240" w:lineRule="auto"/>
              <w:jc w:val="center"/>
              <w:rPr>
                <w:rFonts w:hint="eastAsia" w:ascii="Times New Roman" w:hAnsi="Times New Roman" w:cs="Times New Roman"/>
                <w:sz w:val="18"/>
                <w:szCs w:val="18"/>
                <w:vertAlign w:val="baseline"/>
                <w:lang w:val="en-US" w:eastAsia="zh-CN"/>
              </w:rPr>
            </w:pPr>
          </w:p>
        </w:tc>
        <w:tc>
          <w:tcPr>
            <w:tcW w:w="573" w:type="pct"/>
            <w:vAlign w:val="center"/>
          </w:tcPr>
          <w:p w14:paraId="69299FF6">
            <w:pPr>
              <w:spacing w:line="240" w:lineRule="auto"/>
              <w:jc w:val="center"/>
              <w:rPr>
                <w:rFonts w:hint="eastAsia" w:ascii="Times New Roman" w:hAnsi="Times New Roman" w:cs="Times New Roman"/>
                <w:sz w:val="18"/>
                <w:szCs w:val="18"/>
                <w:vertAlign w:val="baseline"/>
                <w:lang w:val="en-US" w:eastAsia="zh-CN"/>
              </w:rPr>
            </w:pPr>
          </w:p>
        </w:tc>
        <w:tc>
          <w:tcPr>
            <w:tcW w:w="752" w:type="pct"/>
            <w:vAlign w:val="center"/>
          </w:tcPr>
          <w:p w14:paraId="3777F001">
            <w:pPr>
              <w:spacing w:line="240" w:lineRule="auto"/>
              <w:jc w:val="center"/>
              <w:rPr>
                <w:rFonts w:hint="eastAsia" w:ascii="Times New Roman" w:hAnsi="Times New Roman" w:cs="Times New Roman"/>
                <w:sz w:val="18"/>
                <w:szCs w:val="18"/>
                <w:vertAlign w:val="baseline"/>
                <w:lang w:val="en-US" w:eastAsia="zh-CN"/>
              </w:rPr>
            </w:pPr>
          </w:p>
        </w:tc>
        <w:tc>
          <w:tcPr>
            <w:tcW w:w="518" w:type="pct"/>
            <w:vAlign w:val="center"/>
          </w:tcPr>
          <w:p w14:paraId="305BB67F">
            <w:pPr>
              <w:spacing w:line="240" w:lineRule="auto"/>
              <w:jc w:val="center"/>
              <w:rPr>
                <w:rFonts w:hint="eastAsia" w:ascii="Times New Roman" w:hAnsi="Times New Roman" w:cs="Times New Roman"/>
                <w:sz w:val="18"/>
                <w:szCs w:val="18"/>
                <w:vertAlign w:val="baseline"/>
                <w:lang w:val="en-US" w:eastAsia="zh-CN"/>
              </w:rPr>
            </w:pPr>
          </w:p>
        </w:tc>
        <w:tc>
          <w:tcPr>
            <w:tcW w:w="520" w:type="pct"/>
            <w:vAlign w:val="center"/>
          </w:tcPr>
          <w:p w14:paraId="407AE23B">
            <w:pPr>
              <w:spacing w:line="240" w:lineRule="auto"/>
              <w:jc w:val="center"/>
              <w:rPr>
                <w:rFonts w:hint="eastAsia" w:ascii="Times New Roman" w:hAnsi="Times New Roman" w:cs="Times New Roman"/>
                <w:sz w:val="18"/>
                <w:szCs w:val="18"/>
                <w:vertAlign w:val="baseline"/>
                <w:lang w:val="en-US" w:eastAsia="zh-CN"/>
              </w:rPr>
            </w:pPr>
          </w:p>
        </w:tc>
        <w:tc>
          <w:tcPr>
            <w:tcW w:w="798" w:type="pct"/>
            <w:vAlign w:val="center"/>
          </w:tcPr>
          <w:p w14:paraId="3506DDE1">
            <w:pPr>
              <w:spacing w:line="240" w:lineRule="auto"/>
              <w:jc w:val="center"/>
              <w:rPr>
                <w:rFonts w:hint="eastAsia" w:ascii="Times New Roman" w:hAnsi="Times New Roman" w:cs="Times New Roman"/>
                <w:sz w:val="18"/>
                <w:szCs w:val="18"/>
                <w:vertAlign w:val="baseline"/>
                <w:lang w:val="en-US" w:eastAsia="zh-CN"/>
              </w:rPr>
            </w:pPr>
          </w:p>
        </w:tc>
      </w:tr>
      <w:tr w14:paraId="507B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vMerge w:val="continue"/>
            <w:vAlign w:val="center"/>
          </w:tcPr>
          <w:p w14:paraId="5BDB653A">
            <w:pPr>
              <w:spacing w:line="240" w:lineRule="auto"/>
              <w:jc w:val="center"/>
              <w:rPr>
                <w:rFonts w:hint="eastAsia" w:ascii="Times New Roman" w:hAnsi="Times New Roman" w:cs="Times New Roman"/>
                <w:sz w:val="18"/>
                <w:szCs w:val="18"/>
                <w:vertAlign w:val="baseline"/>
                <w:lang w:val="en-US" w:eastAsia="zh-CN"/>
              </w:rPr>
            </w:pPr>
          </w:p>
        </w:tc>
        <w:tc>
          <w:tcPr>
            <w:tcW w:w="503" w:type="pct"/>
            <w:vAlign w:val="center"/>
          </w:tcPr>
          <w:p w14:paraId="271DE491">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458" w:type="pct"/>
            <w:vAlign w:val="center"/>
          </w:tcPr>
          <w:p w14:paraId="18E8E229">
            <w:pPr>
              <w:spacing w:line="240" w:lineRule="auto"/>
              <w:jc w:val="center"/>
              <w:rPr>
                <w:rFonts w:hint="eastAsia" w:ascii="Times New Roman" w:hAnsi="Times New Roman" w:cs="Times New Roman"/>
                <w:sz w:val="18"/>
                <w:szCs w:val="18"/>
                <w:vertAlign w:val="baseline"/>
                <w:lang w:val="en-US" w:eastAsia="zh-CN"/>
              </w:rPr>
            </w:pPr>
          </w:p>
        </w:tc>
        <w:tc>
          <w:tcPr>
            <w:tcW w:w="348" w:type="pct"/>
            <w:vAlign w:val="center"/>
          </w:tcPr>
          <w:p w14:paraId="4F957727">
            <w:pPr>
              <w:spacing w:line="240" w:lineRule="auto"/>
              <w:jc w:val="center"/>
              <w:rPr>
                <w:rFonts w:hint="eastAsia" w:ascii="Times New Roman" w:hAnsi="Times New Roman" w:cs="Times New Roman"/>
                <w:sz w:val="18"/>
                <w:szCs w:val="18"/>
                <w:vertAlign w:val="baseline"/>
                <w:lang w:val="en-US" w:eastAsia="zh-CN"/>
              </w:rPr>
            </w:pPr>
          </w:p>
        </w:tc>
        <w:tc>
          <w:tcPr>
            <w:tcW w:w="573" w:type="pct"/>
            <w:vAlign w:val="center"/>
          </w:tcPr>
          <w:p w14:paraId="669F79F5">
            <w:pPr>
              <w:spacing w:line="240" w:lineRule="auto"/>
              <w:jc w:val="center"/>
              <w:rPr>
                <w:rFonts w:hint="eastAsia" w:ascii="Times New Roman" w:hAnsi="Times New Roman" w:cs="Times New Roman"/>
                <w:sz w:val="18"/>
                <w:szCs w:val="18"/>
                <w:vertAlign w:val="baseline"/>
                <w:lang w:val="en-US" w:eastAsia="zh-CN"/>
              </w:rPr>
            </w:pPr>
          </w:p>
        </w:tc>
        <w:tc>
          <w:tcPr>
            <w:tcW w:w="752" w:type="pct"/>
            <w:vAlign w:val="center"/>
          </w:tcPr>
          <w:p w14:paraId="6605681E">
            <w:pPr>
              <w:spacing w:line="240" w:lineRule="auto"/>
              <w:jc w:val="center"/>
              <w:rPr>
                <w:rFonts w:hint="eastAsia" w:ascii="Times New Roman" w:hAnsi="Times New Roman" w:cs="Times New Roman"/>
                <w:sz w:val="18"/>
                <w:szCs w:val="18"/>
                <w:vertAlign w:val="baseline"/>
                <w:lang w:val="en-US" w:eastAsia="zh-CN"/>
              </w:rPr>
            </w:pPr>
          </w:p>
        </w:tc>
        <w:tc>
          <w:tcPr>
            <w:tcW w:w="518" w:type="pct"/>
            <w:vAlign w:val="center"/>
          </w:tcPr>
          <w:p w14:paraId="354FCEAA">
            <w:pPr>
              <w:spacing w:line="240" w:lineRule="auto"/>
              <w:jc w:val="center"/>
              <w:rPr>
                <w:rFonts w:hint="eastAsia" w:ascii="Times New Roman" w:hAnsi="Times New Roman" w:cs="Times New Roman"/>
                <w:sz w:val="18"/>
                <w:szCs w:val="18"/>
                <w:vertAlign w:val="baseline"/>
                <w:lang w:val="en-US" w:eastAsia="zh-CN"/>
              </w:rPr>
            </w:pPr>
          </w:p>
        </w:tc>
        <w:tc>
          <w:tcPr>
            <w:tcW w:w="520" w:type="pct"/>
            <w:vAlign w:val="center"/>
          </w:tcPr>
          <w:p w14:paraId="7B301AC6">
            <w:pPr>
              <w:spacing w:line="240" w:lineRule="auto"/>
              <w:jc w:val="center"/>
              <w:rPr>
                <w:rFonts w:hint="eastAsia" w:ascii="Times New Roman" w:hAnsi="Times New Roman" w:cs="Times New Roman"/>
                <w:sz w:val="18"/>
                <w:szCs w:val="18"/>
                <w:vertAlign w:val="baseline"/>
                <w:lang w:val="en-US" w:eastAsia="zh-CN"/>
              </w:rPr>
            </w:pPr>
          </w:p>
        </w:tc>
        <w:tc>
          <w:tcPr>
            <w:tcW w:w="798" w:type="pct"/>
            <w:vAlign w:val="center"/>
          </w:tcPr>
          <w:p w14:paraId="18ACFA30">
            <w:pPr>
              <w:spacing w:line="240" w:lineRule="auto"/>
              <w:jc w:val="center"/>
              <w:rPr>
                <w:rFonts w:hint="eastAsia" w:ascii="Times New Roman" w:hAnsi="Times New Roman" w:cs="Times New Roman"/>
                <w:sz w:val="18"/>
                <w:szCs w:val="18"/>
                <w:vertAlign w:val="baseline"/>
                <w:lang w:val="en-US" w:eastAsia="zh-CN"/>
              </w:rPr>
            </w:pPr>
          </w:p>
        </w:tc>
      </w:tr>
      <w:tr w14:paraId="7949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9"/>
            <w:vAlign w:val="center"/>
          </w:tcPr>
          <w:p w14:paraId="6A9D88D4">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a </w:t>
            </w:r>
            <w:r>
              <w:rPr>
                <w:rFonts w:hint="eastAsia" w:ascii="Times New Roman" w:hAnsi="Times New Roman" w:cs="Times New Roman"/>
                <w:sz w:val="18"/>
                <w:szCs w:val="18"/>
                <w:vertAlign w:val="baseline"/>
                <w:lang w:val="en-US" w:eastAsia="zh-CN"/>
              </w:rPr>
              <w:t>以冰红茶饮料为例，声明单位为“1瓶500 ml的冰红茶饮料”，则填写每生产1瓶500 ml的冰红茶饮料产生的废弃物排放量；</w:t>
            </w:r>
          </w:p>
          <w:p w14:paraId="6B11BE44">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b </w:t>
            </w:r>
            <w:r>
              <w:rPr>
                <w:rFonts w:hint="eastAsia" w:ascii="Times New Roman" w:hAnsi="Times New Roman" w:cs="Times New Roman"/>
                <w:sz w:val="18"/>
                <w:szCs w:val="18"/>
                <w:vertAlign w:val="baseline"/>
                <w:lang w:val="en-US" w:eastAsia="zh-CN"/>
              </w:rPr>
              <w:t>填写污废弃物排放量数据的来源部门，如生产部；</w:t>
            </w:r>
          </w:p>
          <w:p w14:paraId="4D8070CD">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c </w:t>
            </w:r>
            <w:r>
              <w:rPr>
                <w:rFonts w:hint="eastAsia" w:ascii="Times New Roman" w:hAnsi="Times New Roman" w:cs="Times New Roman"/>
                <w:sz w:val="18"/>
                <w:szCs w:val="18"/>
                <w:vertAlign w:val="baseline"/>
                <w:lang w:val="en-US" w:eastAsia="zh-CN"/>
              </w:rPr>
              <w:t>如实际测量、理论估算等。</w:t>
            </w:r>
          </w:p>
        </w:tc>
      </w:tr>
    </w:tbl>
    <w:p w14:paraId="0132718F">
      <w:pPr>
        <w:spacing w:line="299" w:lineRule="auto"/>
        <w:rPr>
          <w:rFonts w:hint="eastAsia" w:ascii="Arial"/>
          <w:sz w:val="21"/>
        </w:rPr>
      </w:pPr>
    </w:p>
    <w:p w14:paraId="785092AC">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表A.4 分销阶段数据清单</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8"/>
        <w:gridCol w:w="1277"/>
        <w:gridCol w:w="861"/>
        <w:gridCol w:w="877"/>
        <w:gridCol w:w="1105"/>
        <w:gridCol w:w="946"/>
        <w:gridCol w:w="968"/>
        <w:gridCol w:w="1271"/>
      </w:tblGrid>
      <w:tr w14:paraId="122A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pct"/>
            <w:vAlign w:val="center"/>
          </w:tcPr>
          <w:p w14:paraId="604F4E8B">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运输路径</w:t>
            </w:r>
            <w:r>
              <w:rPr>
                <w:rFonts w:hint="eastAsia" w:ascii="Times New Roman" w:hAnsi="Times New Roman" w:cs="Times New Roman"/>
                <w:sz w:val="18"/>
                <w:szCs w:val="18"/>
                <w:vertAlign w:val="superscript"/>
                <w:lang w:val="en-US" w:eastAsia="zh-CN"/>
              </w:rPr>
              <w:t>a</w:t>
            </w:r>
          </w:p>
        </w:tc>
        <w:tc>
          <w:tcPr>
            <w:tcW w:w="690" w:type="pct"/>
            <w:vAlign w:val="center"/>
          </w:tcPr>
          <w:p w14:paraId="08840D62">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运输总量</w:t>
            </w:r>
            <w:r>
              <w:rPr>
                <w:rFonts w:hint="eastAsia" w:ascii="Times New Roman" w:hAnsi="Times New Roman" w:cs="Times New Roman"/>
                <w:sz w:val="18"/>
                <w:szCs w:val="18"/>
                <w:vertAlign w:val="superscript"/>
                <w:lang w:val="en-US" w:eastAsia="zh-CN"/>
              </w:rPr>
              <w:t>b</w:t>
            </w:r>
          </w:p>
          <w:p w14:paraId="10379A06">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（kg）</w:t>
            </w:r>
          </w:p>
        </w:tc>
        <w:tc>
          <w:tcPr>
            <w:tcW w:w="465" w:type="pct"/>
            <w:vAlign w:val="center"/>
          </w:tcPr>
          <w:p w14:paraId="0AD81D00">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运输</w:t>
            </w:r>
          </w:p>
          <w:p w14:paraId="3C631C4E">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方式</w:t>
            </w:r>
            <w:r>
              <w:rPr>
                <w:rFonts w:hint="eastAsia" w:ascii="Times New Roman" w:hAnsi="Times New Roman" w:cs="Times New Roman"/>
                <w:sz w:val="18"/>
                <w:szCs w:val="18"/>
                <w:vertAlign w:val="superscript"/>
                <w:lang w:val="en-US" w:eastAsia="zh-CN"/>
              </w:rPr>
              <w:t>c</w:t>
            </w:r>
          </w:p>
        </w:tc>
        <w:tc>
          <w:tcPr>
            <w:tcW w:w="474" w:type="pct"/>
            <w:vAlign w:val="center"/>
          </w:tcPr>
          <w:p w14:paraId="5FF03F01">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运输</w:t>
            </w:r>
          </w:p>
          <w:p w14:paraId="67501BE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工具</w:t>
            </w:r>
            <w:r>
              <w:rPr>
                <w:rFonts w:hint="eastAsia" w:ascii="Times New Roman" w:hAnsi="Times New Roman" w:cs="Times New Roman"/>
                <w:sz w:val="18"/>
                <w:szCs w:val="18"/>
                <w:vertAlign w:val="superscript"/>
                <w:lang w:val="en-US" w:eastAsia="zh-CN"/>
              </w:rPr>
              <w:t>d</w:t>
            </w:r>
          </w:p>
        </w:tc>
        <w:tc>
          <w:tcPr>
            <w:tcW w:w="597" w:type="pct"/>
            <w:vAlign w:val="center"/>
          </w:tcPr>
          <w:p w14:paraId="60D2620E">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运输距离</w:t>
            </w:r>
          </w:p>
          <w:p w14:paraId="02BF1A88">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（km）</w:t>
            </w:r>
          </w:p>
        </w:tc>
        <w:tc>
          <w:tcPr>
            <w:tcW w:w="511" w:type="pct"/>
            <w:vAlign w:val="center"/>
          </w:tcPr>
          <w:p w14:paraId="0A5D7E90">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数据</w:t>
            </w:r>
          </w:p>
          <w:p w14:paraId="3C3590E5">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来源</w:t>
            </w:r>
            <w:r>
              <w:rPr>
                <w:rFonts w:hint="eastAsia" w:ascii="Times New Roman" w:hAnsi="Times New Roman" w:cs="Times New Roman"/>
                <w:sz w:val="18"/>
                <w:szCs w:val="18"/>
                <w:vertAlign w:val="superscript"/>
                <w:lang w:val="en-US" w:eastAsia="zh-CN"/>
              </w:rPr>
              <w:t>e</w:t>
            </w:r>
          </w:p>
        </w:tc>
        <w:tc>
          <w:tcPr>
            <w:tcW w:w="523" w:type="pct"/>
            <w:vAlign w:val="center"/>
          </w:tcPr>
          <w:p w14:paraId="026E335F">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数据获取方式</w:t>
            </w:r>
            <w:r>
              <w:rPr>
                <w:rFonts w:hint="eastAsia" w:ascii="Times New Roman" w:hAnsi="Times New Roman" w:cs="Times New Roman"/>
                <w:sz w:val="18"/>
                <w:szCs w:val="18"/>
                <w:vertAlign w:val="superscript"/>
                <w:lang w:val="en-US" w:eastAsia="zh-CN"/>
              </w:rPr>
              <w:t>f</w:t>
            </w:r>
          </w:p>
        </w:tc>
        <w:tc>
          <w:tcPr>
            <w:tcW w:w="684" w:type="pct"/>
            <w:vAlign w:val="center"/>
          </w:tcPr>
          <w:p w14:paraId="720C08ED">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能源消耗量</w:t>
            </w:r>
          </w:p>
          <w:p w14:paraId="0157DA86">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（可行时）</w:t>
            </w:r>
          </w:p>
        </w:tc>
      </w:tr>
      <w:tr w14:paraId="7C91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pct"/>
            <w:vAlign w:val="center"/>
          </w:tcPr>
          <w:p w14:paraId="51021A7D">
            <w:pPr>
              <w:spacing w:line="240" w:lineRule="auto"/>
              <w:jc w:val="center"/>
              <w:rPr>
                <w:rFonts w:hint="eastAsia"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出发地1——目的地</w:t>
            </w:r>
            <w:r>
              <w:rPr>
                <w:rFonts w:hint="eastAsia" w:ascii="Times New Roman" w:hAnsi="Times New Roman" w:cs="Times New Roman"/>
                <w:sz w:val="18"/>
                <w:szCs w:val="18"/>
                <w:vertAlign w:val="baseline"/>
                <w:lang w:val="en-US" w:eastAsia="zh-CN"/>
              </w:rPr>
              <w:t>1</w:t>
            </w:r>
          </w:p>
        </w:tc>
        <w:tc>
          <w:tcPr>
            <w:tcW w:w="690" w:type="pct"/>
            <w:vAlign w:val="center"/>
          </w:tcPr>
          <w:p w14:paraId="2B222DB4">
            <w:pPr>
              <w:spacing w:line="240" w:lineRule="auto"/>
              <w:jc w:val="center"/>
              <w:rPr>
                <w:rFonts w:hint="eastAsia" w:ascii="Times New Roman" w:hAnsi="Times New Roman" w:cs="Times New Roman"/>
                <w:sz w:val="18"/>
                <w:szCs w:val="18"/>
                <w:vertAlign w:val="baseline"/>
                <w:lang w:val="en-US" w:eastAsia="zh-CN"/>
              </w:rPr>
            </w:pPr>
          </w:p>
        </w:tc>
        <w:tc>
          <w:tcPr>
            <w:tcW w:w="465" w:type="pct"/>
            <w:vAlign w:val="center"/>
          </w:tcPr>
          <w:p w14:paraId="26F3C916">
            <w:pPr>
              <w:spacing w:line="240" w:lineRule="auto"/>
              <w:jc w:val="center"/>
              <w:rPr>
                <w:rFonts w:hint="eastAsia" w:ascii="Times New Roman" w:hAnsi="Times New Roman" w:cs="Times New Roman"/>
                <w:sz w:val="18"/>
                <w:szCs w:val="18"/>
                <w:vertAlign w:val="baseline"/>
                <w:lang w:val="en-US" w:eastAsia="zh-CN"/>
              </w:rPr>
            </w:pPr>
          </w:p>
        </w:tc>
        <w:tc>
          <w:tcPr>
            <w:tcW w:w="474" w:type="pct"/>
            <w:vAlign w:val="center"/>
          </w:tcPr>
          <w:p w14:paraId="4D8A72FF">
            <w:pPr>
              <w:spacing w:line="240" w:lineRule="auto"/>
              <w:jc w:val="center"/>
              <w:rPr>
                <w:rFonts w:hint="eastAsia" w:ascii="Times New Roman" w:hAnsi="Times New Roman" w:cs="Times New Roman"/>
                <w:sz w:val="18"/>
                <w:szCs w:val="18"/>
                <w:vertAlign w:val="baseline"/>
                <w:lang w:val="en-US" w:eastAsia="zh-CN"/>
              </w:rPr>
            </w:pPr>
          </w:p>
        </w:tc>
        <w:tc>
          <w:tcPr>
            <w:tcW w:w="597" w:type="pct"/>
            <w:vAlign w:val="center"/>
          </w:tcPr>
          <w:p w14:paraId="0221986F">
            <w:pPr>
              <w:spacing w:line="240" w:lineRule="auto"/>
              <w:jc w:val="center"/>
              <w:rPr>
                <w:rFonts w:hint="eastAsia" w:ascii="Times New Roman" w:hAnsi="Times New Roman" w:cs="Times New Roman"/>
                <w:sz w:val="18"/>
                <w:szCs w:val="18"/>
                <w:vertAlign w:val="baseline"/>
                <w:lang w:val="en-US" w:eastAsia="zh-CN"/>
              </w:rPr>
            </w:pPr>
          </w:p>
        </w:tc>
        <w:tc>
          <w:tcPr>
            <w:tcW w:w="511" w:type="pct"/>
            <w:vAlign w:val="center"/>
          </w:tcPr>
          <w:p w14:paraId="78367EE7">
            <w:pPr>
              <w:spacing w:line="240" w:lineRule="auto"/>
              <w:jc w:val="center"/>
              <w:rPr>
                <w:rFonts w:hint="eastAsia" w:ascii="Times New Roman" w:hAnsi="Times New Roman" w:cs="Times New Roman"/>
                <w:sz w:val="18"/>
                <w:szCs w:val="18"/>
                <w:vertAlign w:val="baseline"/>
                <w:lang w:val="en-US" w:eastAsia="zh-CN"/>
              </w:rPr>
            </w:pPr>
          </w:p>
        </w:tc>
        <w:tc>
          <w:tcPr>
            <w:tcW w:w="523" w:type="pct"/>
            <w:vAlign w:val="center"/>
          </w:tcPr>
          <w:p w14:paraId="519AAB6A">
            <w:pPr>
              <w:spacing w:line="240" w:lineRule="auto"/>
              <w:jc w:val="center"/>
              <w:rPr>
                <w:rFonts w:hint="eastAsia" w:ascii="Times New Roman" w:hAnsi="Times New Roman" w:cs="Times New Roman"/>
                <w:sz w:val="18"/>
                <w:szCs w:val="18"/>
                <w:vertAlign w:val="baseline"/>
                <w:lang w:val="en-US" w:eastAsia="zh-CN"/>
              </w:rPr>
            </w:pPr>
          </w:p>
        </w:tc>
        <w:tc>
          <w:tcPr>
            <w:tcW w:w="684" w:type="pct"/>
            <w:vAlign w:val="center"/>
          </w:tcPr>
          <w:p w14:paraId="06BE93EE">
            <w:pPr>
              <w:spacing w:line="240" w:lineRule="auto"/>
              <w:jc w:val="center"/>
              <w:rPr>
                <w:rFonts w:hint="eastAsia" w:ascii="Times New Roman" w:hAnsi="Times New Roman" w:cs="Times New Roman"/>
                <w:sz w:val="18"/>
                <w:szCs w:val="18"/>
                <w:vertAlign w:val="baseline"/>
                <w:lang w:val="en-US" w:eastAsia="zh-CN"/>
              </w:rPr>
            </w:pPr>
          </w:p>
        </w:tc>
      </w:tr>
      <w:tr w14:paraId="1D33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pct"/>
            <w:vAlign w:val="center"/>
          </w:tcPr>
          <w:p w14:paraId="537B6A15">
            <w:pPr>
              <w:spacing w:line="240" w:lineRule="auto"/>
              <w:jc w:val="center"/>
              <w:rPr>
                <w:rFonts w:hint="eastAsia"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出发地</w:t>
            </w:r>
            <w:r>
              <w:rPr>
                <w:rFonts w:hint="eastAsia" w:ascii="Times New Roman" w:hAnsi="Times New Roman" w:cs="Times New Roman"/>
                <w:sz w:val="18"/>
                <w:szCs w:val="18"/>
                <w:vertAlign w:val="baseline"/>
                <w:lang w:val="en-US" w:eastAsia="zh-CN"/>
              </w:rPr>
              <w:t>2</w:t>
            </w:r>
            <w:r>
              <w:rPr>
                <w:rFonts w:hint="default" w:ascii="Times New Roman" w:hAnsi="Times New Roman" w:cs="Times New Roman"/>
                <w:sz w:val="18"/>
                <w:szCs w:val="18"/>
                <w:vertAlign w:val="baseline"/>
                <w:lang w:val="en-US" w:eastAsia="zh-CN"/>
              </w:rPr>
              <w:t>——目的地</w:t>
            </w:r>
            <w:r>
              <w:rPr>
                <w:rFonts w:hint="eastAsia" w:ascii="Times New Roman" w:hAnsi="Times New Roman" w:cs="Times New Roman"/>
                <w:sz w:val="18"/>
                <w:szCs w:val="18"/>
                <w:vertAlign w:val="baseline"/>
                <w:lang w:val="en-US" w:eastAsia="zh-CN"/>
              </w:rPr>
              <w:t>2</w:t>
            </w:r>
          </w:p>
        </w:tc>
        <w:tc>
          <w:tcPr>
            <w:tcW w:w="690" w:type="pct"/>
            <w:vAlign w:val="center"/>
          </w:tcPr>
          <w:p w14:paraId="3DD246FD">
            <w:pPr>
              <w:spacing w:line="240" w:lineRule="auto"/>
              <w:jc w:val="center"/>
              <w:rPr>
                <w:rFonts w:hint="eastAsia" w:ascii="Times New Roman" w:hAnsi="Times New Roman" w:cs="Times New Roman"/>
                <w:sz w:val="18"/>
                <w:szCs w:val="18"/>
                <w:vertAlign w:val="baseline"/>
                <w:lang w:val="en-US" w:eastAsia="zh-CN"/>
              </w:rPr>
            </w:pPr>
          </w:p>
        </w:tc>
        <w:tc>
          <w:tcPr>
            <w:tcW w:w="465" w:type="pct"/>
            <w:vAlign w:val="center"/>
          </w:tcPr>
          <w:p w14:paraId="17346E81">
            <w:pPr>
              <w:spacing w:line="240" w:lineRule="auto"/>
              <w:jc w:val="center"/>
              <w:rPr>
                <w:rFonts w:hint="eastAsia" w:ascii="Times New Roman" w:hAnsi="Times New Roman" w:cs="Times New Roman"/>
                <w:sz w:val="18"/>
                <w:szCs w:val="18"/>
                <w:vertAlign w:val="baseline"/>
                <w:lang w:val="en-US" w:eastAsia="zh-CN"/>
              </w:rPr>
            </w:pPr>
          </w:p>
        </w:tc>
        <w:tc>
          <w:tcPr>
            <w:tcW w:w="474" w:type="pct"/>
            <w:vAlign w:val="center"/>
          </w:tcPr>
          <w:p w14:paraId="107C334A">
            <w:pPr>
              <w:spacing w:line="240" w:lineRule="auto"/>
              <w:jc w:val="center"/>
              <w:rPr>
                <w:rFonts w:hint="eastAsia" w:ascii="Times New Roman" w:hAnsi="Times New Roman" w:cs="Times New Roman"/>
                <w:sz w:val="18"/>
                <w:szCs w:val="18"/>
                <w:vertAlign w:val="baseline"/>
                <w:lang w:val="en-US" w:eastAsia="zh-CN"/>
              </w:rPr>
            </w:pPr>
          </w:p>
        </w:tc>
        <w:tc>
          <w:tcPr>
            <w:tcW w:w="597" w:type="pct"/>
            <w:vAlign w:val="center"/>
          </w:tcPr>
          <w:p w14:paraId="1AF0D90C">
            <w:pPr>
              <w:spacing w:line="240" w:lineRule="auto"/>
              <w:jc w:val="center"/>
              <w:rPr>
                <w:rFonts w:hint="eastAsia" w:ascii="Times New Roman" w:hAnsi="Times New Roman" w:cs="Times New Roman"/>
                <w:sz w:val="18"/>
                <w:szCs w:val="18"/>
                <w:vertAlign w:val="baseline"/>
                <w:lang w:val="en-US" w:eastAsia="zh-CN"/>
              </w:rPr>
            </w:pPr>
          </w:p>
        </w:tc>
        <w:tc>
          <w:tcPr>
            <w:tcW w:w="511" w:type="pct"/>
            <w:vAlign w:val="center"/>
          </w:tcPr>
          <w:p w14:paraId="1ACF47B0">
            <w:pPr>
              <w:spacing w:line="240" w:lineRule="auto"/>
              <w:jc w:val="center"/>
              <w:rPr>
                <w:rFonts w:hint="eastAsia" w:ascii="Times New Roman" w:hAnsi="Times New Roman" w:cs="Times New Roman"/>
                <w:sz w:val="18"/>
                <w:szCs w:val="18"/>
                <w:vertAlign w:val="baseline"/>
                <w:lang w:val="en-US" w:eastAsia="zh-CN"/>
              </w:rPr>
            </w:pPr>
          </w:p>
        </w:tc>
        <w:tc>
          <w:tcPr>
            <w:tcW w:w="523" w:type="pct"/>
            <w:vAlign w:val="center"/>
          </w:tcPr>
          <w:p w14:paraId="011D37FD">
            <w:pPr>
              <w:spacing w:line="240" w:lineRule="auto"/>
              <w:jc w:val="center"/>
              <w:rPr>
                <w:rFonts w:hint="eastAsia" w:ascii="Times New Roman" w:hAnsi="Times New Roman" w:cs="Times New Roman"/>
                <w:sz w:val="18"/>
                <w:szCs w:val="18"/>
                <w:vertAlign w:val="baseline"/>
                <w:lang w:val="en-US" w:eastAsia="zh-CN"/>
              </w:rPr>
            </w:pPr>
          </w:p>
        </w:tc>
        <w:tc>
          <w:tcPr>
            <w:tcW w:w="684" w:type="pct"/>
            <w:vAlign w:val="center"/>
          </w:tcPr>
          <w:p w14:paraId="6D251347">
            <w:pPr>
              <w:spacing w:line="240" w:lineRule="auto"/>
              <w:jc w:val="center"/>
              <w:rPr>
                <w:rFonts w:hint="eastAsia" w:ascii="Times New Roman" w:hAnsi="Times New Roman" w:cs="Times New Roman"/>
                <w:sz w:val="18"/>
                <w:szCs w:val="18"/>
                <w:vertAlign w:val="baseline"/>
                <w:lang w:val="en-US" w:eastAsia="zh-CN"/>
              </w:rPr>
            </w:pPr>
          </w:p>
        </w:tc>
      </w:tr>
      <w:tr w14:paraId="09C5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pct"/>
            <w:vAlign w:val="center"/>
          </w:tcPr>
          <w:p w14:paraId="0F5E87B8">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690" w:type="pct"/>
            <w:vAlign w:val="center"/>
          </w:tcPr>
          <w:p w14:paraId="6CE8DC18">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465" w:type="pct"/>
            <w:vAlign w:val="center"/>
          </w:tcPr>
          <w:p w14:paraId="6CD0ECBB">
            <w:pPr>
              <w:spacing w:line="240" w:lineRule="auto"/>
              <w:jc w:val="center"/>
              <w:rPr>
                <w:rFonts w:hint="eastAsia" w:ascii="Times New Roman" w:hAnsi="Times New Roman" w:cs="Times New Roman"/>
                <w:sz w:val="18"/>
                <w:szCs w:val="18"/>
                <w:vertAlign w:val="baseline"/>
                <w:lang w:val="en-US" w:eastAsia="zh-CN"/>
              </w:rPr>
            </w:pPr>
          </w:p>
        </w:tc>
        <w:tc>
          <w:tcPr>
            <w:tcW w:w="474" w:type="pct"/>
            <w:vAlign w:val="center"/>
          </w:tcPr>
          <w:p w14:paraId="3380FEA7">
            <w:pPr>
              <w:spacing w:line="240" w:lineRule="auto"/>
              <w:jc w:val="center"/>
              <w:rPr>
                <w:rFonts w:hint="eastAsia" w:ascii="Times New Roman" w:hAnsi="Times New Roman" w:cs="Times New Roman"/>
                <w:sz w:val="18"/>
                <w:szCs w:val="18"/>
                <w:vertAlign w:val="baseline"/>
                <w:lang w:val="en-US" w:eastAsia="zh-CN"/>
              </w:rPr>
            </w:pPr>
          </w:p>
        </w:tc>
        <w:tc>
          <w:tcPr>
            <w:tcW w:w="597" w:type="pct"/>
            <w:vAlign w:val="center"/>
          </w:tcPr>
          <w:p w14:paraId="6D5F00DE">
            <w:pPr>
              <w:spacing w:line="240" w:lineRule="auto"/>
              <w:jc w:val="center"/>
              <w:rPr>
                <w:rFonts w:hint="eastAsia" w:ascii="Times New Roman" w:hAnsi="Times New Roman" w:cs="Times New Roman"/>
                <w:sz w:val="18"/>
                <w:szCs w:val="18"/>
                <w:vertAlign w:val="baseline"/>
                <w:lang w:val="en-US" w:eastAsia="zh-CN"/>
              </w:rPr>
            </w:pPr>
          </w:p>
        </w:tc>
        <w:tc>
          <w:tcPr>
            <w:tcW w:w="511" w:type="pct"/>
            <w:vAlign w:val="center"/>
          </w:tcPr>
          <w:p w14:paraId="0F025F75">
            <w:pPr>
              <w:spacing w:line="240" w:lineRule="auto"/>
              <w:jc w:val="center"/>
              <w:rPr>
                <w:rFonts w:hint="eastAsia" w:ascii="Times New Roman" w:hAnsi="Times New Roman" w:cs="Times New Roman"/>
                <w:sz w:val="18"/>
                <w:szCs w:val="18"/>
                <w:vertAlign w:val="baseline"/>
                <w:lang w:val="en-US" w:eastAsia="zh-CN"/>
              </w:rPr>
            </w:pPr>
          </w:p>
        </w:tc>
        <w:tc>
          <w:tcPr>
            <w:tcW w:w="523" w:type="pct"/>
            <w:vAlign w:val="center"/>
          </w:tcPr>
          <w:p w14:paraId="3F57EA12">
            <w:pPr>
              <w:spacing w:line="240" w:lineRule="auto"/>
              <w:jc w:val="center"/>
              <w:rPr>
                <w:rFonts w:hint="eastAsia" w:ascii="Times New Roman" w:hAnsi="Times New Roman" w:cs="Times New Roman"/>
                <w:sz w:val="18"/>
                <w:szCs w:val="18"/>
                <w:vertAlign w:val="baseline"/>
                <w:lang w:val="en-US" w:eastAsia="zh-CN"/>
              </w:rPr>
            </w:pPr>
          </w:p>
        </w:tc>
        <w:tc>
          <w:tcPr>
            <w:tcW w:w="684" w:type="pct"/>
            <w:vAlign w:val="center"/>
          </w:tcPr>
          <w:p w14:paraId="567390BF">
            <w:pPr>
              <w:spacing w:line="240" w:lineRule="auto"/>
              <w:jc w:val="center"/>
              <w:rPr>
                <w:rFonts w:hint="eastAsia" w:ascii="Times New Roman" w:hAnsi="Times New Roman" w:cs="Times New Roman"/>
                <w:sz w:val="18"/>
                <w:szCs w:val="18"/>
                <w:vertAlign w:val="baseline"/>
                <w:lang w:val="en-US" w:eastAsia="zh-CN"/>
              </w:rPr>
            </w:pPr>
          </w:p>
        </w:tc>
      </w:tr>
      <w:tr w14:paraId="3F0A4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14:paraId="73D7C1A9">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a </w:t>
            </w:r>
            <w:r>
              <w:rPr>
                <w:rFonts w:hint="eastAsia" w:ascii="Times New Roman" w:hAnsi="Times New Roman" w:cs="Times New Roman"/>
                <w:sz w:val="18"/>
                <w:szCs w:val="18"/>
                <w:vertAlign w:val="baseline"/>
                <w:lang w:val="en-US" w:eastAsia="zh-CN"/>
              </w:rPr>
              <w:t>选取主要销售区域进行统计；</w:t>
            </w:r>
          </w:p>
          <w:p w14:paraId="12EB19C3">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b </w:t>
            </w:r>
            <w:r>
              <w:rPr>
                <w:rFonts w:hint="eastAsia" w:ascii="Times New Roman" w:hAnsi="Times New Roman" w:cs="Times New Roman"/>
                <w:sz w:val="18"/>
                <w:szCs w:val="18"/>
                <w:vertAlign w:val="baseline"/>
                <w:lang w:val="en-US" w:eastAsia="zh-CN"/>
              </w:rPr>
              <w:t>运输总量按照该产品进行货运的总重量；</w:t>
            </w:r>
          </w:p>
          <w:p w14:paraId="253B5536">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c</w:t>
            </w:r>
            <w:r>
              <w:rPr>
                <w:rFonts w:hint="eastAsia" w:ascii="Times New Roman" w:hAnsi="Times New Roman" w:cs="Times New Roman"/>
                <w:sz w:val="18"/>
                <w:szCs w:val="18"/>
                <w:vertAlign w:val="baseline"/>
                <w:lang w:val="en-US" w:eastAsia="zh-CN"/>
              </w:rPr>
              <w:t xml:space="preserve"> 如公路运输、铁路运输、水路运输、航空运输等；</w:t>
            </w:r>
          </w:p>
          <w:p w14:paraId="227BE465">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d</w:t>
            </w:r>
            <w:r>
              <w:rPr>
                <w:rFonts w:hint="eastAsia" w:ascii="Times New Roman" w:hAnsi="Times New Roman" w:cs="Times New Roman"/>
                <w:sz w:val="18"/>
                <w:szCs w:val="18"/>
                <w:vertAlign w:val="baseline"/>
                <w:lang w:val="en-US" w:eastAsia="zh-CN"/>
              </w:rPr>
              <w:t xml:space="preserve"> 如卡车，载荷3.5~7.5 t；</w:t>
            </w:r>
          </w:p>
          <w:p w14:paraId="11428070">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e </w:t>
            </w:r>
            <w:r>
              <w:rPr>
                <w:rFonts w:hint="eastAsia" w:ascii="Times New Roman" w:hAnsi="Times New Roman" w:cs="Times New Roman"/>
                <w:sz w:val="18"/>
                <w:szCs w:val="18"/>
                <w:vertAlign w:val="baseline"/>
                <w:lang w:val="en-US" w:eastAsia="zh-CN"/>
              </w:rPr>
              <w:t>填写产品运输数据的来源部门，如销售部；</w:t>
            </w:r>
          </w:p>
          <w:p w14:paraId="3FAF27A1">
            <w:pPr>
              <w:spacing w:line="240" w:lineRule="auto"/>
              <w:jc w:val="left"/>
              <w:rPr>
                <w:rFonts w:hint="eastAsia" w:ascii="Times New Roman" w:hAnsi="Times New Roman" w:cs="Times New Roman"/>
                <w:sz w:val="18"/>
                <w:szCs w:val="18"/>
                <w:vertAlign w:val="superscript"/>
                <w:lang w:val="en-US" w:eastAsia="zh-CN"/>
              </w:rPr>
            </w:pPr>
            <w:r>
              <w:rPr>
                <w:rFonts w:hint="eastAsia" w:ascii="Times New Roman" w:hAnsi="Times New Roman" w:cs="Times New Roman"/>
                <w:sz w:val="18"/>
                <w:szCs w:val="18"/>
                <w:vertAlign w:val="superscript"/>
                <w:lang w:val="en-US" w:eastAsia="zh-CN"/>
              </w:rPr>
              <w:t xml:space="preserve">r </w:t>
            </w:r>
            <w:r>
              <w:rPr>
                <w:rFonts w:hint="eastAsia" w:ascii="Times New Roman" w:hAnsi="Times New Roman" w:cs="Times New Roman"/>
                <w:sz w:val="18"/>
                <w:szCs w:val="18"/>
                <w:vertAlign w:val="baseline"/>
                <w:lang w:val="en-US" w:eastAsia="zh-CN"/>
              </w:rPr>
              <w:t>如实际测量、理论估算等。</w:t>
            </w:r>
          </w:p>
        </w:tc>
      </w:tr>
    </w:tbl>
    <w:p w14:paraId="3ADAB769">
      <w:pPr>
        <w:spacing w:line="299" w:lineRule="auto"/>
        <w:rPr>
          <w:rFonts w:ascii="Arial"/>
          <w:sz w:val="21"/>
        </w:rPr>
      </w:pPr>
    </w:p>
    <w:p w14:paraId="6B450956">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表A.5 生命末期阶段数据清单</w:t>
      </w:r>
    </w:p>
    <w:tbl>
      <w:tblPr>
        <w:tblStyle w:val="1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7"/>
        <w:gridCol w:w="1539"/>
        <w:gridCol w:w="1539"/>
        <w:gridCol w:w="1544"/>
        <w:gridCol w:w="1542"/>
        <w:gridCol w:w="1546"/>
      </w:tblGrid>
      <w:tr w14:paraId="438A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027F4583">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处置方式</w:t>
            </w:r>
          </w:p>
        </w:tc>
        <w:tc>
          <w:tcPr>
            <w:tcW w:w="832" w:type="pct"/>
            <w:vAlign w:val="center"/>
          </w:tcPr>
          <w:p w14:paraId="3BC80869">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处置总量</w:t>
            </w:r>
            <w:r>
              <w:rPr>
                <w:rFonts w:hint="eastAsia" w:ascii="Times New Roman" w:hAnsi="Times New Roman" w:cs="Times New Roman"/>
                <w:sz w:val="18"/>
                <w:szCs w:val="18"/>
                <w:vertAlign w:val="superscript"/>
                <w:lang w:val="en-US" w:eastAsia="zh-CN"/>
              </w:rPr>
              <w:t>a</w:t>
            </w:r>
            <w:r>
              <w:rPr>
                <w:rFonts w:hint="eastAsia" w:ascii="Times New Roman" w:hAnsi="Times New Roman" w:cs="Times New Roman"/>
                <w:sz w:val="18"/>
                <w:szCs w:val="18"/>
                <w:vertAlign w:val="baseline"/>
                <w:lang w:val="en-US" w:eastAsia="zh-CN"/>
              </w:rPr>
              <w:t>（kg）</w:t>
            </w:r>
          </w:p>
        </w:tc>
        <w:tc>
          <w:tcPr>
            <w:tcW w:w="832" w:type="pct"/>
            <w:vAlign w:val="center"/>
          </w:tcPr>
          <w:p w14:paraId="48CD6345">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数据来源</w:t>
            </w:r>
            <w:r>
              <w:rPr>
                <w:rFonts w:hint="eastAsia" w:ascii="Times New Roman" w:hAnsi="Times New Roman" w:cs="Times New Roman"/>
                <w:sz w:val="18"/>
                <w:szCs w:val="18"/>
                <w:vertAlign w:val="superscript"/>
                <w:lang w:val="en-US" w:eastAsia="zh-CN"/>
              </w:rPr>
              <w:t>b</w:t>
            </w:r>
          </w:p>
        </w:tc>
        <w:tc>
          <w:tcPr>
            <w:tcW w:w="835" w:type="pct"/>
            <w:vAlign w:val="center"/>
          </w:tcPr>
          <w:p w14:paraId="0DEE110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数据获取方式</w:t>
            </w:r>
            <w:r>
              <w:rPr>
                <w:rFonts w:hint="eastAsia" w:ascii="Times New Roman" w:hAnsi="Times New Roman" w:cs="Times New Roman"/>
                <w:sz w:val="18"/>
                <w:szCs w:val="18"/>
                <w:vertAlign w:val="superscript"/>
                <w:lang w:val="en-US" w:eastAsia="zh-CN"/>
              </w:rPr>
              <w:t>c</w:t>
            </w:r>
          </w:p>
        </w:tc>
        <w:tc>
          <w:tcPr>
            <w:tcW w:w="834" w:type="pct"/>
            <w:vAlign w:val="center"/>
          </w:tcPr>
          <w:p w14:paraId="552F7A02">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运输方式</w:t>
            </w:r>
            <w:r>
              <w:rPr>
                <w:rFonts w:hint="eastAsia" w:ascii="Times New Roman" w:hAnsi="Times New Roman" w:cs="Times New Roman"/>
                <w:sz w:val="18"/>
                <w:szCs w:val="18"/>
                <w:vertAlign w:val="superscript"/>
                <w:lang w:val="en-US" w:eastAsia="zh-CN"/>
              </w:rPr>
              <w:t>d</w:t>
            </w:r>
          </w:p>
        </w:tc>
        <w:tc>
          <w:tcPr>
            <w:tcW w:w="834" w:type="pct"/>
            <w:vAlign w:val="center"/>
          </w:tcPr>
          <w:p w14:paraId="43135D29">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运输距离</w:t>
            </w:r>
          </w:p>
        </w:tc>
      </w:tr>
      <w:tr w14:paraId="4ACC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0F1EBA6E">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highlight w:val="none"/>
                <w:shd w:val="clear"/>
                <w:vertAlign w:val="baseline"/>
                <w:lang w:val="en-US" w:eastAsia="zh-CN"/>
              </w:rPr>
              <w:t>回收</w:t>
            </w:r>
          </w:p>
        </w:tc>
        <w:tc>
          <w:tcPr>
            <w:tcW w:w="832" w:type="pct"/>
            <w:vAlign w:val="center"/>
          </w:tcPr>
          <w:p w14:paraId="0018B392">
            <w:pPr>
              <w:spacing w:line="240" w:lineRule="auto"/>
              <w:jc w:val="center"/>
              <w:rPr>
                <w:rFonts w:hint="default" w:ascii="Times New Roman" w:hAnsi="Times New Roman" w:cs="Times New Roman"/>
                <w:sz w:val="18"/>
                <w:szCs w:val="18"/>
                <w:vertAlign w:val="baseline"/>
                <w:lang w:val="en-US" w:eastAsia="zh-CN"/>
              </w:rPr>
            </w:pPr>
          </w:p>
        </w:tc>
        <w:tc>
          <w:tcPr>
            <w:tcW w:w="832" w:type="pct"/>
            <w:vAlign w:val="center"/>
          </w:tcPr>
          <w:p w14:paraId="07FC8D58">
            <w:pPr>
              <w:spacing w:line="240" w:lineRule="auto"/>
              <w:jc w:val="center"/>
              <w:rPr>
                <w:rFonts w:hint="default" w:ascii="Times New Roman" w:hAnsi="Times New Roman" w:cs="Times New Roman"/>
                <w:sz w:val="18"/>
                <w:szCs w:val="18"/>
                <w:vertAlign w:val="baseline"/>
                <w:lang w:val="en-US" w:eastAsia="zh-CN"/>
              </w:rPr>
            </w:pPr>
          </w:p>
        </w:tc>
        <w:tc>
          <w:tcPr>
            <w:tcW w:w="835" w:type="pct"/>
            <w:vAlign w:val="center"/>
          </w:tcPr>
          <w:p w14:paraId="1B6372F6">
            <w:pPr>
              <w:spacing w:line="240" w:lineRule="auto"/>
              <w:jc w:val="center"/>
              <w:rPr>
                <w:rFonts w:hint="default" w:ascii="Times New Roman" w:hAnsi="Times New Roman" w:cs="Times New Roman"/>
                <w:sz w:val="18"/>
                <w:szCs w:val="18"/>
                <w:vertAlign w:val="baseline"/>
                <w:lang w:val="en-US" w:eastAsia="zh-CN"/>
              </w:rPr>
            </w:pPr>
          </w:p>
        </w:tc>
        <w:tc>
          <w:tcPr>
            <w:tcW w:w="834" w:type="pct"/>
            <w:vAlign w:val="center"/>
          </w:tcPr>
          <w:p w14:paraId="22CC8582">
            <w:pPr>
              <w:spacing w:line="240" w:lineRule="auto"/>
              <w:jc w:val="center"/>
              <w:rPr>
                <w:rFonts w:hint="default" w:ascii="Times New Roman" w:hAnsi="Times New Roman" w:cs="Times New Roman"/>
                <w:sz w:val="18"/>
                <w:szCs w:val="18"/>
                <w:vertAlign w:val="baseline"/>
                <w:lang w:val="en-US" w:eastAsia="zh-CN"/>
              </w:rPr>
            </w:pPr>
          </w:p>
        </w:tc>
        <w:tc>
          <w:tcPr>
            <w:tcW w:w="834" w:type="pct"/>
            <w:vAlign w:val="center"/>
          </w:tcPr>
          <w:p w14:paraId="73D60074">
            <w:pPr>
              <w:spacing w:line="240" w:lineRule="auto"/>
              <w:jc w:val="center"/>
              <w:rPr>
                <w:rFonts w:hint="default" w:ascii="Times New Roman" w:hAnsi="Times New Roman" w:cs="Times New Roman"/>
                <w:sz w:val="18"/>
                <w:szCs w:val="18"/>
                <w:vertAlign w:val="baseline"/>
                <w:lang w:val="en-US" w:eastAsia="zh-CN"/>
              </w:rPr>
            </w:pPr>
          </w:p>
        </w:tc>
      </w:tr>
      <w:tr w14:paraId="5692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shd w:val="clear" w:color="auto" w:fill="auto"/>
            <w:vAlign w:val="center"/>
          </w:tcPr>
          <w:p w14:paraId="7BB2855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填埋</w:t>
            </w:r>
          </w:p>
        </w:tc>
        <w:tc>
          <w:tcPr>
            <w:tcW w:w="832" w:type="pct"/>
            <w:vAlign w:val="center"/>
          </w:tcPr>
          <w:p w14:paraId="52A7D4F7">
            <w:pPr>
              <w:spacing w:line="240" w:lineRule="auto"/>
              <w:jc w:val="center"/>
              <w:rPr>
                <w:rFonts w:hint="default" w:ascii="Times New Roman" w:hAnsi="Times New Roman" w:cs="Times New Roman"/>
                <w:sz w:val="18"/>
                <w:szCs w:val="18"/>
                <w:vertAlign w:val="baseline"/>
                <w:lang w:val="en-US" w:eastAsia="zh-CN"/>
              </w:rPr>
            </w:pPr>
          </w:p>
        </w:tc>
        <w:tc>
          <w:tcPr>
            <w:tcW w:w="832" w:type="pct"/>
            <w:vAlign w:val="center"/>
          </w:tcPr>
          <w:p w14:paraId="384380CE">
            <w:pPr>
              <w:spacing w:line="240" w:lineRule="auto"/>
              <w:jc w:val="center"/>
              <w:rPr>
                <w:rFonts w:hint="default" w:ascii="Times New Roman" w:hAnsi="Times New Roman" w:cs="Times New Roman"/>
                <w:sz w:val="18"/>
                <w:szCs w:val="18"/>
                <w:vertAlign w:val="baseline"/>
                <w:lang w:val="en-US" w:eastAsia="zh-CN"/>
              </w:rPr>
            </w:pPr>
          </w:p>
        </w:tc>
        <w:tc>
          <w:tcPr>
            <w:tcW w:w="835" w:type="pct"/>
            <w:vAlign w:val="center"/>
          </w:tcPr>
          <w:p w14:paraId="0036E1E5">
            <w:pPr>
              <w:spacing w:line="240" w:lineRule="auto"/>
              <w:jc w:val="center"/>
              <w:rPr>
                <w:rFonts w:hint="default" w:ascii="Times New Roman" w:hAnsi="Times New Roman" w:cs="Times New Roman"/>
                <w:sz w:val="18"/>
                <w:szCs w:val="18"/>
                <w:vertAlign w:val="baseline"/>
                <w:lang w:val="en-US" w:eastAsia="zh-CN"/>
              </w:rPr>
            </w:pPr>
          </w:p>
        </w:tc>
        <w:tc>
          <w:tcPr>
            <w:tcW w:w="834" w:type="pct"/>
            <w:vAlign w:val="center"/>
          </w:tcPr>
          <w:p w14:paraId="17FD5CA0">
            <w:pPr>
              <w:spacing w:line="240" w:lineRule="auto"/>
              <w:jc w:val="center"/>
              <w:rPr>
                <w:rFonts w:hint="default" w:ascii="Times New Roman" w:hAnsi="Times New Roman" w:cs="Times New Roman"/>
                <w:sz w:val="18"/>
                <w:szCs w:val="18"/>
                <w:vertAlign w:val="baseline"/>
                <w:lang w:val="en-US" w:eastAsia="zh-CN"/>
              </w:rPr>
            </w:pPr>
          </w:p>
        </w:tc>
        <w:tc>
          <w:tcPr>
            <w:tcW w:w="834" w:type="pct"/>
            <w:vAlign w:val="center"/>
          </w:tcPr>
          <w:p w14:paraId="1960AAE7">
            <w:pPr>
              <w:spacing w:line="240" w:lineRule="auto"/>
              <w:jc w:val="center"/>
              <w:rPr>
                <w:rFonts w:hint="default" w:ascii="Times New Roman" w:hAnsi="Times New Roman" w:cs="Times New Roman"/>
                <w:sz w:val="18"/>
                <w:szCs w:val="18"/>
                <w:vertAlign w:val="baseline"/>
                <w:lang w:val="en-US" w:eastAsia="zh-CN"/>
              </w:rPr>
            </w:pPr>
          </w:p>
        </w:tc>
      </w:tr>
      <w:tr w14:paraId="2981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shd w:val="clear" w:color="auto" w:fill="auto"/>
            <w:vAlign w:val="center"/>
          </w:tcPr>
          <w:p w14:paraId="391E1447">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焚烧</w:t>
            </w:r>
          </w:p>
        </w:tc>
        <w:tc>
          <w:tcPr>
            <w:tcW w:w="832" w:type="pct"/>
            <w:vAlign w:val="center"/>
          </w:tcPr>
          <w:p w14:paraId="4D952B45">
            <w:pPr>
              <w:spacing w:line="240" w:lineRule="auto"/>
              <w:jc w:val="center"/>
              <w:rPr>
                <w:rFonts w:hint="default" w:ascii="Times New Roman" w:hAnsi="Times New Roman" w:cs="Times New Roman"/>
                <w:sz w:val="18"/>
                <w:szCs w:val="18"/>
                <w:vertAlign w:val="baseline"/>
                <w:lang w:val="en-US" w:eastAsia="zh-CN"/>
              </w:rPr>
            </w:pPr>
          </w:p>
        </w:tc>
        <w:tc>
          <w:tcPr>
            <w:tcW w:w="832" w:type="pct"/>
            <w:vAlign w:val="center"/>
          </w:tcPr>
          <w:p w14:paraId="343752D4">
            <w:pPr>
              <w:spacing w:line="240" w:lineRule="auto"/>
              <w:jc w:val="center"/>
              <w:rPr>
                <w:rFonts w:hint="default" w:ascii="Times New Roman" w:hAnsi="Times New Roman" w:cs="Times New Roman"/>
                <w:sz w:val="18"/>
                <w:szCs w:val="18"/>
                <w:vertAlign w:val="baseline"/>
                <w:lang w:val="en-US" w:eastAsia="zh-CN"/>
              </w:rPr>
            </w:pPr>
          </w:p>
        </w:tc>
        <w:tc>
          <w:tcPr>
            <w:tcW w:w="835" w:type="pct"/>
            <w:vAlign w:val="center"/>
          </w:tcPr>
          <w:p w14:paraId="0A68CD6F">
            <w:pPr>
              <w:spacing w:line="240" w:lineRule="auto"/>
              <w:jc w:val="center"/>
              <w:rPr>
                <w:rFonts w:hint="default" w:ascii="Times New Roman" w:hAnsi="Times New Roman" w:cs="Times New Roman"/>
                <w:sz w:val="18"/>
                <w:szCs w:val="18"/>
                <w:vertAlign w:val="baseline"/>
                <w:lang w:val="en-US" w:eastAsia="zh-CN"/>
              </w:rPr>
            </w:pPr>
          </w:p>
        </w:tc>
        <w:tc>
          <w:tcPr>
            <w:tcW w:w="834" w:type="pct"/>
            <w:vAlign w:val="center"/>
          </w:tcPr>
          <w:p w14:paraId="170EBC9C">
            <w:pPr>
              <w:spacing w:line="240" w:lineRule="auto"/>
              <w:jc w:val="center"/>
              <w:rPr>
                <w:rFonts w:hint="default" w:ascii="Times New Roman" w:hAnsi="Times New Roman" w:cs="Times New Roman"/>
                <w:sz w:val="18"/>
                <w:szCs w:val="18"/>
                <w:vertAlign w:val="baseline"/>
                <w:lang w:val="en-US" w:eastAsia="zh-CN"/>
              </w:rPr>
            </w:pPr>
          </w:p>
        </w:tc>
        <w:tc>
          <w:tcPr>
            <w:tcW w:w="834" w:type="pct"/>
            <w:vAlign w:val="center"/>
          </w:tcPr>
          <w:p w14:paraId="2EF9898A">
            <w:pPr>
              <w:spacing w:line="240" w:lineRule="auto"/>
              <w:jc w:val="center"/>
              <w:rPr>
                <w:rFonts w:hint="default" w:ascii="Times New Roman" w:hAnsi="Times New Roman" w:cs="Times New Roman"/>
                <w:sz w:val="18"/>
                <w:szCs w:val="18"/>
                <w:vertAlign w:val="baseline"/>
                <w:lang w:val="en-US" w:eastAsia="zh-CN"/>
              </w:rPr>
            </w:pPr>
          </w:p>
        </w:tc>
      </w:tr>
      <w:tr w14:paraId="5E63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shd w:val="clear" w:color="auto" w:fill="auto"/>
            <w:vAlign w:val="center"/>
          </w:tcPr>
          <w:p w14:paraId="7EDC92AA">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w:t>
            </w:r>
          </w:p>
        </w:tc>
        <w:tc>
          <w:tcPr>
            <w:tcW w:w="832" w:type="pct"/>
            <w:vAlign w:val="center"/>
          </w:tcPr>
          <w:p w14:paraId="7D67B8CB">
            <w:pPr>
              <w:spacing w:line="240" w:lineRule="auto"/>
              <w:jc w:val="center"/>
              <w:rPr>
                <w:rFonts w:hint="default" w:ascii="Times New Roman" w:hAnsi="Times New Roman" w:cs="Times New Roman"/>
                <w:sz w:val="18"/>
                <w:szCs w:val="18"/>
                <w:vertAlign w:val="baseline"/>
                <w:lang w:val="en-US" w:eastAsia="zh-CN"/>
              </w:rPr>
            </w:pPr>
          </w:p>
        </w:tc>
        <w:tc>
          <w:tcPr>
            <w:tcW w:w="832" w:type="pct"/>
            <w:vAlign w:val="center"/>
          </w:tcPr>
          <w:p w14:paraId="43D4FD42">
            <w:pPr>
              <w:spacing w:line="240" w:lineRule="auto"/>
              <w:jc w:val="center"/>
              <w:rPr>
                <w:rFonts w:hint="default" w:ascii="Times New Roman" w:hAnsi="Times New Roman" w:cs="Times New Roman"/>
                <w:sz w:val="18"/>
                <w:szCs w:val="18"/>
                <w:vertAlign w:val="baseline"/>
                <w:lang w:val="en-US" w:eastAsia="zh-CN"/>
              </w:rPr>
            </w:pPr>
          </w:p>
        </w:tc>
        <w:tc>
          <w:tcPr>
            <w:tcW w:w="835" w:type="pct"/>
            <w:vAlign w:val="center"/>
          </w:tcPr>
          <w:p w14:paraId="38B34571">
            <w:pPr>
              <w:spacing w:line="240" w:lineRule="auto"/>
              <w:jc w:val="center"/>
              <w:rPr>
                <w:rFonts w:hint="default" w:ascii="Times New Roman" w:hAnsi="Times New Roman" w:cs="Times New Roman"/>
                <w:sz w:val="18"/>
                <w:szCs w:val="18"/>
                <w:vertAlign w:val="baseline"/>
                <w:lang w:val="en-US" w:eastAsia="zh-CN"/>
              </w:rPr>
            </w:pPr>
          </w:p>
        </w:tc>
        <w:tc>
          <w:tcPr>
            <w:tcW w:w="834" w:type="pct"/>
            <w:vAlign w:val="center"/>
          </w:tcPr>
          <w:p w14:paraId="36D915A9">
            <w:pPr>
              <w:spacing w:line="240" w:lineRule="auto"/>
              <w:jc w:val="center"/>
              <w:rPr>
                <w:rFonts w:hint="default" w:ascii="Times New Roman" w:hAnsi="Times New Roman" w:cs="Times New Roman"/>
                <w:sz w:val="18"/>
                <w:szCs w:val="18"/>
                <w:vertAlign w:val="baseline"/>
                <w:lang w:val="en-US" w:eastAsia="zh-CN"/>
              </w:rPr>
            </w:pPr>
          </w:p>
        </w:tc>
        <w:tc>
          <w:tcPr>
            <w:tcW w:w="834" w:type="pct"/>
            <w:vAlign w:val="center"/>
          </w:tcPr>
          <w:p w14:paraId="545C8465">
            <w:pPr>
              <w:spacing w:line="240" w:lineRule="auto"/>
              <w:jc w:val="center"/>
              <w:rPr>
                <w:rFonts w:hint="default" w:ascii="Times New Roman" w:hAnsi="Times New Roman" w:cs="Times New Roman"/>
                <w:sz w:val="18"/>
                <w:szCs w:val="18"/>
                <w:vertAlign w:val="baseline"/>
                <w:lang w:val="en-US" w:eastAsia="zh-CN"/>
              </w:rPr>
            </w:pPr>
          </w:p>
        </w:tc>
      </w:tr>
      <w:tr w14:paraId="640E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shd w:val="clear" w:color="auto" w:fill="auto"/>
            <w:vAlign w:val="center"/>
          </w:tcPr>
          <w:p w14:paraId="4F77DD02">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a</w:t>
            </w:r>
            <w:r>
              <w:rPr>
                <w:rFonts w:hint="eastAsia" w:ascii="Times New Roman" w:hAnsi="Times New Roman" w:cs="Times New Roman"/>
                <w:sz w:val="18"/>
                <w:szCs w:val="18"/>
                <w:vertAlign w:val="baseline"/>
                <w:lang w:val="en-US" w:eastAsia="zh-CN"/>
              </w:rPr>
              <w:t>处置总量按照该废弃包装进行处置的总重量；</w:t>
            </w:r>
          </w:p>
          <w:p w14:paraId="5DB0E665">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b </w:t>
            </w:r>
            <w:r>
              <w:rPr>
                <w:rFonts w:hint="eastAsia" w:ascii="Times New Roman" w:hAnsi="Times New Roman" w:cs="Times New Roman"/>
                <w:sz w:val="18"/>
                <w:szCs w:val="18"/>
                <w:vertAlign w:val="baseline"/>
                <w:lang w:val="en-US" w:eastAsia="zh-CN"/>
              </w:rPr>
              <w:t>填写产品运输数据的来源部门，如生产部；</w:t>
            </w:r>
          </w:p>
          <w:p w14:paraId="428666E9">
            <w:pPr>
              <w:spacing w:line="240" w:lineRule="auto"/>
              <w:jc w:val="left"/>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c </w:t>
            </w:r>
            <w:r>
              <w:rPr>
                <w:rFonts w:hint="eastAsia" w:ascii="Times New Roman" w:hAnsi="Times New Roman" w:cs="Times New Roman"/>
                <w:sz w:val="18"/>
                <w:szCs w:val="18"/>
                <w:vertAlign w:val="baseline"/>
                <w:lang w:val="en-US" w:eastAsia="zh-CN"/>
              </w:rPr>
              <w:t>如实际测量、理论估算等；</w:t>
            </w:r>
          </w:p>
          <w:p w14:paraId="3B0D64F6">
            <w:pPr>
              <w:spacing w:line="240" w:lineRule="auto"/>
              <w:jc w:val="left"/>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superscript"/>
                <w:lang w:val="en-US" w:eastAsia="zh-CN"/>
              </w:rPr>
              <w:t xml:space="preserve">d </w:t>
            </w:r>
            <w:r>
              <w:rPr>
                <w:rFonts w:hint="eastAsia" w:ascii="Times New Roman" w:hAnsi="Times New Roman" w:cs="Times New Roman"/>
                <w:sz w:val="18"/>
                <w:szCs w:val="18"/>
                <w:vertAlign w:val="baseline"/>
                <w:lang w:val="en-US" w:eastAsia="zh-CN"/>
              </w:rPr>
              <w:t>如公路运输、铁路运输等。</w:t>
            </w:r>
          </w:p>
        </w:tc>
      </w:tr>
    </w:tbl>
    <w:p w14:paraId="7675553C">
      <w:pPr>
        <w:spacing w:line="299" w:lineRule="auto"/>
        <w:rPr>
          <w:rFonts w:hint="default" w:ascii="Arial"/>
          <w:sz w:val="21"/>
          <w:lang w:val="en-US" w:eastAsia="zh-CN"/>
        </w:rPr>
      </w:pPr>
    </w:p>
    <w:p w14:paraId="22DC3896">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360" w:lineRule="auto"/>
        <w:ind w:left="0" w:right="0"/>
        <w:jc w:val="center"/>
        <w:textAlignment w:val="baseline"/>
        <w:rPr>
          <w:rStyle w:val="14"/>
          <w:rFonts w:hint="eastAsia" w:ascii="黑体" w:hAnsi="黑体" w:eastAsia="黑体" w:cs="黑体"/>
          <w:b w:val="0"/>
          <w:bCs w:val="0"/>
          <w:i w:val="0"/>
          <w:iCs w:val="0"/>
          <w:caps w:val="0"/>
          <w:color w:val="000000"/>
          <w:spacing w:val="-2"/>
          <w:sz w:val="24"/>
          <w:szCs w:val="24"/>
          <w:shd w:val="clear" w:fill="FFFFFF"/>
          <w:vertAlign w:val="baseline"/>
          <w:lang w:val="en-US" w:eastAsia="zh-CN"/>
        </w:rPr>
      </w:pPr>
    </w:p>
    <w:p w14:paraId="1485B425">
      <w:pPr>
        <w:ind w:firstLine="420" w:firstLineChars="200"/>
        <w:rPr>
          <w:rFonts w:hint="default" w:ascii="Times New Roman" w:hAnsi="Times New Roman" w:cs="Times New Roman"/>
          <w:lang w:val="en-US" w:eastAsia="zh-CN"/>
        </w:rPr>
        <w:sectPr>
          <w:pgSz w:w="11906" w:h="16838"/>
          <w:pgMar w:top="1440" w:right="1406" w:bottom="1440" w:left="1463" w:header="851" w:footer="992" w:gutter="0"/>
          <w:pgNumType w:fmt="decimal"/>
          <w:cols w:space="425" w:num="1"/>
          <w:docGrid w:type="lines" w:linePitch="312" w:charSpace="0"/>
        </w:sectPr>
      </w:pPr>
    </w:p>
    <w:p w14:paraId="4F9F2D23">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360" w:lineRule="auto"/>
        <w:ind w:left="0" w:right="0"/>
        <w:jc w:val="center"/>
        <w:textAlignment w:val="baseline"/>
        <w:outlineLvl w:val="0"/>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bookmarkStart w:id="49" w:name="_Toc16558"/>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附  录  B</w:t>
      </w:r>
      <w:bookmarkEnd w:id="49"/>
    </w:p>
    <w:p w14:paraId="5B16CD33">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360" w:lineRule="auto"/>
        <w:ind w:left="0" w:right="0"/>
        <w:jc w:val="center"/>
        <w:textAlignment w:val="baseline"/>
        <w:outlineLvl w:val="9"/>
        <w:rPr>
          <w:rStyle w:val="14"/>
          <w:rFonts w:hint="default"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（资料性）</w:t>
      </w:r>
    </w:p>
    <w:p w14:paraId="1501814A">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360" w:lineRule="auto"/>
        <w:ind w:left="0" w:right="0"/>
        <w:jc w:val="center"/>
        <w:textAlignment w:val="baseline"/>
        <w:outlineLvl w:val="9"/>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生命末期阶段情景假设内容</w:t>
      </w:r>
    </w:p>
    <w:p w14:paraId="76CFAD29">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360" w:lineRule="auto"/>
        <w:ind w:left="0" w:right="0"/>
        <w:jc w:val="center"/>
        <w:textAlignment w:val="baseline"/>
        <w:outlineLvl w:val="9"/>
        <w:rPr>
          <w:rStyle w:val="14"/>
          <w:rFonts w:hint="eastAsia" w:ascii="黑体" w:hAnsi="黑体" w:eastAsia="黑体" w:cs="黑体"/>
          <w:b w:val="0"/>
          <w:bCs w:val="0"/>
          <w:i w:val="0"/>
          <w:iCs w:val="0"/>
          <w:caps w:val="0"/>
          <w:color w:val="000000"/>
          <w:spacing w:val="-2"/>
          <w:sz w:val="24"/>
          <w:szCs w:val="24"/>
          <w:shd w:val="clear" w:fill="FFFFFF"/>
          <w:vertAlign w:val="baseline"/>
          <w:lang w:val="en-US" w:eastAsia="zh-CN"/>
        </w:rPr>
      </w:pPr>
    </w:p>
    <w:p w14:paraId="3CA9044E">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表B.1 软饮料产品生命末期阶段PET饮料包装处置方式占比参考</w:t>
      </w:r>
    </w:p>
    <w:tbl>
      <w:tblPr>
        <w:tblStyle w:val="1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9"/>
        <w:gridCol w:w="4261"/>
      </w:tblGrid>
      <w:tr w14:paraId="2156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99" w:type="pct"/>
          </w:tcPr>
          <w:p w14:paraId="579EC8AE">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处置方式</w:t>
            </w:r>
          </w:p>
        </w:tc>
        <w:tc>
          <w:tcPr>
            <w:tcW w:w="2500" w:type="pct"/>
          </w:tcPr>
          <w:p w14:paraId="712E6BFC">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占比</w:t>
            </w:r>
          </w:p>
        </w:tc>
      </w:tr>
      <w:tr w14:paraId="59D8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4A8AA5CB">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回收率</w:t>
            </w:r>
          </w:p>
        </w:tc>
        <w:tc>
          <w:tcPr>
            <w:tcW w:w="2500" w:type="pct"/>
          </w:tcPr>
          <w:p w14:paraId="6CEE5428">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96.48%～97.63%</w:t>
            </w:r>
          </w:p>
        </w:tc>
      </w:tr>
      <w:tr w14:paraId="68C0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78982662">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焚烧率</w:t>
            </w:r>
          </w:p>
        </w:tc>
        <w:tc>
          <w:tcPr>
            <w:tcW w:w="2500" w:type="pct"/>
          </w:tcPr>
          <w:p w14:paraId="5BFEA276">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2.37%~3.52%</w:t>
            </w:r>
          </w:p>
        </w:tc>
      </w:tr>
    </w:tbl>
    <w:p w14:paraId="1AE862EA">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注：回收率的参考值来源于任佳萌等在《饮料工业》2025年第2期发表的《2021—2023年中国PET饮料包装回收水平研究》中的中国PET饮料包装回收率。</w:t>
      </w:r>
    </w:p>
    <w:p w14:paraId="3A622575">
      <w:pPr>
        <w:keepNext w:val="0"/>
        <w:keepLines w:val="0"/>
        <w:pageBreakBefore w:val="0"/>
        <w:widowControl w:val="0"/>
        <w:kinsoku/>
        <w:wordWrap/>
        <w:overflowPunct/>
        <w:topLinePunct w:val="0"/>
        <w:autoSpaceDE/>
        <w:autoSpaceDN/>
        <w:bidi w:val="0"/>
        <w:adjustRightInd/>
        <w:snapToGrid/>
        <w:spacing w:line="221" w:lineRule="auto"/>
        <w:jc w:val="center"/>
        <w:textAlignment w:val="auto"/>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pPr>
    </w:p>
    <w:p w14:paraId="19A9ACEE">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表B.2 软饮料产品生命末期阶段低值塑料包装处置方式占比参考</w:t>
      </w:r>
    </w:p>
    <w:tbl>
      <w:tblPr>
        <w:tblStyle w:val="1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9"/>
        <w:gridCol w:w="4261"/>
      </w:tblGrid>
      <w:tr w14:paraId="0FCF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0B2C9FA7">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处置方式</w:t>
            </w:r>
          </w:p>
        </w:tc>
        <w:tc>
          <w:tcPr>
            <w:tcW w:w="2500" w:type="pct"/>
          </w:tcPr>
          <w:p w14:paraId="4E9A467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占比</w:t>
            </w:r>
          </w:p>
        </w:tc>
      </w:tr>
      <w:tr w14:paraId="1B7E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2B6595B8">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回收率</w:t>
            </w:r>
          </w:p>
        </w:tc>
        <w:tc>
          <w:tcPr>
            <w:tcW w:w="2500" w:type="pct"/>
          </w:tcPr>
          <w:p w14:paraId="72753A2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19.5%</w:t>
            </w:r>
          </w:p>
        </w:tc>
      </w:tr>
      <w:tr w14:paraId="1FA8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285007B8">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焚烧/填埋率</w:t>
            </w:r>
          </w:p>
        </w:tc>
        <w:tc>
          <w:tcPr>
            <w:tcW w:w="2500" w:type="pct"/>
          </w:tcPr>
          <w:p w14:paraId="0C7BDF64">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80.5%</w:t>
            </w:r>
          </w:p>
        </w:tc>
      </w:tr>
    </w:tbl>
    <w:p w14:paraId="5CB8EABA">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注：回收率的参考值来源于</w:t>
      </w:r>
      <w:r>
        <w:rPr>
          <w:rFonts w:hint="default" w:ascii="Times New Roman" w:hAnsi="Times New Roman" w:cs="Times New Roman"/>
          <w:sz w:val="18"/>
          <w:szCs w:val="18"/>
          <w:vertAlign w:val="baseline"/>
          <w:lang w:val="en-US" w:eastAsia="zh-CN"/>
        </w:rPr>
        <w:t>国家发展和改革委员会宏观经济研究院经济体制与管理研究所</w:t>
      </w:r>
      <w:r>
        <w:rPr>
          <w:rFonts w:hint="eastAsia" w:ascii="Times New Roman" w:hAnsi="Times New Roman" w:cs="Times New Roman"/>
          <w:sz w:val="18"/>
          <w:szCs w:val="18"/>
          <w:vertAlign w:val="baseline"/>
          <w:lang w:val="en-US" w:eastAsia="zh-CN"/>
        </w:rPr>
        <w:t>发布的《中国低值可回收物回收利用现状研究报告》中的2021年低值塑料包装（含除PET外的其他塑料瓶、快递包装、其他包装膜、各类商品塑料包装、餐盒等）回收率。</w:t>
      </w:r>
    </w:p>
    <w:p w14:paraId="0E352076">
      <w:pPr>
        <w:keepNext w:val="0"/>
        <w:keepLines w:val="0"/>
        <w:pageBreakBefore w:val="0"/>
        <w:widowControl w:val="0"/>
        <w:kinsoku/>
        <w:wordWrap/>
        <w:overflowPunct/>
        <w:topLinePunct w:val="0"/>
        <w:autoSpaceDE/>
        <w:autoSpaceDN/>
        <w:bidi w:val="0"/>
        <w:adjustRightInd/>
        <w:snapToGrid/>
        <w:spacing w:line="221" w:lineRule="auto"/>
        <w:jc w:val="center"/>
        <w:textAlignment w:val="auto"/>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pPr>
    </w:p>
    <w:p w14:paraId="494B9D82">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黑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表B.3 软饮料产品生命末期阶段纸基复合包装处置方式占比参考</w:t>
      </w:r>
    </w:p>
    <w:tbl>
      <w:tblPr>
        <w:tblStyle w:val="1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9"/>
        <w:gridCol w:w="4261"/>
      </w:tblGrid>
      <w:tr w14:paraId="733C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7E894684">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处置方式</w:t>
            </w:r>
          </w:p>
        </w:tc>
        <w:tc>
          <w:tcPr>
            <w:tcW w:w="2500" w:type="pct"/>
          </w:tcPr>
          <w:p w14:paraId="40CC5178">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占比</w:t>
            </w:r>
          </w:p>
        </w:tc>
      </w:tr>
      <w:tr w14:paraId="00AA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2E235AE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回收率</w:t>
            </w:r>
          </w:p>
        </w:tc>
        <w:tc>
          <w:tcPr>
            <w:tcW w:w="2500" w:type="pct"/>
          </w:tcPr>
          <w:p w14:paraId="4EB99C94">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33.1%</w:t>
            </w:r>
          </w:p>
        </w:tc>
      </w:tr>
      <w:tr w14:paraId="28F8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20474BB8">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焚烧/填埋率</w:t>
            </w:r>
          </w:p>
        </w:tc>
        <w:tc>
          <w:tcPr>
            <w:tcW w:w="2500" w:type="pct"/>
          </w:tcPr>
          <w:p w14:paraId="21E4BF0B">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66.9%</w:t>
            </w:r>
          </w:p>
        </w:tc>
      </w:tr>
    </w:tbl>
    <w:p w14:paraId="0872DF97">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注：回收率的参考值来源于</w:t>
      </w:r>
      <w:r>
        <w:rPr>
          <w:rFonts w:hint="default" w:ascii="Times New Roman" w:hAnsi="Times New Roman" w:cs="Times New Roman"/>
          <w:sz w:val="18"/>
          <w:szCs w:val="18"/>
          <w:vertAlign w:val="baseline"/>
          <w:lang w:val="en-US" w:eastAsia="zh-CN"/>
        </w:rPr>
        <w:t>国家发展和改革委员会宏观经济研究院经济体制与管理研究所</w:t>
      </w:r>
      <w:r>
        <w:rPr>
          <w:rFonts w:hint="eastAsia" w:ascii="Times New Roman" w:hAnsi="Times New Roman" w:cs="Times New Roman"/>
          <w:sz w:val="18"/>
          <w:szCs w:val="18"/>
          <w:vertAlign w:val="baseline"/>
          <w:lang w:val="en-US" w:eastAsia="zh-CN"/>
        </w:rPr>
        <w:t>发布的《中国低值可回收物回收利用现状研究报告》中的2021年饮料纸基复合包装回收率。</w:t>
      </w:r>
    </w:p>
    <w:p w14:paraId="565D0922">
      <w:pPr>
        <w:keepNext w:val="0"/>
        <w:keepLines w:val="0"/>
        <w:pageBreakBefore w:val="0"/>
        <w:widowControl w:val="0"/>
        <w:kinsoku/>
        <w:wordWrap/>
        <w:overflowPunct/>
        <w:topLinePunct w:val="0"/>
        <w:autoSpaceDE/>
        <w:autoSpaceDN/>
        <w:bidi w:val="0"/>
        <w:adjustRightInd/>
        <w:snapToGrid/>
        <w:spacing w:line="221" w:lineRule="auto"/>
        <w:jc w:val="center"/>
        <w:textAlignment w:val="auto"/>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pPr>
    </w:p>
    <w:p w14:paraId="5EA870E7">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表B.4 软饮料产品生命末期阶玻璃包装处置方式占比参考</w:t>
      </w:r>
    </w:p>
    <w:tbl>
      <w:tblPr>
        <w:tblStyle w:val="1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9"/>
        <w:gridCol w:w="4261"/>
      </w:tblGrid>
      <w:tr w14:paraId="058A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0578BF44">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处置方式</w:t>
            </w:r>
          </w:p>
        </w:tc>
        <w:tc>
          <w:tcPr>
            <w:tcW w:w="2500" w:type="pct"/>
          </w:tcPr>
          <w:p w14:paraId="5C525E41">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占比</w:t>
            </w:r>
          </w:p>
        </w:tc>
      </w:tr>
      <w:tr w14:paraId="7D1C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31EA2291">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回收率</w:t>
            </w:r>
          </w:p>
        </w:tc>
        <w:tc>
          <w:tcPr>
            <w:tcW w:w="2500" w:type="pct"/>
          </w:tcPr>
          <w:p w14:paraId="583AD22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27.1%</w:t>
            </w:r>
          </w:p>
        </w:tc>
      </w:tr>
      <w:tr w14:paraId="78E5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245BA002">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焚烧/填埋率</w:t>
            </w:r>
          </w:p>
        </w:tc>
        <w:tc>
          <w:tcPr>
            <w:tcW w:w="2500" w:type="pct"/>
          </w:tcPr>
          <w:p w14:paraId="7C58F754">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72.9%</w:t>
            </w:r>
          </w:p>
        </w:tc>
      </w:tr>
    </w:tbl>
    <w:p w14:paraId="3898E798">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Times New Roman" w:hAnsi="Times New Roman" w:cs="Times New Roman"/>
          <w:sz w:val="18"/>
          <w:szCs w:val="18"/>
          <w:vertAlign w:val="baseline"/>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Times New Roman" w:hAnsi="Times New Roman" w:cs="Times New Roman"/>
          <w:sz w:val="18"/>
          <w:szCs w:val="18"/>
          <w:vertAlign w:val="baseline"/>
          <w:lang w:val="en-US" w:eastAsia="zh-CN"/>
        </w:rPr>
        <w:t>注：回收率的参考值来源于</w:t>
      </w:r>
      <w:r>
        <w:rPr>
          <w:rFonts w:hint="default" w:ascii="Times New Roman" w:hAnsi="Times New Roman" w:cs="Times New Roman"/>
          <w:sz w:val="18"/>
          <w:szCs w:val="18"/>
          <w:vertAlign w:val="baseline"/>
          <w:lang w:val="en-US" w:eastAsia="zh-CN"/>
        </w:rPr>
        <w:t>国家发展和改革委员会宏观经济研究院经济体制与管理研究所</w:t>
      </w:r>
      <w:r>
        <w:rPr>
          <w:rFonts w:hint="eastAsia" w:ascii="Times New Roman" w:hAnsi="Times New Roman" w:cs="Times New Roman"/>
          <w:sz w:val="18"/>
          <w:szCs w:val="18"/>
          <w:vertAlign w:val="baseline"/>
          <w:lang w:val="en-US" w:eastAsia="zh-CN"/>
        </w:rPr>
        <w:t>发布的《中国低值可回收物回收利用现状研究报告》中的2021年日用废玻璃回收率。</w:t>
      </w:r>
    </w:p>
    <w:p w14:paraId="01B3248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0"/>
        <w:rPr>
          <w:rStyle w:val="14"/>
          <w:rFonts w:hint="default"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bookmarkStart w:id="50" w:name="_Toc25842"/>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附  录  C</w:t>
      </w:r>
      <w:bookmarkEnd w:id="50"/>
    </w:p>
    <w:p w14:paraId="348A650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9"/>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（资料性）</w:t>
      </w:r>
    </w:p>
    <w:p w14:paraId="5858835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9"/>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电力碳足迹因子与热力排放因子</w:t>
      </w:r>
    </w:p>
    <w:p w14:paraId="100DBFE0">
      <w:pPr>
        <w:keepNext w:val="0"/>
        <w:keepLines w:val="0"/>
        <w:pageBreakBefore w:val="0"/>
        <w:kinsoku/>
        <w:wordWrap/>
        <w:overflowPunct/>
        <w:topLinePunct w:val="0"/>
        <w:autoSpaceDE/>
        <w:autoSpaceDN/>
        <w:bidi w:val="0"/>
        <w:adjustRightInd/>
        <w:snapToGrid/>
        <w:spacing w:line="288" w:lineRule="auto"/>
        <w:jc w:val="left"/>
        <w:rPr>
          <w:rFonts w:hint="default" w:ascii="Times New Roman" w:hAnsi="Times New Roman" w:cs="Times New Roman"/>
          <w:sz w:val="18"/>
          <w:szCs w:val="18"/>
          <w:vertAlign w:val="baseline"/>
          <w:lang w:val="en-US" w:eastAsia="zh-CN"/>
        </w:rPr>
      </w:pPr>
    </w:p>
    <w:p w14:paraId="089C8B6F">
      <w:pPr>
        <w:keepNext w:val="0"/>
        <w:keepLines w:val="0"/>
        <w:pageBreakBefore w:val="0"/>
        <w:kinsoku/>
        <w:wordWrap/>
        <w:overflowPunct/>
        <w:topLinePunct w:val="0"/>
        <w:autoSpaceDE/>
        <w:autoSpaceDN/>
        <w:bidi w:val="0"/>
        <w:adjustRightInd/>
        <w:snapToGrid/>
        <w:spacing w:line="288" w:lineRule="auto"/>
        <w:jc w:val="left"/>
        <w:rPr>
          <w:rFonts w:hint="eastAsia"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全国电力碳足迹因子见表C.1。</w:t>
      </w:r>
    </w:p>
    <w:p w14:paraId="7BAF322E">
      <w:pPr>
        <w:keepNext w:val="0"/>
        <w:keepLines w:val="0"/>
        <w:pageBreakBefore w:val="0"/>
        <w:kinsoku/>
        <w:wordWrap/>
        <w:overflowPunct/>
        <w:topLinePunct w:val="0"/>
        <w:autoSpaceDE/>
        <w:autoSpaceDN/>
        <w:bidi w:val="0"/>
        <w:adjustRightInd/>
        <w:snapToGrid/>
        <w:spacing w:line="288" w:lineRule="auto"/>
        <w:jc w:val="left"/>
        <w:rPr>
          <w:rFonts w:hint="eastAsia" w:ascii="Times New Roman" w:hAnsi="Times New Roman" w:cs="Times New Roman"/>
          <w:sz w:val="21"/>
          <w:szCs w:val="21"/>
          <w:vertAlign w:val="baseline"/>
          <w:lang w:val="en-US" w:eastAsia="zh-CN"/>
        </w:rPr>
      </w:pPr>
    </w:p>
    <w:p w14:paraId="5C30D6A2">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黑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表C.1 全国电力碳足迹因子</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FA0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61" w:type="dxa"/>
            <w:vAlign w:val="center"/>
          </w:tcPr>
          <w:p w14:paraId="6FA92C02">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类型</w:t>
            </w:r>
          </w:p>
        </w:tc>
        <w:tc>
          <w:tcPr>
            <w:tcW w:w="4261" w:type="dxa"/>
            <w:vAlign w:val="center"/>
          </w:tcPr>
          <w:p w14:paraId="481423A7">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碳足迹因子（kgCO</w:t>
            </w:r>
            <w:r>
              <w:rPr>
                <w:rFonts w:hint="eastAsia" w:ascii="Times New Roman" w:hAnsi="Times New Roman" w:cs="Times New Roman"/>
                <w:sz w:val="18"/>
                <w:szCs w:val="18"/>
                <w:vertAlign w:val="subscript"/>
                <w:lang w:val="en-US" w:eastAsia="zh-CN"/>
              </w:rPr>
              <w:t>2</w:t>
            </w:r>
            <w:r>
              <w:rPr>
                <w:rFonts w:hint="eastAsia" w:ascii="Times New Roman" w:hAnsi="Times New Roman" w:cs="Times New Roman"/>
                <w:sz w:val="18"/>
                <w:szCs w:val="18"/>
                <w:vertAlign w:val="baseline"/>
                <w:lang w:val="en-US" w:eastAsia="zh-CN"/>
              </w:rPr>
              <w:t>e/kWh)</w:t>
            </w:r>
          </w:p>
        </w:tc>
      </w:tr>
      <w:tr w14:paraId="5D0A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14:paraId="28D9A89F">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全国</w:t>
            </w:r>
          </w:p>
        </w:tc>
        <w:tc>
          <w:tcPr>
            <w:tcW w:w="4261" w:type="dxa"/>
            <w:vAlign w:val="center"/>
          </w:tcPr>
          <w:p w14:paraId="66C1514E">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0.5777</w:t>
            </w:r>
          </w:p>
        </w:tc>
      </w:tr>
      <w:tr w14:paraId="0D68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14:paraId="116CFA3D">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燃煤发电</w:t>
            </w:r>
          </w:p>
        </w:tc>
        <w:tc>
          <w:tcPr>
            <w:tcW w:w="4261" w:type="dxa"/>
            <w:vAlign w:val="center"/>
          </w:tcPr>
          <w:p w14:paraId="2CC76701">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0.9240</w:t>
            </w:r>
          </w:p>
        </w:tc>
      </w:tr>
      <w:tr w14:paraId="717B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14:paraId="57409AAA">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燃气发电</w:t>
            </w:r>
          </w:p>
        </w:tc>
        <w:tc>
          <w:tcPr>
            <w:tcW w:w="4261" w:type="dxa"/>
            <w:vAlign w:val="center"/>
          </w:tcPr>
          <w:p w14:paraId="5F432BF6">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0.4503</w:t>
            </w:r>
          </w:p>
        </w:tc>
      </w:tr>
      <w:tr w14:paraId="5536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14:paraId="4CCA806C">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水力发电</w:t>
            </w:r>
          </w:p>
        </w:tc>
        <w:tc>
          <w:tcPr>
            <w:tcW w:w="4261" w:type="dxa"/>
            <w:vAlign w:val="center"/>
          </w:tcPr>
          <w:p w14:paraId="0809183E">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0.0141</w:t>
            </w:r>
          </w:p>
        </w:tc>
      </w:tr>
      <w:tr w14:paraId="3FA8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261" w:type="dxa"/>
            <w:vAlign w:val="center"/>
          </w:tcPr>
          <w:p w14:paraId="204B54DF">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核能发电</w:t>
            </w:r>
          </w:p>
        </w:tc>
        <w:tc>
          <w:tcPr>
            <w:tcW w:w="4261" w:type="dxa"/>
            <w:vAlign w:val="center"/>
          </w:tcPr>
          <w:p w14:paraId="54FA32C8">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0.0065</w:t>
            </w:r>
          </w:p>
        </w:tc>
      </w:tr>
      <w:tr w14:paraId="517B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14:paraId="2704BA06">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风力发电</w:t>
            </w:r>
          </w:p>
        </w:tc>
        <w:tc>
          <w:tcPr>
            <w:tcW w:w="4261" w:type="dxa"/>
            <w:vAlign w:val="center"/>
          </w:tcPr>
          <w:p w14:paraId="3ECB94BF">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0.0324</w:t>
            </w:r>
          </w:p>
        </w:tc>
      </w:tr>
      <w:tr w14:paraId="3928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14:paraId="136E9FC4">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光伏发电</w:t>
            </w:r>
          </w:p>
        </w:tc>
        <w:tc>
          <w:tcPr>
            <w:tcW w:w="4261" w:type="dxa"/>
            <w:vAlign w:val="center"/>
          </w:tcPr>
          <w:p w14:paraId="52671C24">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0.0520</w:t>
            </w:r>
          </w:p>
        </w:tc>
      </w:tr>
      <w:tr w14:paraId="5646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14:paraId="68400E9A">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光热发电</w:t>
            </w:r>
          </w:p>
        </w:tc>
        <w:tc>
          <w:tcPr>
            <w:tcW w:w="4261" w:type="dxa"/>
            <w:vAlign w:val="center"/>
          </w:tcPr>
          <w:p w14:paraId="2B44D4F2">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0.0312</w:t>
            </w:r>
          </w:p>
        </w:tc>
      </w:tr>
      <w:tr w14:paraId="65E0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14:paraId="5316B33F">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生物质发电</w:t>
            </w:r>
          </w:p>
        </w:tc>
        <w:tc>
          <w:tcPr>
            <w:tcW w:w="4261" w:type="dxa"/>
            <w:vAlign w:val="center"/>
          </w:tcPr>
          <w:p w14:paraId="6DE069A9">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0.0404</w:t>
            </w:r>
          </w:p>
        </w:tc>
      </w:tr>
      <w:tr w14:paraId="2A64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vAlign w:val="center"/>
          </w:tcPr>
          <w:p w14:paraId="0F28DAD2">
            <w:pPr>
              <w:spacing w:line="240" w:lineRule="auto"/>
              <w:jc w:val="both"/>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注：数据来源为生态环境部、国家统计局、国家能源局联合发布的《2024年全国电力碳足迹因子》，若该数据有更新，参考最新数值。</w:t>
            </w:r>
          </w:p>
        </w:tc>
      </w:tr>
    </w:tbl>
    <w:p w14:paraId="0211E740">
      <w:pPr>
        <w:spacing w:line="240" w:lineRule="auto"/>
        <w:jc w:val="left"/>
        <w:rPr>
          <w:rFonts w:hint="eastAsia" w:ascii="Times New Roman" w:hAnsi="Times New Roman" w:cs="Times New Roman"/>
          <w:sz w:val="18"/>
          <w:szCs w:val="18"/>
          <w:vertAlign w:val="baseline"/>
          <w:lang w:val="en-US" w:eastAsia="zh-CN"/>
        </w:rPr>
      </w:pPr>
    </w:p>
    <w:p w14:paraId="5ADC2780">
      <w:pPr>
        <w:spacing w:line="240" w:lineRule="auto"/>
        <w:jc w:val="left"/>
        <w:rPr>
          <w:rFonts w:hint="default" w:ascii="Times New Roman" w:hAnsi="Times New Roman" w:cs="Times New Roman"/>
          <w:sz w:val="18"/>
          <w:szCs w:val="18"/>
          <w:vertAlign w:val="baseline"/>
          <w:lang w:val="en-US" w:eastAsia="zh-CN"/>
        </w:rPr>
      </w:pPr>
    </w:p>
    <w:p w14:paraId="49EC361E">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热力碳排放因子参考值见表C.2。</w:t>
      </w:r>
    </w:p>
    <w:p w14:paraId="4A6328F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cs="Times New Roman"/>
          <w:sz w:val="21"/>
          <w:szCs w:val="21"/>
          <w:vertAlign w:val="baseline"/>
          <w:lang w:val="en-US" w:eastAsia="zh-CN"/>
        </w:rPr>
      </w:pPr>
    </w:p>
    <w:p w14:paraId="5971906E">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黑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表C.2 热力碳排放因子</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36D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14:paraId="780BF6F2">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类型</w:t>
            </w:r>
          </w:p>
        </w:tc>
        <w:tc>
          <w:tcPr>
            <w:tcW w:w="4261" w:type="dxa"/>
            <w:vAlign w:val="center"/>
          </w:tcPr>
          <w:p w14:paraId="2E0F601F">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碳排放因子/（tCO</w:t>
            </w:r>
            <w:r>
              <w:rPr>
                <w:rFonts w:hint="eastAsia" w:ascii="Times New Roman" w:hAnsi="Times New Roman" w:cs="Times New Roman"/>
                <w:sz w:val="18"/>
                <w:szCs w:val="18"/>
                <w:vertAlign w:val="subscript"/>
                <w:lang w:val="en-US" w:eastAsia="zh-CN"/>
              </w:rPr>
              <w:t>2</w:t>
            </w:r>
            <w:r>
              <w:rPr>
                <w:rFonts w:hint="eastAsia" w:ascii="Times New Roman" w:hAnsi="Times New Roman" w:cs="Times New Roman"/>
                <w:sz w:val="18"/>
                <w:szCs w:val="18"/>
                <w:vertAlign w:val="baseline"/>
                <w:lang w:val="en-US" w:eastAsia="zh-CN"/>
              </w:rPr>
              <w:t>/GJ）</w:t>
            </w:r>
          </w:p>
        </w:tc>
      </w:tr>
      <w:tr w14:paraId="17A0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14:paraId="2495026E">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热力</w:t>
            </w:r>
          </w:p>
        </w:tc>
        <w:tc>
          <w:tcPr>
            <w:tcW w:w="4261" w:type="dxa"/>
            <w:vAlign w:val="center"/>
          </w:tcPr>
          <w:p w14:paraId="72A6A83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0.110</w:t>
            </w:r>
          </w:p>
        </w:tc>
      </w:tr>
      <w:tr w14:paraId="4B8B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vAlign w:val="center"/>
          </w:tcPr>
          <w:p w14:paraId="0522A3BD">
            <w:pPr>
              <w:spacing w:line="240" w:lineRule="auto"/>
              <w:jc w:val="both"/>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注：数据来源为生态环境部发布的《2021、2022年度全国碳排放权交易配额总量设定与分配实施方案》，若该数据有更新，参考最新数值。</w:t>
            </w:r>
          </w:p>
        </w:tc>
      </w:tr>
    </w:tbl>
    <w:p w14:paraId="5DECE60C">
      <w:pPr>
        <w:spacing w:line="240" w:lineRule="auto"/>
        <w:jc w:val="left"/>
        <w:rPr>
          <w:rFonts w:hint="eastAsia" w:ascii="Times New Roman" w:hAnsi="Times New Roman" w:cs="Times New Roman"/>
          <w:sz w:val="18"/>
          <w:szCs w:val="18"/>
          <w:vertAlign w:val="baseline"/>
          <w:lang w:val="en-US" w:eastAsia="zh-CN"/>
        </w:rPr>
      </w:pPr>
    </w:p>
    <w:p w14:paraId="7E0ECC38">
      <w:pPr>
        <w:spacing w:line="240" w:lineRule="auto"/>
        <w:jc w:val="left"/>
        <w:rPr>
          <w:rFonts w:hint="default" w:ascii="Times New Roman" w:hAnsi="Times New Roman" w:cs="Times New Roman"/>
          <w:sz w:val="18"/>
          <w:szCs w:val="18"/>
          <w:vertAlign w:val="baseline"/>
          <w:lang w:val="en-US" w:eastAsia="zh-CN"/>
        </w:rPr>
        <w:sectPr>
          <w:pgSz w:w="11906" w:h="16838"/>
          <w:pgMar w:top="1440" w:right="1800" w:bottom="1440" w:left="1800" w:header="851" w:footer="992" w:gutter="0"/>
          <w:pgNumType w:fmt="decimal"/>
          <w:cols w:space="425" w:num="1"/>
          <w:docGrid w:type="lines" w:linePitch="312" w:charSpace="0"/>
        </w:sectPr>
      </w:pPr>
    </w:p>
    <w:p w14:paraId="20F4660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0"/>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bookmarkStart w:id="51" w:name="_Toc19314"/>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附  录  D</w:t>
      </w:r>
      <w:bookmarkEnd w:id="51"/>
    </w:p>
    <w:p w14:paraId="46C23FD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9"/>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（资料性）</w:t>
      </w:r>
    </w:p>
    <w:p w14:paraId="728BE0C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9"/>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主要化石燃料燃烧碳排放因子</w:t>
      </w:r>
    </w:p>
    <w:p w14:paraId="153F628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9"/>
        <w:rPr>
          <w:rStyle w:val="14"/>
          <w:rFonts w:hint="eastAsia" w:ascii="黑体" w:hAnsi="黑体" w:eastAsia="黑体" w:cs="黑体"/>
          <w:b w:val="0"/>
          <w:bCs w:val="0"/>
          <w:i w:val="0"/>
          <w:iCs w:val="0"/>
          <w:caps w:val="0"/>
          <w:color w:val="000000"/>
          <w:spacing w:val="-2"/>
          <w:sz w:val="24"/>
          <w:szCs w:val="24"/>
          <w:shd w:val="clear" w:fill="FFFFFF"/>
          <w:vertAlign w:val="baseline"/>
          <w:lang w:val="en-US" w:eastAsia="zh-CN"/>
        </w:rPr>
      </w:pPr>
    </w:p>
    <w:p w14:paraId="06AF9AC2">
      <w:pPr>
        <w:keepNext w:val="0"/>
        <w:keepLines w:val="0"/>
        <w:pageBreakBefore w:val="0"/>
        <w:kinsoku/>
        <w:wordWrap/>
        <w:overflowPunct/>
        <w:topLinePunct w:val="0"/>
        <w:autoSpaceDE/>
        <w:autoSpaceDN/>
        <w:bidi w:val="0"/>
        <w:adjustRightInd/>
        <w:snapToGrid/>
        <w:spacing w:line="288" w:lineRule="auto"/>
        <w:jc w:val="left"/>
        <w:rPr>
          <w:rFonts w:hint="eastAsia"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主要化石燃料燃烧碳排放因子按表D.1选取。</w:t>
      </w:r>
    </w:p>
    <w:p w14:paraId="574D1262">
      <w:pPr>
        <w:keepNext w:val="0"/>
        <w:keepLines w:val="0"/>
        <w:pageBreakBefore w:val="0"/>
        <w:kinsoku/>
        <w:wordWrap/>
        <w:overflowPunct/>
        <w:topLinePunct w:val="0"/>
        <w:autoSpaceDE/>
        <w:autoSpaceDN/>
        <w:bidi w:val="0"/>
        <w:adjustRightInd/>
        <w:snapToGrid/>
        <w:spacing w:line="288" w:lineRule="auto"/>
        <w:jc w:val="left"/>
        <w:rPr>
          <w:rFonts w:hint="eastAsia" w:ascii="Times New Roman" w:hAnsi="Times New Roman" w:cs="Times New Roman"/>
          <w:sz w:val="21"/>
          <w:szCs w:val="21"/>
          <w:vertAlign w:val="baseline"/>
          <w:lang w:val="en-US" w:eastAsia="zh-CN"/>
        </w:rPr>
      </w:pPr>
    </w:p>
    <w:p w14:paraId="2B839FDA">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表D.1 主要化石燃料燃烧碳排放因子</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1176"/>
        <w:gridCol w:w="1724"/>
        <w:gridCol w:w="1558"/>
        <w:gridCol w:w="636"/>
        <w:gridCol w:w="2454"/>
      </w:tblGrid>
      <w:tr w14:paraId="099E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gridSpan w:val="2"/>
            <w:vAlign w:val="center"/>
          </w:tcPr>
          <w:p w14:paraId="744AB0E1">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种类</w:t>
            </w:r>
          </w:p>
        </w:tc>
        <w:tc>
          <w:tcPr>
            <w:tcW w:w="1726" w:type="dxa"/>
            <w:vAlign w:val="center"/>
          </w:tcPr>
          <w:p w14:paraId="60A73C2B">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低位发热值</w:t>
            </w:r>
          </w:p>
        </w:tc>
        <w:tc>
          <w:tcPr>
            <w:tcW w:w="1560" w:type="dxa"/>
            <w:vAlign w:val="center"/>
          </w:tcPr>
          <w:p w14:paraId="7A0646A3">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单位热值含碳量</w:t>
            </w:r>
          </w:p>
        </w:tc>
        <w:tc>
          <w:tcPr>
            <w:tcW w:w="620" w:type="dxa"/>
            <w:vAlign w:val="center"/>
          </w:tcPr>
          <w:p w14:paraId="6F184174">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碳氧化率</w:t>
            </w:r>
          </w:p>
        </w:tc>
        <w:tc>
          <w:tcPr>
            <w:tcW w:w="2457" w:type="dxa"/>
            <w:vAlign w:val="center"/>
          </w:tcPr>
          <w:p w14:paraId="01E1B0AC">
            <w:pPr>
              <w:spacing w:line="240" w:lineRule="auto"/>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碳排放因子</w:t>
            </w:r>
          </w:p>
          <w:p w14:paraId="41D2A577">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（kgCO2/kg或kgCO2/Nm3）</w:t>
            </w:r>
          </w:p>
        </w:tc>
      </w:tr>
      <w:tr w14:paraId="78B5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vMerge w:val="restart"/>
            <w:vAlign w:val="center"/>
          </w:tcPr>
          <w:p w14:paraId="36770FF5">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液体燃料</w:t>
            </w:r>
          </w:p>
        </w:tc>
        <w:tc>
          <w:tcPr>
            <w:tcW w:w="1178" w:type="dxa"/>
            <w:vAlign w:val="center"/>
          </w:tcPr>
          <w:p w14:paraId="6496BEB7">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汽油</w:t>
            </w:r>
          </w:p>
        </w:tc>
        <w:tc>
          <w:tcPr>
            <w:tcW w:w="1726" w:type="dxa"/>
            <w:vAlign w:val="center"/>
          </w:tcPr>
          <w:p w14:paraId="28E27174">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43.070 GJ/t</w:t>
            </w:r>
            <w:r>
              <w:rPr>
                <w:rFonts w:hint="eastAsia" w:ascii="Times New Roman" w:hAnsi="Times New Roman" w:cs="Times New Roman"/>
                <w:sz w:val="18"/>
                <w:szCs w:val="18"/>
                <w:vertAlign w:val="superscript"/>
                <w:lang w:val="en-US" w:eastAsia="zh-CN"/>
              </w:rPr>
              <w:t>②</w:t>
            </w:r>
          </w:p>
        </w:tc>
        <w:tc>
          <w:tcPr>
            <w:tcW w:w="1560" w:type="dxa"/>
            <w:vAlign w:val="center"/>
          </w:tcPr>
          <w:p w14:paraId="654AC7D6">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0.0189 tC/GJ</w:t>
            </w:r>
            <w:r>
              <w:rPr>
                <w:rFonts w:hint="eastAsia" w:ascii="Times New Roman" w:hAnsi="Times New Roman" w:cs="Times New Roman"/>
                <w:sz w:val="18"/>
                <w:szCs w:val="18"/>
                <w:vertAlign w:val="superscript"/>
                <w:lang w:val="en-US" w:eastAsia="zh-CN"/>
              </w:rPr>
              <w:t>①</w:t>
            </w:r>
          </w:p>
        </w:tc>
        <w:tc>
          <w:tcPr>
            <w:tcW w:w="620" w:type="dxa"/>
            <w:vAlign w:val="center"/>
          </w:tcPr>
          <w:p w14:paraId="2E587B22">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98%</w:t>
            </w:r>
            <w:r>
              <w:rPr>
                <w:rFonts w:hint="eastAsia" w:ascii="Times New Roman" w:hAnsi="Times New Roman" w:cs="Times New Roman"/>
                <w:sz w:val="18"/>
                <w:szCs w:val="18"/>
                <w:vertAlign w:val="superscript"/>
                <w:lang w:val="en-US" w:eastAsia="zh-CN"/>
              </w:rPr>
              <w:t>①</w:t>
            </w:r>
          </w:p>
        </w:tc>
        <w:tc>
          <w:tcPr>
            <w:tcW w:w="2457" w:type="dxa"/>
            <w:vAlign w:val="center"/>
          </w:tcPr>
          <w:p w14:paraId="1695206C">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2.93</w:t>
            </w:r>
          </w:p>
        </w:tc>
      </w:tr>
      <w:tr w14:paraId="155B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vMerge w:val="continue"/>
            <w:vAlign w:val="center"/>
          </w:tcPr>
          <w:p w14:paraId="5B3DF192">
            <w:pPr>
              <w:spacing w:line="240" w:lineRule="auto"/>
              <w:jc w:val="center"/>
              <w:rPr>
                <w:rFonts w:hint="default" w:ascii="Times New Roman" w:hAnsi="Times New Roman" w:cs="Times New Roman"/>
                <w:sz w:val="18"/>
                <w:szCs w:val="18"/>
                <w:vertAlign w:val="baseline"/>
                <w:lang w:val="en-US" w:eastAsia="zh-CN"/>
              </w:rPr>
            </w:pPr>
          </w:p>
        </w:tc>
        <w:tc>
          <w:tcPr>
            <w:tcW w:w="1178" w:type="dxa"/>
            <w:vAlign w:val="center"/>
          </w:tcPr>
          <w:p w14:paraId="613FFBB9">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柴油</w:t>
            </w:r>
          </w:p>
        </w:tc>
        <w:tc>
          <w:tcPr>
            <w:tcW w:w="1726" w:type="dxa"/>
            <w:vAlign w:val="center"/>
          </w:tcPr>
          <w:p w14:paraId="2598D444">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42.652 GJ/t</w:t>
            </w:r>
            <w:r>
              <w:rPr>
                <w:rFonts w:hint="eastAsia" w:ascii="Times New Roman" w:hAnsi="Times New Roman" w:cs="Times New Roman"/>
                <w:sz w:val="18"/>
                <w:szCs w:val="18"/>
                <w:vertAlign w:val="superscript"/>
                <w:lang w:val="en-US" w:eastAsia="zh-CN"/>
              </w:rPr>
              <w:t>②</w:t>
            </w:r>
          </w:p>
        </w:tc>
        <w:tc>
          <w:tcPr>
            <w:tcW w:w="1560" w:type="dxa"/>
            <w:vAlign w:val="center"/>
          </w:tcPr>
          <w:p w14:paraId="76AE72E7">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0.0202 tC/GJ</w:t>
            </w:r>
            <w:r>
              <w:rPr>
                <w:rFonts w:hint="eastAsia" w:ascii="Times New Roman" w:hAnsi="Times New Roman" w:cs="Times New Roman"/>
                <w:sz w:val="18"/>
                <w:szCs w:val="18"/>
                <w:vertAlign w:val="superscript"/>
                <w:lang w:val="en-US" w:eastAsia="zh-CN"/>
              </w:rPr>
              <w:t>①</w:t>
            </w:r>
          </w:p>
        </w:tc>
        <w:tc>
          <w:tcPr>
            <w:tcW w:w="620" w:type="dxa"/>
            <w:vAlign w:val="center"/>
          </w:tcPr>
          <w:p w14:paraId="0EEA3967">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98%</w:t>
            </w:r>
            <w:r>
              <w:rPr>
                <w:rFonts w:hint="eastAsia" w:ascii="Times New Roman" w:hAnsi="Times New Roman" w:cs="Times New Roman"/>
                <w:sz w:val="18"/>
                <w:szCs w:val="18"/>
                <w:vertAlign w:val="superscript"/>
                <w:lang w:val="en-US" w:eastAsia="zh-CN"/>
              </w:rPr>
              <w:t>①</w:t>
            </w:r>
          </w:p>
        </w:tc>
        <w:tc>
          <w:tcPr>
            <w:tcW w:w="2457" w:type="dxa"/>
            <w:vAlign w:val="center"/>
          </w:tcPr>
          <w:p w14:paraId="0DC9B880">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3.10</w:t>
            </w:r>
          </w:p>
        </w:tc>
      </w:tr>
      <w:tr w14:paraId="2F4A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vMerge w:val="continue"/>
            <w:vAlign w:val="center"/>
          </w:tcPr>
          <w:p w14:paraId="75A55CA4">
            <w:pPr>
              <w:spacing w:line="240" w:lineRule="auto"/>
              <w:jc w:val="center"/>
              <w:rPr>
                <w:rFonts w:hint="default" w:ascii="Times New Roman" w:hAnsi="Times New Roman" w:cs="Times New Roman"/>
                <w:sz w:val="18"/>
                <w:szCs w:val="18"/>
                <w:vertAlign w:val="baseline"/>
                <w:lang w:val="en-US" w:eastAsia="zh-CN"/>
              </w:rPr>
            </w:pPr>
          </w:p>
        </w:tc>
        <w:tc>
          <w:tcPr>
            <w:tcW w:w="1178" w:type="dxa"/>
            <w:vAlign w:val="center"/>
          </w:tcPr>
          <w:p w14:paraId="4C29D153">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煤油</w:t>
            </w:r>
          </w:p>
        </w:tc>
        <w:tc>
          <w:tcPr>
            <w:tcW w:w="1726" w:type="dxa"/>
            <w:vAlign w:val="center"/>
          </w:tcPr>
          <w:p w14:paraId="08DADA25">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43.070 GJ/t</w:t>
            </w:r>
            <w:r>
              <w:rPr>
                <w:rFonts w:hint="eastAsia" w:ascii="Times New Roman" w:hAnsi="Times New Roman" w:cs="Times New Roman"/>
                <w:sz w:val="18"/>
                <w:szCs w:val="18"/>
                <w:vertAlign w:val="superscript"/>
                <w:lang w:val="en-US" w:eastAsia="zh-CN"/>
              </w:rPr>
              <w:t>②</w:t>
            </w:r>
          </w:p>
        </w:tc>
        <w:tc>
          <w:tcPr>
            <w:tcW w:w="1560" w:type="dxa"/>
            <w:vAlign w:val="center"/>
          </w:tcPr>
          <w:p w14:paraId="6E52B7B7">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0.0196 tC/GJ</w:t>
            </w:r>
            <w:r>
              <w:rPr>
                <w:rFonts w:hint="eastAsia" w:ascii="Times New Roman" w:hAnsi="Times New Roman" w:cs="Times New Roman"/>
                <w:sz w:val="18"/>
                <w:szCs w:val="18"/>
                <w:vertAlign w:val="superscript"/>
                <w:lang w:val="en-US" w:eastAsia="zh-CN"/>
              </w:rPr>
              <w:t>①</w:t>
            </w:r>
          </w:p>
        </w:tc>
        <w:tc>
          <w:tcPr>
            <w:tcW w:w="620" w:type="dxa"/>
            <w:vAlign w:val="center"/>
          </w:tcPr>
          <w:p w14:paraId="03578346">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98%</w:t>
            </w:r>
            <w:r>
              <w:rPr>
                <w:rFonts w:hint="eastAsia" w:ascii="Times New Roman" w:hAnsi="Times New Roman" w:cs="Times New Roman"/>
                <w:sz w:val="18"/>
                <w:szCs w:val="18"/>
                <w:vertAlign w:val="superscript"/>
                <w:lang w:val="en-US" w:eastAsia="zh-CN"/>
              </w:rPr>
              <w:t>①</w:t>
            </w:r>
          </w:p>
        </w:tc>
        <w:tc>
          <w:tcPr>
            <w:tcW w:w="2457" w:type="dxa"/>
            <w:vAlign w:val="center"/>
          </w:tcPr>
          <w:p w14:paraId="24CA46CB">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3.03</w:t>
            </w:r>
          </w:p>
        </w:tc>
      </w:tr>
      <w:tr w14:paraId="5E16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vMerge w:val="continue"/>
            <w:vAlign w:val="center"/>
          </w:tcPr>
          <w:p w14:paraId="3F8D836F">
            <w:pPr>
              <w:spacing w:line="240" w:lineRule="auto"/>
              <w:jc w:val="center"/>
              <w:rPr>
                <w:rFonts w:hint="default" w:ascii="Times New Roman" w:hAnsi="Times New Roman" w:cs="Times New Roman"/>
                <w:sz w:val="18"/>
                <w:szCs w:val="18"/>
                <w:vertAlign w:val="baseline"/>
                <w:lang w:val="en-US" w:eastAsia="zh-CN"/>
              </w:rPr>
            </w:pPr>
          </w:p>
        </w:tc>
        <w:tc>
          <w:tcPr>
            <w:tcW w:w="1178" w:type="dxa"/>
            <w:vAlign w:val="center"/>
          </w:tcPr>
          <w:p w14:paraId="60BC413B">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液化天然气</w:t>
            </w:r>
          </w:p>
        </w:tc>
        <w:tc>
          <w:tcPr>
            <w:tcW w:w="1726" w:type="dxa"/>
            <w:vAlign w:val="center"/>
          </w:tcPr>
          <w:p w14:paraId="06FB4EBF">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51.498 GJ/t</w:t>
            </w:r>
            <w:r>
              <w:rPr>
                <w:rFonts w:hint="eastAsia" w:ascii="Times New Roman" w:hAnsi="Times New Roman" w:cs="Times New Roman"/>
                <w:sz w:val="18"/>
                <w:szCs w:val="18"/>
                <w:vertAlign w:val="superscript"/>
                <w:lang w:val="en-US" w:eastAsia="zh-CN"/>
              </w:rPr>
              <w:t>③</w:t>
            </w:r>
          </w:p>
        </w:tc>
        <w:tc>
          <w:tcPr>
            <w:tcW w:w="1560" w:type="dxa"/>
            <w:vAlign w:val="center"/>
          </w:tcPr>
          <w:p w14:paraId="258D096F">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0.0172 tC/GJ</w:t>
            </w:r>
            <w:r>
              <w:rPr>
                <w:rFonts w:hint="eastAsia" w:ascii="Times New Roman" w:hAnsi="Times New Roman" w:cs="Times New Roman"/>
                <w:sz w:val="18"/>
                <w:szCs w:val="18"/>
                <w:vertAlign w:val="superscript"/>
                <w:lang w:val="en-US" w:eastAsia="zh-CN"/>
              </w:rPr>
              <w:t>①</w:t>
            </w:r>
          </w:p>
        </w:tc>
        <w:tc>
          <w:tcPr>
            <w:tcW w:w="620" w:type="dxa"/>
            <w:vAlign w:val="center"/>
          </w:tcPr>
          <w:p w14:paraId="0A44A332">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98%</w:t>
            </w:r>
            <w:r>
              <w:rPr>
                <w:rFonts w:hint="eastAsia" w:ascii="Times New Roman" w:hAnsi="Times New Roman" w:cs="Times New Roman"/>
                <w:sz w:val="18"/>
                <w:szCs w:val="18"/>
                <w:vertAlign w:val="superscript"/>
                <w:lang w:val="en-US" w:eastAsia="zh-CN"/>
              </w:rPr>
              <w:t>①</w:t>
            </w:r>
          </w:p>
        </w:tc>
        <w:tc>
          <w:tcPr>
            <w:tcW w:w="2457" w:type="dxa"/>
            <w:vAlign w:val="center"/>
          </w:tcPr>
          <w:p w14:paraId="6006849B">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3.18</w:t>
            </w:r>
          </w:p>
        </w:tc>
      </w:tr>
      <w:tr w14:paraId="137E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vMerge w:val="continue"/>
            <w:vAlign w:val="center"/>
          </w:tcPr>
          <w:p w14:paraId="04D23565">
            <w:pPr>
              <w:spacing w:line="240" w:lineRule="auto"/>
              <w:jc w:val="center"/>
              <w:rPr>
                <w:rFonts w:hint="default" w:ascii="Times New Roman" w:hAnsi="Times New Roman" w:cs="Times New Roman"/>
                <w:sz w:val="18"/>
                <w:szCs w:val="18"/>
                <w:vertAlign w:val="baseline"/>
                <w:lang w:val="en-US" w:eastAsia="zh-CN"/>
              </w:rPr>
            </w:pPr>
          </w:p>
        </w:tc>
        <w:tc>
          <w:tcPr>
            <w:tcW w:w="1178" w:type="dxa"/>
            <w:vAlign w:val="center"/>
          </w:tcPr>
          <w:p w14:paraId="40BBCBE7">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液化石油气</w:t>
            </w:r>
          </w:p>
        </w:tc>
        <w:tc>
          <w:tcPr>
            <w:tcW w:w="1726" w:type="dxa"/>
            <w:vAlign w:val="center"/>
          </w:tcPr>
          <w:p w14:paraId="30424192">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50.179 GJ/t</w:t>
            </w:r>
            <w:r>
              <w:rPr>
                <w:rFonts w:hint="eastAsia" w:ascii="Times New Roman" w:hAnsi="Times New Roman" w:cs="Times New Roman"/>
                <w:sz w:val="18"/>
                <w:szCs w:val="18"/>
                <w:vertAlign w:val="superscript"/>
                <w:lang w:val="en-US" w:eastAsia="zh-CN"/>
              </w:rPr>
              <w:t>②</w:t>
            </w:r>
          </w:p>
        </w:tc>
        <w:tc>
          <w:tcPr>
            <w:tcW w:w="1560" w:type="dxa"/>
            <w:vAlign w:val="center"/>
          </w:tcPr>
          <w:p w14:paraId="02E8F7DD">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0.0172 tC/GJ</w:t>
            </w:r>
            <w:r>
              <w:rPr>
                <w:rFonts w:hint="eastAsia" w:ascii="Times New Roman" w:hAnsi="Times New Roman" w:cs="Times New Roman"/>
                <w:sz w:val="18"/>
                <w:szCs w:val="18"/>
                <w:vertAlign w:val="superscript"/>
                <w:lang w:val="en-US" w:eastAsia="zh-CN"/>
              </w:rPr>
              <w:t>①</w:t>
            </w:r>
          </w:p>
        </w:tc>
        <w:tc>
          <w:tcPr>
            <w:tcW w:w="620" w:type="dxa"/>
            <w:vAlign w:val="center"/>
          </w:tcPr>
          <w:p w14:paraId="0A662CC2">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98%</w:t>
            </w:r>
            <w:r>
              <w:rPr>
                <w:rFonts w:hint="eastAsia" w:ascii="Times New Roman" w:hAnsi="Times New Roman" w:cs="Times New Roman"/>
                <w:sz w:val="18"/>
                <w:szCs w:val="18"/>
                <w:vertAlign w:val="superscript"/>
                <w:lang w:val="en-US" w:eastAsia="zh-CN"/>
              </w:rPr>
              <w:t>①</w:t>
            </w:r>
          </w:p>
        </w:tc>
        <w:tc>
          <w:tcPr>
            <w:tcW w:w="2457" w:type="dxa"/>
            <w:vAlign w:val="center"/>
          </w:tcPr>
          <w:p w14:paraId="47A567DC">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3.10</w:t>
            </w:r>
          </w:p>
        </w:tc>
      </w:tr>
      <w:tr w14:paraId="744D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6" w:type="dxa"/>
            <w:vAlign w:val="center"/>
          </w:tcPr>
          <w:p w14:paraId="31C9D2A4">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气体燃料</w:t>
            </w:r>
          </w:p>
        </w:tc>
        <w:tc>
          <w:tcPr>
            <w:tcW w:w="1178" w:type="dxa"/>
            <w:vAlign w:val="center"/>
          </w:tcPr>
          <w:p w14:paraId="2B729849">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天然气</w:t>
            </w:r>
          </w:p>
        </w:tc>
        <w:tc>
          <w:tcPr>
            <w:tcW w:w="1726" w:type="dxa"/>
            <w:vAlign w:val="center"/>
          </w:tcPr>
          <w:p w14:paraId="399F4435">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389.31 GJ/10</w:t>
            </w:r>
            <w:r>
              <w:rPr>
                <w:rFonts w:hint="eastAsia" w:ascii="Times New Roman" w:hAnsi="Times New Roman" w:cs="Times New Roman"/>
                <w:sz w:val="18"/>
                <w:szCs w:val="18"/>
                <w:vertAlign w:val="superscript"/>
                <w:lang w:val="en-US" w:eastAsia="zh-CN"/>
              </w:rPr>
              <w:t>4</w:t>
            </w:r>
            <w:r>
              <w:rPr>
                <w:rFonts w:hint="eastAsia" w:ascii="Times New Roman" w:hAnsi="Times New Roman" w:cs="Times New Roman"/>
                <w:sz w:val="18"/>
                <w:szCs w:val="18"/>
                <w:vertAlign w:val="baseline"/>
                <w:lang w:val="en-US" w:eastAsia="zh-CN"/>
              </w:rPr>
              <w:t>Nm</w:t>
            </w:r>
            <w:r>
              <w:rPr>
                <w:rFonts w:hint="eastAsia" w:ascii="Times New Roman" w:hAnsi="Times New Roman" w:cs="Times New Roman"/>
                <w:sz w:val="18"/>
                <w:szCs w:val="18"/>
                <w:vertAlign w:val="superscript"/>
                <w:lang w:val="en-US" w:eastAsia="zh-CN"/>
              </w:rPr>
              <w:t>3②</w:t>
            </w:r>
          </w:p>
        </w:tc>
        <w:tc>
          <w:tcPr>
            <w:tcW w:w="1560" w:type="dxa"/>
            <w:vAlign w:val="center"/>
          </w:tcPr>
          <w:p w14:paraId="5D346009">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0.0153 tC/GJ</w:t>
            </w:r>
            <w:r>
              <w:rPr>
                <w:rFonts w:hint="eastAsia" w:ascii="Times New Roman" w:hAnsi="Times New Roman" w:cs="Times New Roman"/>
                <w:sz w:val="18"/>
                <w:szCs w:val="18"/>
                <w:vertAlign w:val="superscript"/>
                <w:lang w:val="en-US" w:eastAsia="zh-CN"/>
              </w:rPr>
              <w:t>①</w:t>
            </w:r>
          </w:p>
        </w:tc>
        <w:tc>
          <w:tcPr>
            <w:tcW w:w="620" w:type="dxa"/>
            <w:vAlign w:val="center"/>
          </w:tcPr>
          <w:p w14:paraId="69B2598F">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99%</w:t>
            </w:r>
            <w:r>
              <w:rPr>
                <w:rFonts w:hint="eastAsia" w:ascii="Times New Roman" w:hAnsi="Times New Roman" w:cs="Times New Roman"/>
                <w:sz w:val="18"/>
                <w:szCs w:val="18"/>
                <w:vertAlign w:val="superscript"/>
                <w:lang w:val="en-US" w:eastAsia="zh-CN"/>
              </w:rPr>
              <w:t>①</w:t>
            </w:r>
          </w:p>
        </w:tc>
        <w:tc>
          <w:tcPr>
            <w:tcW w:w="2457" w:type="dxa"/>
            <w:vAlign w:val="center"/>
          </w:tcPr>
          <w:p w14:paraId="59D13FA6">
            <w:pPr>
              <w:spacing w:line="240" w:lineRule="auto"/>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2.16</w:t>
            </w:r>
          </w:p>
        </w:tc>
      </w:tr>
      <w:tr w14:paraId="65DC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7" w:type="dxa"/>
            <w:gridSpan w:val="6"/>
            <w:vAlign w:val="center"/>
          </w:tcPr>
          <w:p w14:paraId="5BCE44AB">
            <w:pPr>
              <w:spacing w:line="240" w:lineRule="auto"/>
              <w:jc w:val="both"/>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注：数据来源①《省级温室气体清单编制指南（试行）》；②《中国能源统计年鉴2023》；③GB/T 2589-2020《综合能耗计算通则》。</w:t>
            </w:r>
          </w:p>
        </w:tc>
      </w:tr>
    </w:tbl>
    <w:p w14:paraId="797C0B6F">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360" w:lineRule="auto"/>
        <w:ind w:left="0" w:right="0"/>
        <w:jc w:val="center"/>
        <w:textAlignment w:val="baseline"/>
        <w:outlineLvl w:val="9"/>
        <w:rPr>
          <w:rStyle w:val="14"/>
          <w:rFonts w:hint="default" w:ascii="黑体" w:hAnsi="黑体" w:eastAsia="黑体" w:cs="黑体"/>
          <w:b w:val="0"/>
          <w:bCs w:val="0"/>
          <w:i w:val="0"/>
          <w:iCs w:val="0"/>
          <w:caps w:val="0"/>
          <w:color w:val="000000"/>
          <w:spacing w:val="-2"/>
          <w:sz w:val="24"/>
          <w:szCs w:val="24"/>
          <w:shd w:val="clear" w:fill="FFFFFF"/>
          <w:vertAlign w:val="baseline"/>
          <w:lang w:val="en-US" w:eastAsia="zh-CN"/>
        </w:rPr>
        <w:sectPr>
          <w:pgSz w:w="11906" w:h="16838"/>
          <w:pgMar w:top="1440" w:right="1800" w:bottom="1440" w:left="1800" w:header="851" w:footer="992" w:gutter="0"/>
          <w:pgNumType w:fmt="decimal"/>
          <w:cols w:space="425" w:num="1"/>
          <w:docGrid w:type="lines" w:linePitch="312" w:charSpace="0"/>
        </w:sectPr>
      </w:pPr>
    </w:p>
    <w:p w14:paraId="76A2D6C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0"/>
        <w:rPr>
          <w:rStyle w:val="14"/>
          <w:rFonts w:hint="default"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bookmarkStart w:id="52" w:name="_Toc1918"/>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附  录  E</w:t>
      </w:r>
      <w:bookmarkEnd w:id="52"/>
    </w:p>
    <w:p w14:paraId="606D117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9"/>
        <w:rPr>
          <w:rStyle w:val="14"/>
          <w:rFonts w:hint="default"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（规范性）</w:t>
      </w:r>
    </w:p>
    <w:p w14:paraId="216C652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9"/>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数据质量评价方法</w:t>
      </w:r>
    </w:p>
    <w:p w14:paraId="5126D97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9"/>
        <w:rPr>
          <w:rStyle w:val="14"/>
          <w:rFonts w:hint="eastAsia" w:ascii="黑体" w:hAnsi="黑体" w:eastAsia="黑体" w:cs="黑体"/>
          <w:b w:val="0"/>
          <w:bCs w:val="0"/>
          <w:i w:val="0"/>
          <w:iCs w:val="0"/>
          <w:caps w:val="0"/>
          <w:color w:val="000000"/>
          <w:spacing w:val="-2"/>
          <w:sz w:val="24"/>
          <w:szCs w:val="24"/>
          <w:shd w:val="clear" w:fill="FFFFFF"/>
          <w:vertAlign w:val="baseline"/>
          <w:lang w:val="en-US" w:eastAsia="zh-CN"/>
        </w:rPr>
      </w:pPr>
    </w:p>
    <w:p w14:paraId="04E0506A">
      <w:pPr>
        <w:keepNext w:val="0"/>
        <w:keepLines w:val="0"/>
        <w:pageBreakBefore w:val="0"/>
        <w:kinsoku/>
        <w:wordWrap/>
        <w:overflowPunct/>
        <w:topLinePunct w:val="0"/>
        <w:autoSpaceDE/>
        <w:autoSpaceDN/>
        <w:bidi w:val="0"/>
        <w:adjustRightInd/>
        <w:snapToGrid/>
        <w:spacing w:line="288" w:lineRule="auto"/>
        <w:ind w:firstLine="420" w:firstLineChars="20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数据质量等级（DQR）评价主要从数据的时间代表性、技术代表性、地理代表性和数据来源代表性四个维度进行评价，各个维度的数据质量等级见表B.1。初级数据应满足数据质量等级（DQR）≤2，其他次级数据应满足数据质量等级（DQR）≤3。</w:t>
      </w:r>
    </w:p>
    <w:p w14:paraId="2C79A982">
      <w:pPr>
        <w:keepNext w:val="0"/>
        <w:keepLines w:val="0"/>
        <w:pageBreakBefore w:val="0"/>
        <w:kinsoku/>
        <w:wordWrap/>
        <w:overflowPunct/>
        <w:topLinePunct w:val="0"/>
        <w:autoSpaceDE/>
        <w:autoSpaceDN/>
        <w:bidi w:val="0"/>
        <w:adjustRightInd/>
        <w:snapToGrid/>
        <w:spacing w:line="288" w:lineRule="auto"/>
        <w:jc w:val="left"/>
        <w:rPr>
          <w:rFonts w:hint="eastAsia"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数据质量等级（DQR）计算公式如下：</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93"/>
        <w:gridCol w:w="3843"/>
        <w:gridCol w:w="2386"/>
      </w:tblGrid>
      <w:tr w14:paraId="7674B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93" w:type="dxa"/>
            <w:vAlign w:val="center"/>
          </w:tcPr>
          <w:p w14:paraId="5268A024">
            <w:pPr>
              <w:pStyle w:val="15"/>
              <w:widowControl w:val="0"/>
              <w:ind w:firstLine="0" w:firstLineChars="0"/>
              <w:jc w:val="center"/>
              <w:rPr>
                <w:rFonts w:ascii="Times New Roman"/>
              </w:rPr>
            </w:pPr>
          </w:p>
        </w:tc>
        <w:tc>
          <w:tcPr>
            <w:tcW w:w="3843" w:type="dxa"/>
            <w:vAlign w:val="center"/>
          </w:tcPr>
          <w:p w14:paraId="12D45C99">
            <w:pPr>
              <w:pStyle w:val="15"/>
              <w:widowControl w:val="0"/>
              <w:ind w:firstLine="0" w:firstLineChars="0"/>
              <w:jc w:val="center"/>
              <w:rPr>
                <w:rFonts w:ascii="Times New Roman"/>
              </w:rPr>
            </w:pPr>
            <m:oMathPara>
              <m:oMath>
                <m:r>
                  <m:rPr>
                    <m:nor/>
                  </m:rPr>
                  <w:rPr>
                    <w:rFonts w:hint="default" w:ascii="Times New Roman" w:hAnsi="Times New Roman" w:cs="Times New Roman"/>
                    <w:i/>
                    <w:iCs/>
                    <w:color w:val="auto"/>
                    <w:sz w:val="21"/>
                    <w:lang w:val="en-US" w:eastAsia="zh-CN"/>
                  </w:rPr>
                  <m:t>DQR</m:t>
                </m:r>
                <m:r>
                  <m:rPr>
                    <m:nor/>
                    <m:sty m:val="p"/>
                  </m:rPr>
                  <w:rPr>
                    <w:rFonts w:hint="default" w:ascii="Times New Roman" w:hAnsi="Times New Roman" w:cs="Times New Roman"/>
                    <w:b w:val="0"/>
                    <w:i w:val="0"/>
                    <w:color w:val="auto"/>
                    <w:sz w:val="21"/>
                  </w:rPr>
                  <m:t>=</m:t>
                </m:r>
                <m:f>
                  <m:fPr>
                    <m:ctrlPr>
                      <w:rPr>
                        <w:rFonts w:hint="default" w:ascii="Cambria Math" w:hAnsi="Cambria Math" w:cs="Times New Roman"/>
                        <w:i/>
                        <w:color w:val="auto"/>
                        <w:sz w:val="21"/>
                      </w:rPr>
                    </m:ctrlPr>
                  </m:fPr>
                  <m:num>
                    <m:r>
                      <m:rPr>
                        <m:nor/>
                        <m:sty m:val="p"/>
                      </m:rPr>
                      <w:rPr>
                        <w:rFonts w:hint="default" w:ascii="Times New Roman" w:hAnsi="Times New Roman" w:cs="Times New Roman"/>
                        <w:b w:val="0"/>
                        <w:i w:val="0"/>
                        <w:color w:val="auto"/>
                        <w:sz w:val="21"/>
                      </w:rPr>
                      <m:t>（</m:t>
                    </m:r>
                    <m:r>
                      <m:rPr>
                        <m:nor/>
                      </m:rPr>
                      <w:rPr>
                        <w:rFonts w:hint="default" w:ascii="Times New Roman" w:hAnsi="Times New Roman" w:cs="Times New Roman"/>
                        <w:i/>
                        <w:color w:val="auto"/>
                        <w:sz w:val="21"/>
                      </w:rPr>
                      <m:t>T</m:t>
                    </m:r>
                    <m:r>
                      <m:rPr>
                        <m:nor/>
                      </m:rPr>
                      <w:rPr>
                        <w:rFonts w:hint="default" w:ascii="Times New Roman" w:hAnsi="Times New Roman" w:cs="Times New Roman"/>
                        <w:i/>
                        <w:color w:val="auto"/>
                        <w:sz w:val="21"/>
                        <w:lang w:val="en-US" w:eastAsia="zh-CN"/>
                      </w:rPr>
                      <m:t>i</m:t>
                    </m:r>
                    <m:r>
                      <m:rPr>
                        <m:nor/>
                      </m:rPr>
                      <w:rPr>
                        <w:rFonts w:hint="default" w:ascii="Times New Roman" w:hAnsi="Times New Roman" w:cs="Times New Roman"/>
                        <w:i/>
                        <w:color w:val="auto"/>
                        <w:sz w:val="21"/>
                      </w:rPr>
                      <m:t>R</m:t>
                    </m:r>
                    <m:r>
                      <m:rPr>
                        <m:nor/>
                        <m:sty m:val="p"/>
                      </m:rPr>
                      <w:rPr>
                        <w:rFonts w:hint="default" w:ascii="Times New Roman" w:hAnsi="Times New Roman" w:cs="Times New Roman"/>
                        <w:b w:val="0"/>
                        <w:i w:val="0"/>
                        <w:color w:val="auto"/>
                        <w:sz w:val="21"/>
                      </w:rPr>
                      <m:t>+</m:t>
                    </m:r>
                    <m:r>
                      <m:rPr>
                        <m:nor/>
                      </m:rPr>
                      <w:rPr>
                        <w:rFonts w:hint="default" w:ascii="Times New Roman" w:hAnsi="Times New Roman" w:cs="Times New Roman"/>
                        <w:i/>
                        <w:color w:val="auto"/>
                        <w:sz w:val="21"/>
                        <w:lang w:val="en-US" w:eastAsia="zh-CN"/>
                      </w:rPr>
                      <m:t>T</m:t>
                    </m:r>
                    <m:r>
                      <m:rPr>
                        <m:nor/>
                      </m:rPr>
                      <w:rPr>
                        <w:rFonts w:hint="default" w:ascii="Times New Roman" w:hAnsi="Times New Roman" w:cs="Times New Roman"/>
                        <w:i/>
                        <w:color w:val="auto"/>
                        <w:sz w:val="21"/>
                      </w:rPr>
                      <m:t>eR</m:t>
                    </m:r>
                    <m:r>
                      <m:rPr>
                        <m:nor/>
                        <m:sty m:val="p"/>
                      </m:rPr>
                      <w:rPr>
                        <w:rFonts w:hint="default" w:ascii="Times New Roman" w:hAnsi="Times New Roman" w:cs="Times New Roman"/>
                        <w:b w:val="0"/>
                        <w:i w:val="0"/>
                        <w:color w:val="auto"/>
                        <w:sz w:val="21"/>
                      </w:rPr>
                      <m:t>+</m:t>
                    </m:r>
                    <m:r>
                      <m:rPr>
                        <m:nor/>
                      </m:rPr>
                      <w:rPr>
                        <w:rFonts w:hint="default" w:ascii="Times New Roman" w:hAnsi="Times New Roman" w:cs="Times New Roman"/>
                        <w:i/>
                        <w:color w:val="auto"/>
                        <w:sz w:val="21"/>
                        <w:lang w:val="en-US" w:eastAsia="zh-CN"/>
                      </w:rPr>
                      <m:t>Ge</m:t>
                    </m:r>
                    <m:r>
                      <m:rPr>
                        <m:nor/>
                      </m:rPr>
                      <w:rPr>
                        <w:rFonts w:hint="default" w:ascii="Times New Roman" w:hAnsi="Times New Roman" w:cs="Times New Roman"/>
                        <w:i/>
                        <w:color w:val="auto"/>
                        <w:sz w:val="21"/>
                      </w:rPr>
                      <m:t>R</m:t>
                    </m:r>
                    <m:r>
                      <m:rPr>
                        <m:nor/>
                        <m:sty m:val="p"/>
                      </m:rPr>
                      <w:rPr>
                        <w:rFonts w:hint="default" w:ascii="Times New Roman" w:hAnsi="Times New Roman" w:cs="Times New Roman"/>
                        <w:b w:val="0"/>
                        <w:i w:val="0"/>
                        <w:color w:val="auto"/>
                        <w:sz w:val="21"/>
                        <w:lang w:val="en-US" w:eastAsia="zh-CN"/>
                      </w:rPr>
                      <m:t>+</m:t>
                    </m:r>
                    <m:r>
                      <m:rPr>
                        <m:nor/>
                      </m:rPr>
                      <w:rPr>
                        <w:rFonts w:hint="default" w:ascii="Times New Roman" w:hAnsi="Times New Roman" w:cs="Times New Roman"/>
                        <w:i/>
                        <w:color w:val="auto"/>
                        <w:sz w:val="21"/>
                        <w:lang w:val="en-US" w:eastAsia="zh-CN"/>
                      </w:rPr>
                      <m:t>SoR</m:t>
                    </m:r>
                    <m:r>
                      <m:rPr>
                        <m:nor/>
                        <m:sty m:val="p"/>
                      </m:rPr>
                      <w:rPr>
                        <w:rFonts w:hint="default" w:ascii="Times New Roman" w:hAnsi="Times New Roman" w:cs="Times New Roman"/>
                        <w:b w:val="0"/>
                        <w:i w:val="0"/>
                        <w:color w:val="auto"/>
                        <w:sz w:val="21"/>
                      </w:rPr>
                      <m:t>）</m:t>
                    </m:r>
                    <m:ctrlPr>
                      <w:rPr>
                        <w:rFonts w:hint="default" w:ascii="Cambria Math" w:hAnsi="Cambria Math" w:cs="Times New Roman"/>
                        <w:i/>
                        <w:color w:val="auto"/>
                        <w:sz w:val="21"/>
                      </w:rPr>
                    </m:ctrlPr>
                  </m:num>
                  <m:den>
                    <m:r>
                      <m:rPr>
                        <m:nor/>
                        <m:sty m:val="p"/>
                      </m:rPr>
                      <w:rPr>
                        <w:rFonts w:hint="default" w:ascii="Times New Roman" w:hAnsi="Times New Roman" w:cs="Times New Roman"/>
                        <w:b w:val="0"/>
                        <w:i w:val="0"/>
                        <w:color w:val="auto"/>
                        <w:sz w:val="21"/>
                        <w:lang w:val="en-US" w:eastAsia="zh-CN"/>
                      </w:rPr>
                      <m:t>4</m:t>
                    </m:r>
                    <m:ctrlPr>
                      <w:rPr>
                        <w:rFonts w:hint="default" w:ascii="Cambria Math" w:hAnsi="Cambria Math" w:cs="Times New Roman"/>
                        <w:i/>
                        <w:color w:val="auto"/>
                        <w:sz w:val="21"/>
                      </w:rPr>
                    </m:ctrlPr>
                  </m:den>
                </m:f>
              </m:oMath>
            </m:oMathPara>
          </w:p>
        </w:tc>
        <w:tc>
          <w:tcPr>
            <w:tcW w:w="2386" w:type="dxa"/>
            <w:vAlign w:val="center"/>
          </w:tcPr>
          <w:p w14:paraId="77F1130D">
            <w:pPr>
              <w:pStyle w:val="15"/>
              <w:widowControl w:val="0"/>
              <w:ind w:firstLine="0" w:firstLineChars="0"/>
              <w:jc w:val="right"/>
              <w:rPr>
                <w:rFonts w:ascii="Times New Roman"/>
              </w:rPr>
            </w:pPr>
            <w:r>
              <w:rPr>
                <w:rFonts w:ascii="Times New Roman"/>
              </w:rPr>
              <w:t>（B.1）</w:t>
            </w:r>
          </w:p>
        </w:tc>
      </w:tr>
    </w:tbl>
    <w:p w14:paraId="77EDF80D">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式中：</w:t>
      </w:r>
    </w:p>
    <w:p w14:paraId="6CFDC147">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Times New Roman" w:hAnsi="Times New Roman" w:cs="Times New Roman"/>
          <w:sz w:val="21"/>
          <w:szCs w:val="21"/>
          <w:vertAlign w:val="baseline"/>
          <w:lang w:val="en-US" w:eastAsia="zh-CN"/>
        </w:rPr>
      </w:pPr>
      <w:r>
        <w:rPr>
          <w:rFonts w:hint="eastAsia" w:ascii="Times New Roman" w:hAnsi="Times New Roman" w:cs="Times New Roman"/>
          <w:i/>
          <w:iCs/>
          <w:sz w:val="21"/>
          <w:szCs w:val="21"/>
          <w:vertAlign w:val="baseline"/>
          <w:lang w:val="en-US" w:eastAsia="zh-CN"/>
        </w:rPr>
        <w:t>TiR</w:t>
      </w:r>
      <w:r>
        <w:rPr>
          <w:rFonts w:hint="default" w:ascii="Times New Roman" w:hAnsi="Times New Roman" w:cs="Times New Roman"/>
          <w:sz w:val="21"/>
          <w:szCs w:val="21"/>
          <w:vertAlign w:val="baseline"/>
          <w:lang w:val="en-US" w:eastAsia="zh-CN"/>
        </w:rPr>
        <w:t>——</w:t>
      </w:r>
      <w:r>
        <w:rPr>
          <w:rFonts w:hint="eastAsia" w:ascii="Times New Roman" w:hAnsi="Times New Roman" w:cs="Times New Roman"/>
          <w:sz w:val="21"/>
          <w:szCs w:val="21"/>
          <w:vertAlign w:val="baseline"/>
          <w:lang w:val="en-US" w:eastAsia="zh-CN"/>
        </w:rPr>
        <w:t>数据在时间代表性维度的得分；</w:t>
      </w:r>
    </w:p>
    <w:p w14:paraId="613376FF">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Times New Roman" w:hAnsi="Times New Roman" w:cs="Times New Roman"/>
          <w:sz w:val="21"/>
          <w:szCs w:val="21"/>
          <w:vertAlign w:val="baseline"/>
          <w:lang w:val="en-US" w:eastAsia="zh-CN"/>
        </w:rPr>
      </w:pPr>
      <w:r>
        <w:rPr>
          <w:rFonts w:hint="eastAsia" w:ascii="Times New Roman" w:hAnsi="Times New Roman" w:cs="Times New Roman"/>
          <w:i/>
          <w:iCs/>
          <w:sz w:val="21"/>
          <w:szCs w:val="21"/>
          <w:vertAlign w:val="baseline"/>
          <w:lang w:val="en-US" w:eastAsia="zh-CN"/>
        </w:rPr>
        <w:t>TeR</w:t>
      </w:r>
      <w:r>
        <w:rPr>
          <w:rFonts w:hint="default" w:ascii="Times New Roman" w:hAnsi="Times New Roman" w:cs="Times New Roman"/>
          <w:sz w:val="21"/>
          <w:szCs w:val="21"/>
          <w:vertAlign w:val="baseline"/>
          <w:lang w:val="en-US" w:eastAsia="zh-CN"/>
        </w:rPr>
        <w:t>——</w:t>
      </w:r>
      <w:r>
        <w:rPr>
          <w:rFonts w:hint="eastAsia" w:ascii="Times New Roman" w:hAnsi="Times New Roman" w:cs="Times New Roman"/>
          <w:sz w:val="21"/>
          <w:szCs w:val="21"/>
          <w:vertAlign w:val="baseline"/>
          <w:lang w:val="en-US" w:eastAsia="zh-CN"/>
        </w:rPr>
        <w:t>数据在技术代表性维度的得分；</w:t>
      </w:r>
    </w:p>
    <w:p w14:paraId="33F8290E">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Times New Roman" w:hAnsi="Times New Roman" w:cs="Times New Roman"/>
          <w:sz w:val="21"/>
          <w:szCs w:val="21"/>
          <w:vertAlign w:val="baseline"/>
          <w:lang w:val="en-US" w:eastAsia="zh-CN"/>
        </w:rPr>
      </w:pPr>
      <w:r>
        <w:rPr>
          <w:rFonts w:hint="eastAsia" w:ascii="Times New Roman" w:hAnsi="Times New Roman" w:cs="Times New Roman"/>
          <w:i/>
          <w:iCs/>
          <w:sz w:val="21"/>
          <w:szCs w:val="21"/>
          <w:vertAlign w:val="baseline"/>
          <w:lang w:val="en-US" w:eastAsia="zh-CN"/>
        </w:rPr>
        <w:t>GeR</w:t>
      </w:r>
      <w:r>
        <w:rPr>
          <w:rFonts w:hint="default" w:ascii="Times New Roman" w:hAnsi="Times New Roman" w:cs="Times New Roman"/>
          <w:sz w:val="21"/>
          <w:szCs w:val="21"/>
          <w:vertAlign w:val="baseline"/>
          <w:lang w:val="en-US" w:eastAsia="zh-CN"/>
        </w:rPr>
        <w:t>——</w:t>
      </w:r>
      <w:r>
        <w:rPr>
          <w:rFonts w:hint="eastAsia" w:ascii="Times New Roman" w:hAnsi="Times New Roman" w:cs="Times New Roman"/>
          <w:sz w:val="21"/>
          <w:szCs w:val="21"/>
          <w:vertAlign w:val="baseline"/>
          <w:lang w:val="en-US" w:eastAsia="zh-CN"/>
        </w:rPr>
        <w:t>数据在地理代表性维度的得分；</w:t>
      </w:r>
    </w:p>
    <w:p w14:paraId="2859FF73">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default" w:ascii="Times New Roman" w:hAnsi="Times New Roman" w:cs="Times New Roman"/>
          <w:sz w:val="21"/>
          <w:szCs w:val="21"/>
          <w:vertAlign w:val="baseline"/>
          <w:lang w:val="en-US" w:eastAsia="zh-CN"/>
        </w:rPr>
      </w:pPr>
      <w:r>
        <w:rPr>
          <w:rFonts w:hint="eastAsia" w:ascii="Times New Roman" w:hAnsi="Times New Roman" w:cs="Times New Roman"/>
          <w:i/>
          <w:iCs/>
          <w:sz w:val="21"/>
          <w:szCs w:val="21"/>
          <w:vertAlign w:val="baseline"/>
          <w:lang w:val="en-US" w:eastAsia="zh-CN"/>
        </w:rPr>
        <w:t>SoR</w:t>
      </w:r>
      <w:r>
        <w:rPr>
          <w:rFonts w:hint="default" w:ascii="Times New Roman" w:hAnsi="Times New Roman" w:cs="Times New Roman"/>
          <w:sz w:val="21"/>
          <w:szCs w:val="21"/>
          <w:vertAlign w:val="baseline"/>
          <w:lang w:val="en-US" w:eastAsia="zh-CN"/>
        </w:rPr>
        <w:t>——</w:t>
      </w:r>
      <w:r>
        <w:rPr>
          <w:rFonts w:hint="eastAsia" w:ascii="Times New Roman" w:hAnsi="Times New Roman" w:cs="Times New Roman"/>
          <w:sz w:val="21"/>
          <w:szCs w:val="21"/>
          <w:vertAlign w:val="baseline"/>
          <w:lang w:val="en-US" w:eastAsia="zh-CN"/>
        </w:rPr>
        <w:t>数据在数据来源代表性维度的得分。</w:t>
      </w:r>
    </w:p>
    <w:p w14:paraId="2067A9A3">
      <w:pPr>
        <w:pStyle w:val="15"/>
        <w:ind w:firstLine="420"/>
        <w:rPr>
          <w:rFonts w:ascii="Times New Roman"/>
        </w:rPr>
      </w:pPr>
    </w:p>
    <w:p w14:paraId="443DC7EE">
      <w:pPr>
        <w:pStyle w:val="15"/>
        <w:ind w:firstLine="0" w:firstLineChars="0"/>
        <w:jc w:val="center"/>
        <w:rPr>
          <w:rFonts w:ascii="Times New Roman"/>
        </w:rPr>
      </w:pPr>
    </w:p>
    <w:p w14:paraId="112BC689">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黑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表E.1 数据质量矩阵（DQR）</w:t>
      </w:r>
    </w:p>
    <w:tbl>
      <w:tblPr>
        <w:tblStyle w:val="11"/>
        <w:tblW w:w="4998" w:type="pct"/>
        <w:tblInd w:w="0" w:type="dxa"/>
        <w:tblLayout w:type="autofit"/>
        <w:tblCellMar>
          <w:top w:w="0" w:type="dxa"/>
          <w:left w:w="108" w:type="dxa"/>
          <w:bottom w:w="0" w:type="dxa"/>
          <w:right w:w="108" w:type="dxa"/>
        </w:tblCellMar>
      </w:tblPr>
      <w:tblGrid>
        <w:gridCol w:w="825"/>
        <w:gridCol w:w="2071"/>
        <w:gridCol w:w="1759"/>
        <w:gridCol w:w="2015"/>
        <w:gridCol w:w="1849"/>
      </w:tblGrid>
      <w:tr w14:paraId="7A37FB16">
        <w:tblPrEx>
          <w:tblCellMar>
            <w:top w:w="0" w:type="dxa"/>
            <w:left w:w="108" w:type="dxa"/>
            <w:bottom w:w="0" w:type="dxa"/>
            <w:right w:w="108" w:type="dxa"/>
          </w:tblCellMar>
        </w:tblPrEx>
        <w:trPr>
          <w:trHeight w:val="397" w:hRule="atLeast"/>
        </w:trPr>
        <w:tc>
          <w:tcPr>
            <w:tcW w:w="484" w:type="pct"/>
            <w:tcBorders>
              <w:top w:val="single" w:color="000000" w:sz="4" w:space="0"/>
              <w:left w:val="single" w:color="000000" w:sz="4" w:space="0"/>
              <w:bottom w:val="single" w:color="000000" w:sz="4" w:space="0"/>
              <w:right w:val="single" w:color="000000" w:sz="4" w:space="0"/>
            </w:tcBorders>
            <w:vAlign w:val="center"/>
          </w:tcPr>
          <w:p w14:paraId="576C3DC6">
            <w:pPr>
              <w:pStyle w:val="15"/>
              <w:ind w:firstLine="0" w:firstLineChars="0"/>
              <w:jc w:val="center"/>
              <w:rPr>
                <w:rFonts w:ascii="Times New Roman"/>
                <w:b w:val="0"/>
                <w:bCs w:val="0"/>
                <w:sz w:val="18"/>
                <w:szCs w:val="18"/>
              </w:rPr>
            </w:pPr>
            <w:r>
              <w:rPr>
                <w:rFonts w:ascii="Times New Roman"/>
                <w:b w:val="0"/>
                <w:bCs w:val="0"/>
                <w:sz w:val="18"/>
                <w:szCs w:val="18"/>
              </w:rPr>
              <w:t>评分</w:t>
            </w:r>
          </w:p>
        </w:tc>
        <w:tc>
          <w:tcPr>
            <w:tcW w:w="1215" w:type="pct"/>
            <w:tcBorders>
              <w:top w:val="single" w:color="000000" w:sz="4" w:space="0"/>
              <w:left w:val="single" w:color="000000" w:sz="4" w:space="0"/>
              <w:bottom w:val="single" w:color="000000" w:sz="4" w:space="0"/>
              <w:right w:val="single" w:color="000000" w:sz="4" w:space="0"/>
            </w:tcBorders>
            <w:vAlign w:val="center"/>
          </w:tcPr>
          <w:p w14:paraId="5C92C861">
            <w:pPr>
              <w:pStyle w:val="15"/>
              <w:ind w:firstLine="0" w:firstLineChars="0"/>
              <w:jc w:val="center"/>
              <w:rPr>
                <w:rFonts w:ascii="Times New Roman"/>
                <w:b w:val="0"/>
                <w:bCs w:val="0"/>
                <w:i/>
                <w:iCs/>
                <w:sz w:val="18"/>
                <w:szCs w:val="18"/>
              </w:rPr>
            </w:pPr>
            <w:r>
              <w:rPr>
                <w:rFonts w:ascii="Times New Roman"/>
                <w:b w:val="0"/>
                <w:bCs w:val="0"/>
                <w:i/>
                <w:iCs/>
                <w:sz w:val="18"/>
                <w:szCs w:val="18"/>
              </w:rPr>
              <w:t>TiR</w:t>
            </w:r>
          </w:p>
        </w:tc>
        <w:tc>
          <w:tcPr>
            <w:tcW w:w="1032" w:type="pct"/>
            <w:tcBorders>
              <w:top w:val="single" w:color="000000" w:sz="4" w:space="0"/>
              <w:left w:val="single" w:color="000000" w:sz="4" w:space="0"/>
              <w:bottom w:val="single" w:color="000000" w:sz="4" w:space="0"/>
              <w:right w:val="single" w:color="000000" w:sz="4" w:space="0"/>
            </w:tcBorders>
            <w:vAlign w:val="center"/>
          </w:tcPr>
          <w:p w14:paraId="061E1978">
            <w:pPr>
              <w:pStyle w:val="15"/>
              <w:ind w:firstLine="0" w:firstLineChars="0"/>
              <w:jc w:val="center"/>
              <w:rPr>
                <w:rFonts w:ascii="Times New Roman"/>
                <w:b w:val="0"/>
                <w:bCs w:val="0"/>
                <w:i/>
                <w:iCs/>
                <w:sz w:val="18"/>
                <w:szCs w:val="18"/>
              </w:rPr>
            </w:pPr>
            <w:r>
              <w:rPr>
                <w:rFonts w:ascii="Times New Roman"/>
                <w:b w:val="0"/>
                <w:bCs w:val="0"/>
                <w:i/>
                <w:iCs/>
                <w:sz w:val="18"/>
                <w:szCs w:val="18"/>
              </w:rPr>
              <w:t>TeR</w:t>
            </w:r>
          </w:p>
        </w:tc>
        <w:tc>
          <w:tcPr>
            <w:tcW w:w="1182" w:type="pct"/>
            <w:tcBorders>
              <w:top w:val="single" w:color="000000" w:sz="4" w:space="0"/>
              <w:left w:val="single" w:color="000000" w:sz="4" w:space="0"/>
              <w:bottom w:val="single" w:color="000000" w:sz="4" w:space="0"/>
              <w:right w:val="single" w:color="000000" w:sz="4" w:space="0"/>
            </w:tcBorders>
            <w:vAlign w:val="center"/>
          </w:tcPr>
          <w:p w14:paraId="4BC3B71B">
            <w:pPr>
              <w:pStyle w:val="15"/>
              <w:ind w:firstLine="0" w:firstLineChars="0"/>
              <w:jc w:val="center"/>
              <w:rPr>
                <w:rFonts w:ascii="Times New Roman"/>
                <w:b w:val="0"/>
                <w:bCs w:val="0"/>
                <w:i/>
                <w:iCs/>
                <w:sz w:val="18"/>
                <w:szCs w:val="18"/>
              </w:rPr>
            </w:pPr>
            <w:r>
              <w:rPr>
                <w:rFonts w:ascii="Times New Roman"/>
                <w:b w:val="0"/>
                <w:bCs w:val="0"/>
                <w:i/>
                <w:iCs/>
                <w:sz w:val="18"/>
                <w:szCs w:val="18"/>
              </w:rPr>
              <w:t>GeR</w:t>
            </w:r>
          </w:p>
        </w:tc>
        <w:tc>
          <w:tcPr>
            <w:tcW w:w="1085" w:type="pct"/>
            <w:tcBorders>
              <w:top w:val="single" w:color="000000" w:sz="4" w:space="0"/>
              <w:left w:val="single" w:color="000000" w:sz="4" w:space="0"/>
              <w:bottom w:val="single" w:color="000000" w:sz="4" w:space="0"/>
              <w:right w:val="single" w:color="000000" w:sz="4" w:space="0"/>
            </w:tcBorders>
            <w:vAlign w:val="center"/>
          </w:tcPr>
          <w:p w14:paraId="161EDE39">
            <w:pPr>
              <w:pStyle w:val="15"/>
              <w:ind w:firstLine="0" w:firstLineChars="0"/>
              <w:jc w:val="center"/>
              <w:rPr>
                <w:rFonts w:hint="default" w:ascii="Times New Roman" w:eastAsia="宋体"/>
                <w:b w:val="0"/>
                <w:bCs w:val="0"/>
                <w:i/>
                <w:iCs/>
                <w:sz w:val="18"/>
                <w:szCs w:val="18"/>
                <w:lang w:val="en-US" w:eastAsia="zh-CN"/>
              </w:rPr>
            </w:pPr>
            <w:r>
              <w:rPr>
                <w:rFonts w:hint="eastAsia" w:ascii="Times New Roman"/>
                <w:b w:val="0"/>
                <w:bCs w:val="0"/>
                <w:i/>
                <w:iCs/>
                <w:sz w:val="18"/>
                <w:szCs w:val="18"/>
                <w:lang w:val="en-US" w:eastAsia="zh-CN"/>
              </w:rPr>
              <w:t>SoR</w:t>
            </w:r>
          </w:p>
        </w:tc>
      </w:tr>
      <w:tr w14:paraId="11B7F783">
        <w:tblPrEx>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vAlign w:val="center"/>
          </w:tcPr>
          <w:p w14:paraId="782339EB">
            <w:pPr>
              <w:pStyle w:val="15"/>
              <w:ind w:firstLine="0" w:firstLineChars="0"/>
              <w:jc w:val="center"/>
              <w:rPr>
                <w:rFonts w:ascii="Times New Roman"/>
                <w:b w:val="0"/>
                <w:bCs w:val="0"/>
                <w:sz w:val="18"/>
                <w:szCs w:val="18"/>
              </w:rPr>
            </w:pPr>
            <w:r>
              <w:rPr>
                <w:rFonts w:ascii="Times New Roman"/>
                <w:b w:val="0"/>
                <w:bCs w:val="0"/>
                <w:sz w:val="18"/>
                <w:szCs w:val="18"/>
              </w:rPr>
              <w:t>1</w:t>
            </w:r>
          </w:p>
        </w:tc>
        <w:tc>
          <w:tcPr>
            <w:tcW w:w="1215" w:type="pct"/>
            <w:tcBorders>
              <w:top w:val="single" w:color="000000" w:sz="4" w:space="0"/>
              <w:left w:val="single" w:color="000000" w:sz="4" w:space="0"/>
              <w:bottom w:val="single" w:color="000000" w:sz="4" w:space="0"/>
              <w:right w:val="single" w:color="000000" w:sz="4" w:space="0"/>
            </w:tcBorders>
            <w:vAlign w:val="center"/>
          </w:tcPr>
          <w:p w14:paraId="7F9914A1">
            <w:pPr>
              <w:pStyle w:val="15"/>
              <w:ind w:firstLine="0" w:firstLineChars="0"/>
              <w:rPr>
                <w:rFonts w:ascii="Times New Roman"/>
                <w:b w:val="0"/>
                <w:bCs w:val="0"/>
                <w:sz w:val="18"/>
                <w:szCs w:val="18"/>
              </w:rPr>
            </w:pPr>
            <w:r>
              <w:rPr>
                <w:rFonts w:ascii="Times New Roman"/>
                <w:b w:val="0"/>
                <w:bCs w:val="0"/>
                <w:sz w:val="18"/>
                <w:szCs w:val="18"/>
              </w:rPr>
              <w:t>碳足迹的基准年在</w:t>
            </w:r>
            <w:r>
              <w:rPr>
                <w:rFonts w:hint="eastAsia" w:ascii="Times New Roman"/>
                <w:b w:val="0"/>
                <w:bCs w:val="0"/>
                <w:sz w:val="18"/>
                <w:szCs w:val="18"/>
                <w:lang w:val="en-US" w:eastAsia="zh-CN"/>
              </w:rPr>
              <w:t>次级</w:t>
            </w:r>
            <w:r>
              <w:rPr>
                <w:rFonts w:ascii="Times New Roman"/>
                <w:b w:val="0"/>
                <w:bCs w:val="0"/>
                <w:sz w:val="18"/>
                <w:szCs w:val="18"/>
              </w:rPr>
              <w:t>数据</w:t>
            </w:r>
            <w:r>
              <w:rPr>
                <w:rFonts w:hint="eastAsia" w:ascii="Times New Roman"/>
                <w:b w:val="0"/>
                <w:bCs w:val="0"/>
                <w:sz w:val="18"/>
                <w:szCs w:val="18"/>
                <w:lang w:val="en-US" w:eastAsia="zh-CN"/>
              </w:rPr>
              <w:t>库</w:t>
            </w:r>
            <w:r>
              <w:rPr>
                <w:rFonts w:ascii="Times New Roman"/>
                <w:b w:val="0"/>
                <w:bCs w:val="0"/>
                <w:sz w:val="18"/>
                <w:szCs w:val="18"/>
              </w:rPr>
              <w:t>有效期内</w:t>
            </w:r>
          </w:p>
        </w:tc>
        <w:tc>
          <w:tcPr>
            <w:tcW w:w="1032" w:type="pct"/>
            <w:tcBorders>
              <w:top w:val="single" w:color="000000" w:sz="4" w:space="0"/>
              <w:left w:val="single" w:color="000000" w:sz="4" w:space="0"/>
              <w:bottom w:val="single" w:color="000000" w:sz="4" w:space="0"/>
              <w:right w:val="single" w:color="000000" w:sz="4" w:space="0"/>
            </w:tcBorders>
            <w:vAlign w:val="center"/>
          </w:tcPr>
          <w:p w14:paraId="2EB95ACD">
            <w:pPr>
              <w:pStyle w:val="15"/>
              <w:ind w:firstLine="0" w:firstLineChars="0"/>
              <w:rPr>
                <w:rFonts w:hint="default" w:ascii="Times New Roman" w:eastAsia="宋体"/>
                <w:b w:val="0"/>
                <w:bCs w:val="0"/>
                <w:sz w:val="18"/>
                <w:szCs w:val="18"/>
                <w:lang w:val="en-US" w:eastAsia="zh-CN"/>
              </w:rPr>
            </w:pPr>
            <w:r>
              <w:rPr>
                <w:rFonts w:hint="eastAsia" w:ascii="Times New Roman"/>
                <w:b w:val="0"/>
                <w:bCs w:val="0"/>
                <w:sz w:val="18"/>
                <w:szCs w:val="18"/>
                <w:lang w:val="en-US" w:eastAsia="zh-CN"/>
              </w:rPr>
              <w:t>建模技术和碳足迹的核算边界一致</w:t>
            </w:r>
          </w:p>
        </w:tc>
        <w:tc>
          <w:tcPr>
            <w:tcW w:w="1182" w:type="pct"/>
            <w:tcBorders>
              <w:top w:val="single" w:color="000000" w:sz="4" w:space="0"/>
              <w:left w:val="single" w:color="000000" w:sz="4" w:space="0"/>
              <w:bottom w:val="single" w:color="000000" w:sz="4" w:space="0"/>
              <w:right w:val="single" w:color="000000" w:sz="4" w:space="0"/>
            </w:tcBorders>
            <w:vAlign w:val="center"/>
          </w:tcPr>
          <w:p w14:paraId="17DD3D1F">
            <w:pPr>
              <w:pStyle w:val="15"/>
              <w:ind w:firstLine="0" w:firstLineChars="0"/>
              <w:rPr>
                <w:rFonts w:hint="default" w:ascii="Times New Roman" w:eastAsia="宋体"/>
                <w:b w:val="0"/>
                <w:bCs w:val="0"/>
                <w:sz w:val="18"/>
                <w:szCs w:val="18"/>
                <w:lang w:val="en-US" w:eastAsia="zh-CN"/>
              </w:rPr>
            </w:pPr>
            <w:r>
              <w:rPr>
                <w:rFonts w:hint="eastAsia" w:ascii="Times New Roman"/>
                <w:b w:val="0"/>
                <w:bCs w:val="0"/>
                <w:sz w:val="18"/>
                <w:szCs w:val="18"/>
                <w:lang w:val="en-US" w:eastAsia="zh-CN"/>
              </w:rPr>
              <w:t>建模</w:t>
            </w:r>
            <w:r>
              <w:rPr>
                <w:rFonts w:ascii="Times New Roman"/>
                <w:b w:val="0"/>
                <w:bCs w:val="0"/>
                <w:sz w:val="18"/>
                <w:szCs w:val="18"/>
              </w:rPr>
              <w:t>过程发生</w:t>
            </w:r>
            <w:r>
              <w:rPr>
                <w:rFonts w:hint="eastAsia" w:ascii="Times New Roman"/>
                <w:b w:val="0"/>
                <w:bCs w:val="0"/>
                <w:sz w:val="18"/>
                <w:szCs w:val="18"/>
                <w:lang w:val="en-US" w:eastAsia="zh-CN"/>
              </w:rPr>
              <w:t>在碳足迹有效的国家</w:t>
            </w:r>
          </w:p>
        </w:tc>
        <w:tc>
          <w:tcPr>
            <w:tcW w:w="1085" w:type="pct"/>
            <w:tcBorders>
              <w:top w:val="single" w:color="000000" w:sz="4" w:space="0"/>
              <w:left w:val="single" w:color="000000" w:sz="4" w:space="0"/>
              <w:bottom w:val="single" w:color="000000" w:sz="4" w:space="0"/>
              <w:right w:val="single" w:color="000000" w:sz="4" w:space="0"/>
            </w:tcBorders>
            <w:vAlign w:val="center"/>
          </w:tcPr>
          <w:p w14:paraId="0E720719">
            <w:pPr>
              <w:pStyle w:val="15"/>
              <w:ind w:firstLine="0" w:firstLineChars="0"/>
              <w:rPr>
                <w:rFonts w:hint="default" w:ascii="Times New Roman" w:eastAsia="宋体"/>
                <w:b w:val="0"/>
                <w:bCs w:val="0"/>
                <w:sz w:val="18"/>
                <w:szCs w:val="18"/>
                <w:lang w:val="en-US" w:eastAsia="zh-CN"/>
              </w:rPr>
            </w:pPr>
            <w:r>
              <w:rPr>
                <w:rFonts w:hint="eastAsia" w:ascii="Times New Roman"/>
                <w:b w:val="0"/>
                <w:bCs w:val="0"/>
                <w:sz w:val="18"/>
                <w:szCs w:val="18"/>
                <w:lang w:val="en-US" w:eastAsia="zh-CN"/>
              </w:rPr>
              <w:t>现场调查或测量得到的原始数据</w:t>
            </w:r>
          </w:p>
        </w:tc>
      </w:tr>
      <w:tr w14:paraId="73ED943B">
        <w:tblPrEx>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vAlign w:val="center"/>
          </w:tcPr>
          <w:p w14:paraId="1B468A2F">
            <w:pPr>
              <w:pStyle w:val="15"/>
              <w:ind w:firstLine="0" w:firstLineChars="0"/>
              <w:jc w:val="center"/>
              <w:rPr>
                <w:rFonts w:ascii="Times New Roman"/>
                <w:b w:val="0"/>
                <w:bCs w:val="0"/>
                <w:sz w:val="18"/>
                <w:szCs w:val="18"/>
              </w:rPr>
            </w:pPr>
            <w:r>
              <w:rPr>
                <w:rFonts w:ascii="Times New Roman"/>
                <w:b w:val="0"/>
                <w:bCs w:val="0"/>
                <w:sz w:val="18"/>
                <w:szCs w:val="18"/>
              </w:rPr>
              <w:t>2</w:t>
            </w:r>
          </w:p>
        </w:tc>
        <w:tc>
          <w:tcPr>
            <w:tcW w:w="1215" w:type="pct"/>
            <w:tcBorders>
              <w:top w:val="single" w:color="000000" w:sz="4" w:space="0"/>
              <w:left w:val="single" w:color="000000" w:sz="4" w:space="0"/>
              <w:bottom w:val="single" w:color="000000" w:sz="4" w:space="0"/>
              <w:right w:val="single" w:color="000000" w:sz="4" w:space="0"/>
            </w:tcBorders>
            <w:vAlign w:val="center"/>
          </w:tcPr>
          <w:p w14:paraId="58248096">
            <w:pPr>
              <w:pStyle w:val="15"/>
              <w:ind w:firstLine="0" w:firstLineChars="0"/>
              <w:rPr>
                <w:rFonts w:ascii="Times New Roman"/>
                <w:b w:val="0"/>
                <w:bCs w:val="0"/>
                <w:sz w:val="18"/>
                <w:szCs w:val="18"/>
              </w:rPr>
            </w:pPr>
            <w:r>
              <w:rPr>
                <w:rFonts w:ascii="Times New Roman"/>
                <w:b w:val="0"/>
                <w:bCs w:val="0"/>
                <w:sz w:val="18"/>
                <w:szCs w:val="18"/>
              </w:rPr>
              <w:t>碳足迹的基准年超</w:t>
            </w:r>
            <w:r>
              <w:rPr>
                <w:rFonts w:hint="eastAsia" w:ascii="Times New Roman"/>
                <w:b w:val="0"/>
                <w:bCs w:val="0"/>
                <w:sz w:val="18"/>
                <w:szCs w:val="18"/>
                <w:lang w:val="en-US" w:eastAsia="zh-CN"/>
              </w:rPr>
              <w:t>出次级</w:t>
            </w:r>
            <w:r>
              <w:rPr>
                <w:rFonts w:ascii="Times New Roman"/>
                <w:b w:val="0"/>
                <w:bCs w:val="0"/>
                <w:sz w:val="18"/>
                <w:szCs w:val="18"/>
              </w:rPr>
              <w:t>数据</w:t>
            </w:r>
            <w:r>
              <w:rPr>
                <w:rFonts w:hint="eastAsia" w:ascii="Times New Roman"/>
                <w:b w:val="0"/>
                <w:bCs w:val="0"/>
                <w:sz w:val="18"/>
                <w:szCs w:val="18"/>
                <w:lang w:val="en-US" w:eastAsia="zh-CN"/>
              </w:rPr>
              <w:t>库</w:t>
            </w:r>
            <w:r>
              <w:rPr>
                <w:rFonts w:ascii="Times New Roman"/>
                <w:b w:val="0"/>
                <w:bCs w:val="0"/>
                <w:sz w:val="18"/>
                <w:szCs w:val="18"/>
              </w:rPr>
              <w:t>有效期≤2年</w:t>
            </w:r>
          </w:p>
        </w:tc>
        <w:tc>
          <w:tcPr>
            <w:tcW w:w="1032" w:type="pct"/>
            <w:tcBorders>
              <w:top w:val="single" w:color="000000" w:sz="4" w:space="0"/>
              <w:left w:val="single" w:color="000000" w:sz="4" w:space="0"/>
              <w:bottom w:val="single" w:color="000000" w:sz="4" w:space="0"/>
              <w:right w:val="single" w:color="000000" w:sz="4" w:space="0"/>
            </w:tcBorders>
            <w:vAlign w:val="center"/>
          </w:tcPr>
          <w:p w14:paraId="0B65DC21">
            <w:pPr>
              <w:pStyle w:val="15"/>
              <w:ind w:firstLine="0" w:firstLineChars="0"/>
              <w:rPr>
                <w:rFonts w:hint="default" w:ascii="Times New Roman" w:eastAsia="宋体"/>
                <w:b w:val="0"/>
                <w:bCs w:val="0"/>
                <w:sz w:val="18"/>
                <w:szCs w:val="18"/>
                <w:lang w:val="en-US" w:eastAsia="zh-CN"/>
              </w:rPr>
            </w:pPr>
            <w:r>
              <w:rPr>
                <w:rFonts w:hint="eastAsia" w:ascii="Times New Roman"/>
                <w:b w:val="0"/>
                <w:bCs w:val="0"/>
                <w:sz w:val="18"/>
                <w:szCs w:val="18"/>
                <w:lang w:val="en-US" w:eastAsia="zh-CN"/>
              </w:rPr>
              <w:t>建模技术包含在碳足迹的核算边界内</w:t>
            </w:r>
          </w:p>
        </w:tc>
        <w:tc>
          <w:tcPr>
            <w:tcW w:w="1182" w:type="pct"/>
            <w:tcBorders>
              <w:top w:val="single" w:color="000000" w:sz="4" w:space="0"/>
              <w:left w:val="single" w:color="000000" w:sz="4" w:space="0"/>
              <w:bottom w:val="single" w:color="000000" w:sz="4" w:space="0"/>
              <w:right w:val="single" w:color="000000" w:sz="4" w:space="0"/>
            </w:tcBorders>
            <w:vAlign w:val="center"/>
          </w:tcPr>
          <w:p w14:paraId="5DBA8519">
            <w:pPr>
              <w:pStyle w:val="15"/>
              <w:ind w:firstLine="0" w:firstLineChars="0"/>
              <w:rPr>
                <w:rFonts w:hint="default" w:ascii="Times New Roman"/>
                <w:b w:val="0"/>
                <w:bCs w:val="0"/>
                <w:sz w:val="18"/>
                <w:szCs w:val="18"/>
                <w:lang w:val="en-US"/>
              </w:rPr>
            </w:pPr>
            <w:r>
              <w:rPr>
                <w:rFonts w:hint="eastAsia" w:ascii="Times New Roman"/>
                <w:b w:val="0"/>
                <w:bCs w:val="0"/>
                <w:sz w:val="18"/>
                <w:szCs w:val="18"/>
                <w:lang w:val="en-US" w:eastAsia="zh-CN"/>
              </w:rPr>
              <w:t>建模</w:t>
            </w:r>
            <w:r>
              <w:rPr>
                <w:rFonts w:ascii="Times New Roman"/>
                <w:b w:val="0"/>
                <w:bCs w:val="0"/>
                <w:sz w:val="18"/>
                <w:szCs w:val="18"/>
              </w:rPr>
              <w:t>过程发生</w:t>
            </w:r>
            <w:r>
              <w:rPr>
                <w:rFonts w:hint="eastAsia" w:ascii="Times New Roman"/>
                <w:b w:val="0"/>
                <w:bCs w:val="0"/>
                <w:sz w:val="18"/>
                <w:szCs w:val="18"/>
                <w:lang w:val="en-US" w:eastAsia="zh-CN"/>
              </w:rPr>
              <w:t>在碳足迹有效的地理区域（如欧洲、亚洲、北美洲、非洲）等</w:t>
            </w:r>
          </w:p>
        </w:tc>
        <w:tc>
          <w:tcPr>
            <w:tcW w:w="1085" w:type="pct"/>
            <w:tcBorders>
              <w:top w:val="single" w:color="000000" w:sz="4" w:space="0"/>
              <w:left w:val="single" w:color="000000" w:sz="4" w:space="0"/>
              <w:bottom w:val="single" w:color="000000" w:sz="4" w:space="0"/>
              <w:right w:val="single" w:color="000000" w:sz="4" w:space="0"/>
            </w:tcBorders>
            <w:vAlign w:val="center"/>
          </w:tcPr>
          <w:p w14:paraId="6E4C4C06">
            <w:pPr>
              <w:pStyle w:val="15"/>
              <w:ind w:firstLine="0" w:firstLineChars="0"/>
              <w:rPr>
                <w:rFonts w:hint="default" w:ascii="Times New Roman" w:eastAsia="宋体"/>
                <w:b w:val="0"/>
                <w:bCs w:val="0"/>
                <w:sz w:val="18"/>
                <w:szCs w:val="18"/>
                <w:lang w:val="en-US" w:eastAsia="zh-CN"/>
              </w:rPr>
            </w:pPr>
            <w:r>
              <w:rPr>
                <w:rFonts w:hint="eastAsia" w:ascii="Times New Roman"/>
                <w:b w:val="0"/>
                <w:bCs w:val="0"/>
                <w:sz w:val="18"/>
                <w:szCs w:val="18"/>
                <w:lang w:val="en-US" w:eastAsia="zh-CN"/>
              </w:rPr>
              <w:t>来自权威的、定期更新的数据，如政府主管部门发布的数据</w:t>
            </w:r>
          </w:p>
        </w:tc>
      </w:tr>
      <w:tr w14:paraId="633657B2">
        <w:tblPrEx>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vAlign w:val="center"/>
          </w:tcPr>
          <w:p w14:paraId="721C5E58">
            <w:pPr>
              <w:pStyle w:val="15"/>
              <w:ind w:firstLine="0" w:firstLineChars="0"/>
              <w:jc w:val="center"/>
              <w:rPr>
                <w:rFonts w:ascii="Times New Roman"/>
                <w:b w:val="0"/>
                <w:bCs w:val="0"/>
                <w:sz w:val="18"/>
                <w:szCs w:val="18"/>
              </w:rPr>
            </w:pPr>
            <w:r>
              <w:rPr>
                <w:rFonts w:ascii="Times New Roman"/>
                <w:b w:val="0"/>
                <w:bCs w:val="0"/>
                <w:sz w:val="18"/>
                <w:szCs w:val="18"/>
              </w:rPr>
              <w:t>3</w:t>
            </w:r>
          </w:p>
        </w:tc>
        <w:tc>
          <w:tcPr>
            <w:tcW w:w="1215" w:type="pct"/>
            <w:tcBorders>
              <w:top w:val="single" w:color="000000" w:sz="4" w:space="0"/>
              <w:left w:val="single" w:color="000000" w:sz="4" w:space="0"/>
              <w:bottom w:val="single" w:color="000000" w:sz="4" w:space="0"/>
              <w:right w:val="single" w:color="000000" w:sz="4" w:space="0"/>
            </w:tcBorders>
            <w:vAlign w:val="center"/>
          </w:tcPr>
          <w:p w14:paraId="02E1220B">
            <w:pPr>
              <w:pStyle w:val="15"/>
              <w:ind w:firstLine="0" w:firstLineChars="0"/>
              <w:rPr>
                <w:rFonts w:ascii="Times New Roman"/>
                <w:b w:val="0"/>
                <w:bCs w:val="0"/>
                <w:sz w:val="18"/>
                <w:szCs w:val="18"/>
              </w:rPr>
            </w:pPr>
            <w:r>
              <w:rPr>
                <w:rFonts w:ascii="Times New Roman"/>
                <w:b w:val="0"/>
                <w:bCs w:val="0"/>
                <w:sz w:val="18"/>
                <w:szCs w:val="18"/>
              </w:rPr>
              <w:t>碳足迹的基准年超</w:t>
            </w:r>
            <w:r>
              <w:rPr>
                <w:rFonts w:hint="eastAsia" w:ascii="Times New Roman"/>
                <w:b w:val="0"/>
                <w:bCs w:val="0"/>
                <w:sz w:val="18"/>
                <w:szCs w:val="18"/>
                <w:lang w:val="en-US" w:eastAsia="zh-CN"/>
              </w:rPr>
              <w:t>出次级</w:t>
            </w:r>
            <w:r>
              <w:rPr>
                <w:rFonts w:ascii="Times New Roman"/>
                <w:b w:val="0"/>
                <w:bCs w:val="0"/>
                <w:sz w:val="18"/>
                <w:szCs w:val="18"/>
              </w:rPr>
              <w:t>数据</w:t>
            </w:r>
            <w:r>
              <w:rPr>
                <w:rFonts w:hint="eastAsia" w:ascii="Times New Roman"/>
                <w:b w:val="0"/>
                <w:bCs w:val="0"/>
                <w:sz w:val="18"/>
                <w:szCs w:val="18"/>
                <w:lang w:val="en-US" w:eastAsia="zh-CN"/>
              </w:rPr>
              <w:t>库</w:t>
            </w:r>
            <w:r>
              <w:rPr>
                <w:rFonts w:ascii="Times New Roman"/>
                <w:b w:val="0"/>
                <w:bCs w:val="0"/>
                <w:sz w:val="18"/>
                <w:szCs w:val="18"/>
              </w:rPr>
              <w:t>有效期≤3年</w:t>
            </w:r>
          </w:p>
        </w:tc>
        <w:tc>
          <w:tcPr>
            <w:tcW w:w="1032" w:type="pct"/>
            <w:tcBorders>
              <w:top w:val="single" w:color="000000" w:sz="4" w:space="0"/>
              <w:left w:val="single" w:color="000000" w:sz="4" w:space="0"/>
              <w:bottom w:val="single" w:color="000000" w:sz="4" w:space="0"/>
              <w:right w:val="single" w:color="000000" w:sz="4" w:space="0"/>
            </w:tcBorders>
            <w:vAlign w:val="center"/>
          </w:tcPr>
          <w:p w14:paraId="11E3C47C">
            <w:pPr>
              <w:pStyle w:val="15"/>
              <w:ind w:firstLine="0" w:firstLineChars="0"/>
              <w:rPr>
                <w:rFonts w:ascii="Times New Roman"/>
                <w:b w:val="0"/>
                <w:bCs w:val="0"/>
                <w:sz w:val="18"/>
                <w:szCs w:val="18"/>
              </w:rPr>
            </w:pPr>
            <w:r>
              <w:rPr>
                <w:rFonts w:hint="eastAsia" w:ascii="Times New Roman"/>
                <w:b w:val="0"/>
                <w:bCs w:val="0"/>
                <w:sz w:val="18"/>
                <w:szCs w:val="18"/>
                <w:lang w:val="en-US" w:eastAsia="zh-CN"/>
              </w:rPr>
              <w:t>建模技术仅部分包含在碳足迹的核算边界内</w:t>
            </w:r>
          </w:p>
        </w:tc>
        <w:tc>
          <w:tcPr>
            <w:tcW w:w="1182" w:type="pct"/>
            <w:tcBorders>
              <w:top w:val="single" w:color="000000" w:sz="4" w:space="0"/>
              <w:left w:val="single" w:color="000000" w:sz="4" w:space="0"/>
              <w:bottom w:val="single" w:color="000000" w:sz="4" w:space="0"/>
              <w:right w:val="single" w:color="000000" w:sz="4" w:space="0"/>
            </w:tcBorders>
            <w:vAlign w:val="center"/>
          </w:tcPr>
          <w:p w14:paraId="69F57D46">
            <w:pPr>
              <w:pStyle w:val="15"/>
              <w:ind w:firstLine="0" w:firstLineChars="0"/>
              <w:rPr>
                <w:rFonts w:hint="default" w:ascii="Times New Roman"/>
                <w:b w:val="0"/>
                <w:bCs w:val="0"/>
                <w:sz w:val="18"/>
                <w:szCs w:val="18"/>
                <w:lang w:val="en-US"/>
              </w:rPr>
            </w:pPr>
            <w:r>
              <w:rPr>
                <w:rFonts w:hint="eastAsia" w:ascii="Times New Roman"/>
                <w:b w:val="0"/>
                <w:bCs w:val="0"/>
                <w:sz w:val="18"/>
                <w:szCs w:val="18"/>
                <w:lang w:val="en-US" w:eastAsia="zh-CN"/>
              </w:rPr>
              <w:t>建模</w:t>
            </w:r>
            <w:r>
              <w:rPr>
                <w:rFonts w:ascii="Times New Roman"/>
                <w:b w:val="0"/>
                <w:bCs w:val="0"/>
                <w:sz w:val="18"/>
                <w:szCs w:val="18"/>
              </w:rPr>
              <w:t>过程发生</w:t>
            </w:r>
            <w:r>
              <w:rPr>
                <w:rFonts w:hint="eastAsia" w:ascii="Times New Roman"/>
                <w:b w:val="0"/>
                <w:bCs w:val="0"/>
                <w:sz w:val="18"/>
                <w:szCs w:val="18"/>
                <w:lang w:val="en-US" w:eastAsia="zh-CN"/>
              </w:rPr>
              <w:t>在碳足迹有效的地理区域之一，或者数据集覆盖多个区域</w:t>
            </w:r>
          </w:p>
        </w:tc>
        <w:tc>
          <w:tcPr>
            <w:tcW w:w="1085" w:type="pct"/>
            <w:tcBorders>
              <w:top w:val="single" w:color="000000" w:sz="4" w:space="0"/>
              <w:left w:val="single" w:color="000000" w:sz="4" w:space="0"/>
              <w:bottom w:val="single" w:color="000000" w:sz="4" w:space="0"/>
              <w:right w:val="single" w:color="000000" w:sz="4" w:space="0"/>
            </w:tcBorders>
            <w:vAlign w:val="center"/>
          </w:tcPr>
          <w:p w14:paraId="3CED6E05">
            <w:pPr>
              <w:pStyle w:val="15"/>
              <w:ind w:firstLine="0" w:firstLineChars="0"/>
              <w:rPr>
                <w:rFonts w:hint="default" w:ascii="Times New Roman" w:eastAsia="宋体"/>
                <w:b w:val="0"/>
                <w:bCs w:val="0"/>
                <w:sz w:val="18"/>
                <w:szCs w:val="18"/>
                <w:lang w:val="en-US" w:eastAsia="zh-CN"/>
              </w:rPr>
            </w:pPr>
            <w:r>
              <w:rPr>
                <w:rFonts w:hint="eastAsia" w:ascii="Times New Roman"/>
                <w:b w:val="0"/>
                <w:bCs w:val="0"/>
                <w:sz w:val="18"/>
                <w:szCs w:val="18"/>
                <w:lang w:val="en-US" w:eastAsia="zh-CN"/>
              </w:rPr>
              <w:t>来自一般文献或专著的不定期更新的数据</w:t>
            </w:r>
          </w:p>
        </w:tc>
      </w:tr>
      <w:tr w14:paraId="50B12594">
        <w:tblPrEx>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vAlign w:val="center"/>
          </w:tcPr>
          <w:p w14:paraId="1CAEDB4A">
            <w:pPr>
              <w:pStyle w:val="15"/>
              <w:ind w:firstLine="0" w:firstLineChars="0"/>
              <w:jc w:val="center"/>
              <w:rPr>
                <w:rFonts w:ascii="Times New Roman"/>
                <w:b w:val="0"/>
                <w:bCs w:val="0"/>
                <w:sz w:val="18"/>
                <w:szCs w:val="18"/>
              </w:rPr>
            </w:pPr>
            <w:r>
              <w:rPr>
                <w:rFonts w:ascii="Times New Roman"/>
                <w:b w:val="0"/>
                <w:bCs w:val="0"/>
                <w:sz w:val="18"/>
                <w:szCs w:val="18"/>
              </w:rPr>
              <w:t>4</w:t>
            </w:r>
          </w:p>
        </w:tc>
        <w:tc>
          <w:tcPr>
            <w:tcW w:w="1215" w:type="pct"/>
            <w:tcBorders>
              <w:top w:val="single" w:color="000000" w:sz="4" w:space="0"/>
              <w:left w:val="single" w:color="000000" w:sz="4" w:space="0"/>
              <w:bottom w:val="single" w:color="000000" w:sz="4" w:space="0"/>
              <w:right w:val="single" w:color="000000" w:sz="4" w:space="0"/>
            </w:tcBorders>
            <w:vAlign w:val="center"/>
          </w:tcPr>
          <w:p w14:paraId="01657A0A">
            <w:pPr>
              <w:pStyle w:val="15"/>
              <w:ind w:firstLine="0" w:firstLineChars="0"/>
              <w:rPr>
                <w:rFonts w:ascii="Times New Roman"/>
                <w:b w:val="0"/>
                <w:bCs w:val="0"/>
                <w:sz w:val="18"/>
                <w:szCs w:val="18"/>
              </w:rPr>
            </w:pPr>
            <w:r>
              <w:rPr>
                <w:rFonts w:ascii="Times New Roman"/>
                <w:b w:val="0"/>
                <w:bCs w:val="0"/>
                <w:sz w:val="18"/>
                <w:szCs w:val="18"/>
              </w:rPr>
              <w:t>碳足迹的基准年超</w:t>
            </w:r>
            <w:r>
              <w:rPr>
                <w:rFonts w:hint="eastAsia" w:ascii="Times New Roman"/>
                <w:b w:val="0"/>
                <w:bCs w:val="0"/>
                <w:sz w:val="18"/>
                <w:szCs w:val="18"/>
                <w:lang w:val="en-US" w:eastAsia="zh-CN"/>
              </w:rPr>
              <w:t>出次级</w:t>
            </w:r>
            <w:r>
              <w:rPr>
                <w:rFonts w:ascii="Times New Roman"/>
                <w:b w:val="0"/>
                <w:bCs w:val="0"/>
                <w:sz w:val="18"/>
                <w:szCs w:val="18"/>
              </w:rPr>
              <w:t>数据</w:t>
            </w:r>
            <w:r>
              <w:rPr>
                <w:rFonts w:hint="eastAsia" w:ascii="Times New Roman"/>
                <w:b w:val="0"/>
                <w:bCs w:val="0"/>
                <w:sz w:val="18"/>
                <w:szCs w:val="18"/>
                <w:lang w:val="en-US" w:eastAsia="zh-CN"/>
              </w:rPr>
              <w:t>库</w:t>
            </w:r>
            <w:r>
              <w:rPr>
                <w:rFonts w:ascii="Times New Roman"/>
                <w:b w:val="0"/>
                <w:bCs w:val="0"/>
                <w:sz w:val="18"/>
                <w:szCs w:val="18"/>
              </w:rPr>
              <w:t>有效期≤</w:t>
            </w:r>
            <w:r>
              <w:rPr>
                <w:rFonts w:hint="eastAsia" w:ascii="Times New Roman"/>
                <w:b w:val="0"/>
                <w:bCs w:val="0"/>
                <w:sz w:val="18"/>
                <w:szCs w:val="18"/>
                <w:lang w:val="en-US" w:eastAsia="zh-CN"/>
              </w:rPr>
              <w:t>4</w:t>
            </w:r>
            <w:r>
              <w:rPr>
                <w:rFonts w:ascii="Times New Roman"/>
                <w:b w:val="0"/>
                <w:bCs w:val="0"/>
                <w:sz w:val="18"/>
                <w:szCs w:val="18"/>
              </w:rPr>
              <w:t>年</w:t>
            </w:r>
          </w:p>
        </w:tc>
        <w:tc>
          <w:tcPr>
            <w:tcW w:w="1032" w:type="pct"/>
            <w:tcBorders>
              <w:top w:val="single" w:color="000000" w:sz="4" w:space="0"/>
              <w:left w:val="single" w:color="000000" w:sz="4" w:space="0"/>
              <w:bottom w:val="single" w:color="000000" w:sz="4" w:space="0"/>
              <w:right w:val="single" w:color="000000" w:sz="4" w:space="0"/>
            </w:tcBorders>
            <w:vAlign w:val="center"/>
          </w:tcPr>
          <w:p w14:paraId="2D078868">
            <w:pPr>
              <w:pStyle w:val="15"/>
              <w:ind w:firstLine="0" w:firstLineChars="0"/>
              <w:rPr>
                <w:rFonts w:ascii="Times New Roman"/>
                <w:b w:val="0"/>
                <w:bCs w:val="0"/>
                <w:sz w:val="18"/>
                <w:szCs w:val="18"/>
              </w:rPr>
            </w:pPr>
            <w:r>
              <w:rPr>
                <w:rFonts w:hint="eastAsia" w:ascii="Times New Roman"/>
                <w:b w:val="0"/>
                <w:bCs w:val="0"/>
                <w:sz w:val="18"/>
                <w:szCs w:val="18"/>
                <w:lang w:val="en-US" w:eastAsia="zh-CN"/>
              </w:rPr>
              <w:t>建模技术类似于碳足迹的核算边界内</w:t>
            </w:r>
          </w:p>
        </w:tc>
        <w:tc>
          <w:tcPr>
            <w:tcW w:w="1182" w:type="pct"/>
            <w:tcBorders>
              <w:top w:val="single" w:color="000000" w:sz="4" w:space="0"/>
              <w:left w:val="single" w:color="000000" w:sz="4" w:space="0"/>
              <w:bottom w:val="single" w:color="000000" w:sz="4" w:space="0"/>
              <w:right w:val="single" w:color="000000" w:sz="4" w:space="0"/>
            </w:tcBorders>
            <w:vAlign w:val="center"/>
          </w:tcPr>
          <w:p w14:paraId="1508CF28">
            <w:pPr>
              <w:pStyle w:val="15"/>
              <w:ind w:firstLine="0" w:firstLineChars="0"/>
              <w:rPr>
                <w:rFonts w:hint="default" w:ascii="Times New Roman" w:eastAsia="宋体"/>
                <w:b w:val="0"/>
                <w:bCs w:val="0"/>
                <w:sz w:val="18"/>
                <w:szCs w:val="18"/>
                <w:lang w:val="en-US" w:eastAsia="zh-CN"/>
              </w:rPr>
            </w:pPr>
            <w:r>
              <w:rPr>
                <w:rFonts w:hint="eastAsia" w:ascii="Times New Roman"/>
                <w:b w:val="0"/>
                <w:bCs w:val="0"/>
                <w:sz w:val="18"/>
                <w:szCs w:val="18"/>
                <w:lang w:val="en-US" w:eastAsia="zh-CN"/>
              </w:rPr>
              <w:t>建模过程发生在一个国家，该国家不包括在碳足迹有效的地理区域中，但据专家判断估计有足够相似之处</w:t>
            </w:r>
          </w:p>
        </w:tc>
        <w:tc>
          <w:tcPr>
            <w:tcW w:w="1085" w:type="pct"/>
            <w:tcBorders>
              <w:top w:val="single" w:color="000000" w:sz="4" w:space="0"/>
              <w:left w:val="single" w:color="000000" w:sz="4" w:space="0"/>
              <w:bottom w:val="single" w:color="000000" w:sz="4" w:space="0"/>
              <w:right w:val="single" w:color="000000" w:sz="4" w:space="0"/>
            </w:tcBorders>
            <w:vAlign w:val="center"/>
          </w:tcPr>
          <w:p w14:paraId="60D1FEE3">
            <w:pPr>
              <w:pStyle w:val="15"/>
              <w:ind w:firstLine="0" w:firstLineChars="0"/>
              <w:rPr>
                <w:rFonts w:hint="default" w:ascii="Times New Roman" w:eastAsia="宋体"/>
                <w:b w:val="0"/>
                <w:bCs w:val="0"/>
                <w:sz w:val="18"/>
                <w:szCs w:val="18"/>
                <w:lang w:val="en-US" w:eastAsia="zh-CN"/>
              </w:rPr>
            </w:pPr>
            <w:r>
              <w:rPr>
                <w:rFonts w:hint="eastAsia" w:ascii="Times New Roman"/>
                <w:b w:val="0"/>
                <w:bCs w:val="0"/>
                <w:sz w:val="18"/>
                <w:szCs w:val="18"/>
                <w:lang w:val="en-US" w:eastAsia="zh-CN"/>
              </w:rPr>
              <w:t>基于文献或经验的推论、估计或假设的数据</w:t>
            </w:r>
          </w:p>
        </w:tc>
      </w:tr>
      <w:tr w14:paraId="315042BD">
        <w:tblPrEx>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vAlign w:val="center"/>
          </w:tcPr>
          <w:p w14:paraId="303BBA38">
            <w:pPr>
              <w:pStyle w:val="15"/>
              <w:ind w:firstLine="0" w:firstLineChars="0"/>
              <w:jc w:val="center"/>
              <w:rPr>
                <w:rFonts w:ascii="Times New Roman"/>
                <w:b w:val="0"/>
                <w:bCs w:val="0"/>
                <w:sz w:val="18"/>
                <w:szCs w:val="18"/>
              </w:rPr>
            </w:pPr>
            <w:r>
              <w:rPr>
                <w:rFonts w:ascii="Times New Roman"/>
                <w:b w:val="0"/>
                <w:bCs w:val="0"/>
                <w:sz w:val="18"/>
                <w:szCs w:val="18"/>
              </w:rPr>
              <w:t>5</w:t>
            </w:r>
          </w:p>
        </w:tc>
        <w:tc>
          <w:tcPr>
            <w:tcW w:w="1215" w:type="pct"/>
            <w:tcBorders>
              <w:top w:val="single" w:color="000000" w:sz="4" w:space="0"/>
              <w:left w:val="single" w:color="000000" w:sz="4" w:space="0"/>
              <w:bottom w:val="single" w:color="000000" w:sz="4" w:space="0"/>
              <w:right w:val="single" w:color="000000" w:sz="4" w:space="0"/>
            </w:tcBorders>
            <w:vAlign w:val="center"/>
          </w:tcPr>
          <w:p w14:paraId="53F056EF">
            <w:pPr>
              <w:pStyle w:val="15"/>
              <w:ind w:firstLine="0" w:firstLineChars="0"/>
              <w:rPr>
                <w:rFonts w:ascii="Times New Roman"/>
                <w:b w:val="0"/>
                <w:bCs w:val="0"/>
                <w:sz w:val="18"/>
                <w:szCs w:val="18"/>
              </w:rPr>
            </w:pPr>
            <w:r>
              <w:rPr>
                <w:rFonts w:ascii="Times New Roman"/>
                <w:b w:val="0"/>
                <w:bCs w:val="0"/>
                <w:sz w:val="18"/>
                <w:szCs w:val="18"/>
              </w:rPr>
              <w:t>碳足迹的基准年超</w:t>
            </w:r>
            <w:r>
              <w:rPr>
                <w:rFonts w:hint="eastAsia" w:ascii="Times New Roman"/>
                <w:b w:val="0"/>
                <w:bCs w:val="0"/>
                <w:sz w:val="18"/>
                <w:szCs w:val="18"/>
                <w:lang w:val="en-US" w:eastAsia="zh-CN"/>
              </w:rPr>
              <w:t>出次级</w:t>
            </w:r>
            <w:r>
              <w:rPr>
                <w:rFonts w:ascii="Times New Roman"/>
                <w:b w:val="0"/>
                <w:bCs w:val="0"/>
                <w:sz w:val="18"/>
                <w:szCs w:val="18"/>
              </w:rPr>
              <w:t>数据</w:t>
            </w:r>
            <w:r>
              <w:rPr>
                <w:rFonts w:hint="eastAsia" w:ascii="Times New Roman"/>
                <w:b w:val="0"/>
                <w:bCs w:val="0"/>
                <w:sz w:val="18"/>
                <w:szCs w:val="18"/>
                <w:lang w:val="en-US" w:eastAsia="zh-CN"/>
              </w:rPr>
              <w:t>库</w:t>
            </w:r>
            <w:r>
              <w:rPr>
                <w:rFonts w:ascii="Times New Roman"/>
                <w:b w:val="0"/>
                <w:bCs w:val="0"/>
                <w:sz w:val="18"/>
                <w:szCs w:val="18"/>
              </w:rPr>
              <w:t>有效期&gt;4年</w:t>
            </w:r>
          </w:p>
        </w:tc>
        <w:tc>
          <w:tcPr>
            <w:tcW w:w="1032" w:type="pct"/>
            <w:tcBorders>
              <w:top w:val="single" w:color="000000" w:sz="4" w:space="0"/>
              <w:left w:val="single" w:color="000000" w:sz="4" w:space="0"/>
              <w:bottom w:val="single" w:color="000000" w:sz="4" w:space="0"/>
              <w:right w:val="single" w:color="000000" w:sz="4" w:space="0"/>
            </w:tcBorders>
            <w:vAlign w:val="center"/>
          </w:tcPr>
          <w:p w14:paraId="4643F1F4">
            <w:pPr>
              <w:pStyle w:val="15"/>
              <w:ind w:firstLine="0" w:firstLineChars="0"/>
              <w:rPr>
                <w:rFonts w:ascii="Times New Roman"/>
                <w:b w:val="0"/>
                <w:bCs w:val="0"/>
                <w:sz w:val="18"/>
                <w:szCs w:val="18"/>
              </w:rPr>
            </w:pPr>
            <w:r>
              <w:rPr>
                <w:rFonts w:hint="eastAsia" w:ascii="Times New Roman"/>
                <w:b w:val="0"/>
                <w:bCs w:val="0"/>
                <w:sz w:val="18"/>
                <w:szCs w:val="18"/>
                <w:lang w:val="en-US" w:eastAsia="zh-CN"/>
              </w:rPr>
              <w:t>建模技术不同于碳足迹的核算边界内</w:t>
            </w:r>
          </w:p>
        </w:tc>
        <w:tc>
          <w:tcPr>
            <w:tcW w:w="1182" w:type="pct"/>
            <w:tcBorders>
              <w:top w:val="single" w:color="000000" w:sz="4" w:space="0"/>
              <w:left w:val="single" w:color="000000" w:sz="4" w:space="0"/>
              <w:bottom w:val="single" w:color="000000" w:sz="4" w:space="0"/>
              <w:right w:val="single" w:color="000000" w:sz="4" w:space="0"/>
            </w:tcBorders>
            <w:vAlign w:val="center"/>
          </w:tcPr>
          <w:p w14:paraId="37A60365">
            <w:pPr>
              <w:pStyle w:val="15"/>
              <w:ind w:firstLine="0" w:firstLineChars="0"/>
              <w:rPr>
                <w:rFonts w:hint="default" w:ascii="Times New Roman" w:eastAsia="宋体"/>
                <w:b w:val="0"/>
                <w:bCs w:val="0"/>
                <w:sz w:val="18"/>
                <w:szCs w:val="18"/>
                <w:lang w:val="en-US" w:eastAsia="zh-CN"/>
              </w:rPr>
            </w:pPr>
            <w:r>
              <w:rPr>
                <w:rFonts w:hint="eastAsia" w:ascii="Times New Roman"/>
                <w:b w:val="0"/>
                <w:bCs w:val="0"/>
                <w:sz w:val="18"/>
                <w:szCs w:val="18"/>
                <w:lang w:val="en-US" w:eastAsia="zh-CN"/>
              </w:rPr>
              <w:t>建模过程发生在与碳足迹有效的国家不同的国家</w:t>
            </w:r>
          </w:p>
        </w:tc>
        <w:tc>
          <w:tcPr>
            <w:tcW w:w="1085" w:type="pct"/>
            <w:tcBorders>
              <w:top w:val="single" w:color="000000" w:sz="4" w:space="0"/>
              <w:left w:val="single" w:color="000000" w:sz="4" w:space="0"/>
              <w:bottom w:val="single" w:color="000000" w:sz="4" w:space="0"/>
              <w:right w:val="single" w:color="000000" w:sz="4" w:space="0"/>
            </w:tcBorders>
            <w:vAlign w:val="center"/>
          </w:tcPr>
          <w:p w14:paraId="4A8AA537">
            <w:pPr>
              <w:pStyle w:val="15"/>
              <w:ind w:firstLine="0" w:firstLineChars="0"/>
              <w:rPr>
                <w:rFonts w:hint="default" w:ascii="Times New Roman" w:eastAsia="宋体"/>
                <w:b w:val="0"/>
                <w:bCs w:val="0"/>
                <w:sz w:val="18"/>
                <w:szCs w:val="18"/>
                <w:lang w:val="en-US" w:eastAsia="zh-CN"/>
              </w:rPr>
            </w:pPr>
            <w:r>
              <w:rPr>
                <w:rFonts w:hint="eastAsia" w:ascii="Times New Roman"/>
                <w:b w:val="0"/>
                <w:bCs w:val="0"/>
                <w:sz w:val="18"/>
                <w:szCs w:val="18"/>
                <w:lang w:val="en-US" w:eastAsia="zh-CN"/>
              </w:rPr>
              <w:t>无根据的估算与假设的数据</w:t>
            </w:r>
          </w:p>
        </w:tc>
      </w:tr>
    </w:tbl>
    <w:p w14:paraId="6CC258E8">
      <w:pPr>
        <w:pStyle w:val="10"/>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360" w:lineRule="auto"/>
        <w:ind w:left="0" w:right="0"/>
        <w:jc w:val="center"/>
        <w:textAlignment w:val="baseline"/>
        <w:outlineLvl w:val="9"/>
        <w:rPr>
          <w:rStyle w:val="14"/>
          <w:rFonts w:hint="eastAsia" w:ascii="黑体" w:hAnsi="黑体" w:eastAsia="黑体" w:cs="黑体"/>
          <w:b w:val="0"/>
          <w:bCs w:val="0"/>
          <w:i w:val="0"/>
          <w:iCs w:val="0"/>
          <w:caps w:val="0"/>
          <w:color w:val="000000"/>
          <w:spacing w:val="-2"/>
          <w:sz w:val="24"/>
          <w:szCs w:val="24"/>
          <w:shd w:val="clear" w:fill="FFFFFF"/>
          <w:vertAlign w:val="baseline"/>
          <w:lang w:val="en-US" w:eastAsia="zh-CN"/>
        </w:rPr>
      </w:pPr>
    </w:p>
    <w:p w14:paraId="5BE4EA08">
      <w:pPr>
        <w:ind w:firstLine="420" w:firstLineChars="200"/>
        <w:rPr>
          <w:rFonts w:hint="default" w:ascii="Times New Roman" w:hAnsi="Times New Roman" w:cs="Times New Roman"/>
          <w:lang w:val="en-US" w:eastAsia="zh-CN"/>
        </w:rPr>
        <w:sectPr>
          <w:pgSz w:w="11906" w:h="16838"/>
          <w:pgMar w:top="1440" w:right="1800" w:bottom="1440" w:left="1800" w:header="851" w:footer="992" w:gutter="0"/>
          <w:pgNumType w:fmt="decimal"/>
          <w:cols w:space="425" w:num="1"/>
          <w:docGrid w:type="lines" w:linePitch="312" w:charSpace="0"/>
        </w:sectPr>
      </w:pPr>
    </w:p>
    <w:p w14:paraId="6EB154A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288" w:lineRule="auto"/>
        <w:ind w:left="0" w:right="0"/>
        <w:jc w:val="center"/>
        <w:textAlignment w:val="baseline"/>
        <w:outlineLvl w:val="0"/>
        <w:rPr>
          <w:rStyle w:val="14"/>
          <w:rFonts w:hint="default"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bookmarkStart w:id="53" w:name="_Toc2146"/>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附  录  F</w:t>
      </w:r>
      <w:bookmarkEnd w:id="53"/>
    </w:p>
    <w:p w14:paraId="63C3207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288" w:lineRule="auto"/>
        <w:ind w:left="0" w:right="0"/>
        <w:jc w:val="center"/>
        <w:textAlignment w:val="baseline"/>
        <w:outlineLvl w:val="9"/>
        <w:rPr>
          <w:rStyle w:val="14"/>
          <w:rFonts w:hint="default"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（资料性）</w:t>
      </w:r>
    </w:p>
    <w:p w14:paraId="714406E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288" w:lineRule="auto"/>
        <w:ind w:left="0" w:right="0"/>
        <w:jc w:val="center"/>
        <w:textAlignment w:val="baseline"/>
        <w:outlineLvl w:val="9"/>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软饮料产品碳足迹报告参考模板</w:t>
      </w:r>
    </w:p>
    <w:p w14:paraId="04FA8197">
      <w:pPr>
        <w:pStyle w:val="15"/>
        <w:keepNext w:val="0"/>
        <w:keepLines w:val="0"/>
        <w:pageBreakBefore w:val="0"/>
        <w:kinsoku/>
        <w:wordWrap/>
        <w:overflowPunct/>
        <w:topLinePunct w:val="0"/>
        <w:bidi w:val="0"/>
        <w:adjustRightInd/>
        <w:snapToGrid/>
        <w:spacing w:line="288" w:lineRule="auto"/>
        <w:ind w:left="0" w:leftChars="0" w:firstLine="420" w:firstLineChars="200"/>
        <w:rPr>
          <w:rFonts w:ascii="Times New Roman"/>
        </w:rPr>
      </w:pPr>
    </w:p>
    <w:p w14:paraId="31F5C093">
      <w:pPr>
        <w:pStyle w:val="15"/>
        <w:keepNext w:val="0"/>
        <w:keepLines w:val="0"/>
        <w:pageBreakBefore w:val="0"/>
        <w:kinsoku/>
        <w:wordWrap/>
        <w:overflowPunct/>
        <w:topLinePunct w:val="0"/>
        <w:bidi w:val="0"/>
        <w:adjustRightInd/>
        <w:snapToGrid/>
        <w:spacing w:line="288" w:lineRule="auto"/>
        <w:ind w:left="0" w:leftChars="0" w:firstLine="420" w:firstLineChars="200"/>
        <w:rPr>
          <w:rFonts w:ascii="Times New Roman"/>
        </w:rPr>
      </w:pPr>
      <w:r>
        <w:rPr>
          <w:rFonts w:hint="eastAsia" w:ascii="Times New Roman"/>
          <w:lang w:val="en-US" w:eastAsia="zh-CN"/>
        </w:rPr>
        <w:t>软饮料</w:t>
      </w:r>
      <w:r>
        <w:rPr>
          <w:rFonts w:ascii="Times New Roman"/>
        </w:rPr>
        <w:t>产品碳足迹报告</w:t>
      </w:r>
      <w:r>
        <w:rPr>
          <w:rFonts w:hint="eastAsia" w:ascii="Times New Roman"/>
          <w:lang w:val="en-US" w:eastAsia="zh-CN"/>
        </w:rPr>
        <w:t>参考</w:t>
      </w:r>
      <w:r>
        <w:rPr>
          <w:rFonts w:ascii="Times New Roman"/>
        </w:rPr>
        <w:t>模板如下。</w:t>
      </w:r>
    </w:p>
    <w:p w14:paraId="71198050">
      <w:pPr>
        <w:keepNext w:val="0"/>
        <w:keepLines w:val="0"/>
        <w:pageBreakBefore w:val="0"/>
        <w:kinsoku/>
        <w:wordWrap/>
        <w:overflowPunct/>
        <w:topLinePunct w:val="0"/>
        <w:bidi w:val="0"/>
        <w:adjustRightInd/>
        <w:snapToGrid/>
        <w:spacing w:line="288" w:lineRule="auto"/>
        <w:rPr>
          <w:rFonts w:ascii="Arial"/>
          <w:color w:val="auto"/>
          <w:sz w:val="21"/>
        </w:rPr>
      </w:pPr>
    </w:p>
    <w:p w14:paraId="537DD660">
      <w:pPr>
        <w:keepNext w:val="0"/>
        <w:keepLines w:val="0"/>
        <w:pageBreakBefore w:val="0"/>
        <w:kinsoku/>
        <w:wordWrap/>
        <w:overflowPunct/>
        <w:topLinePunct w:val="0"/>
        <w:bidi w:val="0"/>
        <w:adjustRightInd/>
        <w:snapToGrid/>
        <w:spacing w:line="288" w:lineRule="auto"/>
        <w:rPr>
          <w:rFonts w:ascii="Arial"/>
          <w:color w:val="auto"/>
          <w:sz w:val="21"/>
        </w:rPr>
      </w:pPr>
    </w:p>
    <w:p w14:paraId="46A054D0">
      <w:pPr>
        <w:keepNext w:val="0"/>
        <w:keepLines w:val="0"/>
        <w:pageBreakBefore w:val="0"/>
        <w:kinsoku/>
        <w:wordWrap/>
        <w:overflowPunct/>
        <w:topLinePunct w:val="0"/>
        <w:bidi w:val="0"/>
        <w:adjustRightInd/>
        <w:snapToGrid/>
        <w:spacing w:line="288" w:lineRule="auto"/>
        <w:rPr>
          <w:rFonts w:ascii="Arial"/>
          <w:color w:val="auto"/>
          <w:sz w:val="21"/>
        </w:rPr>
      </w:pPr>
    </w:p>
    <w:p w14:paraId="47F42B86">
      <w:pPr>
        <w:keepNext w:val="0"/>
        <w:keepLines w:val="0"/>
        <w:pageBreakBefore w:val="0"/>
        <w:kinsoku/>
        <w:wordWrap/>
        <w:overflowPunct/>
        <w:topLinePunct w:val="0"/>
        <w:bidi w:val="0"/>
        <w:adjustRightInd/>
        <w:snapToGrid/>
        <w:spacing w:before="228" w:line="288" w:lineRule="auto"/>
        <w:jc w:val="center"/>
        <w:rPr>
          <w:rFonts w:hint="eastAsia" w:ascii="黑体" w:hAnsi="黑体" w:eastAsia="黑体" w:cs="黑体"/>
          <w:b w:val="0"/>
          <w:bCs w:val="0"/>
          <w:color w:val="auto"/>
          <w:sz w:val="36"/>
          <w:szCs w:val="36"/>
        </w:rPr>
      </w:pPr>
      <w:r>
        <w:rPr>
          <w:rFonts w:hint="eastAsia" w:ascii="黑体" w:hAnsi="黑体" w:eastAsia="黑体" w:cs="黑体"/>
          <w:b w:val="0"/>
          <w:bCs w:val="0"/>
          <w:color w:val="auto"/>
          <w:spacing w:val="6"/>
          <w:sz w:val="36"/>
          <w:szCs w:val="36"/>
          <w:lang w:val="en-US" w:eastAsia="zh-CN"/>
        </w:rPr>
        <w:t>软饮料</w:t>
      </w:r>
      <w:r>
        <w:rPr>
          <w:rFonts w:hint="eastAsia" w:ascii="黑体" w:hAnsi="黑体" w:eastAsia="黑体" w:cs="黑体"/>
          <w:b w:val="0"/>
          <w:bCs w:val="0"/>
          <w:color w:val="auto"/>
          <w:spacing w:val="6"/>
          <w:sz w:val="36"/>
          <w:szCs w:val="36"/>
        </w:rPr>
        <w:t>产品碳足迹报告(模板)</w:t>
      </w:r>
    </w:p>
    <w:p w14:paraId="620F3AE7">
      <w:pPr>
        <w:keepNext w:val="0"/>
        <w:keepLines w:val="0"/>
        <w:pageBreakBefore w:val="0"/>
        <w:kinsoku/>
        <w:wordWrap/>
        <w:overflowPunct/>
        <w:topLinePunct w:val="0"/>
        <w:bidi w:val="0"/>
        <w:adjustRightInd/>
        <w:snapToGrid/>
        <w:spacing w:line="288" w:lineRule="auto"/>
        <w:rPr>
          <w:rFonts w:ascii="Arial"/>
          <w:color w:val="auto"/>
          <w:sz w:val="21"/>
        </w:rPr>
      </w:pPr>
    </w:p>
    <w:p w14:paraId="4FBC6655">
      <w:pPr>
        <w:keepNext w:val="0"/>
        <w:keepLines w:val="0"/>
        <w:pageBreakBefore w:val="0"/>
        <w:kinsoku/>
        <w:wordWrap/>
        <w:overflowPunct/>
        <w:topLinePunct w:val="0"/>
        <w:bidi w:val="0"/>
        <w:adjustRightInd/>
        <w:snapToGrid/>
        <w:spacing w:line="288" w:lineRule="auto"/>
        <w:rPr>
          <w:rFonts w:ascii="Arial"/>
          <w:color w:val="auto"/>
          <w:sz w:val="21"/>
        </w:rPr>
      </w:pPr>
    </w:p>
    <w:p w14:paraId="0BE64F45">
      <w:pPr>
        <w:keepNext w:val="0"/>
        <w:keepLines w:val="0"/>
        <w:pageBreakBefore w:val="0"/>
        <w:kinsoku/>
        <w:wordWrap/>
        <w:overflowPunct/>
        <w:topLinePunct w:val="0"/>
        <w:bidi w:val="0"/>
        <w:adjustRightInd/>
        <w:snapToGrid/>
        <w:spacing w:line="288" w:lineRule="auto"/>
        <w:rPr>
          <w:rFonts w:ascii="Arial"/>
          <w:color w:val="auto"/>
          <w:sz w:val="21"/>
        </w:rPr>
      </w:pPr>
    </w:p>
    <w:p w14:paraId="1723CE51">
      <w:pPr>
        <w:keepNext w:val="0"/>
        <w:keepLines w:val="0"/>
        <w:pageBreakBefore w:val="0"/>
        <w:kinsoku/>
        <w:wordWrap/>
        <w:overflowPunct/>
        <w:topLinePunct w:val="0"/>
        <w:bidi w:val="0"/>
        <w:adjustRightInd/>
        <w:snapToGrid/>
        <w:spacing w:line="288" w:lineRule="auto"/>
        <w:rPr>
          <w:rFonts w:ascii="Arial"/>
          <w:color w:val="auto"/>
          <w:sz w:val="21"/>
        </w:rPr>
      </w:pPr>
    </w:p>
    <w:p w14:paraId="092FBF8B">
      <w:pPr>
        <w:keepNext w:val="0"/>
        <w:keepLines w:val="0"/>
        <w:pageBreakBefore w:val="0"/>
        <w:kinsoku/>
        <w:wordWrap/>
        <w:overflowPunct/>
        <w:topLinePunct w:val="0"/>
        <w:bidi w:val="0"/>
        <w:adjustRightInd/>
        <w:snapToGrid/>
        <w:spacing w:line="288" w:lineRule="auto"/>
        <w:rPr>
          <w:rFonts w:ascii="Arial"/>
          <w:color w:val="auto"/>
          <w:sz w:val="21"/>
        </w:rPr>
      </w:pPr>
    </w:p>
    <w:p w14:paraId="54D76443">
      <w:pPr>
        <w:keepNext w:val="0"/>
        <w:keepLines w:val="0"/>
        <w:pageBreakBefore w:val="0"/>
        <w:kinsoku/>
        <w:wordWrap/>
        <w:overflowPunct/>
        <w:topLinePunct w:val="0"/>
        <w:bidi w:val="0"/>
        <w:adjustRightInd/>
        <w:snapToGrid/>
        <w:spacing w:line="288" w:lineRule="auto"/>
        <w:rPr>
          <w:rFonts w:ascii="Arial"/>
          <w:color w:val="auto"/>
          <w:sz w:val="21"/>
        </w:rPr>
      </w:pPr>
    </w:p>
    <w:p w14:paraId="2E3F3322">
      <w:pPr>
        <w:keepNext w:val="0"/>
        <w:keepLines w:val="0"/>
        <w:pageBreakBefore w:val="0"/>
        <w:kinsoku/>
        <w:wordWrap/>
        <w:overflowPunct/>
        <w:topLinePunct w:val="0"/>
        <w:bidi w:val="0"/>
        <w:adjustRightInd/>
        <w:snapToGrid/>
        <w:spacing w:line="288" w:lineRule="auto"/>
        <w:rPr>
          <w:rFonts w:ascii="Arial"/>
          <w:color w:val="auto"/>
          <w:sz w:val="21"/>
        </w:rPr>
      </w:pPr>
    </w:p>
    <w:p w14:paraId="4A81E249">
      <w:pPr>
        <w:keepNext w:val="0"/>
        <w:keepLines w:val="0"/>
        <w:pageBreakBefore w:val="0"/>
        <w:kinsoku/>
        <w:wordWrap/>
        <w:overflowPunct/>
        <w:topLinePunct w:val="0"/>
        <w:bidi w:val="0"/>
        <w:adjustRightInd/>
        <w:snapToGrid/>
        <w:spacing w:line="288" w:lineRule="auto"/>
        <w:rPr>
          <w:rFonts w:ascii="Arial"/>
          <w:color w:val="auto"/>
          <w:sz w:val="21"/>
        </w:rPr>
      </w:pPr>
    </w:p>
    <w:p w14:paraId="3B73CCBC">
      <w:pPr>
        <w:keepNext w:val="0"/>
        <w:keepLines w:val="0"/>
        <w:pageBreakBefore w:val="0"/>
        <w:kinsoku/>
        <w:wordWrap/>
        <w:overflowPunct/>
        <w:topLinePunct w:val="0"/>
        <w:bidi w:val="0"/>
        <w:adjustRightInd/>
        <w:snapToGrid/>
        <w:spacing w:line="288" w:lineRule="auto"/>
        <w:rPr>
          <w:rFonts w:ascii="Arial"/>
          <w:color w:val="auto"/>
          <w:sz w:val="21"/>
        </w:rPr>
      </w:pPr>
    </w:p>
    <w:p w14:paraId="54E618A6">
      <w:pPr>
        <w:keepNext w:val="0"/>
        <w:keepLines w:val="0"/>
        <w:pageBreakBefore w:val="0"/>
        <w:kinsoku/>
        <w:wordWrap/>
        <w:overflowPunct/>
        <w:topLinePunct w:val="0"/>
        <w:bidi w:val="0"/>
        <w:adjustRightInd/>
        <w:snapToGrid/>
        <w:spacing w:line="288" w:lineRule="auto"/>
        <w:rPr>
          <w:rFonts w:ascii="Arial"/>
          <w:color w:val="auto"/>
          <w:sz w:val="21"/>
        </w:rPr>
      </w:pPr>
    </w:p>
    <w:p w14:paraId="0335941C">
      <w:pPr>
        <w:keepNext w:val="0"/>
        <w:keepLines w:val="0"/>
        <w:pageBreakBefore w:val="0"/>
        <w:kinsoku/>
        <w:wordWrap/>
        <w:overflowPunct/>
        <w:topLinePunct w:val="0"/>
        <w:bidi w:val="0"/>
        <w:adjustRightInd/>
        <w:snapToGrid/>
        <w:spacing w:line="288" w:lineRule="auto"/>
        <w:rPr>
          <w:rFonts w:ascii="Arial"/>
          <w:color w:val="auto"/>
          <w:sz w:val="21"/>
        </w:rPr>
      </w:pPr>
    </w:p>
    <w:p w14:paraId="0D2BCC26">
      <w:pPr>
        <w:keepNext w:val="0"/>
        <w:keepLines w:val="0"/>
        <w:pageBreakBefore w:val="0"/>
        <w:kinsoku/>
        <w:wordWrap/>
        <w:overflowPunct/>
        <w:topLinePunct w:val="0"/>
        <w:bidi w:val="0"/>
        <w:adjustRightInd/>
        <w:snapToGrid/>
        <w:spacing w:line="288" w:lineRule="auto"/>
        <w:rPr>
          <w:rFonts w:ascii="Arial"/>
          <w:color w:val="auto"/>
          <w:sz w:val="21"/>
        </w:rPr>
      </w:pPr>
    </w:p>
    <w:p w14:paraId="11AFA9CD">
      <w:pPr>
        <w:keepNext w:val="0"/>
        <w:keepLines w:val="0"/>
        <w:pageBreakBefore w:val="0"/>
        <w:kinsoku/>
        <w:wordWrap/>
        <w:overflowPunct/>
        <w:topLinePunct w:val="0"/>
        <w:bidi w:val="0"/>
        <w:adjustRightInd/>
        <w:snapToGrid/>
        <w:spacing w:line="288" w:lineRule="auto"/>
        <w:rPr>
          <w:rFonts w:ascii="Arial"/>
          <w:color w:val="auto"/>
          <w:sz w:val="21"/>
        </w:rPr>
      </w:pPr>
    </w:p>
    <w:p w14:paraId="05714EF8">
      <w:pPr>
        <w:keepNext w:val="0"/>
        <w:keepLines w:val="0"/>
        <w:pageBreakBefore w:val="0"/>
        <w:kinsoku/>
        <w:wordWrap/>
        <w:overflowPunct/>
        <w:topLinePunct w:val="0"/>
        <w:bidi w:val="0"/>
        <w:adjustRightInd/>
        <w:snapToGrid/>
        <w:spacing w:line="288" w:lineRule="auto"/>
        <w:rPr>
          <w:rFonts w:ascii="Arial"/>
          <w:color w:val="auto"/>
          <w:sz w:val="21"/>
        </w:rPr>
      </w:pPr>
    </w:p>
    <w:p w14:paraId="35B7B1A3">
      <w:pPr>
        <w:keepNext w:val="0"/>
        <w:keepLines w:val="0"/>
        <w:pageBreakBefore w:val="0"/>
        <w:kinsoku/>
        <w:wordWrap/>
        <w:overflowPunct/>
        <w:topLinePunct w:val="0"/>
        <w:bidi w:val="0"/>
        <w:adjustRightInd/>
        <w:snapToGrid/>
        <w:spacing w:line="288" w:lineRule="auto"/>
        <w:rPr>
          <w:rFonts w:ascii="Arial"/>
          <w:color w:val="auto"/>
          <w:sz w:val="21"/>
        </w:rPr>
      </w:pPr>
    </w:p>
    <w:p w14:paraId="0B69EACC">
      <w:pPr>
        <w:keepNext w:val="0"/>
        <w:keepLines w:val="0"/>
        <w:pageBreakBefore w:val="0"/>
        <w:kinsoku/>
        <w:wordWrap/>
        <w:overflowPunct/>
        <w:topLinePunct w:val="0"/>
        <w:bidi w:val="0"/>
        <w:adjustRightInd/>
        <w:snapToGrid/>
        <w:spacing w:line="288" w:lineRule="auto"/>
        <w:rPr>
          <w:rFonts w:ascii="Arial"/>
          <w:color w:val="auto"/>
          <w:sz w:val="24"/>
          <w:szCs w:val="24"/>
        </w:rPr>
      </w:pPr>
    </w:p>
    <w:p w14:paraId="7F897FB5">
      <w:pPr>
        <w:keepNext w:val="0"/>
        <w:keepLines w:val="0"/>
        <w:pageBreakBefore w:val="0"/>
        <w:kinsoku/>
        <w:wordWrap/>
        <w:overflowPunct/>
        <w:topLinePunct w:val="0"/>
        <w:bidi w:val="0"/>
        <w:adjustRightInd/>
        <w:snapToGrid/>
        <w:spacing w:line="288" w:lineRule="auto"/>
        <w:rPr>
          <w:rFonts w:ascii="Arial"/>
          <w:color w:val="auto"/>
          <w:sz w:val="24"/>
          <w:szCs w:val="24"/>
        </w:rPr>
      </w:pPr>
    </w:p>
    <w:p w14:paraId="14E3B2E5">
      <w:pPr>
        <w:keepNext w:val="0"/>
        <w:keepLines w:val="0"/>
        <w:pageBreakBefore w:val="0"/>
        <w:widowControl w:val="0"/>
        <w:kinsoku/>
        <w:wordWrap/>
        <w:overflowPunct/>
        <w:topLinePunct w:val="0"/>
        <w:autoSpaceDE/>
        <w:autoSpaceDN/>
        <w:bidi w:val="0"/>
        <w:adjustRightInd/>
        <w:snapToGrid/>
        <w:spacing w:line="288" w:lineRule="auto"/>
        <w:ind w:left="1263" w:leftChars="0" w:firstLine="421" w:firstLineChars="0"/>
        <w:textAlignment w:val="auto"/>
        <w:rPr>
          <w:rFonts w:ascii="宋体" w:hAnsi="宋体" w:eastAsia="宋体" w:cs="宋体"/>
          <w:color w:val="auto"/>
          <w:spacing w:val="29"/>
          <w:sz w:val="21"/>
          <w:szCs w:val="21"/>
        </w:rPr>
      </w:pPr>
      <w:r>
        <w:rPr>
          <w:rFonts w:ascii="宋体" w:hAnsi="宋体" w:eastAsia="宋体" w:cs="宋体"/>
          <w:color w:val="auto"/>
          <w:spacing w:val="23"/>
          <w:kern w:val="0"/>
          <w:sz w:val="21"/>
          <w:szCs w:val="21"/>
          <w:fitText w:val="1440" w:id="1186407224"/>
        </w:rPr>
        <w:t xml:space="preserve">产 品 名 </w:t>
      </w:r>
      <w:r>
        <w:rPr>
          <w:rFonts w:ascii="宋体" w:hAnsi="宋体" w:eastAsia="宋体" w:cs="宋体"/>
          <w:color w:val="auto"/>
          <w:spacing w:val="4"/>
          <w:kern w:val="0"/>
          <w:sz w:val="21"/>
          <w:szCs w:val="21"/>
          <w:fitText w:val="1440" w:id="1186407224"/>
        </w:rPr>
        <w:t>称</w:t>
      </w:r>
      <w:r>
        <w:rPr>
          <w:rFonts w:ascii="宋体" w:hAnsi="宋体" w:eastAsia="宋体" w:cs="宋体"/>
          <w:color w:val="auto"/>
          <w:spacing w:val="28"/>
          <w:sz w:val="21"/>
          <w:szCs w:val="21"/>
        </w:rPr>
        <w:t>：</w:t>
      </w:r>
      <w:r>
        <w:rPr>
          <w:rFonts w:ascii="宋体" w:hAnsi="宋体" w:eastAsia="宋体" w:cs="宋体"/>
          <w:color w:val="auto"/>
          <w:sz w:val="21"/>
          <w:szCs w:val="21"/>
          <w:u w:val="single" w:color="auto"/>
        </w:rPr>
        <w:t xml:space="preserve">                               </w:t>
      </w:r>
    </w:p>
    <w:p w14:paraId="662EEDDA">
      <w:pPr>
        <w:keepNext w:val="0"/>
        <w:keepLines w:val="0"/>
        <w:pageBreakBefore w:val="0"/>
        <w:widowControl w:val="0"/>
        <w:kinsoku/>
        <w:wordWrap/>
        <w:overflowPunct/>
        <w:topLinePunct w:val="0"/>
        <w:autoSpaceDE/>
        <w:autoSpaceDN/>
        <w:bidi w:val="0"/>
        <w:adjustRightInd/>
        <w:snapToGrid/>
        <w:spacing w:line="288" w:lineRule="auto"/>
        <w:ind w:left="1263" w:leftChars="0" w:firstLine="421" w:firstLineChars="0"/>
        <w:textAlignment w:val="auto"/>
        <w:rPr>
          <w:rFonts w:ascii="宋体" w:hAnsi="宋体" w:eastAsia="宋体" w:cs="宋体"/>
          <w:color w:val="auto"/>
          <w:spacing w:val="29"/>
          <w:sz w:val="21"/>
          <w:szCs w:val="21"/>
        </w:rPr>
      </w:pPr>
      <w:r>
        <w:rPr>
          <w:rFonts w:ascii="宋体" w:hAnsi="宋体" w:eastAsia="宋体" w:cs="宋体"/>
          <w:color w:val="auto"/>
          <w:spacing w:val="18"/>
          <w:kern w:val="0"/>
          <w:sz w:val="21"/>
          <w:szCs w:val="21"/>
          <w:fitText w:val="1440" w:id="1687755736"/>
        </w:rPr>
        <w:t>产品规格型</w:t>
      </w:r>
      <w:r>
        <w:rPr>
          <w:rFonts w:ascii="宋体" w:hAnsi="宋体" w:eastAsia="宋体" w:cs="宋体"/>
          <w:color w:val="auto"/>
          <w:spacing w:val="0"/>
          <w:kern w:val="0"/>
          <w:sz w:val="21"/>
          <w:szCs w:val="21"/>
          <w:fitText w:val="1440" w:id="1687755736"/>
        </w:rPr>
        <w:t>号</w:t>
      </w:r>
      <w:r>
        <w:rPr>
          <w:rFonts w:ascii="宋体" w:hAnsi="宋体" w:eastAsia="宋体" w:cs="宋体"/>
          <w:color w:val="auto"/>
          <w:spacing w:val="-100"/>
          <w:sz w:val="21"/>
          <w:szCs w:val="21"/>
        </w:rPr>
        <w:t xml:space="preserve"> </w:t>
      </w:r>
      <w:r>
        <w:rPr>
          <w:rFonts w:ascii="宋体" w:hAnsi="宋体" w:eastAsia="宋体" w:cs="宋体"/>
          <w:color w:val="auto"/>
          <w:spacing w:val="28"/>
          <w:sz w:val="21"/>
          <w:szCs w:val="21"/>
        </w:rPr>
        <w:t>：</w:t>
      </w:r>
      <w:r>
        <w:rPr>
          <w:rFonts w:ascii="宋体" w:hAnsi="宋体" w:eastAsia="宋体" w:cs="宋体"/>
          <w:color w:val="auto"/>
          <w:sz w:val="21"/>
          <w:szCs w:val="21"/>
          <w:u w:val="single" w:color="auto"/>
        </w:rPr>
        <w:t xml:space="preserve">                               </w:t>
      </w:r>
    </w:p>
    <w:p w14:paraId="3C22120C">
      <w:pPr>
        <w:keepNext w:val="0"/>
        <w:keepLines w:val="0"/>
        <w:pageBreakBefore w:val="0"/>
        <w:widowControl w:val="0"/>
        <w:kinsoku/>
        <w:wordWrap/>
        <w:overflowPunct/>
        <w:topLinePunct w:val="0"/>
        <w:autoSpaceDE/>
        <w:autoSpaceDN/>
        <w:bidi w:val="0"/>
        <w:adjustRightInd/>
        <w:snapToGrid/>
        <w:spacing w:line="288" w:lineRule="auto"/>
        <w:ind w:left="1263" w:leftChars="0" w:firstLine="421" w:firstLineChars="0"/>
        <w:textAlignment w:val="auto"/>
        <w:rPr>
          <w:rFonts w:hint="default" w:ascii="宋体" w:hAnsi="宋体" w:eastAsia="宋体" w:cs="宋体"/>
          <w:color w:val="auto"/>
          <w:spacing w:val="29"/>
          <w:sz w:val="21"/>
          <w:szCs w:val="21"/>
          <w:lang w:val="en-US" w:eastAsia="zh-CN"/>
        </w:rPr>
      </w:pPr>
      <w:r>
        <w:rPr>
          <w:rFonts w:ascii="宋体" w:hAnsi="宋体" w:eastAsia="宋体" w:cs="宋体"/>
          <w:color w:val="auto"/>
          <w:spacing w:val="48"/>
          <w:kern w:val="0"/>
          <w:sz w:val="21"/>
          <w:szCs w:val="21"/>
          <w:fitText w:val="1440" w:id="533746152"/>
        </w:rPr>
        <w:t>生产者名</w:t>
      </w:r>
      <w:r>
        <w:rPr>
          <w:rFonts w:ascii="宋体" w:hAnsi="宋体" w:eastAsia="宋体" w:cs="宋体"/>
          <w:color w:val="auto"/>
          <w:spacing w:val="3"/>
          <w:kern w:val="0"/>
          <w:sz w:val="21"/>
          <w:szCs w:val="21"/>
          <w:fitText w:val="1440" w:id="533746152"/>
        </w:rPr>
        <w:t>称</w:t>
      </w:r>
      <w:r>
        <w:rPr>
          <w:rFonts w:ascii="宋体" w:hAnsi="宋体" w:eastAsia="宋体" w:cs="宋体"/>
          <w:color w:val="auto"/>
          <w:spacing w:val="29"/>
          <w:sz w:val="21"/>
          <w:szCs w:val="21"/>
        </w:rPr>
        <w:t>：</w:t>
      </w:r>
      <w:r>
        <w:rPr>
          <w:rFonts w:ascii="宋体" w:hAnsi="宋体" w:eastAsia="宋体" w:cs="宋体"/>
          <w:color w:val="auto"/>
          <w:sz w:val="21"/>
          <w:szCs w:val="21"/>
          <w:u w:val="single" w:color="auto"/>
        </w:rPr>
        <w:t xml:space="preserve">                              </w:t>
      </w:r>
      <w:r>
        <w:rPr>
          <w:rFonts w:hint="eastAsia" w:ascii="宋体" w:hAnsi="宋体" w:eastAsia="宋体" w:cs="宋体"/>
          <w:color w:val="auto"/>
          <w:sz w:val="21"/>
          <w:szCs w:val="21"/>
          <w:u w:val="single" w:color="auto"/>
          <w:lang w:val="en-US" w:eastAsia="zh-CN"/>
        </w:rPr>
        <w:t xml:space="preserve"> </w:t>
      </w:r>
    </w:p>
    <w:p w14:paraId="1446F9ED">
      <w:pPr>
        <w:keepNext w:val="0"/>
        <w:keepLines w:val="0"/>
        <w:pageBreakBefore w:val="0"/>
        <w:widowControl w:val="0"/>
        <w:kinsoku/>
        <w:wordWrap/>
        <w:overflowPunct/>
        <w:topLinePunct w:val="0"/>
        <w:autoSpaceDE/>
        <w:autoSpaceDN/>
        <w:bidi w:val="0"/>
        <w:adjustRightInd/>
        <w:snapToGrid/>
        <w:spacing w:line="288" w:lineRule="auto"/>
        <w:ind w:left="1263" w:leftChars="0" w:firstLine="421" w:firstLineChars="0"/>
        <w:textAlignment w:val="auto"/>
        <w:rPr>
          <w:rFonts w:ascii="宋体" w:hAnsi="宋体" w:eastAsia="宋体" w:cs="宋体"/>
          <w:color w:val="auto"/>
          <w:spacing w:val="29"/>
          <w:sz w:val="21"/>
          <w:szCs w:val="21"/>
        </w:rPr>
      </w:pPr>
      <w:r>
        <w:rPr>
          <w:rFonts w:ascii="宋体" w:hAnsi="宋体" w:eastAsia="宋体" w:cs="宋体"/>
          <w:color w:val="auto"/>
          <w:spacing w:val="23"/>
          <w:kern w:val="0"/>
          <w:sz w:val="21"/>
          <w:szCs w:val="21"/>
          <w:fitText w:val="1440" w:id="1274623810"/>
        </w:rPr>
        <w:t xml:space="preserve">报 告 编 </w:t>
      </w:r>
      <w:r>
        <w:rPr>
          <w:rFonts w:ascii="宋体" w:hAnsi="宋体" w:eastAsia="宋体" w:cs="宋体"/>
          <w:color w:val="auto"/>
          <w:spacing w:val="4"/>
          <w:kern w:val="0"/>
          <w:sz w:val="21"/>
          <w:szCs w:val="21"/>
          <w:fitText w:val="1440" w:id="1274623810"/>
        </w:rPr>
        <w:t>号</w:t>
      </w:r>
      <w:r>
        <w:rPr>
          <w:rFonts w:ascii="宋体" w:hAnsi="宋体" w:eastAsia="宋体" w:cs="宋体"/>
          <w:color w:val="auto"/>
          <w:spacing w:val="-100"/>
          <w:sz w:val="21"/>
          <w:szCs w:val="21"/>
        </w:rPr>
        <w:t xml:space="preserve"> </w:t>
      </w:r>
      <w:r>
        <w:rPr>
          <w:rFonts w:ascii="宋体" w:hAnsi="宋体" w:eastAsia="宋体" w:cs="宋体"/>
          <w:color w:val="auto"/>
          <w:spacing w:val="28"/>
          <w:sz w:val="21"/>
          <w:szCs w:val="21"/>
        </w:rPr>
        <w:t>：</w:t>
      </w:r>
      <w:r>
        <w:rPr>
          <w:rFonts w:ascii="宋体" w:hAnsi="宋体" w:eastAsia="宋体" w:cs="宋体"/>
          <w:color w:val="auto"/>
          <w:sz w:val="21"/>
          <w:szCs w:val="21"/>
          <w:u w:val="single" w:color="auto"/>
        </w:rPr>
        <w:t xml:space="preserve">                               </w:t>
      </w:r>
    </w:p>
    <w:p w14:paraId="4DCC650C">
      <w:pPr>
        <w:keepNext w:val="0"/>
        <w:keepLines w:val="0"/>
        <w:pageBreakBefore w:val="0"/>
        <w:kinsoku/>
        <w:wordWrap/>
        <w:overflowPunct/>
        <w:topLinePunct w:val="0"/>
        <w:bidi w:val="0"/>
        <w:adjustRightInd/>
        <w:snapToGrid/>
        <w:spacing w:line="288" w:lineRule="auto"/>
        <w:rPr>
          <w:rFonts w:ascii="Arial"/>
          <w:color w:val="auto"/>
          <w:sz w:val="21"/>
        </w:rPr>
      </w:pPr>
    </w:p>
    <w:p w14:paraId="3DEE513F">
      <w:pPr>
        <w:keepNext w:val="0"/>
        <w:keepLines w:val="0"/>
        <w:pageBreakBefore w:val="0"/>
        <w:kinsoku/>
        <w:wordWrap/>
        <w:overflowPunct/>
        <w:topLinePunct w:val="0"/>
        <w:bidi w:val="0"/>
        <w:adjustRightInd/>
        <w:snapToGrid/>
        <w:spacing w:line="288" w:lineRule="auto"/>
        <w:rPr>
          <w:rFonts w:ascii="Arial"/>
          <w:color w:val="auto"/>
          <w:sz w:val="21"/>
        </w:rPr>
      </w:pPr>
    </w:p>
    <w:p w14:paraId="24088549">
      <w:pPr>
        <w:keepNext w:val="0"/>
        <w:keepLines w:val="0"/>
        <w:pageBreakBefore w:val="0"/>
        <w:kinsoku/>
        <w:wordWrap/>
        <w:overflowPunct/>
        <w:topLinePunct w:val="0"/>
        <w:bidi w:val="0"/>
        <w:adjustRightInd/>
        <w:snapToGrid/>
        <w:spacing w:line="288" w:lineRule="auto"/>
        <w:rPr>
          <w:rFonts w:ascii="Arial"/>
          <w:color w:val="auto"/>
          <w:sz w:val="21"/>
        </w:rPr>
      </w:pPr>
    </w:p>
    <w:p w14:paraId="6FBB0E12">
      <w:pPr>
        <w:keepNext w:val="0"/>
        <w:keepLines w:val="0"/>
        <w:pageBreakBefore w:val="0"/>
        <w:kinsoku/>
        <w:wordWrap/>
        <w:overflowPunct/>
        <w:topLinePunct w:val="0"/>
        <w:bidi w:val="0"/>
        <w:adjustRightInd/>
        <w:snapToGrid/>
        <w:spacing w:line="288" w:lineRule="auto"/>
        <w:rPr>
          <w:rFonts w:ascii="Arial"/>
          <w:color w:val="auto"/>
          <w:sz w:val="21"/>
        </w:rPr>
      </w:pPr>
    </w:p>
    <w:p w14:paraId="13F291BD">
      <w:pPr>
        <w:keepNext w:val="0"/>
        <w:keepLines w:val="0"/>
        <w:pageBreakBefore w:val="0"/>
        <w:kinsoku/>
        <w:wordWrap/>
        <w:overflowPunct/>
        <w:topLinePunct w:val="0"/>
        <w:bidi w:val="0"/>
        <w:adjustRightInd/>
        <w:snapToGrid/>
        <w:spacing w:line="288" w:lineRule="auto"/>
        <w:rPr>
          <w:rFonts w:ascii="Arial"/>
          <w:color w:val="auto"/>
          <w:sz w:val="21"/>
        </w:rPr>
      </w:pPr>
    </w:p>
    <w:p w14:paraId="02425B03">
      <w:pPr>
        <w:keepNext w:val="0"/>
        <w:keepLines w:val="0"/>
        <w:pageBreakBefore w:val="0"/>
        <w:kinsoku/>
        <w:wordWrap/>
        <w:overflowPunct/>
        <w:topLinePunct w:val="0"/>
        <w:bidi w:val="0"/>
        <w:adjustRightInd/>
        <w:snapToGrid/>
        <w:spacing w:line="288" w:lineRule="auto"/>
        <w:rPr>
          <w:rFonts w:ascii="Arial"/>
          <w:color w:val="auto"/>
          <w:sz w:val="21"/>
        </w:rPr>
      </w:pPr>
    </w:p>
    <w:p w14:paraId="35132214">
      <w:pPr>
        <w:keepNext w:val="0"/>
        <w:keepLines w:val="0"/>
        <w:pageBreakBefore w:val="0"/>
        <w:kinsoku/>
        <w:wordWrap/>
        <w:overflowPunct/>
        <w:topLinePunct w:val="0"/>
        <w:bidi w:val="0"/>
        <w:adjustRightInd/>
        <w:snapToGrid/>
        <w:spacing w:line="288" w:lineRule="auto"/>
        <w:rPr>
          <w:rFonts w:ascii="Arial"/>
          <w:color w:val="auto"/>
          <w:sz w:val="21"/>
        </w:rPr>
      </w:pPr>
    </w:p>
    <w:p w14:paraId="291884A0">
      <w:pPr>
        <w:keepNext w:val="0"/>
        <w:keepLines w:val="0"/>
        <w:pageBreakBefore w:val="0"/>
        <w:kinsoku/>
        <w:wordWrap/>
        <w:overflowPunct/>
        <w:topLinePunct w:val="0"/>
        <w:bidi w:val="0"/>
        <w:adjustRightInd/>
        <w:snapToGrid/>
        <w:spacing w:line="288" w:lineRule="auto"/>
        <w:rPr>
          <w:rFonts w:ascii="Arial"/>
          <w:color w:val="auto"/>
          <w:sz w:val="21"/>
        </w:rPr>
      </w:pPr>
    </w:p>
    <w:p w14:paraId="5E5DF906">
      <w:pPr>
        <w:keepNext w:val="0"/>
        <w:keepLines w:val="0"/>
        <w:pageBreakBefore w:val="0"/>
        <w:kinsoku/>
        <w:wordWrap/>
        <w:overflowPunct/>
        <w:topLinePunct w:val="0"/>
        <w:bidi w:val="0"/>
        <w:adjustRightInd/>
        <w:snapToGrid/>
        <w:spacing w:before="283" w:line="288" w:lineRule="auto"/>
        <w:jc w:val="right"/>
        <w:rPr>
          <w:rFonts w:ascii="宋体" w:hAnsi="宋体" w:eastAsia="宋体" w:cs="宋体"/>
          <w:color w:val="auto"/>
          <w:spacing w:val="29"/>
          <w:sz w:val="21"/>
          <w:szCs w:val="21"/>
        </w:rPr>
      </w:pPr>
      <w:r>
        <w:rPr>
          <w:rFonts w:ascii="宋体" w:hAnsi="宋体" w:eastAsia="宋体" w:cs="宋体"/>
          <w:color w:val="auto"/>
          <w:spacing w:val="29"/>
          <w:sz w:val="21"/>
          <w:szCs w:val="21"/>
        </w:rPr>
        <w:t>出具报告机构：(若有)</w:t>
      </w:r>
      <w:r>
        <w:rPr>
          <w:rFonts w:ascii="宋体" w:hAnsi="宋体" w:eastAsia="宋体" w:cs="宋体"/>
          <w:color w:val="auto"/>
          <w:spacing w:val="29"/>
          <w:sz w:val="21"/>
          <w:szCs w:val="21"/>
          <w:u w:val="single"/>
        </w:rPr>
        <w:t xml:space="preserve">           </w:t>
      </w:r>
      <w:r>
        <w:rPr>
          <w:rFonts w:ascii="宋体" w:hAnsi="宋体" w:eastAsia="宋体" w:cs="宋体"/>
          <w:color w:val="auto"/>
          <w:spacing w:val="29"/>
          <w:sz w:val="21"/>
          <w:szCs w:val="21"/>
        </w:rPr>
        <w:t>(盖章)</w:t>
      </w:r>
    </w:p>
    <w:p w14:paraId="0D1F3F31">
      <w:pPr>
        <w:keepNext w:val="0"/>
        <w:keepLines w:val="0"/>
        <w:pageBreakBefore w:val="0"/>
        <w:kinsoku/>
        <w:wordWrap/>
        <w:overflowPunct/>
        <w:topLinePunct w:val="0"/>
        <w:bidi w:val="0"/>
        <w:adjustRightInd/>
        <w:snapToGrid/>
        <w:spacing w:before="283" w:line="288" w:lineRule="auto"/>
        <w:jc w:val="right"/>
        <w:rPr>
          <w:rFonts w:ascii="宋体" w:hAnsi="宋体" w:eastAsia="宋体" w:cs="宋体"/>
          <w:color w:val="auto"/>
          <w:spacing w:val="29"/>
          <w:sz w:val="21"/>
          <w:szCs w:val="21"/>
        </w:rPr>
        <w:sectPr>
          <w:footerReference r:id="rId12" w:type="default"/>
          <w:pgSz w:w="11906" w:h="16838"/>
          <w:pgMar w:top="1440" w:right="1134" w:bottom="1440" w:left="1803" w:header="0" w:footer="1851" w:gutter="0"/>
          <w:pgNumType w:fmt="decimal"/>
          <w:cols w:space="720" w:num="1"/>
        </w:sectPr>
      </w:pPr>
      <w:r>
        <w:rPr>
          <w:rFonts w:ascii="宋体" w:hAnsi="宋体" w:eastAsia="宋体" w:cs="宋体"/>
          <w:color w:val="auto"/>
          <w:spacing w:val="29"/>
          <w:sz w:val="21"/>
          <w:szCs w:val="21"/>
        </w:rPr>
        <w:t>日期：</w:t>
      </w:r>
      <w:r>
        <w:rPr>
          <w:rFonts w:hint="eastAsia" w:ascii="宋体" w:hAnsi="宋体" w:eastAsia="宋体" w:cs="宋体"/>
          <w:color w:val="auto"/>
          <w:spacing w:val="29"/>
          <w:sz w:val="21"/>
          <w:szCs w:val="21"/>
          <w:u w:val="single"/>
          <w:lang w:val="en-US" w:eastAsia="zh-CN"/>
        </w:rPr>
        <w:t xml:space="preserve">    </w:t>
      </w:r>
      <w:r>
        <w:rPr>
          <w:rFonts w:ascii="宋体" w:hAnsi="宋体" w:eastAsia="宋体" w:cs="宋体"/>
          <w:color w:val="auto"/>
          <w:spacing w:val="29"/>
          <w:sz w:val="21"/>
          <w:szCs w:val="21"/>
        </w:rPr>
        <w:t>年</w:t>
      </w:r>
      <w:r>
        <w:rPr>
          <w:rFonts w:hint="eastAsia" w:ascii="宋体" w:hAnsi="宋体" w:eastAsia="宋体" w:cs="宋体"/>
          <w:color w:val="auto"/>
          <w:spacing w:val="29"/>
          <w:sz w:val="21"/>
          <w:szCs w:val="21"/>
          <w:u w:val="single"/>
          <w:lang w:val="en-US" w:eastAsia="zh-CN"/>
        </w:rPr>
        <w:t xml:space="preserve">    </w:t>
      </w:r>
      <w:r>
        <w:rPr>
          <w:rFonts w:ascii="宋体" w:hAnsi="宋体" w:eastAsia="宋体" w:cs="宋体"/>
          <w:color w:val="auto"/>
          <w:spacing w:val="29"/>
          <w:sz w:val="21"/>
          <w:szCs w:val="21"/>
        </w:rPr>
        <w:t>月</w:t>
      </w:r>
      <w:r>
        <w:rPr>
          <w:rFonts w:hint="eastAsia" w:ascii="宋体" w:hAnsi="宋体" w:eastAsia="宋体" w:cs="宋体"/>
          <w:color w:val="auto"/>
          <w:spacing w:val="29"/>
          <w:sz w:val="21"/>
          <w:szCs w:val="21"/>
          <w:u w:val="single"/>
          <w:lang w:val="en-US" w:eastAsia="zh-CN"/>
        </w:rPr>
        <w:t xml:space="preserve">    </w:t>
      </w:r>
      <w:r>
        <w:rPr>
          <w:rFonts w:ascii="宋体" w:hAnsi="宋体" w:eastAsia="宋体" w:cs="宋体"/>
          <w:color w:val="auto"/>
          <w:spacing w:val="29"/>
          <w:sz w:val="21"/>
          <w:szCs w:val="21"/>
        </w:rPr>
        <w:t>日</w:t>
      </w:r>
    </w:p>
    <w:p w14:paraId="55807E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rPr>
      </w:pPr>
      <w:r>
        <w:rPr>
          <w:rFonts w:hint="default" w:ascii="Times New Roman" w:hAnsi="Times New Roman" w:eastAsia="宋体" w:cs="Times New Roman"/>
          <w:color w:val="auto"/>
          <w:spacing w:val="29"/>
          <w:sz w:val="21"/>
          <w:szCs w:val="21"/>
        </w:rPr>
        <w:t>一</w:t>
      </w:r>
      <w:r>
        <w:rPr>
          <w:rFonts w:hint="default" w:ascii="Times New Roman" w:hAnsi="Times New Roman" w:eastAsia="宋体" w:cs="Times New Roman"/>
          <w:color w:val="auto"/>
          <w:spacing w:val="29"/>
          <w:sz w:val="21"/>
          <w:szCs w:val="21"/>
          <w:lang w:eastAsia="zh-CN"/>
        </w:rPr>
        <w:t>、</w:t>
      </w:r>
      <w:r>
        <w:rPr>
          <w:rFonts w:hint="default" w:ascii="Times New Roman" w:hAnsi="Times New Roman" w:eastAsia="宋体" w:cs="Times New Roman"/>
          <w:color w:val="auto"/>
          <w:spacing w:val="29"/>
          <w:sz w:val="21"/>
          <w:szCs w:val="21"/>
        </w:rPr>
        <w:t>概况</w:t>
      </w:r>
    </w:p>
    <w:p w14:paraId="4EAA843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rPr>
      </w:pPr>
      <w:r>
        <w:rPr>
          <w:rFonts w:hint="default" w:ascii="Times New Roman" w:hAnsi="Times New Roman" w:eastAsia="宋体" w:cs="Times New Roman"/>
          <w:color w:val="auto"/>
          <w:spacing w:val="29"/>
          <w:sz w:val="21"/>
          <w:szCs w:val="21"/>
        </w:rPr>
        <w:t>1.生产者信息</w:t>
      </w:r>
    </w:p>
    <w:p w14:paraId="136C2F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lang w:val="en-US" w:eastAsia="zh-CN"/>
        </w:rPr>
      </w:pPr>
      <w:r>
        <w:rPr>
          <w:rFonts w:hint="default" w:ascii="Times New Roman" w:hAnsi="Times New Roman" w:eastAsia="宋体" w:cs="Times New Roman"/>
          <w:color w:val="auto"/>
          <w:spacing w:val="29"/>
          <w:sz w:val="21"/>
          <w:szCs w:val="21"/>
        </w:rPr>
        <w:t>生产者名称</w:t>
      </w:r>
      <w:r>
        <w:rPr>
          <w:rFonts w:hint="default" w:ascii="Times New Roman" w:hAnsi="Times New Roman" w:eastAsia="宋体" w:cs="Times New Roman"/>
          <w:color w:val="auto"/>
          <w:spacing w:val="29"/>
          <w:sz w:val="21"/>
          <w:szCs w:val="21"/>
          <w:lang w:eastAsia="zh-CN"/>
        </w:rPr>
        <w:t>：</w:t>
      </w:r>
      <w:r>
        <w:rPr>
          <w:rFonts w:hint="default" w:ascii="Times New Roman" w:hAnsi="Times New Roman" w:eastAsia="宋体" w:cs="Times New Roman"/>
          <w:color w:val="auto"/>
          <w:spacing w:val="29"/>
          <w:sz w:val="21"/>
          <w:szCs w:val="21"/>
          <w:u w:val="single"/>
          <w:lang w:val="en-US" w:eastAsia="zh-CN"/>
        </w:rPr>
        <w:t xml:space="preserve">                </w:t>
      </w:r>
      <w:r>
        <w:rPr>
          <w:rFonts w:hint="default" w:ascii="Times New Roman" w:hAnsi="Times New Roman" w:eastAsia="宋体" w:cs="Times New Roman"/>
          <w:color w:val="auto"/>
          <w:spacing w:val="29"/>
          <w:sz w:val="21"/>
          <w:szCs w:val="21"/>
          <w:lang w:val="en-US" w:eastAsia="zh-CN"/>
        </w:rPr>
        <w:t xml:space="preserve">    </w:t>
      </w:r>
    </w:p>
    <w:p w14:paraId="7D277A7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u w:val="single"/>
        </w:rPr>
      </w:pPr>
      <w:r>
        <w:rPr>
          <w:rFonts w:hint="default" w:ascii="Times New Roman" w:hAnsi="Times New Roman" w:eastAsia="宋体" w:cs="Times New Roman"/>
          <w:color w:val="auto"/>
          <w:spacing w:val="29"/>
          <w:sz w:val="21"/>
          <w:szCs w:val="21"/>
        </w:rPr>
        <w:t>地址：</w:t>
      </w:r>
      <w:r>
        <w:rPr>
          <w:rFonts w:hint="default" w:ascii="Times New Roman" w:hAnsi="Times New Roman" w:eastAsia="宋体" w:cs="Times New Roman"/>
          <w:color w:val="auto"/>
          <w:spacing w:val="29"/>
          <w:sz w:val="21"/>
          <w:szCs w:val="21"/>
          <w:u w:val="single"/>
          <w:lang w:val="en-US" w:eastAsia="zh-CN"/>
        </w:rPr>
        <w:t xml:space="preserve">                  </w:t>
      </w:r>
      <w:r>
        <w:rPr>
          <w:rFonts w:hint="eastAsia" w:ascii="Times New Roman" w:hAnsi="Times New Roman" w:eastAsia="宋体" w:cs="Times New Roman"/>
          <w:color w:val="auto"/>
          <w:spacing w:val="29"/>
          <w:sz w:val="21"/>
          <w:szCs w:val="21"/>
          <w:u w:val="single"/>
          <w:lang w:val="en-US" w:eastAsia="zh-CN"/>
        </w:rPr>
        <w:t xml:space="preserve"> </w:t>
      </w:r>
      <w:r>
        <w:rPr>
          <w:rFonts w:hint="default" w:ascii="Times New Roman" w:hAnsi="Times New Roman" w:eastAsia="宋体" w:cs="Times New Roman"/>
          <w:color w:val="auto"/>
          <w:spacing w:val="29"/>
          <w:sz w:val="21"/>
          <w:szCs w:val="21"/>
          <w:u w:val="single"/>
          <w:lang w:val="en-US" w:eastAsia="zh-CN"/>
        </w:rPr>
        <w:t xml:space="preserve">  </w:t>
      </w:r>
    </w:p>
    <w:p w14:paraId="5F14C68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rPr>
      </w:pPr>
      <w:r>
        <w:rPr>
          <w:rFonts w:hint="default" w:ascii="Times New Roman" w:hAnsi="Times New Roman" w:eastAsia="宋体" w:cs="Times New Roman"/>
          <w:color w:val="auto"/>
          <w:spacing w:val="29"/>
          <w:sz w:val="21"/>
          <w:szCs w:val="21"/>
        </w:rPr>
        <w:t>法定代表人：</w:t>
      </w:r>
      <w:r>
        <w:rPr>
          <w:rFonts w:hint="default" w:ascii="Times New Roman" w:hAnsi="Times New Roman" w:eastAsia="宋体" w:cs="Times New Roman"/>
          <w:color w:val="auto"/>
          <w:spacing w:val="29"/>
          <w:sz w:val="21"/>
          <w:szCs w:val="21"/>
          <w:u w:val="single"/>
          <w:lang w:val="en-US" w:eastAsia="zh-CN"/>
        </w:rPr>
        <w:t xml:space="preserve">                </w:t>
      </w:r>
      <w:r>
        <w:rPr>
          <w:rFonts w:hint="default" w:ascii="Times New Roman" w:hAnsi="Times New Roman" w:eastAsia="宋体" w:cs="Times New Roman"/>
          <w:color w:val="auto"/>
          <w:spacing w:val="29"/>
          <w:sz w:val="21"/>
          <w:szCs w:val="21"/>
          <w:lang w:val="en-US" w:eastAsia="zh-CN"/>
        </w:rPr>
        <w:t xml:space="preserve">    </w:t>
      </w:r>
    </w:p>
    <w:p w14:paraId="31E9914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lang w:eastAsia="zh-CN"/>
        </w:rPr>
      </w:pPr>
      <w:r>
        <w:rPr>
          <w:rFonts w:hint="default" w:ascii="Times New Roman" w:hAnsi="Times New Roman" w:eastAsia="宋体" w:cs="Times New Roman"/>
          <w:color w:val="auto"/>
          <w:spacing w:val="29"/>
          <w:sz w:val="21"/>
          <w:szCs w:val="21"/>
        </w:rPr>
        <w:t>授权人</w:t>
      </w:r>
      <w:r>
        <w:rPr>
          <w:rFonts w:hint="eastAsia" w:ascii="Times New Roman" w:hAnsi="Times New Roman" w:eastAsia="宋体" w:cs="Times New Roman"/>
          <w:color w:val="auto"/>
          <w:spacing w:val="29"/>
          <w:sz w:val="21"/>
          <w:szCs w:val="21"/>
          <w:lang w:eastAsia="zh-CN"/>
        </w:rPr>
        <w:t>（</w:t>
      </w:r>
      <w:r>
        <w:rPr>
          <w:rFonts w:hint="default" w:ascii="Times New Roman" w:hAnsi="Times New Roman" w:eastAsia="宋体" w:cs="Times New Roman"/>
          <w:color w:val="auto"/>
          <w:spacing w:val="29"/>
          <w:sz w:val="21"/>
          <w:szCs w:val="21"/>
        </w:rPr>
        <w:t>联系人</w:t>
      </w:r>
      <w:r>
        <w:rPr>
          <w:rFonts w:hint="eastAsia" w:ascii="Times New Roman" w:hAnsi="Times New Roman" w:eastAsia="宋体" w:cs="Times New Roman"/>
          <w:color w:val="auto"/>
          <w:spacing w:val="29"/>
          <w:sz w:val="21"/>
          <w:szCs w:val="21"/>
          <w:lang w:eastAsia="zh-CN"/>
        </w:rPr>
        <w:t>）</w:t>
      </w:r>
      <w:r>
        <w:rPr>
          <w:rFonts w:hint="default" w:ascii="Times New Roman" w:hAnsi="Times New Roman" w:eastAsia="宋体" w:cs="Times New Roman"/>
          <w:color w:val="auto"/>
          <w:spacing w:val="29"/>
          <w:sz w:val="21"/>
          <w:szCs w:val="21"/>
          <w:lang w:eastAsia="zh-CN"/>
        </w:rPr>
        <w:t>：</w:t>
      </w:r>
      <w:r>
        <w:rPr>
          <w:rFonts w:hint="default" w:ascii="Times New Roman" w:hAnsi="Times New Roman" w:eastAsia="宋体" w:cs="Times New Roman"/>
          <w:color w:val="auto"/>
          <w:spacing w:val="29"/>
          <w:sz w:val="21"/>
          <w:szCs w:val="21"/>
          <w:u w:val="single"/>
          <w:lang w:val="en-US" w:eastAsia="zh-CN"/>
        </w:rPr>
        <w:t xml:space="preserve">           </w:t>
      </w:r>
      <w:r>
        <w:rPr>
          <w:rFonts w:hint="default" w:ascii="Times New Roman" w:hAnsi="Times New Roman" w:eastAsia="宋体" w:cs="Times New Roman"/>
          <w:color w:val="auto"/>
          <w:spacing w:val="29"/>
          <w:sz w:val="21"/>
          <w:szCs w:val="21"/>
          <w:lang w:val="en-US" w:eastAsia="zh-CN"/>
        </w:rPr>
        <w:t xml:space="preserve">        </w:t>
      </w:r>
    </w:p>
    <w:p w14:paraId="7C52E48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rPr>
      </w:pPr>
      <w:r>
        <w:rPr>
          <w:rFonts w:hint="default" w:ascii="Times New Roman" w:hAnsi="Times New Roman" w:eastAsia="宋体" w:cs="Times New Roman"/>
          <w:color w:val="auto"/>
          <w:spacing w:val="29"/>
          <w:sz w:val="21"/>
          <w:szCs w:val="21"/>
        </w:rPr>
        <w:t>联系电话：</w:t>
      </w:r>
      <w:r>
        <w:rPr>
          <w:rFonts w:hint="default" w:ascii="Times New Roman" w:hAnsi="Times New Roman" w:eastAsia="宋体" w:cs="Times New Roman"/>
          <w:color w:val="auto"/>
          <w:spacing w:val="29"/>
          <w:sz w:val="21"/>
          <w:szCs w:val="21"/>
          <w:u w:val="single"/>
          <w:lang w:val="en-US" w:eastAsia="zh-CN"/>
        </w:rPr>
        <w:t xml:space="preserve">                  </w:t>
      </w:r>
      <w:r>
        <w:rPr>
          <w:rFonts w:hint="default" w:ascii="Times New Roman" w:hAnsi="Times New Roman" w:eastAsia="宋体" w:cs="Times New Roman"/>
          <w:color w:val="auto"/>
          <w:spacing w:val="29"/>
          <w:sz w:val="21"/>
          <w:szCs w:val="21"/>
          <w:lang w:val="en-US" w:eastAsia="zh-CN"/>
        </w:rPr>
        <w:t xml:space="preserve">  </w:t>
      </w:r>
    </w:p>
    <w:p w14:paraId="61F1DF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rPr>
      </w:pPr>
      <w:r>
        <w:rPr>
          <w:rFonts w:hint="default" w:ascii="Times New Roman" w:hAnsi="Times New Roman" w:eastAsia="宋体" w:cs="Times New Roman"/>
          <w:color w:val="auto"/>
          <w:spacing w:val="29"/>
          <w:sz w:val="21"/>
          <w:szCs w:val="21"/>
        </w:rPr>
        <w:t>企业概况：</w:t>
      </w:r>
      <w:r>
        <w:rPr>
          <w:rFonts w:hint="default" w:ascii="Times New Roman" w:hAnsi="Times New Roman" w:eastAsia="宋体" w:cs="Times New Roman"/>
          <w:color w:val="auto"/>
          <w:spacing w:val="29"/>
          <w:sz w:val="21"/>
          <w:szCs w:val="21"/>
          <w:u w:val="single"/>
          <w:lang w:val="en-US" w:eastAsia="zh-CN"/>
        </w:rPr>
        <w:t xml:space="preserve">                  </w:t>
      </w:r>
      <w:r>
        <w:rPr>
          <w:rFonts w:hint="default" w:ascii="Times New Roman" w:hAnsi="Times New Roman" w:eastAsia="宋体" w:cs="Times New Roman"/>
          <w:color w:val="auto"/>
          <w:spacing w:val="29"/>
          <w:sz w:val="21"/>
          <w:szCs w:val="21"/>
          <w:lang w:val="en-US" w:eastAsia="zh-CN"/>
        </w:rPr>
        <w:t xml:space="preserve">  </w:t>
      </w:r>
    </w:p>
    <w:p w14:paraId="1EDEE7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rPr>
      </w:pPr>
      <w:r>
        <w:rPr>
          <w:rFonts w:hint="eastAsia" w:ascii="Times New Roman" w:hAnsi="Times New Roman" w:eastAsia="宋体" w:cs="Times New Roman"/>
          <w:color w:val="auto"/>
          <w:spacing w:val="29"/>
          <w:sz w:val="21"/>
          <w:szCs w:val="21"/>
          <w:lang w:val="en-US" w:eastAsia="zh-CN"/>
        </w:rPr>
        <w:t>2.</w:t>
      </w:r>
      <w:r>
        <w:rPr>
          <w:rFonts w:hint="default" w:ascii="Times New Roman" w:hAnsi="Times New Roman" w:eastAsia="宋体" w:cs="Times New Roman"/>
          <w:color w:val="auto"/>
          <w:spacing w:val="29"/>
          <w:sz w:val="21"/>
          <w:szCs w:val="21"/>
        </w:rPr>
        <w:t>产品信息</w:t>
      </w:r>
    </w:p>
    <w:p w14:paraId="0CE10EB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lang w:eastAsia="zh-CN"/>
        </w:rPr>
      </w:pPr>
      <w:r>
        <w:rPr>
          <w:rFonts w:hint="default" w:ascii="Times New Roman" w:hAnsi="Times New Roman" w:eastAsia="宋体" w:cs="Times New Roman"/>
          <w:color w:val="auto"/>
          <w:spacing w:val="29"/>
          <w:sz w:val="21"/>
          <w:szCs w:val="21"/>
        </w:rPr>
        <w:t>产品名称</w:t>
      </w:r>
      <w:r>
        <w:rPr>
          <w:rFonts w:hint="default" w:ascii="Times New Roman" w:hAnsi="Times New Roman" w:eastAsia="宋体" w:cs="Times New Roman"/>
          <w:color w:val="auto"/>
          <w:spacing w:val="29"/>
          <w:sz w:val="21"/>
          <w:szCs w:val="21"/>
          <w:lang w:eastAsia="zh-CN"/>
        </w:rPr>
        <w:t>：</w:t>
      </w:r>
      <w:r>
        <w:rPr>
          <w:rFonts w:hint="default" w:ascii="Times New Roman" w:hAnsi="Times New Roman" w:eastAsia="宋体" w:cs="Times New Roman"/>
          <w:color w:val="auto"/>
          <w:spacing w:val="29"/>
          <w:sz w:val="21"/>
          <w:szCs w:val="21"/>
          <w:u w:val="single"/>
          <w:lang w:val="en-US" w:eastAsia="zh-CN"/>
        </w:rPr>
        <w:t xml:space="preserve">                  </w:t>
      </w:r>
      <w:r>
        <w:rPr>
          <w:rFonts w:hint="default" w:ascii="Times New Roman" w:hAnsi="Times New Roman" w:eastAsia="宋体" w:cs="Times New Roman"/>
          <w:color w:val="auto"/>
          <w:spacing w:val="29"/>
          <w:sz w:val="21"/>
          <w:szCs w:val="21"/>
          <w:lang w:val="en-US" w:eastAsia="zh-CN"/>
        </w:rPr>
        <w:t xml:space="preserve">  </w:t>
      </w:r>
    </w:p>
    <w:p w14:paraId="1C60DE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lang w:eastAsia="zh-CN"/>
        </w:rPr>
      </w:pPr>
      <w:r>
        <w:rPr>
          <w:rFonts w:hint="default" w:ascii="Times New Roman" w:hAnsi="Times New Roman" w:eastAsia="宋体" w:cs="Times New Roman"/>
          <w:color w:val="auto"/>
          <w:spacing w:val="29"/>
          <w:sz w:val="21"/>
          <w:szCs w:val="21"/>
        </w:rPr>
        <w:t>产品功能</w:t>
      </w:r>
      <w:r>
        <w:rPr>
          <w:rFonts w:hint="default" w:ascii="Times New Roman" w:hAnsi="Times New Roman" w:eastAsia="宋体" w:cs="Times New Roman"/>
          <w:color w:val="auto"/>
          <w:spacing w:val="29"/>
          <w:sz w:val="21"/>
          <w:szCs w:val="21"/>
          <w:lang w:eastAsia="zh-CN"/>
        </w:rPr>
        <w:t>：</w:t>
      </w:r>
      <w:r>
        <w:rPr>
          <w:rFonts w:hint="default" w:ascii="Times New Roman" w:hAnsi="Times New Roman" w:eastAsia="宋体" w:cs="Times New Roman"/>
          <w:color w:val="auto"/>
          <w:spacing w:val="29"/>
          <w:sz w:val="21"/>
          <w:szCs w:val="21"/>
          <w:u w:val="single"/>
          <w:lang w:val="en-US" w:eastAsia="zh-CN"/>
        </w:rPr>
        <w:t xml:space="preserve">                  </w:t>
      </w:r>
      <w:r>
        <w:rPr>
          <w:rFonts w:hint="default" w:ascii="Times New Roman" w:hAnsi="Times New Roman" w:eastAsia="宋体" w:cs="Times New Roman"/>
          <w:color w:val="auto"/>
          <w:spacing w:val="29"/>
          <w:sz w:val="21"/>
          <w:szCs w:val="21"/>
          <w:lang w:val="en-US" w:eastAsia="zh-CN"/>
        </w:rPr>
        <w:t xml:space="preserve">  </w:t>
      </w:r>
    </w:p>
    <w:p w14:paraId="3FBE5D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rPr>
      </w:pPr>
      <w:r>
        <w:rPr>
          <w:rFonts w:hint="default" w:ascii="Times New Roman" w:hAnsi="Times New Roman" w:eastAsia="宋体" w:cs="Times New Roman"/>
          <w:color w:val="auto"/>
          <w:spacing w:val="29"/>
          <w:sz w:val="21"/>
          <w:szCs w:val="21"/>
        </w:rPr>
        <w:t>产品介绍：</w:t>
      </w:r>
      <w:r>
        <w:rPr>
          <w:rFonts w:hint="default" w:ascii="Times New Roman" w:hAnsi="Times New Roman" w:eastAsia="宋体" w:cs="Times New Roman"/>
          <w:color w:val="auto"/>
          <w:spacing w:val="29"/>
          <w:sz w:val="21"/>
          <w:szCs w:val="21"/>
          <w:u w:val="single"/>
          <w:lang w:val="en-US" w:eastAsia="zh-CN"/>
        </w:rPr>
        <w:t xml:space="preserve">                  </w:t>
      </w:r>
      <w:r>
        <w:rPr>
          <w:rFonts w:hint="default" w:ascii="Times New Roman" w:hAnsi="Times New Roman" w:eastAsia="宋体" w:cs="Times New Roman"/>
          <w:color w:val="auto"/>
          <w:spacing w:val="29"/>
          <w:sz w:val="21"/>
          <w:szCs w:val="21"/>
          <w:lang w:val="en-US" w:eastAsia="zh-CN"/>
        </w:rPr>
        <w:t xml:space="preserve">  </w:t>
      </w:r>
    </w:p>
    <w:p w14:paraId="0906AF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rPr>
      </w:pPr>
      <w:r>
        <w:rPr>
          <w:rFonts w:hint="default" w:ascii="Times New Roman" w:hAnsi="Times New Roman" w:eastAsia="宋体" w:cs="Times New Roman"/>
          <w:color w:val="auto"/>
          <w:spacing w:val="29"/>
          <w:sz w:val="21"/>
          <w:szCs w:val="21"/>
        </w:rPr>
        <w:t>产品图片：</w:t>
      </w:r>
      <w:r>
        <w:rPr>
          <w:rFonts w:hint="default" w:ascii="Times New Roman" w:hAnsi="Times New Roman" w:eastAsia="宋体" w:cs="Times New Roman"/>
          <w:color w:val="auto"/>
          <w:spacing w:val="29"/>
          <w:sz w:val="21"/>
          <w:szCs w:val="21"/>
          <w:u w:val="single"/>
          <w:lang w:val="en-US" w:eastAsia="zh-CN"/>
        </w:rPr>
        <w:t xml:space="preserve">                  </w:t>
      </w:r>
      <w:r>
        <w:rPr>
          <w:rFonts w:hint="default" w:ascii="Times New Roman" w:hAnsi="Times New Roman" w:eastAsia="宋体" w:cs="Times New Roman"/>
          <w:color w:val="auto"/>
          <w:spacing w:val="29"/>
          <w:sz w:val="21"/>
          <w:szCs w:val="21"/>
          <w:lang w:val="en-US" w:eastAsia="zh-CN"/>
        </w:rPr>
        <w:t xml:space="preserve">  </w:t>
      </w:r>
    </w:p>
    <w:p w14:paraId="5FBDC7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lang w:val="en-US" w:eastAsia="zh-CN"/>
        </w:rPr>
      </w:pPr>
      <w:r>
        <w:rPr>
          <w:rFonts w:hint="eastAsia" w:ascii="Times New Roman" w:hAnsi="Times New Roman" w:eastAsia="宋体" w:cs="Times New Roman"/>
          <w:color w:val="auto"/>
          <w:spacing w:val="29"/>
          <w:sz w:val="21"/>
          <w:szCs w:val="21"/>
          <w:lang w:val="en-US" w:eastAsia="zh-CN"/>
        </w:rPr>
        <w:t>3.</w:t>
      </w:r>
      <w:r>
        <w:rPr>
          <w:rFonts w:hint="default" w:ascii="Times New Roman" w:hAnsi="Times New Roman" w:eastAsia="宋体" w:cs="Times New Roman"/>
          <w:color w:val="auto"/>
          <w:spacing w:val="29"/>
          <w:sz w:val="21"/>
          <w:szCs w:val="21"/>
          <w:lang w:val="en-US" w:eastAsia="zh-CN"/>
        </w:rPr>
        <w:t>量化方法</w:t>
      </w:r>
    </w:p>
    <w:p w14:paraId="3CE601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rPr>
      </w:pPr>
      <w:r>
        <w:rPr>
          <w:rFonts w:hint="default" w:ascii="Times New Roman" w:hAnsi="Times New Roman" w:eastAsia="宋体" w:cs="Times New Roman"/>
          <w:color w:val="auto"/>
          <w:spacing w:val="29"/>
          <w:sz w:val="21"/>
          <w:szCs w:val="21"/>
        </w:rPr>
        <w:t>依据标准</w:t>
      </w:r>
      <w:r>
        <w:rPr>
          <w:rFonts w:hint="default" w:ascii="Times New Roman" w:hAnsi="Times New Roman" w:eastAsia="宋体" w:cs="Times New Roman"/>
          <w:color w:val="auto"/>
          <w:spacing w:val="29"/>
          <w:sz w:val="21"/>
          <w:szCs w:val="21"/>
          <w:lang w:eastAsia="zh-CN"/>
        </w:rPr>
        <w:t>：</w:t>
      </w:r>
      <w:r>
        <w:rPr>
          <w:rFonts w:hint="default" w:ascii="Times New Roman" w:hAnsi="Times New Roman" w:eastAsia="宋体" w:cs="Times New Roman"/>
          <w:color w:val="auto"/>
          <w:spacing w:val="29"/>
          <w:sz w:val="21"/>
          <w:szCs w:val="21"/>
          <w:u w:val="single"/>
          <w:lang w:val="en-US" w:eastAsia="zh-CN"/>
        </w:rPr>
        <w:t xml:space="preserve">                  </w:t>
      </w:r>
      <w:r>
        <w:rPr>
          <w:rFonts w:hint="default" w:ascii="Times New Roman" w:hAnsi="Times New Roman" w:eastAsia="宋体" w:cs="Times New Roman"/>
          <w:color w:val="auto"/>
          <w:spacing w:val="29"/>
          <w:sz w:val="21"/>
          <w:szCs w:val="21"/>
          <w:lang w:val="en-US" w:eastAsia="zh-CN"/>
        </w:rPr>
        <w:t xml:space="preserve">  </w:t>
      </w:r>
    </w:p>
    <w:p w14:paraId="6BC811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rPr>
      </w:pPr>
      <w:r>
        <w:rPr>
          <w:rFonts w:hint="default" w:ascii="Times New Roman" w:hAnsi="Times New Roman" w:eastAsia="宋体" w:cs="Times New Roman"/>
          <w:color w:val="auto"/>
          <w:spacing w:val="29"/>
          <w:sz w:val="21"/>
          <w:szCs w:val="21"/>
        </w:rPr>
        <w:t>二、量化目的</w:t>
      </w:r>
    </w:p>
    <w:p w14:paraId="3FA1ED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u w:val="single"/>
          <w:lang w:val="en-US" w:eastAsia="zh-CN"/>
        </w:rPr>
      </w:pPr>
      <w:r>
        <w:rPr>
          <w:rFonts w:hint="default" w:ascii="Times New Roman" w:hAnsi="Times New Roman" w:eastAsia="宋体" w:cs="Times New Roman"/>
          <w:color w:val="auto"/>
          <w:spacing w:val="29"/>
          <w:sz w:val="21"/>
          <w:szCs w:val="21"/>
          <w:u w:val="single"/>
          <w:lang w:val="en-US" w:eastAsia="zh-CN"/>
        </w:rPr>
        <w:t xml:space="preserve">                                               </w:t>
      </w:r>
    </w:p>
    <w:p w14:paraId="38031C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6"/>
          <w:sz w:val="21"/>
          <w:szCs w:val="21"/>
        </w:rPr>
        <w:t>三、量化范围</w:t>
      </w:r>
    </w:p>
    <w:p w14:paraId="460525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功能单位或声明单位</w:t>
      </w:r>
    </w:p>
    <w:p w14:paraId="19C29154">
      <w:pPr>
        <w:pStyle w:val="4"/>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以</w:t>
      </w:r>
      <w:r>
        <w:rPr>
          <w:rFonts w:hint="default" w:ascii="Times New Roman" w:hAnsi="Times New Roman" w:eastAsia="宋体" w:cs="Times New Roman"/>
          <w:sz w:val="21"/>
          <w:szCs w:val="21"/>
          <w:u w:val="single"/>
          <w:lang w:val="en-US" w:eastAsia="zh-CN"/>
        </w:rPr>
        <w:t xml:space="preserve">                           </w:t>
      </w:r>
      <w:r>
        <w:rPr>
          <w:rFonts w:hint="default" w:ascii="Times New Roman" w:hAnsi="Times New Roman" w:eastAsia="宋体" w:cs="Times New Roman"/>
          <w:sz w:val="21"/>
          <w:szCs w:val="21"/>
        </w:rPr>
        <w:t>为声明单位。</w:t>
      </w:r>
    </w:p>
    <w:p w14:paraId="0A2693A0">
      <w:pPr>
        <w:keepNext w:val="0"/>
        <w:keepLines w:val="0"/>
        <w:pageBreakBefore w:val="0"/>
        <w:widowControl w:val="0"/>
        <w:numPr>
          <w:ilvl w:val="0"/>
          <w:numId w:val="16"/>
        </w:numPr>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3"/>
          <w:sz w:val="21"/>
          <w:szCs w:val="21"/>
        </w:rPr>
        <w:t>系统边界</w:t>
      </w:r>
    </w:p>
    <w:p w14:paraId="41A6221C">
      <w:pPr>
        <w:keepNext w:val="0"/>
        <w:keepLines w:val="0"/>
        <w:pageBreakBefore w:val="0"/>
        <w:widowControl w:val="0"/>
        <w:kinsoku/>
        <w:wordWrap/>
        <w:overflowPunct/>
        <w:topLinePunct w:val="0"/>
        <w:autoSpaceDE/>
        <w:autoSpaceDN/>
        <w:bidi w:val="0"/>
        <w:adjustRightInd/>
        <w:snapToGrid/>
        <w:spacing w:line="288" w:lineRule="auto"/>
        <w:ind w:right="294"/>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1"/>
          <w:sz w:val="21"/>
          <w:szCs w:val="21"/>
        </w:rPr>
        <w:sym w:font="Wingdings 2" w:char="00A3"/>
      </w:r>
      <w:r>
        <w:rPr>
          <w:rFonts w:hint="default" w:ascii="Times New Roman" w:hAnsi="Times New Roman" w:eastAsia="宋体" w:cs="Times New Roman"/>
          <w:spacing w:val="11"/>
          <w:sz w:val="21"/>
          <w:szCs w:val="21"/>
        </w:rPr>
        <w:t>原材料获取阶段</w:t>
      </w:r>
      <w:r>
        <w:rPr>
          <w:rFonts w:hint="default" w:ascii="Times New Roman" w:hAnsi="Times New Roman" w:eastAsia="宋体" w:cs="Times New Roman"/>
          <w:spacing w:val="11"/>
          <w:sz w:val="21"/>
          <w:szCs w:val="21"/>
          <w:lang w:val="en-US" w:eastAsia="zh-CN"/>
        </w:rPr>
        <w:t xml:space="preserve">   </w:t>
      </w:r>
      <w:r>
        <w:rPr>
          <w:rFonts w:hint="default" w:ascii="Times New Roman" w:hAnsi="Times New Roman" w:eastAsia="宋体" w:cs="Times New Roman"/>
          <w:spacing w:val="11"/>
          <w:sz w:val="21"/>
          <w:szCs w:val="21"/>
        </w:rPr>
        <w:sym w:font="Wingdings 2" w:char="00A3"/>
      </w:r>
      <w:r>
        <w:rPr>
          <w:rFonts w:hint="default" w:ascii="Times New Roman" w:hAnsi="Times New Roman" w:eastAsia="宋体" w:cs="Times New Roman"/>
          <w:spacing w:val="11"/>
          <w:sz w:val="21"/>
          <w:szCs w:val="21"/>
        </w:rPr>
        <w:t>生产阶段</w:t>
      </w:r>
      <w:r>
        <w:rPr>
          <w:rFonts w:hint="default" w:ascii="Times New Roman" w:hAnsi="Times New Roman" w:eastAsia="宋体" w:cs="Times New Roman"/>
          <w:spacing w:val="11"/>
          <w:sz w:val="21"/>
          <w:szCs w:val="21"/>
          <w:lang w:val="en-US" w:eastAsia="zh-CN"/>
        </w:rPr>
        <w:t xml:space="preserve">    </w:t>
      </w:r>
      <w:r>
        <w:rPr>
          <w:rFonts w:hint="default" w:ascii="Times New Roman" w:hAnsi="Times New Roman" w:eastAsia="宋体" w:cs="Times New Roman"/>
          <w:spacing w:val="11"/>
          <w:sz w:val="21"/>
          <w:szCs w:val="21"/>
        </w:rPr>
        <w:sym w:font="Wingdings 2" w:char="00A3"/>
      </w:r>
      <w:r>
        <w:rPr>
          <w:rFonts w:hint="eastAsia" w:ascii="Times New Roman" w:hAnsi="Times New Roman" w:eastAsia="宋体" w:cs="Times New Roman"/>
          <w:spacing w:val="11"/>
          <w:sz w:val="21"/>
          <w:szCs w:val="21"/>
          <w:lang w:val="en-US" w:eastAsia="zh-CN"/>
        </w:rPr>
        <w:t>分销</w:t>
      </w:r>
      <w:r>
        <w:rPr>
          <w:rFonts w:hint="default" w:ascii="Times New Roman" w:hAnsi="Times New Roman" w:eastAsia="宋体" w:cs="Times New Roman"/>
          <w:spacing w:val="11"/>
          <w:sz w:val="21"/>
          <w:szCs w:val="21"/>
        </w:rPr>
        <w:t>阶段</w:t>
      </w:r>
      <w:r>
        <w:rPr>
          <w:rFonts w:hint="default" w:ascii="Times New Roman" w:hAnsi="Times New Roman" w:eastAsia="宋体" w:cs="Times New Roman"/>
          <w:spacing w:val="11"/>
          <w:sz w:val="21"/>
          <w:szCs w:val="21"/>
          <w:lang w:val="en-US" w:eastAsia="zh-CN"/>
        </w:rPr>
        <w:t xml:space="preserve">   </w:t>
      </w:r>
      <w:r>
        <w:rPr>
          <w:rFonts w:hint="default" w:ascii="Times New Roman" w:hAnsi="Times New Roman" w:eastAsia="宋体" w:cs="Times New Roman"/>
          <w:spacing w:val="11"/>
          <w:sz w:val="21"/>
          <w:szCs w:val="21"/>
        </w:rPr>
        <w:sym w:font="Wingdings 2" w:char="00A3"/>
      </w:r>
      <w:r>
        <w:rPr>
          <w:rFonts w:hint="default" w:ascii="Times New Roman" w:hAnsi="Times New Roman" w:eastAsia="宋体" w:cs="Times New Roman"/>
          <w:spacing w:val="11"/>
          <w:sz w:val="21"/>
          <w:szCs w:val="21"/>
        </w:rPr>
        <w:t>使用阶段</w:t>
      </w:r>
      <w:r>
        <w:rPr>
          <w:rFonts w:hint="eastAsia" w:ascii="Times New Roman" w:hAnsi="Times New Roman" w:eastAsia="宋体" w:cs="Times New Roman"/>
          <w:spacing w:val="11"/>
          <w:sz w:val="21"/>
          <w:szCs w:val="21"/>
          <w:lang w:val="en-US" w:eastAsia="zh-CN"/>
        </w:rPr>
        <w:t xml:space="preserve">   </w:t>
      </w:r>
      <w:r>
        <w:rPr>
          <w:rFonts w:hint="default" w:ascii="Times New Roman" w:hAnsi="Times New Roman" w:eastAsia="宋体" w:cs="Times New Roman"/>
          <w:spacing w:val="11"/>
          <w:sz w:val="21"/>
          <w:szCs w:val="21"/>
        </w:rPr>
        <w:sym w:font="Wingdings 2" w:char="00A3"/>
      </w:r>
      <w:r>
        <w:rPr>
          <w:rFonts w:hint="default" w:ascii="Times New Roman" w:hAnsi="Times New Roman" w:eastAsia="宋体" w:cs="Times New Roman"/>
          <w:spacing w:val="11"/>
          <w:sz w:val="21"/>
          <w:szCs w:val="21"/>
          <w:lang w:val="en-US" w:eastAsia="zh-CN"/>
        </w:rPr>
        <w:t>生命末期</w:t>
      </w:r>
      <w:r>
        <w:rPr>
          <w:rFonts w:hint="default" w:ascii="Times New Roman" w:hAnsi="Times New Roman" w:eastAsia="宋体" w:cs="Times New Roman"/>
          <w:spacing w:val="10"/>
          <w:sz w:val="21"/>
          <w:szCs w:val="21"/>
        </w:rPr>
        <w:t>阶段</w:t>
      </w:r>
      <w:r>
        <w:rPr>
          <w:rFonts w:hint="default" w:ascii="Times New Roman" w:hAnsi="Times New Roman" w:eastAsia="宋体" w:cs="Times New Roman"/>
          <w:sz w:val="21"/>
          <w:szCs w:val="21"/>
        </w:rPr>
        <w:t xml:space="preserve"> </w:t>
      </w:r>
    </w:p>
    <w:p w14:paraId="174E5E00">
      <w:pPr>
        <w:keepNext w:val="0"/>
        <w:keepLines w:val="0"/>
        <w:pageBreakBefore w:val="0"/>
        <w:widowControl w:val="0"/>
        <w:kinsoku/>
        <w:wordWrap/>
        <w:overflowPunct/>
        <w:topLinePunct w:val="0"/>
        <w:autoSpaceDE/>
        <w:autoSpaceDN/>
        <w:bidi w:val="0"/>
        <w:adjustRightInd/>
        <w:snapToGrid/>
        <w:spacing w:line="288" w:lineRule="auto"/>
        <w:ind w:right="294"/>
        <w:textAlignment w:val="auto"/>
        <w:rPr>
          <w:rFonts w:hint="default" w:ascii="Times New Roman" w:hAnsi="Times New Roman" w:eastAsia="宋体" w:cs="Times New Roman"/>
          <w:sz w:val="24"/>
          <w:szCs w:val="24"/>
        </w:rPr>
      </w:pPr>
      <w:r>
        <w:rPr>
          <w:rFonts w:hint="default" w:ascii="Times New Roman" w:hAnsi="Times New Roman" w:eastAsia="宋体" w:cs="Times New Roman"/>
          <w:spacing w:val="4"/>
          <w:sz w:val="21"/>
          <w:szCs w:val="21"/>
        </w:rPr>
        <w:t>系统边界图</w:t>
      </w:r>
      <w:r>
        <w:rPr>
          <w:rFonts w:hint="default" w:ascii="Times New Roman" w:hAnsi="Times New Roman" w:eastAsia="宋体" w:cs="Times New Roman"/>
          <w:spacing w:val="4"/>
          <w:sz w:val="21"/>
          <w:szCs w:val="21"/>
          <w:lang w:eastAsia="zh-CN"/>
        </w:rPr>
        <w:t>：</w:t>
      </w:r>
    </w:p>
    <w:p w14:paraId="4865AB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z w:val="24"/>
          <w:szCs w:val="24"/>
        </w:rPr>
      </w:pPr>
    </w:p>
    <w:p w14:paraId="6F12EBA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宋体" w:cs="Times New Roman"/>
          <w:spacing w:val="13"/>
          <w:sz w:val="21"/>
          <w:szCs w:val="21"/>
        </w:rPr>
      </w:pPr>
      <w:r>
        <w:rPr>
          <w:rFonts w:hint="default" w:ascii="Times New Roman" w:hAnsi="Times New Roman" w:eastAsia="宋体" w:cs="Times New Roman"/>
          <w:spacing w:val="13"/>
          <w:sz w:val="21"/>
          <w:szCs w:val="21"/>
        </w:rPr>
        <w:t>图1</w:t>
      </w:r>
      <w:r>
        <w:rPr>
          <w:rFonts w:hint="eastAsia" w:ascii="Times New Roman" w:hAnsi="Times New Roman" w:eastAsia="宋体" w:cs="Times New Roman"/>
          <w:spacing w:val="13"/>
          <w:sz w:val="21"/>
          <w:szCs w:val="21"/>
          <w:lang w:val="en-US" w:eastAsia="zh-CN"/>
        </w:rPr>
        <w:t xml:space="preserve"> </w:t>
      </w:r>
      <w:r>
        <w:rPr>
          <w:rFonts w:hint="default" w:ascii="Times New Roman" w:hAnsi="Times New Roman" w:eastAsia="宋体" w:cs="Times New Roman"/>
          <w:sz w:val="21"/>
          <w:szCs w:val="21"/>
        </w:rPr>
        <w:t>XX</w:t>
      </w:r>
      <w:r>
        <w:rPr>
          <w:rFonts w:hint="default" w:ascii="Times New Roman" w:hAnsi="Times New Roman" w:eastAsia="宋体" w:cs="Times New Roman"/>
          <w:spacing w:val="13"/>
          <w:sz w:val="21"/>
          <w:szCs w:val="21"/>
        </w:rPr>
        <w:t>产品碳足迹</w:t>
      </w:r>
      <w:r>
        <w:rPr>
          <w:rFonts w:hint="eastAsia" w:ascii="Times New Roman" w:hAnsi="Times New Roman" w:eastAsia="宋体" w:cs="Times New Roman"/>
          <w:spacing w:val="13"/>
          <w:sz w:val="21"/>
          <w:szCs w:val="21"/>
          <w:lang w:val="en-US" w:eastAsia="zh-CN"/>
        </w:rPr>
        <w:t>量化</w:t>
      </w:r>
      <w:r>
        <w:rPr>
          <w:rFonts w:hint="default" w:ascii="Times New Roman" w:hAnsi="Times New Roman" w:eastAsia="宋体" w:cs="Times New Roman"/>
          <w:spacing w:val="13"/>
          <w:sz w:val="21"/>
          <w:szCs w:val="21"/>
        </w:rPr>
        <w:t>系统边界图</w:t>
      </w:r>
    </w:p>
    <w:p w14:paraId="6D49D252">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宋体" w:cs="Times New Roman"/>
          <w:spacing w:val="13"/>
          <w:sz w:val="21"/>
          <w:szCs w:val="21"/>
        </w:rPr>
      </w:pPr>
    </w:p>
    <w:p w14:paraId="3ED648AF">
      <w:pPr>
        <w:keepNext w:val="0"/>
        <w:keepLines w:val="0"/>
        <w:pageBreakBefore w:val="0"/>
        <w:widowControl w:val="0"/>
        <w:numPr>
          <w:ilvl w:val="0"/>
          <w:numId w:val="16"/>
        </w:numPr>
        <w:kinsoku/>
        <w:wordWrap/>
        <w:overflowPunct/>
        <w:topLinePunct w:val="0"/>
        <w:autoSpaceDE/>
        <w:autoSpaceDN/>
        <w:bidi w:val="0"/>
        <w:adjustRightInd/>
        <w:snapToGrid/>
        <w:spacing w:line="288" w:lineRule="auto"/>
        <w:ind w:left="0" w:leftChars="0" w:firstLine="0" w:firstLineChars="0"/>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取舍准则</w:t>
      </w:r>
    </w:p>
    <w:p w14:paraId="3D72DE55">
      <w:pPr>
        <w:keepNext w:val="0"/>
        <w:keepLines w:val="0"/>
        <w:pageBreakBefore w:val="0"/>
        <w:widowControl w:val="0"/>
        <w:kinsoku/>
        <w:wordWrap/>
        <w:overflowPunct/>
        <w:topLinePunct w:val="0"/>
        <w:autoSpaceDE/>
        <w:autoSpaceDN/>
        <w:bidi w:val="0"/>
        <w:adjustRightInd/>
        <w:snapToGrid/>
        <w:spacing w:line="288" w:lineRule="auto"/>
        <w:ind w:firstLine="416" w:firstLineChars="200"/>
        <w:textAlignment w:val="auto"/>
        <w:rPr>
          <w:rFonts w:hint="default" w:ascii="Times New Roman" w:hAnsi="Times New Roman" w:eastAsia="宋体" w:cs="Times New Roman"/>
          <w:spacing w:val="-1"/>
          <w:sz w:val="21"/>
          <w:szCs w:val="21"/>
        </w:rPr>
      </w:pPr>
      <w:r>
        <w:rPr>
          <w:rFonts w:hint="default" w:ascii="Times New Roman" w:hAnsi="Times New Roman" w:eastAsia="宋体" w:cs="Times New Roman"/>
          <w:spacing w:val="-1"/>
          <w:sz w:val="21"/>
          <w:szCs w:val="21"/>
        </w:rPr>
        <w:t>采用的取舍准则以</w:t>
      </w:r>
      <w:r>
        <w:rPr>
          <w:rFonts w:hint="default" w:ascii="Times New Roman" w:hAnsi="Times New Roman" w:eastAsia="宋体" w:cs="Times New Roman"/>
          <w:sz w:val="21"/>
          <w:szCs w:val="21"/>
          <w:u w:val="single"/>
          <w:lang w:val="en-US" w:eastAsia="zh-CN"/>
        </w:rPr>
        <w:t xml:space="preserve">              </w:t>
      </w:r>
      <w:r>
        <w:rPr>
          <w:rFonts w:hint="default" w:ascii="Times New Roman" w:hAnsi="Times New Roman" w:eastAsia="宋体" w:cs="Times New Roman"/>
          <w:spacing w:val="-1"/>
          <w:sz w:val="21"/>
          <w:szCs w:val="21"/>
        </w:rPr>
        <w:t>为依据，具体规则如下：</w:t>
      </w:r>
    </w:p>
    <w:p w14:paraId="1F71A9A0">
      <w:pPr>
        <w:keepNext w:val="0"/>
        <w:keepLines w:val="0"/>
        <w:pageBreakBefore w:val="0"/>
        <w:widowControl w:val="0"/>
        <w:kinsoku/>
        <w:wordWrap/>
        <w:overflowPunct/>
        <w:topLinePunct w:val="0"/>
        <w:autoSpaceDE/>
        <w:autoSpaceDN/>
        <w:bidi w:val="0"/>
        <w:adjustRightInd/>
        <w:snapToGrid/>
        <w:spacing w:line="288" w:lineRule="auto"/>
        <w:ind w:firstLine="416" w:firstLineChars="200"/>
        <w:textAlignment w:val="auto"/>
        <w:rPr>
          <w:rFonts w:hint="default" w:ascii="Times New Roman" w:hAnsi="Times New Roman" w:eastAsia="宋体" w:cs="Times New Roman"/>
          <w:spacing w:val="-1"/>
          <w:sz w:val="21"/>
          <w:szCs w:val="21"/>
        </w:rPr>
      </w:pPr>
    </w:p>
    <w:p w14:paraId="1545B59B">
      <w:pPr>
        <w:keepNext w:val="0"/>
        <w:keepLines w:val="0"/>
        <w:pageBreakBefore w:val="0"/>
        <w:widowControl w:val="0"/>
        <w:numPr>
          <w:ilvl w:val="0"/>
          <w:numId w:val="16"/>
        </w:numPr>
        <w:kinsoku/>
        <w:wordWrap/>
        <w:overflowPunct/>
        <w:topLinePunct w:val="0"/>
        <w:autoSpaceDE/>
        <w:autoSpaceDN/>
        <w:bidi w:val="0"/>
        <w:adjustRightInd/>
        <w:snapToGrid/>
        <w:spacing w:line="288" w:lineRule="auto"/>
        <w:ind w:left="0" w:leftChars="0" w:firstLine="0" w:firstLineChars="0"/>
        <w:textAlignment w:val="auto"/>
        <w:rPr>
          <w:rFonts w:hint="default" w:ascii="Times New Roman" w:hAnsi="Times New Roman" w:eastAsia="宋体" w:cs="Times New Roman"/>
          <w:spacing w:val="3"/>
          <w:sz w:val="21"/>
          <w:szCs w:val="21"/>
          <w:lang w:val="en-US" w:eastAsia="zh-CN"/>
        </w:rPr>
      </w:pPr>
      <w:r>
        <w:rPr>
          <w:rFonts w:hint="default" w:ascii="Times New Roman" w:hAnsi="Times New Roman" w:eastAsia="宋体" w:cs="Times New Roman"/>
          <w:spacing w:val="3"/>
          <w:sz w:val="21"/>
          <w:szCs w:val="21"/>
          <w:lang w:val="en-US" w:eastAsia="zh-CN"/>
        </w:rPr>
        <w:t>时间范围</w:t>
      </w:r>
    </w:p>
    <w:p w14:paraId="44DFE3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z w:val="21"/>
          <w:szCs w:val="21"/>
        </w:rPr>
      </w:pPr>
    </w:p>
    <w:p w14:paraId="2C8AFE68">
      <w:pPr>
        <w:keepNext w:val="0"/>
        <w:keepLines w:val="0"/>
        <w:pageBreakBefore w:val="0"/>
        <w:widowControl w:val="0"/>
        <w:tabs>
          <w:tab w:val="left" w:pos="1600"/>
        </w:tabs>
        <w:kinsoku/>
        <w:wordWrap/>
        <w:overflowPunct/>
        <w:topLinePunct w:val="0"/>
        <w:autoSpaceDE/>
        <w:autoSpaceDN/>
        <w:bidi w:val="0"/>
        <w:adjustRightInd/>
        <w:snapToGrid/>
        <w:spacing w:line="288" w:lineRule="auto"/>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u w:val="single" w:color="auto"/>
        </w:rPr>
        <w:tab/>
      </w:r>
      <w:r>
        <w:rPr>
          <w:rFonts w:hint="default" w:ascii="Times New Roman" w:hAnsi="Times New Roman" w:eastAsia="宋体" w:cs="Times New Roman"/>
          <w:spacing w:val="25"/>
          <w:sz w:val="21"/>
          <w:szCs w:val="21"/>
        </w:rPr>
        <w:t>年度</w:t>
      </w:r>
      <w:r>
        <w:rPr>
          <w:rFonts w:hint="default" w:ascii="Times New Roman" w:hAnsi="Times New Roman" w:eastAsia="宋体" w:cs="Times New Roman"/>
          <w:spacing w:val="-70"/>
          <w:sz w:val="21"/>
          <w:szCs w:val="21"/>
        </w:rPr>
        <w:t xml:space="preserve"> </w:t>
      </w:r>
      <w:r>
        <w:rPr>
          <w:rFonts w:hint="default" w:ascii="Times New Roman" w:hAnsi="Times New Roman" w:eastAsia="宋体" w:cs="Times New Roman"/>
          <w:spacing w:val="25"/>
          <w:sz w:val="21"/>
          <w:szCs w:val="21"/>
        </w:rPr>
        <w:t>。</w:t>
      </w:r>
    </w:p>
    <w:p w14:paraId="6C766E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四、清单分析</w:t>
      </w:r>
    </w:p>
    <w:p w14:paraId="546B18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rPr>
        <w:t>1.</w:t>
      </w:r>
      <w:r>
        <w:rPr>
          <w:rFonts w:hint="eastAsia" w:ascii="Times New Roman" w:hAnsi="Times New Roman" w:eastAsia="宋体" w:cs="Times New Roman"/>
          <w:spacing w:val="1"/>
          <w:sz w:val="21"/>
          <w:szCs w:val="21"/>
          <w:lang w:val="en-US" w:eastAsia="zh-CN"/>
        </w:rPr>
        <w:t xml:space="preserve"> </w:t>
      </w:r>
      <w:r>
        <w:rPr>
          <w:rFonts w:hint="default" w:ascii="Times New Roman" w:hAnsi="Times New Roman" w:eastAsia="宋体" w:cs="Times New Roman"/>
          <w:spacing w:val="1"/>
          <w:sz w:val="21"/>
          <w:szCs w:val="21"/>
        </w:rPr>
        <w:t>数据来源说明</w:t>
      </w:r>
    </w:p>
    <w:p w14:paraId="582371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rPr>
      </w:pPr>
      <w:r>
        <w:rPr>
          <w:rFonts w:hint="eastAsia" w:ascii="Times New Roman" w:hAnsi="Times New Roman" w:eastAsia="宋体" w:cs="Times New Roman"/>
          <w:color w:val="auto"/>
          <w:spacing w:val="29"/>
          <w:sz w:val="21"/>
          <w:szCs w:val="21"/>
          <w:lang w:val="en-US" w:eastAsia="zh-CN"/>
        </w:rPr>
        <w:t>初级</w:t>
      </w:r>
      <w:r>
        <w:rPr>
          <w:rFonts w:hint="default" w:ascii="Times New Roman" w:hAnsi="Times New Roman" w:eastAsia="宋体" w:cs="Times New Roman"/>
          <w:color w:val="auto"/>
          <w:spacing w:val="29"/>
          <w:sz w:val="21"/>
          <w:szCs w:val="21"/>
        </w:rPr>
        <w:t>数据</w:t>
      </w:r>
      <w:r>
        <w:rPr>
          <w:rFonts w:hint="eastAsia" w:ascii="Times New Roman" w:hAnsi="Times New Roman" w:eastAsia="宋体" w:cs="Times New Roman"/>
          <w:color w:val="auto"/>
          <w:spacing w:val="29"/>
          <w:sz w:val="21"/>
          <w:szCs w:val="21"/>
          <w:lang w:eastAsia="zh-CN"/>
        </w:rPr>
        <w:t>：</w:t>
      </w:r>
      <w:r>
        <w:rPr>
          <w:rFonts w:hint="eastAsia" w:ascii="Times New Roman" w:hAnsi="Times New Roman" w:eastAsia="宋体" w:cs="Times New Roman"/>
          <w:color w:val="auto"/>
          <w:spacing w:val="29"/>
          <w:sz w:val="21"/>
          <w:szCs w:val="21"/>
          <w:u w:val="single"/>
          <w:lang w:val="en-US" w:eastAsia="zh-CN"/>
        </w:rPr>
        <w:t xml:space="preserve">                 </w:t>
      </w:r>
      <w:r>
        <w:rPr>
          <w:rFonts w:hint="eastAsia" w:ascii="Times New Roman" w:hAnsi="Times New Roman" w:eastAsia="宋体" w:cs="Times New Roman"/>
          <w:color w:val="auto"/>
          <w:spacing w:val="29"/>
          <w:sz w:val="21"/>
          <w:szCs w:val="21"/>
          <w:lang w:val="en-US" w:eastAsia="zh-CN"/>
        </w:rPr>
        <w:t xml:space="preserve">         </w:t>
      </w:r>
    </w:p>
    <w:p w14:paraId="5C1E8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lang w:val="en-US" w:eastAsia="zh-CN"/>
        </w:rPr>
      </w:pPr>
      <w:r>
        <w:rPr>
          <w:rFonts w:hint="default" w:ascii="Times New Roman" w:hAnsi="Times New Roman" w:eastAsia="宋体" w:cs="Times New Roman"/>
          <w:color w:val="auto"/>
          <w:spacing w:val="29"/>
          <w:sz w:val="21"/>
          <w:szCs w:val="21"/>
          <w:lang w:val="en-US" w:eastAsia="zh-CN"/>
        </w:rPr>
        <w:t>背景数据</w:t>
      </w:r>
      <w:r>
        <w:rPr>
          <w:rFonts w:hint="eastAsia" w:ascii="Times New Roman" w:hAnsi="Times New Roman" w:eastAsia="宋体" w:cs="Times New Roman"/>
          <w:color w:val="auto"/>
          <w:spacing w:val="29"/>
          <w:sz w:val="21"/>
          <w:szCs w:val="21"/>
          <w:lang w:val="en-US" w:eastAsia="zh-CN"/>
        </w:rPr>
        <w:t>：</w:t>
      </w:r>
      <w:r>
        <w:rPr>
          <w:rFonts w:hint="eastAsia" w:ascii="Times New Roman" w:hAnsi="Times New Roman" w:eastAsia="宋体" w:cs="Times New Roman"/>
          <w:color w:val="auto"/>
          <w:spacing w:val="29"/>
          <w:sz w:val="21"/>
          <w:szCs w:val="21"/>
          <w:u w:val="single"/>
          <w:lang w:val="en-US" w:eastAsia="zh-CN"/>
        </w:rPr>
        <w:t xml:space="preserve">                 </w:t>
      </w:r>
      <w:r>
        <w:rPr>
          <w:rFonts w:hint="eastAsia" w:ascii="Times New Roman" w:hAnsi="Times New Roman" w:eastAsia="宋体" w:cs="Times New Roman"/>
          <w:color w:val="auto"/>
          <w:spacing w:val="29"/>
          <w:sz w:val="21"/>
          <w:szCs w:val="21"/>
          <w:lang w:val="en-US" w:eastAsia="zh-CN"/>
        </w:rPr>
        <w:t xml:space="preserve">         </w:t>
      </w:r>
    </w:p>
    <w:p w14:paraId="252E2EA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pacing w:val="1"/>
          <w:sz w:val="21"/>
          <w:szCs w:val="21"/>
        </w:rPr>
      </w:pPr>
      <w:r>
        <w:rPr>
          <w:rFonts w:hint="default" w:ascii="Times New Roman" w:hAnsi="Times New Roman" w:eastAsia="宋体" w:cs="Times New Roman"/>
          <w:spacing w:val="1"/>
          <w:sz w:val="21"/>
          <w:szCs w:val="21"/>
        </w:rPr>
        <w:t>2. 分配原则与程序</w:t>
      </w:r>
    </w:p>
    <w:p w14:paraId="2635D1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lang w:val="en-US" w:eastAsia="zh-CN"/>
        </w:rPr>
      </w:pPr>
      <w:r>
        <w:rPr>
          <w:rFonts w:hint="default" w:ascii="Times New Roman" w:hAnsi="Times New Roman" w:eastAsia="宋体" w:cs="Times New Roman"/>
          <w:color w:val="auto"/>
          <w:spacing w:val="29"/>
          <w:sz w:val="21"/>
          <w:szCs w:val="21"/>
          <w:lang w:val="en-US" w:eastAsia="zh-CN"/>
        </w:rPr>
        <w:t>分配依据：</w:t>
      </w:r>
      <w:r>
        <w:rPr>
          <w:rFonts w:hint="eastAsia" w:ascii="Times New Roman" w:hAnsi="Times New Roman" w:eastAsia="宋体" w:cs="Times New Roman"/>
          <w:color w:val="auto"/>
          <w:spacing w:val="29"/>
          <w:sz w:val="21"/>
          <w:szCs w:val="21"/>
          <w:u w:val="single"/>
          <w:lang w:val="en-US" w:eastAsia="zh-CN"/>
        </w:rPr>
        <w:t xml:space="preserve">                 </w:t>
      </w:r>
      <w:r>
        <w:rPr>
          <w:rFonts w:hint="eastAsia" w:ascii="Times New Roman" w:hAnsi="Times New Roman" w:eastAsia="宋体" w:cs="Times New Roman"/>
          <w:color w:val="auto"/>
          <w:spacing w:val="29"/>
          <w:sz w:val="21"/>
          <w:szCs w:val="21"/>
          <w:lang w:val="en-US" w:eastAsia="zh-CN"/>
        </w:rPr>
        <w:t xml:space="preserve">         </w:t>
      </w:r>
    </w:p>
    <w:p w14:paraId="5F30A3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color w:val="auto"/>
          <w:spacing w:val="29"/>
          <w:sz w:val="21"/>
          <w:szCs w:val="21"/>
          <w:lang w:val="en-US" w:eastAsia="zh-CN"/>
        </w:rPr>
      </w:pPr>
      <w:r>
        <w:rPr>
          <w:rFonts w:hint="default" w:ascii="Times New Roman" w:hAnsi="Times New Roman" w:eastAsia="宋体" w:cs="Times New Roman"/>
          <w:color w:val="auto"/>
          <w:spacing w:val="29"/>
          <w:sz w:val="21"/>
          <w:szCs w:val="21"/>
          <w:lang w:val="en-US" w:eastAsia="zh-CN"/>
        </w:rPr>
        <w:t>分配程序：</w:t>
      </w:r>
      <w:r>
        <w:rPr>
          <w:rFonts w:hint="eastAsia" w:ascii="Times New Roman" w:hAnsi="Times New Roman" w:eastAsia="宋体" w:cs="Times New Roman"/>
          <w:color w:val="auto"/>
          <w:spacing w:val="29"/>
          <w:sz w:val="21"/>
          <w:szCs w:val="21"/>
          <w:u w:val="single"/>
          <w:lang w:val="en-US" w:eastAsia="zh-CN"/>
        </w:rPr>
        <w:t xml:space="preserve">                 </w:t>
      </w:r>
      <w:r>
        <w:rPr>
          <w:rFonts w:hint="eastAsia" w:ascii="Times New Roman" w:hAnsi="Times New Roman" w:eastAsia="宋体" w:cs="Times New Roman"/>
          <w:color w:val="auto"/>
          <w:spacing w:val="29"/>
          <w:sz w:val="21"/>
          <w:szCs w:val="21"/>
          <w:lang w:val="en-US" w:eastAsia="zh-CN"/>
        </w:rPr>
        <w:t xml:space="preserve">         </w:t>
      </w:r>
    </w:p>
    <w:p w14:paraId="75E07D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pacing w:val="-13"/>
          <w:sz w:val="21"/>
          <w:szCs w:val="21"/>
          <w:u w:val="single"/>
          <w:lang w:val="en-US" w:eastAsia="zh-CN"/>
        </w:rPr>
      </w:pPr>
      <w:r>
        <w:rPr>
          <w:rFonts w:hint="default" w:ascii="Times New Roman" w:hAnsi="Times New Roman" w:eastAsia="宋体" w:cs="Times New Roman"/>
          <w:spacing w:val="-13"/>
          <w:sz w:val="21"/>
          <w:szCs w:val="21"/>
        </w:rPr>
        <w:t>具体分配情况如下</w:t>
      </w:r>
      <w:r>
        <w:rPr>
          <w:rFonts w:hint="eastAsia" w:ascii="Times New Roman" w:hAnsi="Times New Roman" w:eastAsia="宋体" w:cs="Times New Roman"/>
          <w:spacing w:val="-13"/>
          <w:sz w:val="21"/>
          <w:szCs w:val="21"/>
          <w:lang w:eastAsia="zh-CN"/>
        </w:rPr>
        <w:t>：</w:t>
      </w:r>
      <w:r>
        <w:rPr>
          <w:rFonts w:hint="eastAsia" w:ascii="Times New Roman" w:hAnsi="Times New Roman" w:eastAsia="宋体" w:cs="Times New Roman"/>
          <w:spacing w:val="-13"/>
          <w:sz w:val="21"/>
          <w:szCs w:val="21"/>
          <w:u w:val="single"/>
          <w:lang w:val="en-US" w:eastAsia="zh-CN"/>
        </w:rPr>
        <w:t xml:space="preserve">                               </w:t>
      </w:r>
    </w:p>
    <w:p w14:paraId="6BAC2C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6"/>
          <w:sz w:val="21"/>
          <w:szCs w:val="21"/>
        </w:rPr>
        <w:t>3. 清单结果及计算</w:t>
      </w:r>
    </w:p>
    <w:p w14:paraId="45E157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pacing w:val="-13"/>
          <w:sz w:val="21"/>
          <w:szCs w:val="21"/>
        </w:rPr>
      </w:pPr>
      <w:r>
        <w:rPr>
          <w:rFonts w:hint="default" w:ascii="Times New Roman" w:hAnsi="Times New Roman" w:eastAsia="宋体" w:cs="Times New Roman"/>
          <w:spacing w:val="-13"/>
          <w:sz w:val="21"/>
          <w:szCs w:val="21"/>
        </w:rPr>
        <w:t>生命周期各个阶段碳排放计算说明见表1。</w:t>
      </w:r>
    </w:p>
    <w:p w14:paraId="02AB75AC">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宋体" w:cs="Times New Roman"/>
          <w:spacing w:val="15"/>
          <w:sz w:val="21"/>
          <w:szCs w:val="21"/>
        </w:rPr>
      </w:pPr>
      <w:r>
        <w:rPr>
          <w:rFonts w:hint="default" w:ascii="Times New Roman" w:hAnsi="Times New Roman" w:eastAsia="宋体" w:cs="Times New Roman"/>
          <w:spacing w:val="15"/>
          <w:sz w:val="21"/>
          <w:szCs w:val="21"/>
        </w:rPr>
        <w:t xml:space="preserve">表1 </w:t>
      </w:r>
      <w:r>
        <w:rPr>
          <w:rFonts w:hint="default" w:ascii="Times New Roman" w:hAnsi="Times New Roman" w:eastAsia="宋体" w:cs="Times New Roman"/>
          <w:spacing w:val="12"/>
          <w:sz w:val="21"/>
          <w:szCs w:val="21"/>
          <w:u w:val="single" w:color="auto"/>
        </w:rPr>
        <w:t xml:space="preserve">             </w:t>
      </w:r>
      <w:r>
        <w:rPr>
          <w:rFonts w:hint="default" w:ascii="Times New Roman" w:hAnsi="Times New Roman" w:eastAsia="宋体" w:cs="Times New Roman"/>
          <w:spacing w:val="-158"/>
          <w:sz w:val="21"/>
          <w:szCs w:val="21"/>
        </w:rPr>
        <w:t xml:space="preserve"> </w:t>
      </w:r>
      <w:r>
        <w:rPr>
          <w:rFonts w:hint="default" w:ascii="Times New Roman" w:hAnsi="Times New Roman" w:eastAsia="宋体" w:cs="Times New Roman"/>
          <w:spacing w:val="15"/>
          <w:sz w:val="21"/>
          <w:szCs w:val="21"/>
        </w:rPr>
        <w:t>生命周期碳排放清单说明</w:t>
      </w:r>
    </w:p>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6"/>
        <w:gridCol w:w="1552"/>
        <w:gridCol w:w="1848"/>
        <w:gridCol w:w="4065"/>
      </w:tblGrid>
      <w:tr w14:paraId="658A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34" w:type="pct"/>
            <w:shd w:val="clear" w:color="auto" w:fill="auto"/>
            <w:vAlign w:val="center"/>
          </w:tcPr>
          <w:p w14:paraId="20E5FA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1"/>
                <w:sz w:val="21"/>
                <w:szCs w:val="21"/>
              </w:rPr>
              <w:t>生命周期阶段</w:t>
            </w:r>
          </w:p>
        </w:tc>
        <w:tc>
          <w:tcPr>
            <w:tcW w:w="845" w:type="pct"/>
            <w:shd w:val="clear" w:color="auto" w:fill="auto"/>
            <w:vAlign w:val="center"/>
          </w:tcPr>
          <w:p w14:paraId="07EA8D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4"/>
                <w:sz w:val="21"/>
                <w:szCs w:val="21"/>
              </w:rPr>
              <w:t>活动数据</w:t>
            </w:r>
          </w:p>
        </w:tc>
        <w:tc>
          <w:tcPr>
            <w:tcW w:w="1006" w:type="pct"/>
            <w:shd w:val="clear" w:color="auto" w:fill="auto"/>
            <w:vAlign w:val="center"/>
          </w:tcPr>
          <w:p w14:paraId="1AB370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排放因子</w:t>
            </w:r>
          </w:p>
        </w:tc>
        <w:tc>
          <w:tcPr>
            <w:tcW w:w="2213" w:type="pct"/>
            <w:shd w:val="clear" w:color="auto" w:fill="auto"/>
            <w:vAlign w:val="center"/>
          </w:tcPr>
          <w:p w14:paraId="576EF6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温室气体量</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kg/功能单位或声明单位</w:t>
            </w:r>
            <w:r>
              <w:rPr>
                <w:rFonts w:hint="eastAsia" w:ascii="Times New Roman" w:hAnsi="Times New Roman" w:eastAsia="宋体" w:cs="Times New Roman"/>
                <w:sz w:val="21"/>
                <w:szCs w:val="21"/>
                <w:lang w:eastAsia="zh-CN"/>
              </w:rPr>
              <w:t>）</w:t>
            </w:r>
          </w:p>
        </w:tc>
      </w:tr>
      <w:tr w14:paraId="159D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34" w:type="pct"/>
            <w:shd w:val="clear" w:color="auto" w:fill="auto"/>
            <w:vAlign w:val="center"/>
          </w:tcPr>
          <w:p w14:paraId="74F30B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c>
          <w:tcPr>
            <w:tcW w:w="845" w:type="pct"/>
            <w:shd w:val="clear" w:color="auto" w:fill="auto"/>
            <w:vAlign w:val="center"/>
          </w:tcPr>
          <w:p w14:paraId="6ABAF0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sz w:val="21"/>
                <w:szCs w:val="21"/>
              </w:rPr>
            </w:pPr>
          </w:p>
        </w:tc>
        <w:tc>
          <w:tcPr>
            <w:tcW w:w="1006" w:type="pct"/>
            <w:shd w:val="clear" w:color="auto" w:fill="auto"/>
            <w:vAlign w:val="center"/>
          </w:tcPr>
          <w:p w14:paraId="61DEE2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3"/>
                <w:sz w:val="21"/>
                <w:szCs w:val="21"/>
              </w:rPr>
            </w:pPr>
          </w:p>
        </w:tc>
        <w:tc>
          <w:tcPr>
            <w:tcW w:w="2213" w:type="pct"/>
            <w:shd w:val="clear" w:color="auto" w:fill="auto"/>
            <w:vAlign w:val="center"/>
          </w:tcPr>
          <w:p w14:paraId="59D7EA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p>
        </w:tc>
      </w:tr>
      <w:tr w14:paraId="0277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34" w:type="pct"/>
            <w:shd w:val="clear" w:color="auto" w:fill="auto"/>
            <w:vAlign w:val="center"/>
          </w:tcPr>
          <w:p w14:paraId="545F5F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c>
          <w:tcPr>
            <w:tcW w:w="845" w:type="pct"/>
            <w:shd w:val="clear" w:color="auto" w:fill="auto"/>
            <w:vAlign w:val="center"/>
          </w:tcPr>
          <w:p w14:paraId="6E07F1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sz w:val="21"/>
                <w:szCs w:val="21"/>
              </w:rPr>
            </w:pPr>
          </w:p>
        </w:tc>
        <w:tc>
          <w:tcPr>
            <w:tcW w:w="1006" w:type="pct"/>
            <w:shd w:val="clear" w:color="auto" w:fill="auto"/>
            <w:vAlign w:val="center"/>
          </w:tcPr>
          <w:p w14:paraId="4EE0BD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3"/>
                <w:sz w:val="21"/>
                <w:szCs w:val="21"/>
              </w:rPr>
            </w:pPr>
          </w:p>
        </w:tc>
        <w:tc>
          <w:tcPr>
            <w:tcW w:w="2213" w:type="pct"/>
            <w:shd w:val="clear" w:color="auto" w:fill="auto"/>
            <w:vAlign w:val="center"/>
          </w:tcPr>
          <w:p w14:paraId="47FC91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p>
        </w:tc>
      </w:tr>
      <w:tr w14:paraId="6118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34" w:type="pct"/>
            <w:shd w:val="clear" w:color="auto" w:fill="auto"/>
            <w:vAlign w:val="center"/>
          </w:tcPr>
          <w:p w14:paraId="23EFD1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c>
          <w:tcPr>
            <w:tcW w:w="845" w:type="pct"/>
            <w:shd w:val="clear" w:color="auto" w:fill="auto"/>
            <w:vAlign w:val="center"/>
          </w:tcPr>
          <w:p w14:paraId="7CC0BB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sz w:val="21"/>
                <w:szCs w:val="21"/>
              </w:rPr>
            </w:pPr>
          </w:p>
        </w:tc>
        <w:tc>
          <w:tcPr>
            <w:tcW w:w="1006" w:type="pct"/>
            <w:shd w:val="clear" w:color="auto" w:fill="auto"/>
            <w:vAlign w:val="center"/>
          </w:tcPr>
          <w:p w14:paraId="331262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3"/>
                <w:sz w:val="21"/>
                <w:szCs w:val="21"/>
              </w:rPr>
            </w:pPr>
          </w:p>
        </w:tc>
        <w:tc>
          <w:tcPr>
            <w:tcW w:w="2213" w:type="pct"/>
            <w:shd w:val="clear" w:color="auto" w:fill="auto"/>
            <w:vAlign w:val="center"/>
          </w:tcPr>
          <w:p w14:paraId="3E8A98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p>
        </w:tc>
      </w:tr>
      <w:tr w14:paraId="242B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34" w:type="pct"/>
            <w:shd w:val="clear" w:color="auto" w:fill="auto"/>
            <w:vAlign w:val="center"/>
          </w:tcPr>
          <w:p w14:paraId="16E20B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c>
          <w:tcPr>
            <w:tcW w:w="845" w:type="pct"/>
            <w:shd w:val="clear" w:color="auto" w:fill="auto"/>
            <w:vAlign w:val="center"/>
          </w:tcPr>
          <w:p w14:paraId="66055F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sz w:val="21"/>
                <w:szCs w:val="21"/>
              </w:rPr>
            </w:pPr>
          </w:p>
        </w:tc>
        <w:tc>
          <w:tcPr>
            <w:tcW w:w="1006" w:type="pct"/>
            <w:shd w:val="clear" w:color="auto" w:fill="auto"/>
            <w:vAlign w:val="center"/>
          </w:tcPr>
          <w:p w14:paraId="5DFDF9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3"/>
                <w:sz w:val="21"/>
                <w:szCs w:val="21"/>
              </w:rPr>
            </w:pPr>
          </w:p>
        </w:tc>
        <w:tc>
          <w:tcPr>
            <w:tcW w:w="2213" w:type="pct"/>
            <w:shd w:val="clear" w:color="auto" w:fill="auto"/>
            <w:vAlign w:val="center"/>
          </w:tcPr>
          <w:p w14:paraId="42D88C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p>
        </w:tc>
      </w:tr>
      <w:tr w14:paraId="0764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34" w:type="pct"/>
            <w:shd w:val="clear" w:color="auto" w:fill="auto"/>
            <w:vAlign w:val="center"/>
          </w:tcPr>
          <w:p w14:paraId="585E79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c>
          <w:tcPr>
            <w:tcW w:w="845" w:type="pct"/>
            <w:shd w:val="clear" w:color="auto" w:fill="auto"/>
            <w:vAlign w:val="center"/>
          </w:tcPr>
          <w:p w14:paraId="205B0A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sz w:val="21"/>
                <w:szCs w:val="21"/>
              </w:rPr>
            </w:pPr>
          </w:p>
        </w:tc>
        <w:tc>
          <w:tcPr>
            <w:tcW w:w="1006" w:type="pct"/>
            <w:shd w:val="clear" w:color="auto" w:fill="auto"/>
            <w:vAlign w:val="center"/>
          </w:tcPr>
          <w:p w14:paraId="0B7E9A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3"/>
                <w:sz w:val="21"/>
                <w:szCs w:val="21"/>
              </w:rPr>
            </w:pPr>
          </w:p>
        </w:tc>
        <w:tc>
          <w:tcPr>
            <w:tcW w:w="2213" w:type="pct"/>
            <w:shd w:val="clear" w:color="auto" w:fill="auto"/>
            <w:vAlign w:val="center"/>
          </w:tcPr>
          <w:p w14:paraId="3D5C82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p>
        </w:tc>
      </w:tr>
      <w:tr w14:paraId="1977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34" w:type="pct"/>
            <w:shd w:val="clear" w:color="auto" w:fill="auto"/>
            <w:vAlign w:val="center"/>
          </w:tcPr>
          <w:p w14:paraId="170114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c>
          <w:tcPr>
            <w:tcW w:w="845" w:type="pct"/>
            <w:shd w:val="clear" w:color="auto" w:fill="auto"/>
            <w:vAlign w:val="center"/>
          </w:tcPr>
          <w:p w14:paraId="63301A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sz w:val="21"/>
                <w:szCs w:val="21"/>
              </w:rPr>
            </w:pPr>
          </w:p>
        </w:tc>
        <w:tc>
          <w:tcPr>
            <w:tcW w:w="1006" w:type="pct"/>
            <w:shd w:val="clear" w:color="auto" w:fill="auto"/>
            <w:vAlign w:val="center"/>
          </w:tcPr>
          <w:p w14:paraId="6BA285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3"/>
                <w:sz w:val="21"/>
                <w:szCs w:val="21"/>
              </w:rPr>
            </w:pPr>
          </w:p>
        </w:tc>
        <w:tc>
          <w:tcPr>
            <w:tcW w:w="2213" w:type="pct"/>
            <w:shd w:val="clear" w:color="auto" w:fill="auto"/>
            <w:vAlign w:val="center"/>
          </w:tcPr>
          <w:p w14:paraId="261775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p>
        </w:tc>
      </w:tr>
    </w:tbl>
    <w:p w14:paraId="5DEC09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z w:val="24"/>
          <w:szCs w:val="24"/>
        </w:rPr>
      </w:pPr>
    </w:p>
    <w:p w14:paraId="0AD2BA6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Times New Roman" w:hAnsi="Times New Roman" w:eastAsia="宋体" w:cs="Times New Roman"/>
          <w:spacing w:val="6"/>
          <w:sz w:val="21"/>
          <w:szCs w:val="21"/>
          <w:lang w:eastAsia="zh-CN"/>
        </w:rPr>
      </w:pPr>
      <w:r>
        <w:rPr>
          <w:rFonts w:hint="default" w:ascii="Times New Roman" w:hAnsi="Times New Roman" w:eastAsia="宋体" w:cs="Times New Roman"/>
          <w:spacing w:val="6"/>
          <w:sz w:val="21"/>
          <w:szCs w:val="21"/>
        </w:rPr>
        <w:t>4. 数据质量评价</w:t>
      </w:r>
      <w:r>
        <w:rPr>
          <w:rFonts w:hint="eastAsia" w:ascii="Times New Roman" w:hAnsi="Times New Roman" w:eastAsia="宋体" w:cs="Times New Roman"/>
          <w:spacing w:val="6"/>
          <w:sz w:val="21"/>
          <w:szCs w:val="21"/>
          <w:lang w:eastAsia="zh-CN"/>
        </w:rPr>
        <w:t>（</w:t>
      </w:r>
      <w:r>
        <w:rPr>
          <w:rFonts w:hint="default" w:ascii="Times New Roman" w:hAnsi="Times New Roman" w:eastAsia="宋体" w:cs="Times New Roman"/>
          <w:spacing w:val="6"/>
          <w:sz w:val="21"/>
          <w:szCs w:val="21"/>
        </w:rPr>
        <w:t>可选项</w:t>
      </w:r>
      <w:r>
        <w:rPr>
          <w:rFonts w:hint="eastAsia" w:ascii="Times New Roman" w:hAnsi="Times New Roman" w:eastAsia="宋体" w:cs="Times New Roman"/>
          <w:spacing w:val="6"/>
          <w:sz w:val="21"/>
          <w:szCs w:val="21"/>
          <w:lang w:eastAsia="zh-CN"/>
        </w:rPr>
        <w:t>）</w:t>
      </w:r>
    </w:p>
    <w:p w14:paraId="0B544E54">
      <w:pPr>
        <w:keepNext w:val="0"/>
        <w:keepLines w:val="0"/>
        <w:pageBreakBefore w:val="0"/>
        <w:widowControl w:val="0"/>
        <w:kinsoku/>
        <w:wordWrap/>
        <w:overflowPunct/>
        <w:topLinePunct w:val="0"/>
        <w:autoSpaceDE/>
        <w:autoSpaceDN/>
        <w:bidi w:val="0"/>
        <w:adjustRightInd/>
        <w:snapToGrid/>
        <w:spacing w:line="288" w:lineRule="auto"/>
        <w:ind w:right="305"/>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6"/>
          <w:sz w:val="21"/>
          <w:szCs w:val="21"/>
        </w:rPr>
        <w:t>数据质量可从定性和定量两个方面对报告使用的现场数</w:t>
      </w:r>
      <w:r>
        <w:rPr>
          <w:rFonts w:hint="default" w:ascii="Times New Roman" w:hAnsi="Times New Roman" w:eastAsia="宋体" w:cs="Times New Roman"/>
          <w:spacing w:val="-7"/>
          <w:sz w:val="21"/>
          <w:szCs w:val="21"/>
        </w:rPr>
        <w:t>据和背景数据进行评价，具体</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5"/>
          <w:sz w:val="21"/>
          <w:szCs w:val="21"/>
        </w:rPr>
        <w:t>评价内容包括数据来源、完整性、数据代表性</w:t>
      </w:r>
      <w:r>
        <w:rPr>
          <w:rFonts w:hint="eastAsia" w:ascii="Times New Roman" w:hAnsi="Times New Roman" w:eastAsia="宋体" w:cs="Times New Roman"/>
          <w:spacing w:val="5"/>
          <w:sz w:val="21"/>
          <w:szCs w:val="21"/>
          <w:lang w:eastAsia="zh-CN"/>
        </w:rPr>
        <w:t>（</w:t>
      </w:r>
      <w:r>
        <w:rPr>
          <w:rFonts w:hint="default" w:ascii="Times New Roman" w:hAnsi="Times New Roman" w:eastAsia="宋体" w:cs="Times New Roman"/>
          <w:spacing w:val="5"/>
          <w:sz w:val="21"/>
          <w:szCs w:val="21"/>
        </w:rPr>
        <w:t>时间、</w:t>
      </w:r>
      <w:r>
        <w:rPr>
          <w:rFonts w:hint="default" w:ascii="Times New Roman" w:hAnsi="Times New Roman" w:eastAsia="宋体" w:cs="Times New Roman"/>
          <w:spacing w:val="4"/>
          <w:sz w:val="21"/>
          <w:szCs w:val="21"/>
        </w:rPr>
        <w:t>地理、技术</w:t>
      </w:r>
      <w:r>
        <w:rPr>
          <w:rFonts w:hint="eastAsia" w:ascii="Times New Roman" w:hAnsi="Times New Roman" w:eastAsia="宋体" w:cs="Times New Roman"/>
          <w:spacing w:val="4"/>
          <w:sz w:val="21"/>
          <w:szCs w:val="21"/>
          <w:lang w:eastAsia="zh-CN"/>
        </w:rPr>
        <w:t>）</w:t>
      </w:r>
      <w:r>
        <w:rPr>
          <w:rFonts w:hint="default" w:ascii="Times New Roman" w:hAnsi="Times New Roman" w:eastAsia="宋体" w:cs="Times New Roman"/>
          <w:spacing w:val="4"/>
          <w:sz w:val="21"/>
          <w:szCs w:val="21"/>
        </w:rPr>
        <w:t>和准确性。</w:t>
      </w:r>
    </w:p>
    <w:p w14:paraId="235453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五</w:t>
      </w:r>
      <w:r>
        <w:rPr>
          <w:rFonts w:hint="eastAsia" w:ascii="Times New Roman" w:hAnsi="Times New Roman" w:eastAsia="宋体" w:cs="Times New Roman"/>
          <w:spacing w:val="-6"/>
          <w:sz w:val="21"/>
          <w:szCs w:val="21"/>
          <w:lang w:eastAsia="zh-CN"/>
        </w:rPr>
        <w:t>、</w:t>
      </w:r>
      <w:r>
        <w:rPr>
          <w:rFonts w:hint="default" w:ascii="Times New Roman" w:hAnsi="Times New Roman" w:eastAsia="宋体" w:cs="Times New Roman"/>
          <w:spacing w:val="-6"/>
          <w:sz w:val="21"/>
          <w:szCs w:val="21"/>
        </w:rPr>
        <w:t>影响评价</w:t>
      </w:r>
    </w:p>
    <w:p w14:paraId="45DFFA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1. 影响类型和特征化因子选择</w:t>
      </w:r>
    </w:p>
    <w:p w14:paraId="01DB08CA">
      <w:pPr>
        <w:keepNext w:val="0"/>
        <w:keepLines w:val="0"/>
        <w:pageBreakBefore w:val="0"/>
        <w:widowControl w:val="0"/>
        <w:kinsoku/>
        <w:wordWrap/>
        <w:overflowPunct/>
        <w:topLinePunct w:val="0"/>
        <w:autoSpaceDE/>
        <w:autoSpaceDN/>
        <w:bidi w:val="0"/>
        <w:adjustRightInd/>
        <w:snapToGrid/>
        <w:spacing w:line="288" w:lineRule="auto"/>
        <w:ind w:right="305"/>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6"/>
          <w:sz w:val="21"/>
          <w:szCs w:val="21"/>
        </w:rPr>
        <w:t>一般选择</w:t>
      </w:r>
      <w:r>
        <w:rPr>
          <w:rFonts w:hint="eastAsia" w:ascii="Times New Roman" w:hAnsi="Times New Roman" w:eastAsia="宋体" w:cs="Times New Roman"/>
          <w:spacing w:val="-6"/>
          <w:sz w:val="21"/>
          <w:szCs w:val="21"/>
          <w:lang w:val="en-US" w:eastAsia="zh-CN"/>
        </w:rPr>
        <w:t>联合国政府间气候变化专门委员会（</w:t>
      </w:r>
      <w:r>
        <w:rPr>
          <w:rFonts w:hint="default" w:ascii="Times New Roman" w:hAnsi="Times New Roman" w:eastAsia="宋体" w:cs="Times New Roman"/>
          <w:spacing w:val="-6"/>
          <w:sz w:val="21"/>
          <w:szCs w:val="21"/>
        </w:rPr>
        <w:t>IPCC</w:t>
      </w:r>
      <w:r>
        <w:rPr>
          <w:rFonts w:hint="eastAsia" w:ascii="Times New Roman" w:hAnsi="Times New Roman" w:eastAsia="宋体" w:cs="Times New Roman"/>
          <w:spacing w:val="-6"/>
          <w:sz w:val="21"/>
          <w:szCs w:val="21"/>
          <w:lang w:eastAsia="zh-CN"/>
        </w:rPr>
        <w:t>）</w:t>
      </w:r>
      <w:r>
        <w:rPr>
          <w:rFonts w:hint="default" w:ascii="Times New Roman" w:hAnsi="Times New Roman" w:eastAsia="宋体" w:cs="Times New Roman"/>
          <w:spacing w:val="-6"/>
          <w:sz w:val="21"/>
          <w:szCs w:val="21"/>
        </w:rPr>
        <w:t>给出的100年</w:t>
      </w:r>
      <w:r>
        <w:rPr>
          <w:rFonts w:hint="eastAsia" w:ascii="Times New Roman" w:hAnsi="Times New Roman" w:eastAsia="宋体" w:cs="Times New Roman"/>
          <w:spacing w:val="-6"/>
          <w:sz w:val="21"/>
          <w:szCs w:val="21"/>
          <w:lang w:val="en-US" w:eastAsia="zh-CN"/>
        </w:rPr>
        <w:t>全球变暖潜势（</w:t>
      </w:r>
      <w:r>
        <w:rPr>
          <w:rFonts w:hint="default" w:ascii="Times New Roman" w:hAnsi="Times New Roman" w:eastAsia="宋体" w:cs="Times New Roman"/>
          <w:spacing w:val="-6"/>
          <w:sz w:val="21"/>
          <w:szCs w:val="21"/>
        </w:rPr>
        <w:t>GWP</w:t>
      </w:r>
      <w:r>
        <w:rPr>
          <w:rFonts w:hint="eastAsia" w:ascii="Times New Roman" w:hAnsi="Times New Roman" w:eastAsia="宋体" w:cs="Times New Roman"/>
          <w:spacing w:val="-6"/>
          <w:sz w:val="21"/>
          <w:szCs w:val="21"/>
          <w:lang w:eastAsia="zh-CN"/>
        </w:rPr>
        <w:t>）。</w:t>
      </w:r>
    </w:p>
    <w:p w14:paraId="784A7F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pacing w:val="2"/>
          <w:sz w:val="21"/>
          <w:szCs w:val="21"/>
        </w:rPr>
      </w:pPr>
      <w:r>
        <w:rPr>
          <w:rFonts w:hint="default" w:ascii="Times New Roman" w:hAnsi="Times New Roman" w:eastAsia="宋体" w:cs="Times New Roman"/>
          <w:spacing w:val="2"/>
          <w:sz w:val="21"/>
          <w:szCs w:val="21"/>
        </w:rPr>
        <w:t>2. 产品碳足迹结果计算</w:t>
      </w:r>
    </w:p>
    <w:p w14:paraId="37BB271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六、结果解释</w:t>
      </w:r>
    </w:p>
    <w:p w14:paraId="34454B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pacing w:val="2"/>
          <w:sz w:val="21"/>
          <w:szCs w:val="21"/>
        </w:rPr>
      </w:pPr>
      <w:r>
        <w:rPr>
          <w:rFonts w:hint="default" w:ascii="Times New Roman" w:hAnsi="Times New Roman" w:eastAsia="宋体" w:cs="Times New Roman"/>
          <w:spacing w:val="2"/>
          <w:sz w:val="21"/>
          <w:szCs w:val="21"/>
        </w:rPr>
        <w:t>1. 结果说明</w:t>
      </w:r>
    </w:p>
    <w:p w14:paraId="1AAB9865">
      <w:pPr>
        <w:keepNext w:val="0"/>
        <w:keepLines w:val="0"/>
        <w:pageBreakBefore w:val="0"/>
        <w:widowControl w:val="0"/>
        <w:kinsoku/>
        <w:wordWrap/>
        <w:overflowPunct/>
        <w:topLinePunct w:val="0"/>
        <w:autoSpaceDE/>
        <w:autoSpaceDN/>
        <w:bidi w:val="0"/>
        <w:adjustRightInd/>
        <w:snapToGrid/>
        <w:spacing w:line="288" w:lineRule="auto"/>
        <w:ind w:right="305"/>
        <w:textAlignment w:val="auto"/>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u w:val="single"/>
        </w:rPr>
        <w:tab/>
      </w:r>
      <w:r>
        <w:rPr>
          <w:rFonts w:hint="eastAsia" w:ascii="Times New Roman" w:hAnsi="Times New Roman" w:eastAsia="宋体" w:cs="Times New Roman"/>
          <w:spacing w:val="-6"/>
          <w:sz w:val="21"/>
          <w:szCs w:val="21"/>
          <w:u w:val="single"/>
          <w:lang w:val="en-US" w:eastAsia="zh-CN"/>
        </w:rPr>
        <w:t xml:space="preserve">        </w:t>
      </w:r>
      <w:r>
        <w:rPr>
          <w:rFonts w:hint="default" w:ascii="Times New Roman" w:hAnsi="Times New Roman" w:eastAsia="宋体" w:cs="Times New Roman"/>
          <w:spacing w:val="-6"/>
          <w:sz w:val="21"/>
          <w:szCs w:val="21"/>
          <w:u w:val="single"/>
        </w:rPr>
        <w:t xml:space="preserve"> </w:t>
      </w:r>
      <w:r>
        <w:rPr>
          <w:rFonts w:hint="default" w:ascii="Times New Roman" w:hAnsi="Times New Roman" w:eastAsia="宋体" w:cs="Times New Roman"/>
          <w:spacing w:val="-6"/>
          <w:sz w:val="21"/>
          <w:szCs w:val="21"/>
        </w:rPr>
        <w:t>公司</w:t>
      </w:r>
      <w:r>
        <w:rPr>
          <w:rFonts w:hint="eastAsia" w:ascii="Times New Roman" w:hAnsi="Times New Roman" w:eastAsia="宋体" w:cs="Times New Roman"/>
          <w:spacing w:val="-6"/>
          <w:sz w:val="21"/>
          <w:szCs w:val="21"/>
          <w:lang w:eastAsia="zh-CN"/>
        </w:rPr>
        <w:t>（</w:t>
      </w:r>
      <w:r>
        <w:rPr>
          <w:rFonts w:hint="default" w:ascii="Times New Roman" w:hAnsi="Times New Roman" w:eastAsia="宋体" w:cs="Times New Roman"/>
          <w:spacing w:val="-6"/>
          <w:sz w:val="21"/>
          <w:szCs w:val="21"/>
        </w:rPr>
        <w:t>填写产品生产者的全名</w:t>
      </w:r>
      <w:r>
        <w:rPr>
          <w:rFonts w:hint="eastAsia" w:ascii="Times New Roman" w:hAnsi="Times New Roman" w:eastAsia="宋体" w:cs="Times New Roman"/>
          <w:spacing w:val="-6"/>
          <w:sz w:val="21"/>
          <w:szCs w:val="21"/>
          <w:lang w:eastAsia="zh-CN"/>
        </w:rPr>
        <w:t>）</w:t>
      </w:r>
      <w:r>
        <w:rPr>
          <w:rFonts w:hint="default" w:ascii="Times New Roman" w:hAnsi="Times New Roman" w:eastAsia="宋体" w:cs="Times New Roman"/>
          <w:spacing w:val="-6"/>
          <w:sz w:val="21"/>
          <w:szCs w:val="21"/>
        </w:rPr>
        <w:t>生产的</w:t>
      </w:r>
      <w:r>
        <w:rPr>
          <w:rFonts w:hint="default" w:ascii="Times New Roman" w:hAnsi="Times New Roman" w:eastAsia="宋体" w:cs="Times New Roman"/>
          <w:spacing w:val="-6"/>
          <w:sz w:val="21"/>
          <w:szCs w:val="21"/>
          <w:u w:val="single"/>
        </w:rPr>
        <w:t xml:space="preserve">              </w:t>
      </w:r>
      <w:r>
        <w:rPr>
          <w:rFonts w:hint="eastAsia" w:ascii="Times New Roman" w:hAnsi="Times New Roman" w:eastAsia="宋体" w:cs="Times New Roman"/>
          <w:spacing w:val="-6"/>
          <w:sz w:val="21"/>
          <w:szCs w:val="21"/>
          <w:lang w:eastAsia="zh-CN"/>
        </w:rPr>
        <w:t>（</w:t>
      </w:r>
      <w:r>
        <w:rPr>
          <w:rFonts w:hint="default" w:ascii="Times New Roman" w:hAnsi="Times New Roman" w:eastAsia="宋体" w:cs="Times New Roman"/>
          <w:spacing w:val="-6"/>
          <w:sz w:val="21"/>
          <w:szCs w:val="21"/>
        </w:rPr>
        <w:t>填写所评价的产品名称，每功</w:t>
      </w:r>
      <w:r>
        <w:rPr>
          <w:rFonts w:hint="eastAsia" w:ascii="Times New Roman" w:hAnsi="Times New Roman" w:eastAsia="宋体" w:cs="Times New Roman"/>
          <w:spacing w:val="-6"/>
          <w:sz w:val="21"/>
          <w:szCs w:val="21"/>
          <w:lang w:val="en-US" w:eastAsia="zh-CN"/>
        </w:rPr>
        <w:t>声明</w:t>
      </w:r>
      <w:r>
        <w:rPr>
          <w:rFonts w:hint="default" w:ascii="Times New Roman" w:hAnsi="Times New Roman" w:eastAsia="宋体" w:cs="Times New Roman"/>
          <w:spacing w:val="-6"/>
          <w:sz w:val="21"/>
          <w:szCs w:val="21"/>
        </w:rPr>
        <w:t>单位的产品</w:t>
      </w:r>
      <w:r>
        <w:rPr>
          <w:rFonts w:hint="eastAsia" w:ascii="Times New Roman" w:hAnsi="Times New Roman" w:eastAsia="宋体" w:cs="Times New Roman"/>
          <w:spacing w:val="-6"/>
          <w:sz w:val="21"/>
          <w:szCs w:val="21"/>
          <w:lang w:eastAsia="zh-CN"/>
        </w:rPr>
        <w:t>），</w:t>
      </w:r>
      <w:r>
        <w:rPr>
          <w:rFonts w:hint="default" w:ascii="Times New Roman" w:hAnsi="Times New Roman" w:eastAsia="宋体" w:cs="Times New Roman"/>
          <w:spacing w:val="-6"/>
          <w:sz w:val="21"/>
          <w:szCs w:val="21"/>
        </w:rPr>
        <w:t>从</w:t>
      </w:r>
      <w:r>
        <w:rPr>
          <w:rFonts w:hint="default" w:ascii="Times New Roman" w:hAnsi="Times New Roman" w:eastAsia="宋体" w:cs="Times New Roman"/>
          <w:spacing w:val="-6"/>
          <w:sz w:val="21"/>
          <w:szCs w:val="21"/>
          <w:u w:val="single"/>
        </w:rPr>
        <w:t xml:space="preserve">               </w:t>
      </w:r>
      <w:r>
        <w:rPr>
          <w:rFonts w:hint="eastAsia" w:ascii="Times New Roman" w:hAnsi="Times New Roman" w:eastAsia="宋体" w:cs="Times New Roman"/>
          <w:spacing w:val="-6"/>
          <w:sz w:val="21"/>
          <w:szCs w:val="21"/>
          <w:lang w:eastAsia="zh-CN"/>
        </w:rPr>
        <w:t>（</w:t>
      </w:r>
      <w:r>
        <w:rPr>
          <w:rFonts w:hint="default" w:ascii="Times New Roman" w:hAnsi="Times New Roman" w:eastAsia="宋体" w:cs="Times New Roman"/>
          <w:spacing w:val="-6"/>
          <w:sz w:val="21"/>
          <w:szCs w:val="21"/>
        </w:rPr>
        <w:t>填写某生命周期阶段</w:t>
      </w:r>
      <w:r>
        <w:rPr>
          <w:rFonts w:hint="eastAsia" w:ascii="Times New Roman" w:hAnsi="Times New Roman" w:eastAsia="宋体" w:cs="Times New Roman"/>
          <w:spacing w:val="-6"/>
          <w:sz w:val="21"/>
          <w:szCs w:val="21"/>
          <w:lang w:eastAsia="zh-CN"/>
        </w:rPr>
        <w:t>）</w:t>
      </w:r>
      <w:r>
        <w:rPr>
          <w:rFonts w:hint="default" w:ascii="Times New Roman" w:hAnsi="Times New Roman" w:eastAsia="宋体" w:cs="Times New Roman"/>
          <w:spacing w:val="-6"/>
          <w:sz w:val="21"/>
          <w:szCs w:val="21"/>
        </w:rPr>
        <w:t>到</w:t>
      </w:r>
      <w:r>
        <w:rPr>
          <w:rFonts w:hint="default" w:ascii="Times New Roman" w:hAnsi="Times New Roman" w:eastAsia="宋体" w:cs="Times New Roman"/>
          <w:spacing w:val="-6"/>
          <w:sz w:val="21"/>
          <w:szCs w:val="21"/>
          <w:u w:val="single"/>
        </w:rPr>
        <w:t xml:space="preserve">              </w:t>
      </w:r>
      <w:r>
        <w:rPr>
          <w:rFonts w:hint="eastAsia" w:ascii="Times New Roman" w:hAnsi="Times New Roman" w:eastAsia="宋体" w:cs="Times New Roman"/>
          <w:spacing w:val="-6"/>
          <w:sz w:val="21"/>
          <w:szCs w:val="21"/>
          <w:u w:val="single"/>
          <w:lang w:val="en-US" w:eastAsia="zh-CN"/>
        </w:rPr>
        <w:t xml:space="preserve"> </w:t>
      </w:r>
      <w:r>
        <w:rPr>
          <w:rFonts w:hint="default" w:ascii="Times New Roman" w:hAnsi="Times New Roman" w:eastAsia="宋体" w:cs="Times New Roman"/>
          <w:spacing w:val="-6"/>
          <w:sz w:val="21"/>
          <w:szCs w:val="21"/>
          <w:u w:val="single"/>
        </w:rPr>
        <w:t xml:space="preserve"> </w:t>
      </w:r>
      <w:r>
        <w:rPr>
          <w:rFonts w:hint="eastAsia" w:ascii="Times New Roman" w:hAnsi="Times New Roman" w:eastAsia="宋体" w:cs="Times New Roman"/>
          <w:spacing w:val="-6"/>
          <w:sz w:val="21"/>
          <w:szCs w:val="21"/>
          <w:lang w:eastAsia="zh-CN"/>
        </w:rPr>
        <w:t>（</w:t>
      </w:r>
      <w:r>
        <w:rPr>
          <w:rFonts w:hint="default" w:ascii="Times New Roman" w:hAnsi="Times New Roman" w:eastAsia="宋体" w:cs="Times New Roman"/>
          <w:spacing w:val="-6"/>
          <w:sz w:val="21"/>
          <w:szCs w:val="21"/>
        </w:rPr>
        <w:t>填写某生命周期阶段</w:t>
      </w:r>
      <w:r>
        <w:rPr>
          <w:rFonts w:hint="eastAsia" w:ascii="Times New Roman" w:hAnsi="Times New Roman" w:eastAsia="宋体" w:cs="Times New Roman"/>
          <w:spacing w:val="-6"/>
          <w:sz w:val="21"/>
          <w:szCs w:val="21"/>
          <w:lang w:eastAsia="zh-CN"/>
        </w:rPr>
        <w:t>）</w:t>
      </w:r>
      <w:r>
        <w:rPr>
          <w:rFonts w:hint="default" w:ascii="Times New Roman" w:hAnsi="Times New Roman" w:eastAsia="宋体" w:cs="Times New Roman"/>
          <w:spacing w:val="-6"/>
          <w:sz w:val="21"/>
          <w:szCs w:val="21"/>
        </w:rPr>
        <w:t>生命周期碳足迹为</w:t>
      </w:r>
      <w:r>
        <w:rPr>
          <w:rFonts w:hint="eastAsia" w:ascii="Times New Roman" w:hAnsi="Times New Roman" w:eastAsia="宋体" w:cs="Times New Roman"/>
          <w:spacing w:val="-6"/>
          <w:sz w:val="21"/>
          <w:szCs w:val="21"/>
          <w:u w:val="single"/>
          <w:lang w:val="en-US" w:eastAsia="zh-CN"/>
        </w:rPr>
        <w:t xml:space="preserve">         </w:t>
      </w:r>
      <w:r>
        <w:rPr>
          <w:rFonts w:hint="eastAsia" w:ascii="Times New Roman" w:hAnsi="Times New Roman" w:eastAsia="宋体" w:cs="Times New Roman"/>
          <w:spacing w:val="-6"/>
          <w:sz w:val="21"/>
          <w:szCs w:val="21"/>
          <w:lang w:val="en-US" w:eastAsia="zh-CN"/>
        </w:rPr>
        <w:t>kgCO</w:t>
      </w:r>
      <w:r>
        <w:rPr>
          <w:rFonts w:hint="eastAsia" w:ascii="Times New Roman" w:hAnsi="Times New Roman" w:eastAsia="宋体" w:cs="Times New Roman"/>
          <w:spacing w:val="-6"/>
          <w:sz w:val="21"/>
          <w:szCs w:val="21"/>
          <w:vertAlign w:val="subscript"/>
          <w:lang w:val="en-US" w:eastAsia="zh-CN"/>
        </w:rPr>
        <w:t>2</w:t>
      </w:r>
      <w:r>
        <w:rPr>
          <w:rFonts w:hint="eastAsia" w:ascii="Times New Roman" w:hAnsi="Times New Roman" w:eastAsia="宋体" w:cs="Times New Roman"/>
          <w:spacing w:val="-6"/>
          <w:sz w:val="21"/>
          <w:szCs w:val="21"/>
          <w:lang w:val="en-US" w:eastAsia="zh-CN"/>
        </w:rPr>
        <w:t>e</w:t>
      </w:r>
      <w:r>
        <w:rPr>
          <w:rFonts w:hint="eastAsia" w:ascii="Times New Roman" w:hAnsi="Times New Roman" w:eastAsia="宋体" w:cs="Times New Roman"/>
          <w:spacing w:val="-6"/>
          <w:sz w:val="21"/>
          <w:szCs w:val="21"/>
          <w:lang w:eastAsia="zh-CN"/>
        </w:rPr>
        <w:t>。</w:t>
      </w:r>
      <w:r>
        <w:rPr>
          <w:rFonts w:hint="default" w:ascii="Times New Roman" w:hAnsi="Times New Roman" w:eastAsia="宋体" w:cs="Times New Roman"/>
          <w:spacing w:val="-6"/>
          <w:sz w:val="21"/>
          <w:szCs w:val="21"/>
        </w:rPr>
        <w:t>各生命周期阶段的温室气体排放情况如表2和图2所示。</w:t>
      </w:r>
    </w:p>
    <w:p w14:paraId="23368604">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宋体" w:cs="Times New Roman"/>
          <w:spacing w:val="15"/>
          <w:sz w:val="21"/>
          <w:szCs w:val="21"/>
        </w:rPr>
      </w:pPr>
      <w:r>
        <w:rPr>
          <w:rFonts w:hint="default" w:ascii="Times New Roman" w:hAnsi="Times New Roman" w:eastAsia="宋体" w:cs="Times New Roman"/>
          <w:spacing w:val="15"/>
          <w:sz w:val="21"/>
          <w:szCs w:val="21"/>
        </w:rPr>
        <w:t xml:space="preserve">表2 </w:t>
      </w:r>
      <w:r>
        <w:rPr>
          <w:rFonts w:hint="default" w:ascii="Times New Roman" w:hAnsi="Times New Roman" w:eastAsia="宋体" w:cs="Times New Roman"/>
          <w:spacing w:val="15"/>
          <w:sz w:val="21"/>
          <w:szCs w:val="21"/>
          <w:u w:val="single"/>
        </w:rPr>
        <w:t xml:space="preserve">          </w:t>
      </w:r>
      <w:r>
        <w:rPr>
          <w:rFonts w:hint="default" w:ascii="Times New Roman" w:hAnsi="Times New Roman" w:eastAsia="宋体" w:cs="Times New Roman"/>
          <w:spacing w:val="15"/>
          <w:sz w:val="21"/>
          <w:szCs w:val="21"/>
        </w:rPr>
        <w:t>生命周期各阶段碳排放情况</w:t>
      </w:r>
    </w:p>
    <w:p w14:paraId="6FD5AE58">
      <w:pPr>
        <w:spacing w:line="175" w:lineRule="exact"/>
        <w:rPr>
          <w:rFonts w:hint="default" w:ascii="Times New Roman" w:hAnsi="Times New Roman" w:eastAsia="宋体" w:cs="Times New Roman"/>
          <w:sz w:val="24"/>
          <w:szCs w:val="24"/>
        </w:rPr>
      </w:pPr>
    </w:p>
    <w:tbl>
      <w:tblPr>
        <w:tblStyle w:val="20"/>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578"/>
        <w:gridCol w:w="4708"/>
        <w:gridCol w:w="1694"/>
      </w:tblGrid>
      <w:tr w14:paraId="2A811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35" w:type="pct"/>
            <w:vAlign w:val="top"/>
          </w:tcPr>
          <w:p w14:paraId="6DDA4E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r>
              <w:rPr>
                <w:rFonts w:hint="default" w:ascii="Times New Roman" w:hAnsi="Times New Roman" w:eastAsia="宋体" w:cs="Times New Roman"/>
                <w:spacing w:val="1"/>
                <w:sz w:val="21"/>
                <w:szCs w:val="21"/>
              </w:rPr>
              <w:t>生命周期阶段</w:t>
            </w:r>
          </w:p>
        </w:tc>
        <w:tc>
          <w:tcPr>
            <w:tcW w:w="2621" w:type="pct"/>
            <w:vAlign w:val="top"/>
          </w:tcPr>
          <w:p w14:paraId="6B25CC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spacing w:val="1"/>
                <w:sz w:val="21"/>
                <w:szCs w:val="21"/>
                <w:lang w:eastAsia="zh-CN"/>
              </w:rPr>
            </w:pPr>
            <w:r>
              <w:rPr>
                <w:rFonts w:hint="default" w:ascii="Times New Roman" w:hAnsi="Times New Roman" w:eastAsia="宋体" w:cs="Times New Roman"/>
                <w:spacing w:val="1"/>
                <w:sz w:val="21"/>
                <w:szCs w:val="21"/>
              </w:rPr>
              <w:t>碳足迹/</w:t>
            </w:r>
            <w:r>
              <w:rPr>
                <w:rFonts w:hint="eastAsia" w:ascii="Times New Roman" w:hAnsi="Times New Roman" w:eastAsia="宋体" w:cs="Times New Roman"/>
                <w:spacing w:val="1"/>
                <w:sz w:val="21"/>
                <w:szCs w:val="21"/>
                <w:lang w:eastAsia="zh-CN"/>
              </w:rPr>
              <w:t>（</w:t>
            </w:r>
            <w:r>
              <w:rPr>
                <w:rFonts w:hint="default" w:ascii="Times New Roman" w:hAnsi="Times New Roman" w:eastAsia="宋体" w:cs="Times New Roman"/>
                <w:spacing w:val="1"/>
                <w:sz w:val="21"/>
                <w:szCs w:val="21"/>
              </w:rPr>
              <w:t>kgCO</w:t>
            </w:r>
            <w:r>
              <w:rPr>
                <w:rFonts w:hint="eastAsia" w:ascii="Times New Roman" w:hAnsi="Times New Roman" w:eastAsia="宋体" w:cs="Times New Roman"/>
                <w:spacing w:val="1"/>
                <w:sz w:val="21"/>
                <w:szCs w:val="21"/>
                <w:vertAlign w:val="subscript"/>
                <w:lang w:val="en-US" w:eastAsia="zh-CN"/>
              </w:rPr>
              <w:t>2</w:t>
            </w:r>
            <w:r>
              <w:rPr>
                <w:rFonts w:hint="eastAsia" w:ascii="Times New Roman" w:hAnsi="Times New Roman" w:eastAsia="宋体" w:cs="Times New Roman"/>
                <w:spacing w:val="1"/>
                <w:sz w:val="21"/>
                <w:szCs w:val="21"/>
                <w:lang w:val="en-US" w:eastAsia="zh-CN"/>
              </w:rPr>
              <w:t>e</w:t>
            </w:r>
            <w:r>
              <w:rPr>
                <w:rFonts w:hint="default" w:ascii="Times New Roman" w:hAnsi="Times New Roman" w:eastAsia="宋体" w:cs="Times New Roman"/>
                <w:spacing w:val="1"/>
                <w:sz w:val="21"/>
                <w:szCs w:val="21"/>
              </w:rPr>
              <w:t>/</w:t>
            </w:r>
            <w:r>
              <w:rPr>
                <w:rFonts w:hint="eastAsia" w:ascii="Times New Roman" w:hAnsi="Times New Roman" w:eastAsia="宋体" w:cs="Times New Roman"/>
                <w:spacing w:val="1"/>
                <w:sz w:val="21"/>
                <w:szCs w:val="21"/>
                <w:lang w:val="en-US" w:eastAsia="zh-CN"/>
              </w:rPr>
              <w:t>声明</w:t>
            </w:r>
            <w:r>
              <w:rPr>
                <w:rFonts w:hint="default" w:ascii="Times New Roman" w:hAnsi="Times New Roman" w:eastAsia="宋体" w:cs="Times New Roman"/>
                <w:spacing w:val="1"/>
                <w:sz w:val="21"/>
                <w:szCs w:val="21"/>
              </w:rPr>
              <w:t>单位</w:t>
            </w:r>
            <w:r>
              <w:rPr>
                <w:rFonts w:hint="eastAsia" w:ascii="Times New Roman" w:hAnsi="Times New Roman" w:eastAsia="宋体" w:cs="Times New Roman"/>
                <w:spacing w:val="1"/>
                <w:sz w:val="21"/>
                <w:szCs w:val="21"/>
                <w:lang w:eastAsia="zh-CN"/>
              </w:rPr>
              <w:t>）</w:t>
            </w:r>
          </w:p>
        </w:tc>
        <w:tc>
          <w:tcPr>
            <w:tcW w:w="943" w:type="pct"/>
            <w:vAlign w:val="top"/>
          </w:tcPr>
          <w:p w14:paraId="532B84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lang w:val="en-US" w:eastAsia="zh-CN"/>
              </w:rPr>
            </w:pPr>
            <w:r>
              <w:rPr>
                <w:rFonts w:hint="default" w:ascii="Times New Roman" w:hAnsi="Times New Roman" w:eastAsia="宋体" w:cs="Times New Roman"/>
                <w:spacing w:val="1"/>
                <w:sz w:val="21"/>
                <w:szCs w:val="21"/>
              </w:rPr>
              <w:t>百分比</w:t>
            </w:r>
            <w:r>
              <w:rPr>
                <w:rFonts w:hint="eastAsia" w:ascii="Times New Roman" w:hAnsi="Times New Roman" w:eastAsia="宋体" w:cs="Times New Roman"/>
                <w:spacing w:val="1"/>
                <w:sz w:val="21"/>
                <w:szCs w:val="21"/>
                <w:lang w:val="en-US" w:eastAsia="zh-CN"/>
              </w:rPr>
              <w:t>/%</w:t>
            </w:r>
          </w:p>
        </w:tc>
      </w:tr>
      <w:tr w14:paraId="55E43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35" w:type="pct"/>
            <w:vAlign w:val="top"/>
          </w:tcPr>
          <w:p w14:paraId="3B3605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r>
              <w:rPr>
                <w:rFonts w:hint="default" w:ascii="Times New Roman" w:hAnsi="Times New Roman" w:eastAsia="宋体" w:cs="Times New Roman"/>
                <w:spacing w:val="1"/>
                <w:sz w:val="21"/>
                <w:szCs w:val="21"/>
              </w:rPr>
              <w:t>原材料获取</w:t>
            </w:r>
          </w:p>
        </w:tc>
        <w:tc>
          <w:tcPr>
            <w:tcW w:w="2621" w:type="pct"/>
            <w:vAlign w:val="top"/>
          </w:tcPr>
          <w:p w14:paraId="3256DA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c>
          <w:tcPr>
            <w:tcW w:w="943" w:type="pct"/>
            <w:vAlign w:val="top"/>
          </w:tcPr>
          <w:p w14:paraId="673E3E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r>
      <w:tr w14:paraId="45229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35" w:type="pct"/>
            <w:vAlign w:val="top"/>
          </w:tcPr>
          <w:p w14:paraId="640CDB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r>
              <w:rPr>
                <w:rFonts w:hint="default" w:ascii="Times New Roman" w:hAnsi="Times New Roman" w:eastAsia="宋体" w:cs="Times New Roman"/>
                <w:spacing w:val="1"/>
                <w:sz w:val="21"/>
                <w:szCs w:val="21"/>
              </w:rPr>
              <w:t>生产</w:t>
            </w:r>
          </w:p>
        </w:tc>
        <w:tc>
          <w:tcPr>
            <w:tcW w:w="2621" w:type="pct"/>
            <w:vAlign w:val="top"/>
          </w:tcPr>
          <w:p w14:paraId="5C1EBD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c>
          <w:tcPr>
            <w:tcW w:w="943" w:type="pct"/>
            <w:vAlign w:val="top"/>
          </w:tcPr>
          <w:p w14:paraId="0B95A6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r>
      <w:tr w14:paraId="1536C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35" w:type="pct"/>
            <w:vAlign w:val="top"/>
          </w:tcPr>
          <w:p w14:paraId="74C381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spacing w:val="1"/>
                <w:sz w:val="21"/>
                <w:szCs w:val="21"/>
                <w:lang w:eastAsia="zh-CN"/>
              </w:rPr>
            </w:pPr>
            <w:r>
              <w:rPr>
                <w:rFonts w:hint="eastAsia" w:ascii="Times New Roman" w:hAnsi="Times New Roman" w:eastAsia="宋体" w:cs="Times New Roman"/>
                <w:spacing w:val="1"/>
                <w:sz w:val="21"/>
                <w:szCs w:val="21"/>
                <w:lang w:val="en-US" w:eastAsia="zh-CN"/>
              </w:rPr>
              <w:t>分销</w:t>
            </w:r>
          </w:p>
        </w:tc>
        <w:tc>
          <w:tcPr>
            <w:tcW w:w="2621" w:type="pct"/>
            <w:vAlign w:val="top"/>
          </w:tcPr>
          <w:p w14:paraId="537693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c>
          <w:tcPr>
            <w:tcW w:w="943" w:type="pct"/>
            <w:vAlign w:val="top"/>
          </w:tcPr>
          <w:p w14:paraId="7A92DC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r>
      <w:tr w14:paraId="5F592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35" w:type="pct"/>
            <w:vAlign w:val="top"/>
          </w:tcPr>
          <w:p w14:paraId="16A5B6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r>
              <w:rPr>
                <w:rFonts w:hint="default" w:ascii="Times New Roman" w:hAnsi="Times New Roman" w:eastAsia="宋体" w:cs="Times New Roman"/>
                <w:spacing w:val="1"/>
                <w:sz w:val="21"/>
                <w:szCs w:val="21"/>
              </w:rPr>
              <w:t>使用</w:t>
            </w:r>
          </w:p>
        </w:tc>
        <w:tc>
          <w:tcPr>
            <w:tcW w:w="2621" w:type="pct"/>
            <w:vAlign w:val="top"/>
          </w:tcPr>
          <w:p w14:paraId="3FCDE4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c>
          <w:tcPr>
            <w:tcW w:w="943" w:type="pct"/>
            <w:vAlign w:val="top"/>
          </w:tcPr>
          <w:p w14:paraId="69BF4C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r>
      <w:tr w14:paraId="74410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35" w:type="pct"/>
            <w:vAlign w:val="top"/>
          </w:tcPr>
          <w:p w14:paraId="5EF7FC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spacing w:val="1"/>
                <w:sz w:val="21"/>
                <w:szCs w:val="21"/>
                <w:lang w:val="en-US" w:eastAsia="zh-CN"/>
              </w:rPr>
            </w:pPr>
            <w:r>
              <w:rPr>
                <w:rFonts w:hint="eastAsia" w:ascii="Times New Roman" w:hAnsi="Times New Roman" w:eastAsia="宋体" w:cs="Times New Roman"/>
                <w:spacing w:val="1"/>
                <w:sz w:val="21"/>
                <w:szCs w:val="21"/>
                <w:lang w:val="en-US" w:eastAsia="zh-CN"/>
              </w:rPr>
              <w:t>生命末期</w:t>
            </w:r>
          </w:p>
        </w:tc>
        <w:tc>
          <w:tcPr>
            <w:tcW w:w="2621" w:type="pct"/>
            <w:vAlign w:val="top"/>
          </w:tcPr>
          <w:p w14:paraId="21B35A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c>
          <w:tcPr>
            <w:tcW w:w="943" w:type="pct"/>
            <w:vAlign w:val="top"/>
          </w:tcPr>
          <w:p w14:paraId="3837D9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r>
      <w:tr w14:paraId="229D1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435" w:type="pct"/>
            <w:vAlign w:val="top"/>
          </w:tcPr>
          <w:p w14:paraId="6B95EC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r>
              <w:rPr>
                <w:rFonts w:hint="default" w:ascii="Times New Roman" w:hAnsi="Times New Roman" w:eastAsia="宋体" w:cs="Times New Roman"/>
                <w:spacing w:val="1"/>
                <w:sz w:val="21"/>
                <w:szCs w:val="21"/>
              </w:rPr>
              <w:t>总计</w:t>
            </w:r>
          </w:p>
        </w:tc>
        <w:tc>
          <w:tcPr>
            <w:tcW w:w="2621" w:type="pct"/>
            <w:vAlign w:val="top"/>
          </w:tcPr>
          <w:p w14:paraId="269FBE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c>
          <w:tcPr>
            <w:tcW w:w="943" w:type="pct"/>
            <w:vAlign w:val="top"/>
          </w:tcPr>
          <w:p w14:paraId="320B5B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1"/>
                <w:sz w:val="21"/>
                <w:szCs w:val="21"/>
              </w:rPr>
            </w:pPr>
          </w:p>
        </w:tc>
      </w:tr>
    </w:tbl>
    <w:p w14:paraId="1074DC6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imes New Roman" w:hAnsi="Times New Roman" w:eastAsia="宋体" w:cs="Times New Roman"/>
          <w:spacing w:val="15"/>
          <w:sz w:val="21"/>
          <w:szCs w:val="21"/>
          <w:lang w:eastAsia="zh-CN"/>
        </w:rPr>
      </w:pPr>
      <w:r>
        <w:rPr>
          <w:rFonts w:hint="default" w:ascii="Times New Roman" w:hAnsi="Times New Roman" w:eastAsia="宋体" w:cs="Times New Roman"/>
          <w:spacing w:val="15"/>
          <w:sz w:val="21"/>
          <w:szCs w:val="21"/>
        </w:rPr>
        <w:t>注：具体产品生命周期阶段碳排放分布图一般以饼状图或柱形图表示各生命周期阶段的碳排放情况</w:t>
      </w:r>
      <w:r>
        <w:rPr>
          <w:rFonts w:hint="eastAsia" w:ascii="Times New Roman" w:hAnsi="Times New Roman" w:eastAsia="宋体" w:cs="Times New Roman"/>
          <w:spacing w:val="15"/>
          <w:sz w:val="21"/>
          <w:szCs w:val="21"/>
          <w:lang w:eastAsia="zh-CN"/>
        </w:rPr>
        <w:t>。</w:t>
      </w:r>
    </w:p>
    <w:p w14:paraId="3EDA71FF">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宋体" w:cs="Times New Roman"/>
          <w:spacing w:val="15"/>
          <w:sz w:val="21"/>
          <w:szCs w:val="21"/>
        </w:rPr>
      </w:pPr>
      <w:r>
        <w:rPr>
          <w:rFonts w:hint="default" w:ascii="Times New Roman" w:hAnsi="Times New Roman" w:eastAsia="宋体" w:cs="Times New Roman"/>
          <w:spacing w:val="15"/>
          <w:sz w:val="21"/>
          <w:szCs w:val="21"/>
        </w:rPr>
        <w:t>图2</w:t>
      </w:r>
      <w:r>
        <w:rPr>
          <w:rFonts w:hint="eastAsia" w:ascii="Times New Roman" w:hAnsi="Times New Roman" w:eastAsia="宋体" w:cs="Times New Roman"/>
          <w:spacing w:val="15"/>
          <w:sz w:val="21"/>
          <w:szCs w:val="21"/>
          <w:lang w:val="en-US" w:eastAsia="zh-CN"/>
        </w:rPr>
        <w:t xml:space="preserve"> </w:t>
      </w:r>
      <w:r>
        <w:rPr>
          <w:rFonts w:hint="default" w:ascii="Times New Roman" w:hAnsi="Times New Roman" w:eastAsia="宋体" w:cs="Times New Roman"/>
          <w:spacing w:val="15"/>
          <w:sz w:val="21"/>
          <w:szCs w:val="21"/>
        </w:rPr>
        <w:t>XX各生命周期阶段碳排放分布图</w:t>
      </w:r>
    </w:p>
    <w:p w14:paraId="65109E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Times New Roman" w:hAnsi="Times New Roman" w:eastAsia="宋体" w:cs="Times New Roman"/>
          <w:spacing w:val="2"/>
          <w:sz w:val="21"/>
          <w:szCs w:val="21"/>
          <w:lang w:eastAsia="zh-CN"/>
        </w:rPr>
      </w:pPr>
      <w:r>
        <w:rPr>
          <w:rFonts w:hint="default" w:ascii="Times New Roman" w:hAnsi="Times New Roman" w:eastAsia="宋体" w:cs="Times New Roman"/>
          <w:spacing w:val="2"/>
          <w:sz w:val="21"/>
          <w:szCs w:val="21"/>
        </w:rPr>
        <w:t>2. 假设和局限性说明</w:t>
      </w:r>
      <w:r>
        <w:rPr>
          <w:rFonts w:hint="eastAsia" w:ascii="Times New Roman" w:hAnsi="Times New Roman" w:eastAsia="宋体" w:cs="Times New Roman"/>
          <w:spacing w:val="2"/>
          <w:sz w:val="21"/>
          <w:szCs w:val="21"/>
          <w:lang w:eastAsia="zh-CN"/>
        </w:rPr>
        <w:t>（</w:t>
      </w:r>
      <w:r>
        <w:rPr>
          <w:rFonts w:hint="default" w:ascii="Times New Roman" w:hAnsi="Times New Roman" w:eastAsia="宋体" w:cs="Times New Roman"/>
          <w:spacing w:val="2"/>
          <w:sz w:val="21"/>
          <w:szCs w:val="21"/>
        </w:rPr>
        <w:t>可选项</w:t>
      </w:r>
      <w:r>
        <w:rPr>
          <w:rFonts w:hint="eastAsia" w:ascii="Times New Roman" w:hAnsi="Times New Roman" w:eastAsia="宋体" w:cs="Times New Roman"/>
          <w:spacing w:val="2"/>
          <w:sz w:val="21"/>
          <w:szCs w:val="21"/>
          <w:lang w:eastAsia="zh-CN"/>
        </w:rPr>
        <w:t>）</w:t>
      </w:r>
    </w:p>
    <w:p w14:paraId="65102482">
      <w:pPr>
        <w:keepNext w:val="0"/>
        <w:keepLines w:val="0"/>
        <w:pageBreakBefore w:val="0"/>
        <w:widowControl w:val="0"/>
        <w:kinsoku/>
        <w:wordWrap/>
        <w:overflowPunct/>
        <w:topLinePunct w:val="0"/>
        <w:autoSpaceDE/>
        <w:autoSpaceDN/>
        <w:bidi w:val="0"/>
        <w:adjustRightInd/>
        <w:snapToGrid/>
        <w:spacing w:line="288" w:lineRule="auto"/>
        <w:ind w:right="305" w:firstLine="396" w:firstLineChars="200"/>
        <w:textAlignment w:val="auto"/>
        <w:rPr>
          <w:rFonts w:hint="default" w:ascii="Times New Roman" w:hAnsi="Times New Roman" w:eastAsia="宋体" w:cs="Times New Roman"/>
          <w:spacing w:val="-6"/>
          <w:sz w:val="21"/>
          <w:szCs w:val="21"/>
          <w:u w:val="none"/>
        </w:rPr>
      </w:pPr>
      <w:r>
        <w:rPr>
          <w:rFonts w:hint="default" w:ascii="Times New Roman" w:hAnsi="Times New Roman" w:eastAsia="宋体" w:cs="Times New Roman"/>
          <w:spacing w:val="-6"/>
          <w:sz w:val="21"/>
          <w:szCs w:val="21"/>
          <w:u w:val="none"/>
        </w:rPr>
        <w:t>结合量化情况，对范围、数据选择、情景设定等相关的假设和局限进行说明。</w:t>
      </w:r>
    </w:p>
    <w:p w14:paraId="79C8DE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pacing w:val="2"/>
          <w:sz w:val="21"/>
          <w:szCs w:val="21"/>
        </w:rPr>
        <w:sectPr>
          <w:footerReference r:id="rId13" w:type="default"/>
          <w:pgSz w:w="11906" w:h="16838"/>
          <w:pgMar w:top="1440" w:right="1134" w:bottom="1440" w:left="1800" w:header="851" w:footer="992" w:gutter="0"/>
          <w:pgNumType w:fmt="decimal"/>
          <w:cols w:space="425" w:num="1"/>
          <w:docGrid w:type="lines" w:linePitch="312" w:charSpace="0"/>
        </w:sectPr>
      </w:pPr>
      <w:r>
        <w:rPr>
          <w:rFonts w:hint="default" w:ascii="Times New Roman" w:hAnsi="Times New Roman" w:eastAsia="宋体" w:cs="Times New Roman"/>
          <w:spacing w:val="2"/>
          <w:sz w:val="21"/>
          <w:szCs w:val="21"/>
        </w:rPr>
        <w:t>3. 改进建议</w:t>
      </w:r>
    </w:p>
    <w:p w14:paraId="28572A8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0"/>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bookmarkStart w:id="54" w:name="_Toc7054"/>
      <w:r>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t>参考文献</w:t>
      </w:r>
      <w:bookmarkEnd w:id="54"/>
    </w:p>
    <w:p w14:paraId="025C9D5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jc w:val="center"/>
        <w:textAlignment w:val="baseline"/>
        <w:outlineLvl w:val="0"/>
        <w:rPr>
          <w:rStyle w:val="14"/>
          <w:rFonts w:hint="eastAsia" w:ascii="Times New Roman" w:hAnsi="Times New Roman" w:eastAsia="黑体" w:cs="Times New Roman"/>
          <w:b w:val="0"/>
          <w:bCs w:val="0"/>
          <w:i w:val="0"/>
          <w:iCs w:val="0"/>
          <w:caps w:val="0"/>
          <w:color w:val="000000"/>
          <w:spacing w:val="-2"/>
          <w:sz w:val="21"/>
          <w:szCs w:val="21"/>
          <w:shd w:val="clear" w:fill="FFFFFF"/>
          <w:vertAlign w:val="baseline"/>
          <w:lang w:val="en-US" w:eastAsia="zh-CN"/>
        </w:rPr>
      </w:pPr>
    </w:p>
    <w:p w14:paraId="69F18524">
      <w:pPr>
        <w:keepNext w:val="0"/>
        <w:keepLines w:val="0"/>
        <w:pageBreakBefore w:val="0"/>
        <w:widowControl w:val="0"/>
        <w:numPr>
          <w:ilvl w:val="0"/>
          <w:numId w:val="17"/>
        </w:numPr>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pacing w:val="2"/>
          <w:sz w:val="21"/>
          <w:szCs w:val="21"/>
          <w:lang w:val="en-US" w:eastAsia="zh-CN"/>
        </w:rPr>
      </w:pPr>
      <w:r>
        <w:rPr>
          <w:rFonts w:hint="default" w:ascii="Times New Roman" w:hAnsi="Times New Roman" w:eastAsia="宋体" w:cs="Times New Roman"/>
          <w:spacing w:val="2"/>
          <w:sz w:val="21"/>
          <w:szCs w:val="21"/>
          <w:lang w:val="en-US" w:eastAsia="zh-CN"/>
        </w:rPr>
        <w:t>GB/T24025 环境标志和声明 Ⅲ型环境标志 原则和程序</w:t>
      </w:r>
    </w:p>
    <w:p w14:paraId="515B064D">
      <w:pPr>
        <w:keepNext w:val="0"/>
        <w:keepLines w:val="0"/>
        <w:pageBreakBefore w:val="0"/>
        <w:widowControl w:val="0"/>
        <w:numPr>
          <w:ilvl w:val="0"/>
          <w:numId w:val="17"/>
        </w:numPr>
        <w:kinsoku/>
        <w:wordWrap/>
        <w:overflowPunct/>
        <w:topLinePunct w:val="0"/>
        <w:autoSpaceDE/>
        <w:autoSpaceDN/>
        <w:bidi w:val="0"/>
        <w:adjustRightInd/>
        <w:snapToGrid/>
        <w:spacing w:line="288" w:lineRule="auto"/>
        <w:textAlignment w:val="auto"/>
        <w:rPr>
          <w:rFonts w:hint="eastAsia" w:ascii="Times New Roman" w:hAnsi="Times New Roman" w:eastAsia="宋体" w:cs="Times New Roman"/>
          <w:spacing w:val="2"/>
          <w:sz w:val="21"/>
          <w:szCs w:val="21"/>
          <w:lang w:val="en-US" w:eastAsia="zh-CN"/>
        </w:rPr>
      </w:pPr>
      <w:r>
        <w:rPr>
          <w:rFonts w:hint="eastAsia" w:ascii="Times New Roman" w:hAnsi="Times New Roman" w:eastAsia="宋体" w:cs="Times New Roman"/>
          <w:spacing w:val="2"/>
          <w:sz w:val="21"/>
          <w:szCs w:val="21"/>
          <w:lang w:val="en-US" w:eastAsia="zh-CN"/>
        </w:rPr>
        <w:t>ISO 14067:2018 温室气体 产品碳足迹 量化要求及指南（Greenhouse gases — Carbon footprint of products — Requirements and guidelines for quantification）</w:t>
      </w:r>
    </w:p>
    <w:p w14:paraId="43DCD8EF">
      <w:pPr>
        <w:keepNext w:val="0"/>
        <w:keepLines w:val="0"/>
        <w:pageBreakBefore w:val="0"/>
        <w:widowControl w:val="0"/>
        <w:numPr>
          <w:ilvl w:val="0"/>
          <w:numId w:val="17"/>
        </w:numPr>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pacing w:val="2"/>
          <w:sz w:val="21"/>
          <w:szCs w:val="21"/>
          <w:lang w:val="en-US" w:eastAsia="zh-CN"/>
        </w:rPr>
      </w:pPr>
      <w:r>
        <w:rPr>
          <w:rFonts w:hint="default" w:ascii="Times New Roman" w:hAnsi="Times New Roman" w:eastAsia="宋体" w:cs="Times New Roman"/>
          <w:spacing w:val="2"/>
          <w:sz w:val="21"/>
          <w:szCs w:val="21"/>
          <w:lang w:val="en-US" w:eastAsia="zh-CN"/>
        </w:rPr>
        <w:t>GHG Protocol</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Product Life Cycle Accounting and Reporting Standard 温室气体核算体系：产品生命周期核算与报告标准</w:t>
      </w:r>
    </w:p>
    <w:p w14:paraId="4066CCFA">
      <w:pPr>
        <w:keepNext w:val="0"/>
        <w:keepLines w:val="0"/>
        <w:pageBreakBefore w:val="0"/>
        <w:widowControl w:val="0"/>
        <w:numPr>
          <w:ilvl w:val="0"/>
          <w:numId w:val="17"/>
        </w:numPr>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spacing w:val="2"/>
          <w:sz w:val="21"/>
          <w:szCs w:val="21"/>
          <w:lang w:val="en-US" w:eastAsia="zh-CN"/>
        </w:rPr>
      </w:pPr>
      <w:r>
        <w:rPr>
          <w:rFonts w:hint="default" w:ascii="Times New Roman" w:hAnsi="Times New Roman" w:eastAsia="宋体" w:cs="Times New Roman"/>
          <w:spacing w:val="2"/>
          <w:sz w:val="21"/>
          <w:szCs w:val="21"/>
          <w:lang w:val="en-US" w:eastAsia="zh-CN"/>
        </w:rPr>
        <w:t>IPCC</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Climate</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Change</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2021</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The</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Physical</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Science</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Basis.</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Working</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Group</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Ⅰ</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contribution</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to</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the</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Sixth Assessment Report of</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the</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Intergovernmental Panel</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on Climate Change</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Richard P.</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Allan.,</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Paola</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A.</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Arias.,</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Sophie</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Berger.,</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Josep</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G.</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Canadell.,</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Christophe</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Cassou.,</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Deliang</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Chen.,</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Annalisa</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Cherchi.,</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Sarah</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L.</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Connors.,</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Erika</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Coppola.,</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Faye</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Abigail</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Cruz.,</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et</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al,</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Cambridge</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University</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Press2021,</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pp</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pacing w:val="2"/>
          <w:sz w:val="21"/>
          <w:szCs w:val="21"/>
          <w:lang w:val="en-US" w:eastAsia="zh-CN"/>
        </w:rPr>
        <w:t>7SM24-35.</w:t>
      </w:r>
    </w:p>
    <w:sectPr>
      <w:pgSz w:w="11906" w:h="16838"/>
      <w:pgMar w:top="1440" w:right="1134"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HT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auto"/>
    <w:pitch w:val="default"/>
    <w:sig w:usb0="E00006FF" w:usb1="420024FF" w:usb2="02000000" w:usb3="00000000" w:csb0="2000019F" w:csb1="00000000"/>
  </w:font>
  <w:font w:name="Wingdings 2">
    <w:panose1 w:val="05020102010507070707"/>
    <w:charset w:val="00"/>
    <w:family w:val="auto"/>
    <w:pitch w:val="default"/>
    <w:sig w:usb0="00000000" w:usb1="00000000" w:usb2="00000000" w:usb3="00000000" w:csb0="80000000" w:csb1="00000000"/>
  </w:font>
  <w:font w:name="MS Mincho">
    <w:altName w:val="ESRI AMFM Electric"/>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ESRI AMFM Electric">
    <w:panose1 w:val="02000400000000000000"/>
    <w:charset w:val="00"/>
    <w:family w:val="auto"/>
    <w:pitch w:val="default"/>
    <w:sig w:usb0="00000003"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9AC45">
    <w:pPr>
      <w:pStyle w:val="6"/>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7C2ED47">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III</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ZSL7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OuZSL7eAgAAJgYAAA4AAAAAAAAAAQAgAAAAHwEAAGRycy9lMm9Eb2MueG1sUEsF&#10;BgAAAAAGAAYAWQEAAG8GAAAAAA==&#10;">
              <v:fill on="f" focussize="0,0"/>
              <v:stroke on="f" weight="0.5pt"/>
              <v:imagedata o:title=""/>
              <o:lock v:ext="edit" aspectratio="f"/>
              <v:textbox inset="0mm,0mm,0mm,0mm" style="mso-fit-shape-to-text:t;">
                <w:txbxContent>
                  <w:p w14:paraId="07C2ED47">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III</w:t>
                    </w:r>
                    <w:r>
                      <w:rPr>
                        <w:rFonts w:hint="default" w:ascii="Times New Roman" w:hAnsi="Times New Roman"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8FEF3">
    <w:pPr>
      <w:pStyle w:val="6"/>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6EE70C9">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II</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pEF7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MspEF7eAgAAJgYAAA4AAAAAAAAAAQAgAAAAHwEAAGRycy9lMm9Eb2MueG1sUEsF&#10;BgAAAAAGAAYAWQEAAG8GAAAAAA==&#10;">
              <v:fill on="f" focussize="0,0"/>
              <v:stroke on="f" weight="0.5pt"/>
              <v:imagedata o:title=""/>
              <o:lock v:ext="edit" aspectratio="f"/>
              <v:textbox inset="0mm,0mm,0mm,0mm" style="mso-fit-shape-to-text:t;">
                <w:txbxContent>
                  <w:p w14:paraId="76EE70C9">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II</w:t>
                    </w:r>
                    <w:r>
                      <w:rPr>
                        <w:rFonts w:hint="default" w:ascii="Times New Roman" w:hAnsi="Times New Roman" w:cs="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510F8">
    <w:pPr>
      <w:pStyle w:val="6"/>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07C320">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F07C320">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w:t>
                    </w:r>
                    <w:r>
                      <w:rPr>
                        <w:rFonts w:hint="default" w:ascii="Times New Roman" w:hAnsi="Times New Roman" w:cs="Times New Roma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E044A">
    <w:pPr>
      <w:pStyle w:val="6"/>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08E8A">
                          <w:pPr>
                            <w:pStyle w:val="6"/>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A608E8A">
                    <w:pPr>
                      <w:pStyle w:val="6"/>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w:t>
                    </w:r>
                    <w:r>
                      <w:rPr>
                        <w:rFonts w:hint="default" w:ascii="Times New Roman" w:hAnsi="Times New Roman" w:cs="Times New Roma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2DFD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EE65B3E">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V</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W4023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RbjTbd0CAAAmBgAADgAAAAAAAAABACAAAAAfAQAAZHJzL2Uyb0RvYy54bWxQSwUG&#10;AAAAAAYABgBZAQAAbgYAAAAA&#10;">
              <v:fill on="f" focussize="0,0"/>
              <v:stroke on="f" weight="0.5pt"/>
              <v:imagedata o:title=""/>
              <o:lock v:ext="edit" aspectratio="f"/>
              <v:textbox inset="0mm,0mm,0mm,0mm" style="mso-fit-shape-to-text:t;">
                <w:txbxContent>
                  <w:p w14:paraId="3EE65B3E">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V</w:t>
                    </w:r>
                    <w:r>
                      <w:rPr>
                        <w:rFonts w:hint="default" w:ascii="Times New Roman" w:hAnsi="Times New Roman" w:cs="Times New Roma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0FE45">
    <w:pPr>
      <w:pStyle w:val="6"/>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F2E9D2">
                          <w:pPr>
                            <w:pStyle w:val="6"/>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CF2E9D2">
                    <w:pPr>
                      <w:pStyle w:val="6"/>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w:t>
                    </w:r>
                    <w:r>
                      <w:rPr>
                        <w:rFonts w:hint="default" w:ascii="Times New Roman" w:hAnsi="Times New Roman" w:cs="Times New Roma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B2BA7">
    <w:pPr>
      <w:spacing w:line="179" w:lineRule="auto"/>
      <w:ind w:left="14110"/>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1260D95">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XXV</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4Ej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BhhJ0kDF&#10;7799vf/+8/7HFwR7INBW2zHELTREut2V2kFwv29h0/PeVabx/8AIgR/kvT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v/gSN0CAAAmBgAADgAAAAAAAAABACAAAAAfAQAAZHJzL2Uyb0RvYy54bWxQSwUG&#10;AAAAAAYABgBZAQAAbgYAAAAA&#10;">
              <v:fill on="f" focussize="0,0"/>
              <v:stroke on="f" weight="0.5pt"/>
              <v:imagedata o:title=""/>
              <o:lock v:ext="edit" aspectratio="f"/>
              <v:textbox inset="0mm,0mm,0mm,0mm" style="mso-fit-shape-to-text:t;">
                <w:txbxContent>
                  <w:p w14:paraId="61260D95">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XXV</w:t>
                    </w:r>
                    <w:r>
                      <w:rPr>
                        <w:rFonts w:hint="default" w:ascii="Times New Roman" w:hAnsi="Times New Roman" w:cs="Times New Roman"/>
                      </w:rPr>
                      <w:fldChar w:fldCharType="end"/>
                    </w:r>
                  </w:p>
                </w:txbxContent>
              </v:textbox>
            </v:shape>
          </w:pict>
        </mc:Fallback>
      </mc:AlternateContent>
    </w:r>
    <w:r>
      <w:rPr>
        <w:rFonts w:ascii="Times New Roman" w:hAnsi="Times New Roman" w:eastAsia="Times New Roman" w:cs="Times New Roman"/>
        <w:sz w:val="24"/>
        <w:szCs w:val="24"/>
      </w:rPr>
      <w:t>9</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B7EE7">
    <w:pPr>
      <w:spacing w:before="1" w:line="179" w:lineRule="auto"/>
      <w:ind w:left="14600"/>
      <w:rPr>
        <w:rFonts w:ascii="Times New Roman" w:hAnsi="Times New Roman" w:eastAsia="Times New Roman" w:cs="Times New Roman"/>
        <w:sz w:val="25"/>
        <w:szCs w:val="25"/>
      </w:rPr>
    </w:pPr>
    <w:r>
      <w:rPr>
        <w:sz w:val="25"/>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6EF9499">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XXVII</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A3uL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jA3uLeAgAAJgYAAA4AAAAAAAAAAQAgAAAAHwEAAGRycy9lMm9Eb2MueG1sUEsF&#10;BgAAAAAGAAYAWQEAAG8GAAAAAA==&#10;">
              <v:fill on="f" focussize="0,0"/>
              <v:stroke on="f" weight="0.5pt"/>
              <v:imagedata o:title=""/>
              <o:lock v:ext="edit" aspectratio="f"/>
              <v:textbox inset="0mm,0mm,0mm,0mm" style="mso-fit-shape-to-text:t;">
                <w:txbxContent>
                  <w:p w14:paraId="26EF9499">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XXVII</w:t>
                    </w:r>
                    <w:r>
                      <w:rPr>
                        <w:rFonts w:hint="default" w:ascii="Times New Roman" w:hAnsi="Times New Roman" w:cs="Times New Roman"/>
                      </w:rPr>
                      <w:fldChar w:fldCharType="end"/>
                    </w:r>
                  </w:p>
                </w:txbxContent>
              </v:textbox>
            </v:shape>
          </w:pict>
        </mc:Fallback>
      </mc:AlternateContent>
    </w:r>
    <w:r>
      <w:rPr>
        <w:rFonts w:ascii="Times New Roman" w:hAnsi="Times New Roman" w:eastAsia="Times New Roman" w:cs="Times New Roman"/>
        <w:spacing w:val="-8"/>
        <w:sz w:val="25"/>
        <w:szCs w:val="25"/>
      </w:rPr>
      <w:t>11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69F14">
    <w:pPr>
      <w:pStyle w:val="7"/>
    </w:pPr>
    <w:r>
      <w:rPr>
        <w:b/>
      </w:rPr>
      <w:t>T/</w:t>
    </w:r>
    <w:r>
      <w:rPr>
        <w:rFonts w:hint="eastAsia"/>
        <w:b/>
      </w:rPr>
      <w:t>CCAA 36</w:t>
    </w:r>
    <w:r>
      <w:t>-20</w:t>
    </w:r>
    <w:r>
      <w:rPr>
        <w:rFonts w:hint="eastAsia"/>
      </w:rPr>
      <w:t>20X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90B60">
    <w:pPr>
      <w:pStyle w:val="7"/>
      <w:jc w:val="right"/>
    </w:pPr>
    <w:r>
      <w:rPr>
        <w:rFonts w:hint="eastAsia" w:ascii="黑体" w:hAnsi="黑体" w:eastAsia="黑体" w:cs="黑体"/>
        <w:sz w:val="21"/>
        <w:szCs w:val="32"/>
      </w:rPr>
      <w:t>T/SPAQ 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97F42">
    <w:pPr>
      <w:pStyle w:val="7"/>
      <w:rPr>
        <w:rFonts w:hint="eastAsia"/>
      </w:rPr>
    </w:pPr>
    <w:r>
      <w:rPr>
        <w:rFonts w:hint="eastAsia" w:ascii="黑体" w:hAnsi="黑体" w:eastAsia="黑体" w:cs="黑体"/>
        <w:sz w:val="21"/>
        <w:szCs w:val="32"/>
      </w:rPr>
      <w:t>T/SPAQ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EB9E5"/>
    <w:multiLevelType w:val="singleLevel"/>
    <w:tmpl w:val="8D1EB9E5"/>
    <w:lvl w:ilvl="0" w:tentative="0">
      <w:start w:val="1"/>
      <w:numFmt w:val="lowerLetter"/>
      <w:suff w:val="space"/>
      <w:lvlText w:val="%1)"/>
      <w:lvlJc w:val="left"/>
    </w:lvl>
  </w:abstractNum>
  <w:abstractNum w:abstractNumId="1">
    <w:nsid w:val="A783A553"/>
    <w:multiLevelType w:val="singleLevel"/>
    <w:tmpl w:val="A783A553"/>
    <w:lvl w:ilvl="0" w:tentative="0">
      <w:start w:val="1"/>
      <w:numFmt w:val="lowerLetter"/>
      <w:suff w:val="space"/>
      <w:lvlText w:val="%1)"/>
      <w:lvlJc w:val="left"/>
    </w:lvl>
  </w:abstractNum>
  <w:abstractNum w:abstractNumId="2">
    <w:nsid w:val="C158BAB8"/>
    <w:multiLevelType w:val="singleLevel"/>
    <w:tmpl w:val="C158BAB8"/>
    <w:lvl w:ilvl="0" w:tentative="0">
      <w:start w:val="1"/>
      <w:numFmt w:val="lowerLetter"/>
      <w:suff w:val="space"/>
      <w:lvlText w:val="%1)"/>
      <w:lvlJc w:val="left"/>
    </w:lvl>
  </w:abstractNum>
  <w:abstractNum w:abstractNumId="3">
    <w:nsid w:val="D84F89D8"/>
    <w:multiLevelType w:val="singleLevel"/>
    <w:tmpl w:val="D84F89D8"/>
    <w:lvl w:ilvl="0" w:tentative="0">
      <w:start w:val="1"/>
      <w:numFmt w:val="lowerLetter"/>
      <w:suff w:val="space"/>
      <w:lvlText w:val="%1)"/>
      <w:lvlJc w:val="left"/>
    </w:lvl>
  </w:abstractNum>
  <w:abstractNum w:abstractNumId="4">
    <w:nsid w:val="DA71F343"/>
    <w:multiLevelType w:val="singleLevel"/>
    <w:tmpl w:val="DA71F343"/>
    <w:lvl w:ilvl="0" w:tentative="0">
      <w:start w:val="1"/>
      <w:numFmt w:val="lowerLetter"/>
      <w:suff w:val="space"/>
      <w:lvlText w:val="%1)"/>
      <w:lvlJc w:val="left"/>
    </w:lvl>
  </w:abstractNum>
  <w:abstractNum w:abstractNumId="5">
    <w:nsid w:val="E202B6B9"/>
    <w:multiLevelType w:val="singleLevel"/>
    <w:tmpl w:val="E202B6B9"/>
    <w:lvl w:ilvl="0" w:tentative="0">
      <w:start w:val="1"/>
      <w:numFmt w:val="lowerLetter"/>
      <w:suff w:val="space"/>
      <w:lvlText w:val="%1)"/>
      <w:lvlJc w:val="left"/>
    </w:lvl>
  </w:abstractNum>
  <w:abstractNum w:abstractNumId="6">
    <w:nsid w:val="E3277D92"/>
    <w:multiLevelType w:val="singleLevel"/>
    <w:tmpl w:val="E3277D92"/>
    <w:lvl w:ilvl="0" w:tentative="0">
      <w:start w:val="1"/>
      <w:numFmt w:val="lowerLetter"/>
      <w:suff w:val="space"/>
      <w:lvlText w:val="%1)"/>
      <w:lvlJc w:val="left"/>
    </w:lvl>
  </w:abstractNum>
  <w:abstractNum w:abstractNumId="7">
    <w:nsid w:val="EC4BBE10"/>
    <w:multiLevelType w:val="singleLevel"/>
    <w:tmpl w:val="EC4BBE10"/>
    <w:lvl w:ilvl="0" w:tentative="0">
      <w:start w:val="1"/>
      <w:numFmt w:val="lowerLetter"/>
      <w:suff w:val="space"/>
      <w:lvlText w:val="%1)"/>
      <w:lvlJc w:val="left"/>
    </w:lvl>
  </w:abstractNum>
  <w:abstractNum w:abstractNumId="8">
    <w:nsid w:val="F762AD6D"/>
    <w:multiLevelType w:val="singleLevel"/>
    <w:tmpl w:val="F762AD6D"/>
    <w:lvl w:ilvl="0" w:tentative="0">
      <w:start w:val="1"/>
      <w:numFmt w:val="lowerLetter"/>
      <w:suff w:val="space"/>
      <w:lvlText w:val="%1)"/>
      <w:lvlJc w:val="left"/>
    </w:lvl>
  </w:abstractNum>
  <w:abstractNum w:abstractNumId="9">
    <w:nsid w:val="2D6D18C1"/>
    <w:multiLevelType w:val="singleLevel"/>
    <w:tmpl w:val="2D6D18C1"/>
    <w:lvl w:ilvl="0" w:tentative="0">
      <w:start w:val="1"/>
      <w:numFmt w:val="lowerLetter"/>
      <w:suff w:val="space"/>
      <w:lvlText w:val="%1)"/>
      <w:lvlJc w:val="left"/>
    </w:lvl>
  </w:abstractNum>
  <w:abstractNum w:abstractNumId="10">
    <w:nsid w:val="37543542"/>
    <w:multiLevelType w:val="singleLevel"/>
    <w:tmpl w:val="37543542"/>
    <w:lvl w:ilvl="0" w:tentative="0">
      <w:start w:val="1"/>
      <w:numFmt w:val="lowerLetter"/>
      <w:suff w:val="space"/>
      <w:lvlText w:val="%1)"/>
      <w:lvlJc w:val="left"/>
    </w:lvl>
  </w:abstractNum>
  <w:abstractNum w:abstractNumId="11">
    <w:nsid w:val="53362A65"/>
    <w:multiLevelType w:val="singleLevel"/>
    <w:tmpl w:val="53362A65"/>
    <w:lvl w:ilvl="0" w:tentative="0">
      <w:start w:val="1"/>
      <w:numFmt w:val="lowerLetter"/>
      <w:suff w:val="space"/>
      <w:lvlText w:val="%1)"/>
      <w:lvlJc w:val="left"/>
    </w:lvl>
  </w:abstractNum>
  <w:abstractNum w:abstractNumId="12">
    <w:nsid w:val="657D3FBC"/>
    <w:multiLevelType w:val="multilevel"/>
    <w:tmpl w:val="657D3FBC"/>
    <w:lvl w:ilvl="0" w:tentative="0">
      <w:start w:val="1"/>
      <w:numFmt w:val="upperLetter"/>
      <w:pStyle w:val="22"/>
      <w:suff w:val="nothing"/>
      <w:lvlText w:val="附录%1"/>
      <w:lvlJc w:val="left"/>
      <w:pPr>
        <w:ind w:left="0" w:firstLine="0"/>
      </w:pPr>
      <w:rPr>
        <w:rFonts w:hint="eastAsia"/>
        <w:spacing w:val="100"/>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9"/>
      <w:suff w:val="nothing"/>
      <w:lvlText w:val="%1%2　"/>
      <w:lvlJc w:val="left"/>
      <w:pPr>
        <w:ind w:left="0" w:firstLine="0"/>
      </w:pPr>
      <w:rPr>
        <w:rFonts w:hint="eastAsia" w:ascii="黑体" w:eastAsia="黑体"/>
        <w:b w:val="0"/>
        <w:i w:val="0"/>
        <w:sz w:val="21"/>
      </w:rPr>
    </w:lvl>
    <w:lvl w:ilvl="2" w:tentative="0">
      <w:start w:val="1"/>
      <w:numFmt w:val="decimal"/>
      <w:pStyle w:val="1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747DB55C"/>
    <w:multiLevelType w:val="singleLevel"/>
    <w:tmpl w:val="747DB55C"/>
    <w:lvl w:ilvl="0" w:tentative="0">
      <w:start w:val="1"/>
      <w:numFmt w:val="lowerLetter"/>
      <w:suff w:val="space"/>
      <w:lvlText w:val="%1)"/>
      <w:lvlJc w:val="left"/>
    </w:lvl>
  </w:abstractNum>
  <w:abstractNum w:abstractNumId="15">
    <w:nsid w:val="763BE4C3"/>
    <w:multiLevelType w:val="singleLevel"/>
    <w:tmpl w:val="763BE4C3"/>
    <w:lvl w:ilvl="0" w:tentative="0">
      <w:start w:val="2"/>
      <w:numFmt w:val="decimal"/>
      <w:suff w:val="space"/>
      <w:lvlText w:val="%1."/>
      <w:lvlJc w:val="left"/>
    </w:lvl>
  </w:abstractNum>
  <w:abstractNum w:abstractNumId="16">
    <w:nsid w:val="7E08519A"/>
    <w:multiLevelType w:val="singleLevel"/>
    <w:tmpl w:val="7E08519A"/>
    <w:lvl w:ilvl="0" w:tentative="0">
      <w:start w:val="1"/>
      <w:numFmt w:val="decimal"/>
      <w:suff w:val="space"/>
      <w:lvlText w:val="[%1]"/>
      <w:lvlJc w:val="left"/>
    </w:lvl>
  </w:abstractNum>
  <w:num w:numId="1">
    <w:abstractNumId w:val="13"/>
  </w:num>
  <w:num w:numId="2">
    <w:abstractNumId w:val="12"/>
  </w:num>
  <w:num w:numId="3">
    <w:abstractNumId w:val="6"/>
  </w:num>
  <w:num w:numId="4">
    <w:abstractNumId w:val="7"/>
  </w:num>
  <w:num w:numId="5">
    <w:abstractNumId w:val="4"/>
  </w:num>
  <w:num w:numId="6">
    <w:abstractNumId w:val="1"/>
  </w:num>
  <w:num w:numId="7">
    <w:abstractNumId w:val="5"/>
  </w:num>
  <w:num w:numId="8">
    <w:abstractNumId w:val="14"/>
  </w:num>
  <w:num w:numId="9">
    <w:abstractNumId w:val="9"/>
  </w:num>
  <w:num w:numId="10">
    <w:abstractNumId w:val="10"/>
  </w:num>
  <w:num w:numId="11">
    <w:abstractNumId w:val="8"/>
  </w:num>
  <w:num w:numId="12">
    <w:abstractNumId w:val="11"/>
  </w:num>
  <w:num w:numId="13">
    <w:abstractNumId w:val="0"/>
  </w:num>
  <w:num w:numId="14">
    <w:abstractNumId w:val="2"/>
  </w:num>
  <w:num w:numId="15">
    <w:abstractNumId w:val="3"/>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1"/>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847DE"/>
    <w:rsid w:val="003336E7"/>
    <w:rsid w:val="003C3C17"/>
    <w:rsid w:val="00481283"/>
    <w:rsid w:val="005A175E"/>
    <w:rsid w:val="005A7208"/>
    <w:rsid w:val="009A502D"/>
    <w:rsid w:val="01494DEE"/>
    <w:rsid w:val="014B38AD"/>
    <w:rsid w:val="014E0B80"/>
    <w:rsid w:val="014E3046"/>
    <w:rsid w:val="016320EC"/>
    <w:rsid w:val="016B44FB"/>
    <w:rsid w:val="01D906AD"/>
    <w:rsid w:val="0252155B"/>
    <w:rsid w:val="02BC7D06"/>
    <w:rsid w:val="02CA4C4D"/>
    <w:rsid w:val="02FC32CE"/>
    <w:rsid w:val="0338273E"/>
    <w:rsid w:val="0355289D"/>
    <w:rsid w:val="035635FC"/>
    <w:rsid w:val="035D374F"/>
    <w:rsid w:val="037C1581"/>
    <w:rsid w:val="039B2C77"/>
    <w:rsid w:val="039C7407"/>
    <w:rsid w:val="03AE4EAB"/>
    <w:rsid w:val="03B549DB"/>
    <w:rsid w:val="03B94CE8"/>
    <w:rsid w:val="03C60BB9"/>
    <w:rsid w:val="03E269FE"/>
    <w:rsid w:val="03EE1A7E"/>
    <w:rsid w:val="03F20308"/>
    <w:rsid w:val="04106C23"/>
    <w:rsid w:val="043052BA"/>
    <w:rsid w:val="04832FAD"/>
    <w:rsid w:val="04C3537C"/>
    <w:rsid w:val="04CF4BA0"/>
    <w:rsid w:val="04F4768C"/>
    <w:rsid w:val="0508737D"/>
    <w:rsid w:val="053E7690"/>
    <w:rsid w:val="05433ADB"/>
    <w:rsid w:val="054346C3"/>
    <w:rsid w:val="05635FE9"/>
    <w:rsid w:val="05897383"/>
    <w:rsid w:val="05BC5BDA"/>
    <w:rsid w:val="05C63CA5"/>
    <w:rsid w:val="06191E33"/>
    <w:rsid w:val="062C21B1"/>
    <w:rsid w:val="066B64F8"/>
    <w:rsid w:val="067B5B92"/>
    <w:rsid w:val="068B4826"/>
    <w:rsid w:val="069B5E85"/>
    <w:rsid w:val="06BC1CF0"/>
    <w:rsid w:val="06BC49AC"/>
    <w:rsid w:val="07045715"/>
    <w:rsid w:val="073A226E"/>
    <w:rsid w:val="07433EF7"/>
    <w:rsid w:val="074847DE"/>
    <w:rsid w:val="075705A0"/>
    <w:rsid w:val="076D6436"/>
    <w:rsid w:val="078607CA"/>
    <w:rsid w:val="07BC0D75"/>
    <w:rsid w:val="07C242F9"/>
    <w:rsid w:val="07F05048"/>
    <w:rsid w:val="07F87A55"/>
    <w:rsid w:val="07FF34EF"/>
    <w:rsid w:val="080E059E"/>
    <w:rsid w:val="08261F6C"/>
    <w:rsid w:val="08311603"/>
    <w:rsid w:val="0860451F"/>
    <w:rsid w:val="08625F30"/>
    <w:rsid w:val="089D379E"/>
    <w:rsid w:val="08AE1C20"/>
    <w:rsid w:val="08D746FD"/>
    <w:rsid w:val="08E41D65"/>
    <w:rsid w:val="090221EB"/>
    <w:rsid w:val="093920B1"/>
    <w:rsid w:val="094445B2"/>
    <w:rsid w:val="095C5D9F"/>
    <w:rsid w:val="096714FD"/>
    <w:rsid w:val="097873B0"/>
    <w:rsid w:val="09E13DD4"/>
    <w:rsid w:val="09F14739"/>
    <w:rsid w:val="0A0A1357"/>
    <w:rsid w:val="0A0D6F0A"/>
    <w:rsid w:val="0A1017D7"/>
    <w:rsid w:val="0A506509"/>
    <w:rsid w:val="0A830FB5"/>
    <w:rsid w:val="0AC05EBA"/>
    <w:rsid w:val="0B01399E"/>
    <w:rsid w:val="0B033F7A"/>
    <w:rsid w:val="0B4013BD"/>
    <w:rsid w:val="0B811AED"/>
    <w:rsid w:val="0BC32105"/>
    <w:rsid w:val="0BED4DCA"/>
    <w:rsid w:val="0BF41936"/>
    <w:rsid w:val="0BF54CA5"/>
    <w:rsid w:val="0BF978D5"/>
    <w:rsid w:val="0C2B1C59"/>
    <w:rsid w:val="0C344DB1"/>
    <w:rsid w:val="0C5652E5"/>
    <w:rsid w:val="0C637445"/>
    <w:rsid w:val="0CA85607"/>
    <w:rsid w:val="0CB47CA0"/>
    <w:rsid w:val="0CBD3ED2"/>
    <w:rsid w:val="0CE111D2"/>
    <w:rsid w:val="0CEC5533"/>
    <w:rsid w:val="0D53031F"/>
    <w:rsid w:val="0D797EA1"/>
    <w:rsid w:val="0D99317C"/>
    <w:rsid w:val="0DBE743C"/>
    <w:rsid w:val="0DD63D0F"/>
    <w:rsid w:val="0DF447F8"/>
    <w:rsid w:val="0E0D39A4"/>
    <w:rsid w:val="0E2F75DE"/>
    <w:rsid w:val="0E48155E"/>
    <w:rsid w:val="0E80608C"/>
    <w:rsid w:val="0E9F2BD1"/>
    <w:rsid w:val="0EA93EA4"/>
    <w:rsid w:val="0EBB62A1"/>
    <w:rsid w:val="0ED62150"/>
    <w:rsid w:val="0F076B0F"/>
    <w:rsid w:val="0F271BAF"/>
    <w:rsid w:val="0F2E57F8"/>
    <w:rsid w:val="0FAA20CD"/>
    <w:rsid w:val="0FAA6C02"/>
    <w:rsid w:val="0FB2637E"/>
    <w:rsid w:val="0FC30CF8"/>
    <w:rsid w:val="102D5D9F"/>
    <w:rsid w:val="106A289E"/>
    <w:rsid w:val="109113E1"/>
    <w:rsid w:val="10A57038"/>
    <w:rsid w:val="10CA7A92"/>
    <w:rsid w:val="10EF7E56"/>
    <w:rsid w:val="10F913C4"/>
    <w:rsid w:val="10F92125"/>
    <w:rsid w:val="11665A0D"/>
    <w:rsid w:val="117441D5"/>
    <w:rsid w:val="1178129C"/>
    <w:rsid w:val="11AB1672"/>
    <w:rsid w:val="11B81FE1"/>
    <w:rsid w:val="11D25AEC"/>
    <w:rsid w:val="11D441E1"/>
    <w:rsid w:val="11E04EEF"/>
    <w:rsid w:val="121F5BBC"/>
    <w:rsid w:val="12222ECC"/>
    <w:rsid w:val="122C0D99"/>
    <w:rsid w:val="12604BC2"/>
    <w:rsid w:val="127E03EB"/>
    <w:rsid w:val="127E75C8"/>
    <w:rsid w:val="129F0E57"/>
    <w:rsid w:val="12AC38F3"/>
    <w:rsid w:val="12DF2E1F"/>
    <w:rsid w:val="130A6291"/>
    <w:rsid w:val="133323DF"/>
    <w:rsid w:val="13390DFF"/>
    <w:rsid w:val="134653C0"/>
    <w:rsid w:val="13580BCE"/>
    <w:rsid w:val="13962D01"/>
    <w:rsid w:val="13C9209F"/>
    <w:rsid w:val="13ED0D02"/>
    <w:rsid w:val="14997EA7"/>
    <w:rsid w:val="149D34F6"/>
    <w:rsid w:val="14AC31F7"/>
    <w:rsid w:val="14BB6945"/>
    <w:rsid w:val="14F951FE"/>
    <w:rsid w:val="15066E56"/>
    <w:rsid w:val="152F21F0"/>
    <w:rsid w:val="15547282"/>
    <w:rsid w:val="15717716"/>
    <w:rsid w:val="15D373E9"/>
    <w:rsid w:val="15D942D4"/>
    <w:rsid w:val="15DF34F1"/>
    <w:rsid w:val="15E46E45"/>
    <w:rsid w:val="15FF1F8C"/>
    <w:rsid w:val="16130D94"/>
    <w:rsid w:val="161B0977"/>
    <w:rsid w:val="1621543F"/>
    <w:rsid w:val="162E461F"/>
    <w:rsid w:val="165322D8"/>
    <w:rsid w:val="16780984"/>
    <w:rsid w:val="168C314C"/>
    <w:rsid w:val="16D3757A"/>
    <w:rsid w:val="16ED6288"/>
    <w:rsid w:val="173559EB"/>
    <w:rsid w:val="175062B0"/>
    <w:rsid w:val="17542220"/>
    <w:rsid w:val="17650515"/>
    <w:rsid w:val="17CA481C"/>
    <w:rsid w:val="17DC686F"/>
    <w:rsid w:val="184B4CB4"/>
    <w:rsid w:val="184B73F3"/>
    <w:rsid w:val="1852229A"/>
    <w:rsid w:val="189725A7"/>
    <w:rsid w:val="18F727F3"/>
    <w:rsid w:val="18FC518C"/>
    <w:rsid w:val="190478B9"/>
    <w:rsid w:val="19075EDF"/>
    <w:rsid w:val="1916657B"/>
    <w:rsid w:val="192F0DDA"/>
    <w:rsid w:val="19992FB6"/>
    <w:rsid w:val="19A075E2"/>
    <w:rsid w:val="19DC5450"/>
    <w:rsid w:val="19E5261E"/>
    <w:rsid w:val="19F85906"/>
    <w:rsid w:val="1A0F2C77"/>
    <w:rsid w:val="1A186D25"/>
    <w:rsid w:val="1A2E2824"/>
    <w:rsid w:val="1A4160EC"/>
    <w:rsid w:val="1A7F6DEB"/>
    <w:rsid w:val="1A9B5FFB"/>
    <w:rsid w:val="1AA30056"/>
    <w:rsid w:val="1AC47300"/>
    <w:rsid w:val="1AC64F4A"/>
    <w:rsid w:val="1AC6751C"/>
    <w:rsid w:val="1AE06747"/>
    <w:rsid w:val="1B0B4F2F"/>
    <w:rsid w:val="1B410C02"/>
    <w:rsid w:val="1B4D5C8E"/>
    <w:rsid w:val="1B530FC5"/>
    <w:rsid w:val="1B574618"/>
    <w:rsid w:val="1B662AAD"/>
    <w:rsid w:val="1B810BF5"/>
    <w:rsid w:val="1B8151F1"/>
    <w:rsid w:val="1B8736BB"/>
    <w:rsid w:val="1B8E074F"/>
    <w:rsid w:val="1BB44881"/>
    <w:rsid w:val="1BE97334"/>
    <w:rsid w:val="1BEC1924"/>
    <w:rsid w:val="1BFB31F6"/>
    <w:rsid w:val="1C672109"/>
    <w:rsid w:val="1C672126"/>
    <w:rsid w:val="1C913B5A"/>
    <w:rsid w:val="1D1B6200"/>
    <w:rsid w:val="1D402A0A"/>
    <w:rsid w:val="1D501C70"/>
    <w:rsid w:val="1D71146B"/>
    <w:rsid w:val="1D86683A"/>
    <w:rsid w:val="1DAC567D"/>
    <w:rsid w:val="1DB07A59"/>
    <w:rsid w:val="1DD566F0"/>
    <w:rsid w:val="1DD948A5"/>
    <w:rsid w:val="1DE75D86"/>
    <w:rsid w:val="1E224C1A"/>
    <w:rsid w:val="1E265557"/>
    <w:rsid w:val="1E84257D"/>
    <w:rsid w:val="1E8B53BB"/>
    <w:rsid w:val="1E8F5C69"/>
    <w:rsid w:val="1E9355AF"/>
    <w:rsid w:val="1EA0234F"/>
    <w:rsid w:val="1EA819CA"/>
    <w:rsid w:val="1ED16490"/>
    <w:rsid w:val="1FD06747"/>
    <w:rsid w:val="1FD67C8E"/>
    <w:rsid w:val="206C2914"/>
    <w:rsid w:val="207020B3"/>
    <w:rsid w:val="20A24F68"/>
    <w:rsid w:val="21215B8F"/>
    <w:rsid w:val="21660556"/>
    <w:rsid w:val="21817CF9"/>
    <w:rsid w:val="218D2B42"/>
    <w:rsid w:val="21CD2F3E"/>
    <w:rsid w:val="21F437E9"/>
    <w:rsid w:val="21F506E7"/>
    <w:rsid w:val="22105417"/>
    <w:rsid w:val="22714212"/>
    <w:rsid w:val="22820F68"/>
    <w:rsid w:val="228F6EA0"/>
    <w:rsid w:val="229C0B63"/>
    <w:rsid w:val="22B10AB2"/>
    <w:rsid w:val="22FF2F26"/>
    <w:rsid w:val="232B0864"/>
    <w:rsid w:val="23393702"/>
    <w:rsid w:val="23515DF1"/>
    <w:rsid w:val="23772BE7"/>
    <w:rsid w:val="23AE6D9F"/>
    <w:rsid w:val="23D762F6"/>
    <w:rsid w:val="23ED5B1A"/>
    <w:rsid w:val="23FA2ABD"/>
    <w:rsid w:val="241C052D"/>
    <w:rsid w:val="242849FB"/>
    <w:rsid w:val="24C50845"/>
    <w:rsid w:val="24F05A30"/>
    <w:rsid w:val="24FA4DAF"/>
    <w:rsid w:val="25183CA6"/>
    <w:rsid w:val="2526682A"/>
    <w:rsid w:val="253D3747"/>
    <w:rsid w:val="254F0C5F"/>
    <w:rsid w:val="25667859"/>
    <w:rsid w:val="25CD068E"/>
    <w:rsid w:val="25F25747"/>
    <w:rsid w:val="2600572F"/>
    <w:rsid w:val="26170C2C"/>
    <w:rsid w:val="261E020C"/>
    <w:rsid w:val="264F64D7"/>
    <w:rsid w:val="265D3C07"/>
    <w:rsid w:val="26AB7004"/>
    <w:rsid w:val="27006A9B"/>
    <w:rsid w:val="2702368A"/>
    <w:rsid w:val="270F060F"/>
    <w:rsid w:val="27435A51"/>
    <w:rsid w:val="27582D0C"/>
    <w:rsid w:val="276C4FA7"/>
    <w:rsid w:val="280711DB"/>
    <w:rsid w:val="284C02A7"/>
    <w:rsid w:val="28726E69"/>
    <w:rsid w:val="287405B8"/>
    <w:rsid w:val="288715A0"/>
    <w:rsid w:val="28AE4351"/>
    <w:rsid w:val="28B07116"/>
    <w:rsid w:val="29243FA1"/>
    <w:rsid w:val="294D5A0C"/>
    <w:rsid w:val="29582C6C"/>
    <w:rsid w:val="296321BD"/>
    <w:rsid w:val="29714573"/>
    <w:rsid w:val="298C7710"/>
    <w:rsid w:val="29946A38"/>
    <w:rsid w:val="29BA2D9A"/>
    <w:rsid w:val="29EE7EF6"/>
    <w:rsid w:val="2A225DF1"/>
    <w:rsid w:val="2A513C8E"/>
    <w:rsid w:val="2A524929"/>
    <w:rsid w:val="2A532040"/>
    <w:rsid w:val="2A6838C9"/>
    <w:rsid w:val="2AA86EF4"/>
    <w:rsid w:val="2ADC40FD"/>
    <w:rsid w:val="2B1679F5"/>
    <w:rsid w:val="2B1B0154"/>
    <w:rsid w:val="2B1F2E41"/>
    <w:rsid w:val="2B327665"/>
    <w:rsid w:val="2B4E5289"/>
    <w:rsid w:val="2B7113C2"/>
    <w:rsid w:val="2B741BA9"/>
    <w:rsid w:val="2B7E7AD0"/>
    <w:rsid w:val="2BC730F4"/>
    <w:rsid w:val="2C0D7AEC"/>
    <w:rsid w:val="2C2568C8"/>
    <w:rsid w:val="2C2F2233"/>
    <w:rsid w:val="2C635A4A"/>
    <w:rsid w:val="2CAB7D5D"/>
    <w:rsid w:val="2CBA5266"/>
    <w:rsid w:val="2CBC077F"/>
    <w:rsid w:val="2CD21D51"/>
    <w:rsid w:val="2D0337A4"/>
    <w:rsid w:val="2D235F0E"/>
    <w:rsid w:val="2DBA5773"/>
    <w:rsid w:val="2DCA0433"/>
    <w:rsid w:val="2DEB6009"/>
    <w:rsid w:val="2E424CB4"/>
    <w:rsid w:val="2E6764C9"/>
    <w:rsid w:val="2E9E7A7E"/>
    <w:rsid w:val="2EA24C91"/>
    <w:rsid w:val="2EB60255"/>
    <w:rsid w:val="2EBC2F77"/>
    <w:rsid w:val="2EBF0558"/>
    <w:rsid w:val="2F440337"/>
    <w:rsid w:val="2F6649D2"/>
    <w:rsid w:val="2FA31B1E"/>
    <w:rsid w:val="30873427"/>
    <w:rsid w:val="30C52E37"/>
    <w:rsid w:val="310D4481"/>
    <w:rsid w:val="311C4B8B"/>
    <w:rsid w:val="313A6116"/>
    <w:rsid w:val="316E1961"/>
    <w:rsid w:val="31B80873"/>
    <w:rsid w:val="31C954BC"/>
    <w:rsid w:val="31E15F6D"/>
    <w:rsid w:val="320F75A3"/>
    <w:rsid w:val="322648AA"/>
    <w:rsid w:val="325B1BA4"/>
    <w:rsid w:val="325C2C2C"/>
    <w:rsid w:val="32C052A0"/>
    <w:rsid w:val="32E31FFF"/>
    <w:rsid w:val="32EE0907"/>
    <w:rsid w:val="32FB3683"/>
    <w:rsid w:val="3307101E"/>
    <w:rsid w:val="331359CC"/>
    <w:rsid w:val="333C6176"/>
    <w:rsid w:val="3349717B"/>
    <w:rsid w:val="33706B83"/>
    <w:rsid w:val="33B73A4E"/>
    <w:rsid w:val="33D91C17"/>
    <w:rsid w:val="34126AD2"/>
    <w:rsid w:val="343926B5"/>
    <w:rsid w:val="343D26E7"/>
    <w:rsid w:val="347A3ACD"/>
    <w:rsid w:val="34B87A7E"/>
    <w:rsid w:val="34C178E7"/>
    <w:rsid w:val="34FA3BF3"/>
    <w:rsid w:val="35256242"/>
    <w:rsid w:val="35301D0A"/>
    <w:rsid w:val="354411CC"/>
    <w:rsid w:val="354619FD"/>
    <w:rsid w:val="356372B3"/>
    <w:rsid w:val="359E706C"/>
    <w:rsid w:val="359F0A35"/>
    <w:rsid w:val="35C73CD9"/>
    <w:rsid w:val="35DA117F"/>
    <w:rsid w:val="35DC59EE"/>
    <w:rsid w:val="362E1CAB"/>
    <w:rsid w:val="364E54BD"/>
    <w:rsid w:val="36721EAF"/>
    <w:rsid w:val="36C3270A"/>
    <w:rsid w:val="36DA0180"/>
    <w:rsid w:val="36E36AE1"/>
    <w:rsid w:val="370442E3"/>
    <w:rsid w:val="3704482E"/>
    <w:rsid w:val="37702892"/>
    <w:rsid w:val="378123A9"/>
    <w:rsid w:val="37A30990"/>
    <w:rsid w:val="37D6604E"/>
    <w:rsid w:val="37E254BC"/>
    <w:rsid w:val="37EC4824"/>
    <w:rsid w:val="38005D27"/>
    <w:rsid w:val="382C5E49"/>
    <w:rsid w:val="382D6A63"/>
    <w:rsid w:val="38765C86"/>
    <w:rsid w:val="38B619AD"/>
    <w:rsid w:val="38C04055"/>
    <w:rsid w:val="38C57E86"/>
    <w:rsid w:val="38CC0F99"/>
    <w:rsid w:val="38D34E86"/>
    <w:rsid w:val="38F512A1"/>
    <w:rsid w:val="39B2434B"/>
    <w:rsid w:val="3A0B50E0"/>
    <w:rsid w:val="3A2A1573"/>
    <w:rsid w:val="3A361B71"/>
    <w:rsid w:val="3A452498"/>
    <w:rsid w:val="3A485400"/>
    <w:rsid w:val="3AC25D74"/>
    <w:rsid w:val="3AC30F2B"/>
    <w:rsid w:val="3AE53EB3"/>
    <w:rsid w:val="3B247C1B"/>
    <w:rsid w:val="3B295232"/>
    <w:rsid w:val="3B3A41EB"/>
    <w:rsid w:val="3B494258"/>
    <w:rsid w:val="3B64270E"/>
    <w:rsid w:val="3B8161C0"/>
    <w:rsid w:val="3B8234C5"/>
    <w:rsid w:val="3B8634C6"/>
    <w:rsid w:val="3BA669BB"/>
    <w:rsid w:val="3C041783"/>
    <w:rsid w:val="3C065573"/>
    <w:rsid w:val="3C6B1B86"/>
    <w:rsid w:val="3C9B41D1"/>
    <w:rsid w:val="3CC6494B"/>
    <w:rsid w:val="3CCE0850"/>
    <w:rsid w:val="3CE82ECA"/>
    <w:rsid w:val="3D307FC2"/>
    <w:rsid w:val="3D4520CB"/>
    <w:rsid w:val="3D7F099D"/>
    <w:rsid w:val="3D8A1FDA"/>
    <w:rsid w:val="3E6B1644"/>
    <w:rsid w:val="3E807E24"/>
    <w:rsid w:val="3E8E044F"/>
    <w:rsid w:val="3E8F1241"/>
    <w:rsid w:val="3EBC016B"/>
    <w:rsid w:val="3ECD38B8"/>
    <w:rsid w:val="3EE45EFB"/>
    <w:rsid w:val="3F0062A9"/>
    <w:rsid w:val="3F014519"/>
    <w:rsid w:val="3F15175C"/>
    <w:rsid w:val="3F3F1694"/>
    <w:rsid w:val="3F7A2500"/>
    <w:rsid w:val="3FB12ADB"/>
    <w:rsid w:val="3FE931E1"/>
    <w:rsid w:val="3FFD6A4A"/>
    <w:rsid w:val="40254817"/>
    <w:rsid w:val="40385F17"/>
    <w:rsid w:val="40556AC9"/>
    <w:rsid w:val="405F7F1F"/>
    <w:rsid w:val="407841E0"/>
    <w:rsid w:val="40DA6FCE"/>
    <w:rsid w:val="40ED6D01"/>
    <w:rsid w:val="40F942DC"/>
    <w:rsid w:val="41A33B98"/>
    <w:rsid w:val="41CE6B33"/>
    <w:rsid w:val="41DD1CB3"/>
    <w:rsid w:val="41E123A9"/>
    <w:rsid w:val="41FA19AF"/>
    <w:rsid w:val="422266A1"/>
    <w:rsid w:val="42A50E47"/>
    <w:rsid w:val="42B843C6"/>
    <w:rsid w:val="42E255CA"/>
    <w:rsid w:val="43036368"/>
    <w:rsid w:val="435E7A42"/>
    <w:rsid w:val="43600170"/>
    <w:rsid w:val="437751C7"/>
    <w:rsid w:val="439E1CB7"/>
    <w:rsid w:val="43B64A4E"/>
    <w:rsid w:val="43BE3CB6"/>
    <w:rsid w:val="43C76CAB"/>
    <w:rsid w:val="43CD6976"/>
    <w:rsid w:val="440A5CE1"/>
    <w:rsid w:val="44292A7B"/>
    <w:rsid w:val="442E5070"/>
    <w:rsid w:val="44B57B36"/>
    <w:rsid w:val="44FA7C3F"/>
    <w:rsid w:val="45651474"/>
    <w:rsid w:val="456B28EB"/>
    <w:rsid w:val="45796DB6"/>
    <w:rsid w:val="45B95404"/>
    <w:rsid w:val="45CB3823"/>
    <w:rsid w:val="461B2CE4"/>
    <w:rsid w:val="463F134B"/>
    <w:rsid w:val="4646138E"/>
    <w:rsid w:val="46535859"/>
    <w:rsid w:val="469E2B23"/>
    <w:rsid w:val="47050987"/>
    <w:rsid w:val="47053186"/>
    <w:rsid w:val="4759498C"/>
    <w:rsid w:val="477B67D1"/>
    <w:rsid w:val="47B93A32"/>
    <w:rsid w:val="47C63E08"/>
    <w:rsid w:val="47CE0628"/>
    <w:rsid w:val="480F7DEA"/>
    <w:rsid w:val="48967C7F"/>
    <w:rsid w:val="48C12765"/>
    <w:rsid w:val="48D20643"/>
    <w:rsid w:val="48F21359"/>
    <w:rsid w:val="49042E3A"/>
    <w:rsid w:val="4969620E"/>
    <w:rsid w:val="49A85BA5"/>
    <w:rsid w:val="49A92D4B"/>
    <w:rsid w:val="49B24007"/>
    <w:rsid w:val="49C55F5C"/>
    <w:rsid w:val="4A3429DC"/>
    <w:rsid w:val="4A49554D"/>
    <w:rsid w:val="4A4B1453"/>
    <w:rsid w:val="4AD85EEB"/>
    <w:rsid w:val="4AF832CA"/>
    <w:rsid w:val="4B19279B"/>
    <w:rsid w:val="4B201F89"/>
    <w:rsid w:val="4B3E3678"/>
    <w:rsid w:val="4B657A3C"/>
    <w:rsid w:val="4B7342A7"/>
    <w:rsid w:val="4BB2246E"/>
    <w:rsid w:val="4BCC0741"/>
    <w:rsid w:val="4BDD5354"/>
    <w:rsid w:val="4BF80943"/>
    <w:rsid w:val="4BF82B7C"/>
    <w:rsid w:val="4C0513A3"/>
    <w:rsid w:val="4C1B20F1"/>
    <w:rsid w:val="4C6836E0"/>
    <w:rsid w:val="4C94557E"/>
    <w:rsid w:val="4C9E00FF"/>
    <w:rsid w:val="4CB42DC9"/>
    <w:rsid w:val="4CB958DB"/>
    <w:rsid w:val="4CCF379D"/>
    <w:rsid w:val="4CE27450"/>
    <w:rsid w:val="4D4F0798"/>
    <w:rsid w:val="4D4F2220"/>
    <w:rsid w:val="4D5F1345"/>
    <w:rsid w:val="4DAA2D62"/>
    <w:rsid w:val="4DC64EE3"/>
    <w:rsid w:val="4DDE7310"/>
    <w:rsid w:val="4E0273AB"/>
    <w:rsid w:val="4E2A4C8D"/>
    <w:rsid w:val="4E6942B2"/>
    <w:rsid w:val="4E6B4651"/>
    <w:rsid w:val="4E7E368F"/>
    <w:rsid w:val="4E8567CB"/>
    <w:rsid w:val="4ECD3CCE"/>
    <w:rsid w:val="4ED607F8"/>
    <w:rsid w:val="4EE334F2"/>
    <w:rsid w:val="4F02606E"/>
    <w:rsid w:val="4F225622"/>
    <w:rsid w:val="4FA40ED3"/>
    <w:rsid w:val="4FC74BC1"/>
    <w:rsid w:val="50242014"/>
    <w:rsid w:val="50265D8C"/>
    <w:rsid w:val="504E21E8"/>
    <w:rsid w:val="50707007"/>
    <w:rsid w:val="50715259"/>
    <w:rsid w:val="50AB1CAC"/>
    <w:rsid w:val="50EE2A63"/>
    <w:rsid w:val="510C4885"/>
    <w:rsid w:val="5124051D"/>
    <w:rsid w:val="514C62C1"/>
    <w:rsid w:val="517D3175"/>
    <w:rsid w:val="51930BEA"/>
    <w:rsid w:val="519556AB"/>
    <w:rsid w:val="51B52ABF"/>
    <w:rsid w:val="51B55619"/>
    <w:rsid w:val="51D81308"/>
    <w:rsid w:val="5224454D"/>
    <w:rsid w:val="522F2996"/>
    <w:rsid w:val="52391DA6"/>
    <w:rsid w:val="528D34A1"/>
    <w:rsid w:val="52B362BE"/>
    <w:rsid w:val="52BA7F35"/>
    <w:rsid w:val="52D10CEE"/>
    <w:rsid w:val="530C52DB"/>
    <w:rsid w:val="5334431C"/>
    <w:rsid w:val="534A2970"/>
    <w:rsid w:val="5367649F"/>
    <w:rsid w:val="537A4A16"/>
    <w:rsid w:val="53EE4E13"/>
    <w:rsid w:val="542813F0"/>
    <w:rsid w:val="542F72A2"/>
    <w:rsid w:val="543E68E8"/>
    <w:rsid w:val="54640400"/>
    <w:rsid w:val="547632EA"/>
    <w:rsid w:val="54770EB4"/>
    <w:rsid w:val="54BB1025"/>
    <w:rsid w:val="54D80737"/>
    <w:rsid w:val="54E547C8"/>
    <w:rsid w:val="54F10DC2"/>
    <w:rsid w:val="55035CF0"/>
    <w:rsid w:val="55090EE7"/>
    <w:rsid w:val="552633AB"/>
    <w:rsid w:val="554F368F"/>
    <w:rsid w:val="557856C0"/>
    <w:rsid w:val="557B5785"/>
    <w:rsid w:val="55A0573B"/>
    <w:rsid w:val="55A90FF1"/>
    <w:rsid w:val="55C71477"/>
    <w:rsid w:val="55DC05B3"/>
    <w:rsid w:val="55E65C3A"/>
    <w:rsid w:val="55EA1FC9"/>
    <w:rsid w:val="55FC7376"/>
    <w:rsid w:val="56440D1A"/>
    <w:rsid w:val="567B462C"/>
    <w:rsid w:val="56852DEC"/>
    <w:rsid w:val="56A417B8"/>
    <w:rsid w:val="56C37E91"/>
    <w:rsid w:val="56CC08DA"/>
    <w:rsid w:val="56E37159"/>
    <w:rsid w:val="570D3CE8"/>
    <w:rsid w:val="572332D3"/>
    <w:rsid w:val="57240CA5"/>
    <w:rsid w:val="57284198"/>
    <w:rsid w:val="573727C2"/>
    <w:rsid w:val="577F7419"/>
    <w:rsid w:val="57981EBE"/>
    <w:rsid w:val="57B33299"/>
    <w:rsid w:val="57B63E99"/>
    <w:rsid w:val="57CA1AC8"/>
    <w:rsid w:val="57CE470B"/>
    <w:rsid w:val="57E75E01"/>
    <w:rsid w:val="57F30C49"/>
    <w:rsid w:val="58423942"/>
    <w:rsid w:val="58711C54"/>
    <w:rsid w:val="58A41918"/>
    <w:rsid w:val="58CD149A"/>
    <w:rsid w:val="58DB58A9"/>
    <w:rsid w:val="58FD7D40"/>
    <w:rsid w:val="592A6F24"/>
    <w:rsid w:val="592C1C72"/>
    <w:rsid w:val="596549DB"/>
    <w:rsid w:val="596A7D62"/>
    <w:rsid w:val="59A246D5"/>
    <w:rsid w:val="59CB0374"/>
    <w:rsid w:val="59D32817"/>
    <w:rsid w:val="59FA27C7"/>
    <w:rsid w:val="59FF38D6"/>
    <w:rsid w:val="5A755156"/>
    <w:rsid w:val="5A8D2898"/>
    <w:rsid w:val="5AA0484E"/>
    <w:rsid w:val="5AC81FAD"/>
    <w:rsid w:val="5B3C11DD"/>
    <w:rsid w:val="5B3C1F9E"/>
    <w:rsid w:val="5B4F263B"/>
    <w:rsid w:val="5B523ED9"/>
    <w:rsid w:val="5B793066"/>
    <w:rsid w:val="5BD10FB1"/>
    <w:rsid w:val="5BD743DE"/>
    <w:rsid w:val="5BE10DB9"/>
    <w:rsid w:val="5BF250DC"/>
    <w:rsid w:val="5C4A2E02"/>
    <w:rsid w:val="5CA2679A"/>
    <w:rsid w:val="5CB32755"/>
    <w:rsid w:val="5D027C44"/>
    <w:rsid w:val="5D123919"/>
    <w:rsid w:val="5D136ECF"/>
    <w:rsid w:val="5D1E616E"/>
    <w:rsid w:val="5D2D07E3"/>
    <w:rsid w:val="5D2F3D62"/>
    <w:rsid w:val="5D3F3854"/>
    <w:rsid w:val="5D6E5EA0"/>
    <w:rsid w:val="5D7B6996"/>
    <w:rsid w:val="5D845EA0"/>
    <w:rsid w:val="5DBE5856"/>
    <w:rsid w:val="5DC32E6C"/>
    <w:rsid w:val="5DDC4FE1"/>
    <w:rsid w:val="5E54098B"/>
    <w:rsid w:val="5E5555FD"/>
    <w:rsid w:val="5E79352B"/>
    <w:rsid w:val="5E8072DA"/>
    <w:rsid w:val="5E9D546B"/>
    <w:rsid w:val="5ED82947"/>
    <w:rsid w:val="5EDF7832"/>
    <w:rsid w:val="5EF060B8"/>
    <w:rsid w:val="5F363C2D"/>
    <w:rsid w:val="5F9A7C79"/>
    <w:rsid w:val="5FD65493"/>
    <w:rsid w:val="600E375E"/>
    <w:rsid w:val="601E139C"/>
    <w:rsid w:val="6024439E"/>
    <w:rsid w:val="606C186F"/>
    <w:rsid w:val="606E4773"/>
    <w:rsid w:val="608A7C71"/>
    <w:rsid w:val="6099182E"/>
    <w:rsid w:val="60A35BEB"/>
    <w:rsid w:val="60B717CE"/>
    <w:rsid w:val="60BB2D0B"/>
    <w:rsid w:val="613D600A"/>
    <w:rsid w:val="61620180"/>
    <w:rsid w:val="616715F3"/>
    <w:rsid w:val="6169784B"/>
    <w:rsid w:val="616E7593"/>
    <w:rsid w:val="617542C3"/>
    <w:rsid w:val="619F045B"/>
    <w:rsid w:val="61C353DF"/>
    <w:rsid w:val="61DB3B18"/>
    <w:rsid w:val="61F016DF"/>
    <w:rsid w:val="6223530C"/>
    <w:rsid w:val="623802EA"/>
    <w:rsid w:val="62500A46"/>
    <w:rsid w:val="62C4013B"/>
    <w:rsid w:val="62DE150A"/>
    <w:rsid w:val="632156B8"/>
    <w:rsid w:val="63537DB6"/>
    <w:rsid w:val="63677891"/>
    <w:rsid w:val="63842D7B"/>
    <w:rsid w:val="63A1512E"/>
    <w:rsid w:val="63C76B90"/>
    <w:rsid w:val="63DB4BA5"/>
    <w:rsid w:val="641206A9"/>
    <w:rsid w:val="642E6B65"/>
    <w:rsid w:val="64501064"/>
    <w:rsid w:val="64630F05"/>
    <w:rsid w:val="64D35256"/>
    <w:rsid w:val="655407B1"/>
    <w:rsid w:val="658C7FE7"/>
    <w:rsid w:val="65930C21"/>
    <w:rsid w:val="65991594"/>
    <w:rsid w:val="65AB7008"/>
    <w:rsid w:val="65EE0CA2"/>
    <w:rsid w:val="660C3CA0"/>
    <w:rsid w:val="664B127A"/>
    <w:rsid w:val="6654079C"/>
    <w:rsid w:val="669F1927"/>
    <w:rsid w:val="66B6356E"/>
    <w:rsid w:val="66F20C02"/>
    <w:rsid w:val="674E7C4A"/>
    <w:rsid w:val="67630058"/>
    <w:rsid w:val="67670D0C"/>
    <w:rsid w:val="678E275A"/>
    <w:rsid w:val="67A42F0C"/>
    <w:rsid w:val="67AD4682"/>
    <w:rsid w:val="67AF2133"/>
    <w:rsid w:val="67BB270F"/>
    <w:rsid w:val="67D43D2A"/>
    <w:rsid w:val="68466B73"/>
    <w:rsid w:val="68675347"/>
    <w:rsid w:val="68FC14C3"/>
    <w:rsid w:val="69123407"/>
    <w:rsid w:val="695304CE"/>
    <w:rsid w:val="69577C00"/>
    <w:rsid w:val="695D67BF"/>
    <w:rsid w:val="697F6B46"/>
    <w:rsid w:val="69B67C91"/>
    <w:rsid w:val="69DC740F"/>
    <w:rsid w:val="69FA115D"/>
    <w:rsid w:val="6A5C371E"/>
    <w:rsid w:val="6A6D73D5"/>
    <w:rsid w:val="6A8754CD"/>
    <w:rsid w:val="6ACF5694"/>
    <w:rsid w:val="6ADE539E"/>
    <w:rsid w:val="6B26195C"/>
    <w:rsid w:val="6B3B0F11"/>
    <w:rsid w:val="6B786A34"/>
    <w:rsid w:val="6B8F650A"/>
    <w:rsid w:val="6BD403A7"/>
    <w:rsid w:val="6C200462"/>
    <w:rsid w:val="6C575974"/>
    <w:rsid w:val="6C6A0FE1"/>
    <w:rsid w:val="6C876AE3"/>
    <w:rsid w:val="6CA61665"/>
    <w:rsid w:val="6CD52274"/>
    <w:rsid w:val="6CF05300"/>
    <w:rsid w:val="6D0D51B8"/>
    <w:rsid w:val="6D126600"/>
    <w:rsid w:val="6D5C18C7"/>
    <w:rsid w:val="6D7278FB"/>
    <w:rsid w:val="6D7E290C"/>
    <w:rsid w:val="6D89373B"/>
    <w:rsid w:val="6DC44039"/>
    <w:rsid w:val="6E4E711E"/>
    <w:rsid w:val="6EA2440F"/>
    <w:rsid w:val="6EAD74F6"/>
    <w:rsid w:val="6ED935A9"/>
    <w:rsid w:val="6EF0347B"/>
    <w:rsid w:val="6EF828EB"/>
    <w:rsid w:val="6F481FB9"/>
    <w:rsid w:val="6F496125"/>
    <w:rsid w:val="6F6965FE"/>
    <w:rsid w:val="6FC12454"/>
    <w:rsid w:val="6FC47F71"/>
    <w:rsid w:val="70476848"/>
    <w:rsid w:val="705061D3"/>
    <w:rsid w:val="708B5A6B"/>
    <w:rsid w:val="715154A7"/>
    <w:rsid w:val="715814F4"/>
    <w:rsid w:val="71C65332"/>
    <w:rsid w:val="722606D2"/>
    <w:rsid w:val="72937032"/>
    <w:rsid w:val="72B8241C"/>
    <w:rsid w:val="72BB70FE"/>
    <w:rsid w:val="72C7520C"/>
    <w:rsid w:val="72CF254E"/>
    <w:rsid w:val="72EA4CEF"/>
    <w:rsid w:val="72F5541E"/>
    <w:rsid w:val="73095FB8"/>
    <w:rsid w:val="73217FC1"/>
    <w:rsid w:val="735027CF"/>
    <w:rsid w:val="7372081D"/>
    <w:rsid w:val="737A5923"/>
    <w:rsid w:val="73C31078"/>
    <w:rsid w:val="73D9089C"/>
    <w:rsid w:val="73E733B4"/>
    <w:rsid w:val="73FE4ED9"/>
    <w:rsid w:val="74003100"/>
    <w:rsid w:val="7452064E"/>
    <w:rsid w:val="74CE77A2"/>
    <w:rsid w:val="74F906FF"/>
    <w:rsid w:val="750A3212"/>
    <w:rsid w:val="752A228D"/>
    <w:rsid w:val="753D4E5A"/>
    <w:rsid w:val="75427AEF"/>
    <w:rsid w:val="75526B58"/>
    <w:rsid w:val="755D1340"/>
    <w:rsid w:val="755F59C9"/>
    <w:rsid w:val="757112FE"/>
    <w:rsid w:val="758F1B5A"/>
    <w:rsid w:val="758F61BC"/>
    <w:rsid w:val="759F6D44"/>
    <w:rsid w:val="75AC33FC"/>
    <w:rsid w:val="75B85FF7"/>
    <w:rsid w:val="75BB69A4"/>
    <w:rsid w:val="75CB2A42"/>
    <w:rsid w:val="75EC1E64"/>
    <w:rsid w:val="760A5684"/>
    <w:rsid w:val="763A3001"/>
    <w:rsid w:val="76496EC6"/>
    <w:rsid w:val="76724FD8"/>
    <w:rsid w:val="76731779"/>
    <w:rsid w:val="7682047B"/>
    <w:rsid w:val="76900283"/>
    <w:rsid w:val="76A21419"/>
    <w:rsid w:val="770A2F46"/>
    <w:rsid w:val="770C64FD"/>
    <w:rsid w:val="77187528"/>
    <w:rsid w:val="771A187B"/>
    <w:rsid w:val="772B340A"/>
    <w:rsid w:val="772C162A"/>
    <w:rsid w:val="7757182A"/>
    <w:rsid w:val="777234E1"/>
    <w:rsid w:val="77D31AA6"/>
    <w:rsid w:val="77DB0A4B"/>
    <w:rsid w:val="780E7E03"/>
    <w:rsid w:val="785E75C1"/>
    <w:rsid w:val="78652A23"/>
    <w:rsid w:val="78815757"/>
    <w:rsid w:val="78850FF2"/>
    <w:rsid w:val="79073098"/>
    <w:rsid w:val="795D051E"/>
    <w:rsid w:val="79623146"/>
    <w:rsid w:val="797667EA"/>
    <w:rsid w:val="79832646"/>
    <w:rsid w:val="799F7E92"/>
    <w:rsid w:val="79A454A8"/>
    <w:rsid w:val="79B36B24"/>
    <w:rsid w:val="79CB259A"/>
    <w:rsid w:val="79D55FA9"/>
    <w:rsid w:val="79D5782F"/>
    <w:rsid w:val="79DA536E"/>
    <w:rsid w:val="79EE2B67"/>
    <w:rsid w:val="7A107323"/>
    <w:rsid w:val="7A505CE6"/>
    <w:rsid w:val="7A5B079B"/>
    <w:rsid w:val="7A691165"/>
    <w:rsid w:val="7A700609"/>
    <w:rsid w:val="7AA00F3B"/>
    <w:rsid w:val="7AC04E16"/>
    <w:rsid w:val="7B1976A0"/>
    <w:rsid w:val="7B370659"/>
    <w:rsid w:val="7B862E0E"/>
    <w:rsid w:val="7BA21F6F"/>
    <w:rsid w:val="7BB95541"/>
    <w:rsid w:val="7BD06D24"/>
    <w:rsid w:val="7BDB744B"/>
    <w:rsid w:val="7BDE7397"/>
    <w:rsid w:val="7C073327"/>
    <w:rsid w:val="7C0D1A2A"/>
    <w:rsid w:val="7C1A5EF5"/>
    <w:rsid w:val="7C411E36"/>
    <w:rsid w:val="7C7125A5"/>
    <w:rsid w:val="7C8B7BDA"/>
    <w:rsid w:val="7C993826"/>
    <w:rsid w:val="7CB023B6"/>
    <w:rsid w:val="7CBF4550"/>
    <w:rsid w:val="7D030498"/>
    <w:rsid w:val="7D83393D"/>
    <w:rsid w:val="7DEB41A6"/>
    <w:rsid w:val="7DFE75B6"/>
    <w:rsid w:val="7E1352F2"/>
    <w:rsid w:val="7E253EF1"/>
    <w:rsid w:val="7EF16A52"/>
    <w:rsid w:val="7EF352F4"/>
    <w:rsid w:val="7EFB21CA"/>
    <w:rsid w:val="7F231565"/>
    <w:rsid w:val="7F25426F"/>
    <w:rsid w:val="7F297695"/>
    <w:rsid w:val="7F5D3953"/>
    <w:rsid w:val="7F6632AF"/>
    <w:rsid w:val="7F6A2CF0"/>
    <w:rsid w:val="7FA134B1"/>
    <w:rsid w:val="7FA51F7A"/>
    <w:rsid w:val="7FAC43B7"/>
  </w:rsids>
  <m:mathPr>
    <m:mathFont m:val="Times New Roman"/>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annotation text"/>
    <w:basedOn w:val="1"/>
    <w:uiPriority w:val="0"/>
    <w:pPr>
      <w:jc w:val="left"/>
    </w:pPr>
  </w:style>
  <w:style w:type="paragraph" w:styleId="4">
    <w:name w:val="Body Text"/>
    <w:basedOn w:val="1"/>
    <w:semiHidden/>
    <w:qFormat/>
    <w:uiPriority w:val="0"/>
    <w:rPr>
      <w:rFonts w:ascii="黑体" w:hAnsi="黑体" w:eastAsia="黑体" w:cs="黑体"/>
      <w:sz w:val="34"/>
      <w:szCs w:val="34"/>
      <w:lang w:val="en-US" w:eastAsia="en-US" w:bidi="ar-SA"/>
    </w:r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
    <w:name w:val="标准文件_术语条一"/>
    <w:basedOn w:val="17"/>
    <w:next w:val="15"/>
    <w:qFormat/>
    <w:uiPriority w:val="0"/>
    <w:pPr>
      <w:outlineLvl w:val="1"/>
    </w:pPr>
    <w:rPr>
      <w:rFonts w:hAnsi="宋体"/>
    </w:rPr>
  </w:style>
  <w:style w:type="paragraph" w:customStyle="1" w:styleId="17">
    <w:name w:val="标准文件_一级无标题"/>
    <w:basedOn w:val="18"/>
    <w:qFormat/>
    <w:uiPriority w:val="0"/>
    <w:pPr>
      <w:spacing w:before="0" w:beforeLines="0" w:after="0" w:afterLines="0"/>
      <w:outlineLvl w:val="9"/>
    </w:pPr>
    <w:rPr>
      <w:rFonts w:ascii="宋体" w:eastAsia="宋体"/>
    </w:rPr>
  </w:style>
  <w:style w:type="paragraph" w:customStyle="1" w:styleId="18">
    <w:name w:val="标准文件_一级条标题"/>
    <w:basedOn w:val="19"/>
    <w:next w:val="15"/>
    <w:qFormat/>
    <w:uiPriority w:val="0"/>
    <w:pPr>
      <w:numPr>
        <w:ilvl w:val="2"/>
      </w:numPr>
      <w:spacing w:before="50" w:beforeLines="50" w:after="50" w:afterLines="50"/>
      <w:outlineLvl w:val="1"/>
    </w:pPr>
  </w:style>
  <w:style w:type="paragraph" w:customStyle="1" w:styleId="19">
    <w:name w:val="标准文件_章标题"/>
    <w:next w:val="15"/>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标准文件_附录标识"/>
    <w:next w:val="15"/>
    <w:qFormat/>
    <w:uiPriority w:val="0"/>
    <w:pPr>
      <w:numPr>
        <w:ilvl w:val="0"/>
        <w:numId w:val="2"/>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2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2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25">
    <w:name w:val="标准文件_文件编号"/>
    <w:basedOn w:val="15"/>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6">
    <w:name w:val="标准文件_替换文件编号"/>
    <w:basedOn w:val="25"/>
    <w:qFormat/>
    <w:uiPriority w:val="0"/>
    <w:pPr>
      <w:spacing w:before="57"/>
    </w:pPr>
    <w:rPr>
      <w:sz w:val="21"/>
    </w:rPr>
  </w:style>
  <w:style w:type="paragraph" w:customStyle="1" w:styleId="27">
    <w:name w:val="标准文件_文件名称"/>
    <w:basedOn w:val="15"/>
    <w:next w:val="15"/>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8">
    <w:name w:val="封面标准英文名称"/>
    <w:basedOn w:val="29"/>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29">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0">
    <w:name w:val="其他发布日期"/>
    <w:basedOn w:val="31"/>
    <w:qFormat/>
    <w:uiPriority w:val="0"/>
    <w:pPr>
      <w:framePr w:w="3997" w:h="471" w:hRule="exact" w:hSpace="0" w:vSpace="181" w:wrap="around" w:vAnchor="page" w:hAnchor="page" w:x="1419" w:y="14097"/>
    </w:pPr>
  </w:style>
  <w:style w:type="paragraph" w:customStyle="1" w:styleId="3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32">
    <w:name w:val="其他实施日期"/>
    <w:basedOn w:val="33"/>
    <w:qFormat/>
    <w:uiPriority w:val="0"/>
    <w:pPr>
      <w:framePr w:w="3997" w:h="471" w:hRule="exact" w:vSpace="181" w:wrap="around" w:vAnchor="page" w:hAnchor="page" w:x="7089" w:y="14097"/>
    </w:pPr>
  </w:style>
  <w:style w:type="paragraph" w:customStyle="1" w:styleId="33">
    <w:name w:val="实施日期"/>
    <w:basedOn w:val="31"/>
    <w:qFormat/>
    <w:uiPriority w:val="0"/>
    <w:pPr>
      <w:framePr w:hSpace="0" w:wrap="around" w:xAlign="right"/>
      <w:jc w:val="right"/>
    </w:pPr>
  </w:style>
  <w:style w:type="paragraph" w:customStyle="1" w:styleId="34">
    <w:name w:val="其他发布部门"/>
    <w:basedOn w:val="35"/>
    <w:qFormat/>
    <w:uiPriority w:val="0"/>
    <w:pPr>
      <w:framePr w:wrap="around"/>
      <w:spacing w:line="0" w:lineRule="atLeast"/>
    </w:pPr>
    <w:rPr>
      <w:rFonts w:ascii="黑体" w:eastAsia="黑体"/>
      <w:b w:val="0"/>
    </w:rPr>
  </w:style>
  <w:style w:type="paragraph" w:customStyle="1" w:styleId="35">
    <w:name w:val="发布部门"/>
    <w:next w:val="3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36">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37">
    <w:name w:val="发布"/>
    <w:basedOn w:val="13"/>
    <w:qFormat/>
    <w:uiPriority w:val="0"/>
    <w:rPr>
      <w:rFonts w:ascii="黑体" w:eastAsia="黑体"/>
      <w:spacing w:val="85"/>
      <w:w w:val="100"/>
      <w:position w:val="3"/>
      <w:sz w:val="28"/>
      <w:szCs w:val="28"/>
    </w:rPr>
  </w:style>
  <w:style w:type="paragraph" w:customStyle="1" w:styleId="38">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39">
    <w:name w:val="其他标准标志"/>
    <w:basedOn w:val="23"/>
    <w:qFormat/>
    <w:uiPriority w:val="0"/>
    <w:pPr>
      <w:framePr w:w="6101" w:wrap="around" w:vAnchor="page" w:hAnchor="page" w:x="4673" w:y="942"/>
    </w:pPr>
    <w:rPr>
      <w:w w:val="130"/>
    </w:rPr>
  </w:style>
  <w:style w:type="paragraph" w:customStyle="1" w:styleId="40">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41">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42">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43">
    <w:name w:val="封面一致性程度标识"/>
    <w:basedOn w:val="28"/>
    <w:qFormat/>
    <w:uiPriority w:val="0"/>
    <w:pPr>
      <w:framePr w:wrap="around"/>
      <w:spacing w:before="440"/>
    </w:pPr>
    <w:rPr>
      <w:rFonts w:ascii="宋体" w:eastAsia="宋体"/>
    </w:rPr>
  </w:style>
  <w:style w:type="paragraph" w:customStyle="1" w:styleId="44">
    <w:name w:val="封面标准文稿类别"/>
    <w:basedOn w:val="43"/>
    <w:qFormat/>
    <w:uiPriority w:val="0"/>
    <w:pPr>
      <w:framePr w:wrap="around"/>
      <w:spacing w:after="160" w:line="240" w:lineRule="auto"/>
    </w:pPr>
    <w:rPr>
      <w:sz w:val="24"/>
    </w:rPr>
  </w:style>
  <w:style w:type="paragraph" w:customStyle="1" w:styleId="45">
    <w:name w:val="封面标准文稿编辑信息"/>
    <w:basedOn w:val="44"/>
    <w:qFormat/>
    <w:uiPriority w:val="0"/>
    <w:pPr>
      <w:framePr w:wrap="around"/>
      <w:spacing w:before="180" w:line="180" w:lineRule="exact"/>
    </w:pPr>
    <w:rPr>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6705</Words>
  <Characters>8012</Characters>
  <Lines>0</Lines>
  <Paragraphs>0</Paragraphs>
  <TotalTime>47</TotalTime>
  <ScaleCrop>false</ScaleCrop>
  <LinksUpToDate>false</LinksUpToDate>
  <CharactersWithSpaces>8494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2025-09-08T15:24:00Z</dcterms:created>
  <dc:creator>hahaha</dc:creator>
  <cp:lastModifiedBy>俞洁</cp:lastModifiedBy>
  <dcterms:modified xsi:type="dcterms:W3CDTF">2026-03-05T10:47:50Z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D1BC8F4C626D42278BC9DD379A320A4D_13</vt:lpwstr>
  </property>
  <property fmtid="{D5CDD505-2E9C-101B-9397-08002B2CF9AE}" pid="4" name="KSOTemplateDocerSaveRecord">
    <vt:lpwstr>eyJoZGlkIjoiZGEyNjRiOGVjNGQ4OGM0YzEzYzQ1MWZkNTM4MWNiNmEiLCJ1c2VySWQiOiIyNDAyNjgxODkifQ==</vt:lpwstr>
  </property>
</Properties>
</file>