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1" w:line="296" w:lineRule="auto"/>
        <w:ind w:left="48" w:right="251" w:hanging="2"/>
        <w:rPr>
          <w:rFonts w:ascii="黑体" w:hAnsi="黑体" w:eastAsia="黑体" w:cs="黑体"/>
          <w:szCs w:val="21"/>
        </w:rPr>
      </w:pPr>
      <w:r>
        <mc:AlternateContent>
          <mc:Choice Requires="wps">
            <w:drawing>
              <wp:anchor distT="0" distB="0" distL="114300" distR="114300" simplePos="0" relativeHeight="251660288" behindDoc="0" locked="0" layoutInCell="0" allowOverlap="1">
                <wp:simplePos x="0" y="0"/>
                <wp:positionH relativeFrom="page">
                  <wp:posOffset>900430</wp:posOffset>
                </wp:positionH>
                <wp:positionV relativeFrom="page">
                  <wp:posOffset>2695575</wp:posOffset>
                </wp:positionV>
                <wp:extent cx="6120130" cy="9525"/>
                <wp:effectExtent l="0" t="0" r="0" b="0"/>
                <wp:wrapNone/>
                <wp:docPr id="4" name="任意多边形 4"/>
                <wp:cNvGraphicFramePr/>
                <a:graphic xmlns:a="http://schemas.openxmlformats.org/drawingml/2006/main">
                  <a:graphicData uri="http://schemas.microsoft.com/office/word/2010/wordprocessingShape">
                    <wps:wsp>
                      <wps:cNvSpPr/>
                      <wps:spPr>
                        <a:xfrm>
                          <a:off x="0" y="0"/>
                          <a:ext cx="6120130" cy="9525"/>
                        </a:xfrm>
                        <a:custGeom>
                          <a:avLst/>
                          <a:gdLst/>
                          <a:ahLst/>
                          <a:cxnLst/>
                          <a:rect l="0" t="0" r="0" b="0"/>
                          <a:pathLst>
                            <a:path w="9637" h="15">
                              <a:moveTo>
                                <a:pt x="0" y="7"/>
                              </a:moveTo>
                              <a:lnTo>
                                <a:pt x="9637" y="7"/>
                              </a:lnTo>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70.9pt;margin-top:212.25pt;height:0.75pt;width:481.9pt;mso-position-horizontal-relative:page;mso-position-vertical-relative:page;z-index:251660288;mso-width-relative:page;mso-height-relative:page;" filled="f" stroked="t" coordsize="9637,15" o:allowincell="f" o:gfxdata="UEsDBAoAAAAAAIdO4kAAAAAAAAAAAAAAAAAEAAAAZHJzL1BLAwQUAAAACACHTuJAbB+RTNkAAAAM&#10;AQAADwAAAGRycy9kb3ducmV2LnhtbE2PwU7DMBBE70j8g7VI3KjtKI0gxOmhVSUOUNTCB7jx4qTE&#10;6yh20/L3OCc4zs5o5m21urqeTTiGzpMCuRDAkBpvOrIKPj+2D4/AQtRkdO8JFfxggFV9e1Pp0vgL&#10;7XE6RMtSCYVSK2hjHErOQ9Oi02HhB6TkffnR6ZjkaLkZ9SWVu55nQhTc6Y7SQqsHXLfYfB/OTsGO&#10;bCxOr9unaZ1nb5vdy+ndyo1S93dSPAOLeI1/YZjxEzrUienoz2QC65POZUKPCvIsXwKbE1IsC2DH&#10;+VQI4HXF/z9R/wJQSwMEFAAAAAgAh07iQAevq2I4AgAArQQAAA4AAABkcnMvZTJvRG9jLnhtbK1U&#10;y24TMRTdI/EPlvdkkrRpYZRJF4SyQVCp5QNubM+MJb9kO689e/YsET+BKvgaivgMrj2TB0VCWTCL&#10;mWvf6+Nz7mOmVxutyEr4IK2p6GgwpEQYZrk0TUXf310/e05JiGA4KGtERbci0KvZ0yfTtSvF2LZW&#10;ceEJgphQrl1F2xhdWRSBtUJDGFgnDDpr6zVEXPqm4B7WiK5VMR4OL4q19dx5y0QIuDvvnLRH9KcA&#10;2rqWTMwtW2phYofqhYKIkkIrXaCzzLauBYvv6jqISFRFUWnMb7wE7UV6F7MplI0H10rWU4BTKDzS&#10;pEEavHQPNYcIZOnlX1BaMm+DreOAWV10QnJGUMVo+Cg3ty04kbVgqoPbJz38P1j2dnXjieQVPafE&#10;gMaC/7i///nh48OXT7++f3349pmcpyStXSgx9tbd+H4V0EyKN7XX6YtayCYndrtPrNhEwnDzYoTq&#10;zjDnDH0vJuNJgiwOZ9kyxNfCZhxYvQmxKwvfWdDuLLYxO9Njcf9ZVgcxnUvkkknWePfF2SUlLfb9&#10;JJdL25W4szkiHthf9vQOXmWOozoUlLIL7NwoKN2Tle3vxs1jdcZeS6WyPGUyo5QNwgAnqcYORlM7&#10;rEYwTSYYrJI8HUkcg28WL5UnK0jdnJ+e6R9hzoc4h9B2cdmVwqBsBfBXhpO4dVhng+NNEwUtOCVK&#10;4N8gWTkyglSnRKI6ZVBwao+uIZK1sHyLXbV0XjYtjtwos0we7OKcnn7i0pgcrzPS4S8z+w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sH5FM2QAAAAwBAAAPAAAAAAAAAAEAIAAAACIAAABkcnMvZG93&#10;bnJldi54bWxQSwECFAAUAAAACACHTuJAB6+rYjgCAACtBAAADgAAAAAAAAABACAAAAAoAQAAZHJz&#10;L2Uyb0RvYy54bWxQSwUGAAAAAAYABgBZAQAA0gUAAAAA&#10;" path="m0,7l9637,7e">
                <v:fill on="f" focussize="0,0"/>
                <v:stroke color="#000000" joinstyle="round"/>
                <v:imagedata o:title=""/>
                <o:lock v:ext="edit" aspectratio="f"/>
              </v:shape>
            </w:pict>
          </mc:Fallback>
        </mc:AlternateContent>
      </w:r>
      <w:r>
        <mc:AlternateContent>
          <mc:Choice Requires="wps">
            <w:drawing>
              <wp:anchor distT="0" distB="0" distL="114300" distR="114300" simplePos="0" relativeHeight="251659264" behindDoc="0" locked="0" layoutInCell="0" allowOverlap="1">
                <wp:simplePos x="0" y="0"/>
                <wp:positionH relativeFrom="page">
                  <wp:posOffset>899795</wp:posOffset>
                </wp:positionH>
                <wp:positionV relativeFrom="page">
                  <wp:posOffset>9248140</wp:posOffset>
                </wp:positionV>
                <wp:extent cx="6120130" cy="9525"/>
                <wp:effectExtent l="0" t="0" r="0" b="0"/>
                <wp:wrapNone/>
                <wp:docPr id="3" name="任意多边形 3"/>
                <wp:cNvGraphicFramePr/>
                <a:graphic xmlns:a="http://schemas.openxmlformats.org/drawingml/2006/main">
                  <a:graphicData uri="http://schemas.microsoft.com/office/word/2010/wordprocessingShape">
                    <wps:wsp>
                      <wps:cNvSpPr/>
                      <wps:spPr>
                        <a:xfrm>
                          <a:off x="0" y="0"/>
                          <a:ext cx="6120130" cy="9525"/>
                        </a:xfrm>
                        <a:custGeom>
                          <a:avLst/>
                          <a:gdLst/>
                          <a:ahLst/>
                          <a:cxnLst/>
                          <a:rect l="0" t="0" r="0" b="0"/>
                          <a:pathLst>
                            <a:path w="9637" h="15">
                              <a:moveTo>
                                <a:pt x="0" y="7"/>
                              </a:moveTo>
                              <a:lnTo>
                                <a:pt x="9637" y="7"/>
                              </a:lnTo>
                            </a:path>
                          </a:pathLst>
                        </a:custGeom>
                        <a:no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70.85pt;margin-top:728.2pt;height:0.75pt;width:481.9pt;mso-position-horizontal-relative:page;mso-position-vertical-relative:page;z-index:251659264;mso-width-relative:page;mso-height-relative:page;" filled="f" stroked="t" coordsize="9637,15" o:allowincell="f" o:gfxdata="UEsDBAoAAAAAAIdO4kAAAAAAAAAAAAAAAAAEAAAAZHJzL1BLAwQUAAAACACHTuJAHEjUl9sAAAAO&#10;AQAADwAAAGRycy9kb3ducmV2LnhtbE2PwU7DMBBE70j8g7VI3KjjKklpiNNDq0ocoBWFD3DjxUmJ&#10;11HspuXvcbjAbWd3NPumXF1tx0YcfOtIgpglwJBqp1syEj7etw+PwHxQpFXnCCV8o4dVdXtTqkK7&#10;C73heAiGxRDyhZLQhNAXnPu6Qav8zPVI8fbpBqtClIPhelCXGG47Pk+SnFvVUvzQqB7XDdZfh7OV&#10;sCMT8tPLdjmu0/nrZvd82huxkfL+TiRPwAJew58ZJvyIDlVkOrozac+6qFOxiNZpyPIU2GQRSZYB&#10;O/7uFkvgVcn/16h+AFBLAwQUAAAACACHTuJAkcfbFTgCAACtBAAADgAAAGRycy9lMm9Eb2MueG1s&#10;rVTLjtMwFN0j8Q+W9zR9qDNQNZ0FZdggGGmGD3BtJ7Hkl3zdpt2zZ88S8RNoBF/DID6Dayd9MEio&#10;C7JIrn2vj8+5j8yvtkaTjQygnC3paDCkRFruhLJ1Sd/fXT97TglEZgXTzsqS7iTQq8XTJ/PWz+TY&#10;NU4LGQiCWJi1vqRNjH5WFMAbaRgMnJcWnZULhkVchroQgbWIbnQxHg4vitYF4YPjEgB3l52T9ojh&#10;HEBXVYrLpeNrI23sUIPULKIkaJQHushsq0ry+K6qQEaiS4pKY37jJWiv0rtYzNmsDsw3ivcU2DkU&#10;HmkyTFm89AC1ZJGRdVB/QRnFgwNXxQF3puiE5IygitHwUW5uG+Zl1oKpBn9IOvw/WP52cxOIEiWd&#10;UGKZwYL/uL//+eHjw5dPv75/ffj2mUxSkloPM4y99TehXwGaSfG2CiZ9UQvZ5sTuDomV20g4bl6M&#10;UN0Ec87R92I6nibI4niWryG+li7jsM0biF1ZxN5izd7iW7s3Axb3n2X1LKZziVwySYt3X0wuKWmw&#10;76e5XMZt5J3LEfHI/rKnd/RqexrVoaCUfWDnRkHpnqzscDdunqqz7lppneVpmxmlbBDOcJIq7GA0&#10;jcdqgK0zQXBaiXQkcYRQr17qQDYsdXN+eqZ/hPkAccmg6eKyK4WxWSOZeGUFiTuPdbY43jRRMFJQ&#10;oiX+DZKVIyNT+pxIVKctCk7t0TVEslZO7LCr1j6ousGRG2WWyYNdnNPTT1wak9N1Rjr+ZR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xI1JfbAAAADgEAAA8AAAAAAAAAAQAgAAAAIgAAAGRycy9k&#10;b3ducmV2LnhtbFBLAQIUABQAAAAIAIdO4kCRx9sVOAIAAK0EAAAOAAAAAAAAAAEAIAAAACoBAABk&#10;cnMvZTJvRG9jLnhtbFBLBQYAAAAABgAGAFkBAADUBQAAAAA=&#10;" path="m0,7l9637,7e">
                <v:fill on="f" focussize="0,0"/>
                <v:stroke color="#000000" joinstyle="round"/>
                <v:imagedata o:title=""/>
                <o:lock v:ext="edit" aspectratio="f"/>
              </v:shape>
            </w:pict>
          </mc:Fallback>
        </mc:AlternateContent>
      </w:r>
      <w:r>
        <w:rPr>
          <w:rFonts w:eastAsia="Times New Roman"/>
          <w:szCs w:val="21"/>
        </w:rPr>
        <w:t>ICS</w:t>
      </w:r>
      <w:r>
        <w:rPr>
          <w:rFonts w:eastAsia="Times New Roman"/>
          <w:spacing w:val="4"/>
          <w:szCs w:val="21"/>
        </w:rPr>
        <w:t xml:space="preserve"> </w:t>
      </w:r>
      <w:r>
        <w:rPr>
          <w:rFonts w:eastAsia="Times New Roman"/>
          <w:spacing w:val="3"/>
          <w:szCs w:val="21"/>
        </w:rPr>
        <w:t xml:space="preserve"> </w:t>
      </w:r>
      <w:r>
        <w:rPr>
          <w:rFonts w:ascii="黑体" w:hAnsi="黑体" w:eastAsia="黑体" w:cs="黑体"/>
          <w:spacing w:val="2"/>
          <w:szCs w:val="21"/>
        </w:rPr>
        <w:t>91.08</w:t>
      </w:r>
      <w:r>
        <w:rPr>
          <w:rFonts w:ascii="黑体" w:hAnsi="黑体" w:eastAsia="黑体" w:cs="黑体"/>
          <w:szCs w:val="21"/>
        </w:rPr>
        <w:t xml:space="preserve"> </w:t>
      </w:r>
      <w:r>
        <w:rPr>
          <w:rFonts w:eastAsia="Times New Roman"/>
          <w:position w:val="1"/>
          <w:szCs w:val="21"/>
        </w:rPr>
        <w:t xml:space="preserve">CCS </w:t>
      </w:r>
      <w:r>
        <w:rPr>
          <w:rFonts w:ascii="黑体" w:hAnsi="黑体" w:eastAsia="黑体" w:cs="黑体"/>
          <w:szCs w:val="21"/>
        </w:rPr>
        <w:t>P20/29</w:t>
      </w:r>
    </w:p>
    <w:p>
      <w:pPr>
        <w:spacing w:line="294" w:lineRule="auto"/>
        <w:rPr>
          <w:rFonts w:ascii="Arial"/>
        </w:rPr>
      </w:pPr>
    </w:p>
    <w:p>
      <w:pPr>
        <w:spacing w:line="295" w:lineRule="auto"/>
        <w:rPr>
          <w:rFonts w:ascii="Arial"/>
        </w:rPr>
      </w:pPr>
    </w:p>
    <w:p>
      <w:pPr>
        <w:spacing w:line="295" w:lineRule="auto"/>
        <w:rPr>
          <w:rFonts w:ascii="Arial"/>
        </w:rPr>
      </w:pPr>
    </w:p>
    <w:p>
      <w:pPr>
        <w:spacing w:before="156" w:line="220" w:lineRule="auto"/>
        <w:rPr>
          <w:rFonts w:ascii="黑体" w:hAnsi="黑体" w:eastAsia="黑体" w:cs="黑体"/>
          <w:sz w:val="48"/>
          <w:szCs w:val="48"/>
        </w:rPr>
      </w:pPr>
      <w:r>
        <w:rPr>
          <w:rFonts w:ascii="黑体" w:hAnsi="黑体" w:eastAsia="黑体" w:cs="黑体"/>
          <w:spacing w:val="16"/>
          <w:sz w:val="48"/>
          <w:szCs w:val="48"/>
        </w:rPr>
        <w:t>北 京</w:t>
      </w:r>
    </w:p>
    <w:p>
      <w:pPr>
        <w:spacing w:line="14" w:lineRule="auto"/>
        <w:rPr>
          <w:rFonts w:ascii="Arial"/>
          <w:sz w:val="2"/>
        </w:rPr>
      </w:pPr>
      <w:r>
        <w:rPr>
          <w:rFonts w:ascii="Arial" w:hAnsi="Arial" w:eastAsia="Arial" w:cs="Arial"/>
          <w:sz w:val="2"/>
          <w:szCs w:val="2"/>
        </w:rPr>
        <w:br w:type="column"/>
      </w:r>
    </w:p>
    <w:p>
      <w:pPr>
        <w:spacing w:line="313" w:lineRule="auto"/>
        <w:rPr>
          <w:rFonts w:ascii="Arial"/>
        </w:rPr>
      </w:pPr>
    </w:p>
    <w:p>
      <w:pPr>
        <w:spacing w:line="313" w:lineRule="auto"/>
        <w:rPr>
          <w:rFonts w:ascii="Arial"/>
        </w:rPr>
      </w:pPr>
    </w:p>
    <w:p>
      <w:pPr>
        <w:spacing w:before="276" w:line="195" w:lineRule="auto"/>
        <w:ind w:left="2989"/>
        <w:rPr>
          <w:rFonts w:eastAsia="Times New Roman"/>
          <w:sz w:val="96"/>
          <w:szCs w:val="96"/>
        </w:rPr>
      </w:pPr>
      <w:r>
        <w:rPr>
          <w:rFonts w:eastAsia="Times New Roman"/>
          <w:sz w:val="96"/>
          <w:szCs w:val="96"/>
        </w:rPr>
        <w:drawing>
          <wp:inline distT="0" distB="0" distL="0" distR="0">
            <wp:extent cx="589280" cy="435610"/>
            <wp:effectExtent l="0" t="0" r="1270" b="2540"/>
            <wp:docPr id="2" name="IM 1"/>
            <wp:cNvGraphicFramePr/>
            <a:graphic xmlns:a="http://schemas.openxmlformats.org/drawingml/2006/main">
              <a:graphicData uri="http://schemas.openxmlformats.org/drawingml/2006/picture">
                <pic:pic xmlns:pic="http://schemas.openxmlformats.org/drawingml/2006/picture">
                  <pic:nvPicPr>
                    <pic:cNvPr id="2" name="IM 1"/>
                    <pic:cNvPicPr/>
                  </pic:nvPicPr>
                  <pic:blipFill>
                    <a:blip r:embed="rId6"/>
                    <a:stretch>
                      <a:fillRect/>
                    </a:stretch>
                  </pic:blipFill>
                  <pic:spPr>
                    <a:xfrm>
                      <a:off x="0" y="0"/>
                      <a:ext cx="589902" cy="436244"/>
                    </a:xfrm>
                    <a:prstGeom prst="rect">
                      <a:avLst/>
                    </a:prstGeom>
                  </pic:spPr>
                </pic:pic>
              </a:graphicData>
            </a:graphic>
          </wp:inline>
        </w:drawing>
      </w:r>
      <w:r>
        <w:rPr>
          <w:rFonts w:eastAsia="Times New Roman"/>
          <w:b/>
          <w:bCs/>
          <w:spacing w:val="235"/>
          <w:sz w:val="96"/>
          <w:szCs w:val="96"/>
        </w:rPr>
        <w:t>B</w:t>
      </w:r>
      <w:r>
        <w:rPr>
          <w:rFonts w:eastAsia="Times New Roman"/>
          <w:b/>
          <w:bCs/>
          <w:spacing w:val="234"/>
          <w:sz w:val="96"/>
          <w:szCs w:val="96"/>
        </w:rPr>
        <w:t>CEA</w:t>
      </w:r>
    </w:p>
    <w:p>
      <w:pPr>
        <w:spacing w:before="56" w:line="219" w:lineRule="auto"/>
        <w:rPr>
          <w:rFonts w:ascii="黑体" w:hAnsi="黑体" w:eastAsia="黑体" w:cs="黑体"/>
          <w:sz w:val="48"/>
          <w:szCs w:val="48"/>
        </w:rPr>
      </w:pPr>
      <w:r>
        <w:rPr>
          <w:rFonts w:ascii="黑体" w:hAnsi="黑体" w:eastAsia="黑体" w:cs="黑体"/>
          <w:spacing w:val="24"/>
          <w:sz w:val="48"/>
          <w:szCs w:val="48"/>
        </w:rPr>
        <w:t>市</w:t>
      </w:r>
      <w:r>
        <w:rPr>
          <w:rFonts w:ascii="黑体" w:hAnsi="黑体" w:eastAsia="黑体" w:cs="黑体"/>
          <w:spacing w:val="20"/>
          <w:sz w:val="48"/>
          <w:szCs w:val="48"/>
        </w:rPr>
        <w:t xml:space="preserve"> 建 设 教 育 协 会 团 体 标 准</w:t>
      </w:r>
    </w:p>
    <w:p>
      <w:pPr>
        <w:spacing w:line="270" w:lineRule="auto"/>
        <w:rPr>
          <w:rFonts w:ascii="Arial"/>
        </w:rPr>
      </w:pPr>
    </w:p>
    <w:p>
      <w:pPr>
        <w:spacing w:before="87" w:line="191" w:lineRule="auto"/>
        <w:ind w:right="310"/>
        <w:jc w:val="right"/>
        <w:rPr>
          <w:rFonts w:ascii="黑体" w:hAnsi="黑体" w:eastAsia="黑体" w:cs="黑体"/>
          <w:sz w:val="27"/>
          <w:szCs w:val="27"/>
        </w:rPr>
      </w:pPr>
    </w:p>
    <w:p>
      <w:pPr>
        <w:spacing w:before="87" w:line="191" w:lineRule="auto"/>
        <w:ind w:right="310"/>
        <w:jc w:val="right"/>
        <w:rPr>
          <w:rFonts w:ascii="黑体" w:hAnsi="黑体" w:eastAsia="黑体" w:cs="黑体"/>
          <w:sz w:val="27"/>
          <w:szCs w:val="27"/>
        </w:rPr>
      </w:pPr>
      <w:r>
        <w:rPr>
          <w:rFonts w:ascii="黑体" w:hAnsi="黑体" w:eastAsia="黑体" w:cs="黑体"/>
          <w:sz w:val="27"/>
          <w:szCs w:val="27"/>
        </w:rPr>
        <w:t>T</w:t>
      </w:r>
      <w:r>
        <w:rPr>
          <w:rFonts w:ascii="黑体" w:hAnsi="黑体" w:eastAsia="黑体" w:cs="黑体"/>
          <w:spacing w:val="11"/>
          <w:sz w:val="27"/>
          <w:szCs w:val="27"/>
        </w:rPr>
        <w:t>/</w:t>
      </w:r>
      <w:r>
        <w:rPr>
          <w:rFonts w:ascii="黑体" w:hAnsi="黑体" w:eastAsia="黑体" w:cs="黑体"/>
          <w:sz w:val="27"/>
          <w:szCs w:val="27"/>
        </w:rPr>
        <w:t>BCEA</w:t>
      </w:r>
      <w:r>
        <w:rPr>
          <w:rFonts w:ascii="黑体" w:hAnsi="黑体" w:eastAsia="黑体" w:cs="黑体"/>
          <w:spacing w:val="10"/>
          <w:sz w:val="27"/>
          <w:szCs w:val="27"/>
        </w:rPr>
        <w:t xml:space="preserve"> </w:t>
      </w:r>
      <w:r>
        <w:rPr>
          <w:rFonts w:ascii="黑体" w:hAnsi="黑体" w:eastAsia="黑体" w:cs="黑体"/>
          <w:sz w:val="27"/>
          <w:szCs w:val="27"/>
        </w:rPr>
        <w:t>XXXX</w:t>
      </w:r>
      <w:r>
        <w:rPr>
          <w:rFonts w:ascii="黑体" w:hAnsi="黑体" w:eastAsia="黑体" w:cs="黑体"/>
          <w:spacing w:val="10"/>
          <w:sz w:val="27"/>
          <w:szCs w:val="27"/>
        </w:rPr>
        <w:t>—2023</w:t>
      </w:r>
    </w:p>
    <w:p>
      <w:pPr>
        <w:sectPr>
          <w:footerReference r:id="rId3" w:type="default"/>
          <w:pgSz w:w="11907" w:h="16839"/>
          <w:pgMar w:top="478" w:right="276" w:bottom="1428" w:left="1330" w:header="0" w:footer="1099" w:gutter="0"/>
          <w:cols w:equalWidth="0" w:num="2">
            <w:col w:w="1432" w:space="100"/>
            <w:col w:w="8768"/>
          </w:cols>
        </w:sectPr>
      </w:pPr>
    </w:p>
    <w:p>
      <w:pPr>
        <w:spacing w:line="253" w:lineRule="auto"/>
        <w:rPr>
          <w:rFonts w:ascii="Arial"/>
        </w:rPr>
      </w:pPr>
    </w:p>
    <w:p>
      <w:pPr>
        <w:spacing w:line="253" w:lineRule="auto"/>
        <w:rPr>
          <w:rFonts w:ascii="Arial"/>
        </w:rPr>
      </w:pPr>
    </w:p>
    <w:p>
      <w:pPr>
        <w:spacing w:line="253" w:lineRule="auto"/>
        <w:rPr>
          <w:rFonts w:ascii="Arial"/>
        </w:rPr>
      </w:pPr>
    </w:p>
    <w:p>
      <w:pPr>
        <w:spacing w:line="254" w:lineRule="auto"/>
        <w:rPr>
          <w:rFonts w:ascii="Arial"/>
        </w:rPr>
      </w:pPr>
    </w:p>
    <w:p>
      <w:pPr>
        <w:spacing w:line="254" w:lineRule="auto"/>
        <w:rPr>
          <w:rFonts w:ascii="Arial"/>
        </w:rPr>
      </w:pPr>
    </w:p>
    <w:p>
      <w:pPr>
        <w:spacing w:line="254" w:lineRule="auto"/>
        <w:rPr>
          <w:rFonts w:ascii="Arial"/>
        </w:rPr>
      </w:pPr>
    </w:p>
    <w:p>
      <w:pPr>
        <w:spacing w:line="254" w:lineRule="auto"/>
        <w:rPr>
          <w:rFonts w:ascii="Arial"/>
        </w:rPr>
      </w:pPr>
    </w:p>
    <w:p>
      <w:pPr>
        <w:spacing w:line="254" w:lineRule="auto"/>
        <w:rPr>
          <w:rFonts w:ascii="Arial"/>
        </w:rPr>
      </w:pPr>
    </w:p>
    <w:p>
      <w:pPr>
        <w:spacing w:line="254" w:lineRule="auto"/>
        <w:rPr>
          <w:rFonts w:ascii="Arial"/>
        </w:rPr>
      </w:pPr>
    </w:p>
    <w:p>
      <w:pPr>
        <w:spacing w:line="254" w:lineRule="auto"/>
        <w:rPr>
          <w:rFonts w:ascii="Arial"/>
        </w:rPr>
      </w:pPr>
    </w:p>
    <w:p>
      <w:pPr>
        <w:spacing w:line="254" w:lineRule="auto"/>
        <w:rPr>
          <w:rFonts w:ascii="Arial"/>
        </w:rPr>
      </w:pPr>
    </w:p>
    <w:p>
      <w:pPr>
        <w:spacing w:line="360" w:lineRule="auto"/>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44"/>
          <w:szCs w:val="44"/>
          <w:lang w:val="en-US" w:eastAsia="zh-CN"/>
          <w14:textFill>
            <w14:solidFill>
              <w14:schemeClr w14:val="tx1"/>
            </w14:solidFill>
          </w14:textFill>
        </w:rPr>
        <w:t>数字工程</w:t>
      </w:r>
      <w:bookmarkStart w:id="52" w:name="_GoBack"/>
      <w:bookmarkEnd w:id="52"/>
      <w:r>
        <w:rPr>
          <w:rFonts w:hint="eastAsia" w:ascii="黑体" w:hAnsi="黑体" w:eastAsia="黑体" w:cs="黑体"/>
          <w:color w:val="000000" w:themeColor="text1"/>
          <w:sz w:val="44"/>
          <w:szCs w:val="44"/>
          <w14:textFill>
            <w14:solidFill>
              <w14:schemeClr w14:val="tx1"/>
            </w14:solidFill>
          </w14:textFill>
        </w:rPr>
        <w:t xml:space="preserve">装配式混凝土结构智慧工地建设导则  </w:t>
      </w:r>
    </w:p>
    <w:p>
      <w:pPr>
        <w:spacing w:line="266" w:lineRule="auto"/>
        <w:jc w:val="center"/>
        <w:rPr>
          <w:rFonts w:ascii="Arial"/>
          <w:u w:val="single"/>
        </w:rPr>
      </w:pPr>
      <w:r>
        <w:rPr>
          <w:rFonts w:hint="eastAsia"/>
          <w:sz w:val="18"/>
          <w:szCs w:val="15"/>
          <w:u w:val="single"/>
        </w:rPr>
        <w:t>Guidelines for Information Configuration of Prefabricated Buildings in Digital Engineering - Smart Construction Sites</w:t>
      </w:r>
    </w:p>
    <w:p>
      <w:pPr>
        <w:spacing w:line="266" w:lineRule="auto"/>
        <w:rPr>
          <w:rFonts w:ascii="Arial"/>
        </w:rPr>
      </w:pPr>
    </w:p>
    <w:p>
      <w:pPr>
        <w:spacing w:line="266" w:lineRule="auto"/>
        <w:rPr>
          <w:rFonts w:ascii="Arial"/>
        </w:rPr>
      </w:pPr>
    </w:p>
    <w:p>
      <w:pPr>
        <w:spacing w:line="266" w:lineRule="auto"/>
        <w:rPr>
          <w:rFonts w:ascii="Arial"/>
        </w:rPr>
      </w:pPr>
    </w:p>
    <w:p>
      <w:pPr>
        <w:spacing w:line="266" w:lineRule="auto"/>
        <w:rPr>
          <w:rFonts w:ascii="Arial"/>
        </w:rPr>
      </w:pPr>
    </w:p>
    <w:p>
      <w:pPr>
        <w:spacing w:line="266" w:lineRule="auto"/>
        <w:rPr>
          <w:rFonts w:ascii="Arial"/>
        </w:rPr>
      </w:pPr>
    </w:p>
    <w:p>
      <w:pPr>
        <w:spacing w:before="78" w:line="220" w:lineRule="auto"/>
        <w:ind w:left="4083"/>
        <w:rPr>
          <w:rFonts w:ascii="宋体" w:hAnsi="宋体" w:cs="宋体"/>
          <w:sz w:val="24"/>
        </w:rPr>
      </w:pPr>
      <w:r>
        <w:rPr>
          <w:rFonts w:ascii="宋体" w:hAnsi="宋体" w:cs="宋体"/>
          <w:spacing w:val="16"/>
          <w:sz w:val="24"/>
        </w:rPr>
        <w:t>(</w:t>
      </w:r>
      <w:r>
        <w:rPr>
          <w:rFonts w:hint="eastAsia" w:ascii="宋体" w:hAnsi="宋体" w:cs="宋体"/>
          <w:spacing w:val="16"/>
          <w:sz w:val="24"/>
          <w:lang w:val="en-US" w:eastAsia="zh-CN"/>
        </w:rPr>
        <w:t>征求意见</w:t>
      </w:r>
      <w:r>
        <w:rPr>
          <w:rFonts w:hint="eastAsia" w:ascii="宋体" w:hAnsi="宋体" w:cs="宋体"/>
          <w:spacing w:val="12"/>
          <w:sz w:val="24"/>
        </w:rPr>
        <w:t>稿</w:t>
      </w:r>
      <w:r>
        <w:rPr>
          <w:rFonts w:ascii="宋体" w:hAnsi="宋体" w:cs="宋体"/>
          <w:spacing w:val="12"/>
          <w:sz w:val="24"/>
        </w:rPr>
        <w:t>)</w:t>
      </w:r>
    </w:p>
    <w:p>
      <w:pPr>
        <w:spacing w:line="272" w:lineRule="auto"/>
        <w:rPr>
          <w:rFonts w:ascii="Arial"/>
        </w:rPr>
      </w:pPr>
    </w:p>
    <w:p>
      <w:pPr>
        <w:spacing w:line="272" w:lineRule="auto"/>
        <w:rPr>
          <w:rFonts w:ascii="Arial"/>
        </w:rPr>
      </w:pPr>
    </w:p>
    <w:p>
      <w:pPr>
        <w:spacing w:line="272" w:lineRule="auto"/>
        <w:rPr>
          <w:rFonts w:ascii="Arial"/>
        </w:rPr>
      </w:pPr>
    </w:p>
    <w:p>
      <w:pPr>
        <w:spacing w:line="273" w:lineRule="auto"/>
        <w:rPr>
          <w:rFonts w:ascii="Arial"/>
        </w:rPr>
      </w:pPr>
    </w:p>
    <w:p>
      <w:pPr>
        <w:spacing w:before="68" w:line="219" w:lineRule="auto"/>
        <w:ind w:left="1646"/>
        <w:rPr>
          <w:rFonts w:ascii="宋体" w:hAnsi="宋体" w:cs="宋体"/>
          <w:szCs w:val="21"/>
        </w:rPr>
      </w:pPr>
    </w:p>
    <w:p/>
    <w:p/>
    <w:p/>
    <w:p/>
    <w:p/>
    <w:p/>
    <w:p/>
    <w:p/>
    <w:p/>
    <w:p/>
    <w:p/>
    <w:p/>
    <w:p/>
    <w:p>
      <w:pPr>
        <w:spacing w:line="57" w:lineRule="exact"/>
      </w:pPr>
    </w:p>
    <w:p>
      <w:pPr>
        <w:sectPr>
          <w:type w:val="continuous"/>
          <w:pgSz w:w="11907" w:h="16839"/>
          <w:pgMar w:top="478" w:right="819" w:bottom="1428" w:left="1330" w:header="0" w:footer="1099" w:gutter="0"/>
          <w:cols w:equalWidth="0" w:num="1">
            <w:col w:w="9757"/>
          </w:cols>
        </w:sectPr>
      </w:pPr>
    </w:p>
    <w:p>
      <w:pPr>
        <w:spacing w:before="57" w:line="191" w:lineRule="auto"/>
        <w:ind w:left="93"/>
        <w:rPr>
          <w:rFonts w:ascii="黑体" w:hAnsi="黑体" w:eastAsia="黑体" w:cs="黑体"/>
          <w:sz w:val="27"/>
          <w:szCs w:val="27"/>
        </w:rPr>
      </w:pPr>
      <w:r>
        <w:rPr>
          <w:rFonts w:ascii="黑体" w:hAnsi="黑体" w:eastAsia="黑体" w:cs="黑体"/>
          <w:spacing w:val="-15"/>
          <w:sz w:val="27"/>
          <w:szCs w:val="27"/>
        </w:rPr>
        <w:t>XXXX</w:t>
      </w:r>
      <w:r>
        <w:rPr>
          <w:rFonts w:ascii="黑体" w:hAnsi="黑体" w:eastAsia="黑体" w:cs="黑体"/>
          <w:spacing w:val="-21"/>
          <w:sz w:val="27"/>
          <w:szCs w:val="27"/>
        </w:rPr>
        <w:t xml:space="preserve"> </w:t>
      </w:r>
      <w:r>
        <w:rPr>
          <w:rFonts w:ascii="黑体" w:hAnsi="黑体" w:eastAsia="黑体" w:cs="黑体"/>
          <w:spacing w:val="-15"/>
          <w:sz w:val="27"/>
          <w:szCs w:val="27"/>
        </w:rPr>
        <w:t>- XX - XX 发布</w:t>
      </w:r>
    </w:p>
    <w:p>
      <w:pPr>
        <w:spacing w:line="14" w:lineRule="auto"/>
        <w:rPr>
          <w:rFonts w:ascii="Arial"/>
          <w:sz w:val="2"/>
        </w:rPr>
      </w:pPr>
      <w:r>
        <w:rPr>
          <w:rFonts w:ascii="Arial" w:hAnsi="Arial" w:eastAsia="Arial" w:cs="Arial"/>
          <w:sz w:val="2"/>
          <w:szCs w:val="2"/>
        </w:rPr>
        <w:br w:type="column"/>
      </w:r>
    </w:p>
    <w:p>
      <w:pPr>
        <w:spacing w:before="55" w:line="191" w:lineRule="auto"/>
        <w:rPr>
          <w:rFonts w:ascii="黑体" w:hAnsi="黑体" w:eastAsia="黑体" w:cs="黑体"/>
          <w:sz w:val="27"/>
          <w:szCs w:val="27"/>
        </w:rPr>
      </w:pPr>
      <w:r>
        <w:rPr>
          <w:rFonts w:ascii="黑体" w:hAnsi="黑体" w:eastAsia="黑体" w:cs="黑体"/>
          <w:spacing w:val="-15"/>
          <w:sz w:val="27"/>
          <w:szCs w:val="27"/>
        </w:rPr>
        <w:t>XXXX</w:t>
      </w:r>
      <w:r>
        <w:rPr>
          <w:rFonts w:ascii="黑体" w:hAnsi="黑体" w:eastAsia="黑体" w:cs="黑体"/>
          <w:spacing w:val="-21"/>
          <w:sz w:val="27"/>
          <w:szCs w:val="27"/>
        </w:rPr>
        <w:t xml:space="preserve"> </w:t>
      </w:r>
      <w:r>
        <w:rPr>
          <w:rFonts w:ascii="黑体" w:hAnsi="黑体" w:eastAsia="黑体" w:cs="黑体"/>
          <w:spacing w:val="-15"/>
          <w:sz w:val="27"/>
          <w:szCs w:val="27"/>
        </w:rPr>
        <w:t>- XX - XX 实施</w:t>
      </w:r>
    </w:p>
    <w:p>
      <w:pPr>
        <w:sectPr>
          <w:type w:val="continuous"/>
          <w:pgSz w:w="11907" w:h="16839"/>
          <w:pgMar w:top="478" w:right="819" w:bottom="1428" w:left="1330" w:header="0" w:footer="1099" w:gutter="0"/>
          <w:cols w:equalWidth="0" w:num="2">
            <w:col w:w="7352" w:space="100"/>
            <w:col w:w="2305"/>
          </w:cols>
        </w:sectPr>
      </w:pPr>
    </w:p>
    <w:p>
      <w:pPr>
        <w:spacing w:line="360" w:lineRule="auto"/>
        <w:ind w:firstLine="482" w:firstLineChars="200"/>
        <w:jc w:val="center"/>
        <w:rPr>
          <w:b/>
          <w:bCs/>
          <w:color w:val="000000" w:themeColor="text1"/>
          <w:sz w:val="24"/>
          <w14:textFill>
            <w14:solidFill>
              <w14:schemeClr w14:val="tx1"/>
            </w14:solidFill>
          </w14:textFill>
        </w:rPr>
      </w:pPr>
    </w:p>
    <w:p>
      <w:pPr>
        <w:spacing w:line="360" w:lineRule="auto"/>
        <w:ind w:firstLine="723" w:firstLineChars="200"/>
        <w:jc w:val="center"/>
        <w:rPr>
          <w:sz w:val="36"/>
          <w:szCs w:val="36"/>
        </w:rPr>
      </w:pPr>
      <w:r>
        <w:rPr>
          <w:rFonts w:hint="eastAsia"/>
          <w:b/>
          <w:bCs/>
          <w:color w:val="000000" w:themeColor="text1"/>
          <w:sz w:val="36"/>
          <w:szCs w:val="36"/>
          <w14:textFill>
            <w14:solidFill>
              <w14:schemeClr w14:val="tx1"/>
            </w14:solidFill>
          </w14:textFill>
        </w:rPr>
        <w:t xml:space="preserve">目 </w:t>
      </w:r>
      <w:r>
        <w:rPr>
          <w:b/>
          <w:bCs/>
          <w:color w:val="000000" w:themeColor="text1"/>
          <w:sz w:val="36"/>
          <w:szCs w:val="36"/>
          <w14:textFill>
            <w14:solidFill>
              <w14:schemeClr w14:val="tx1"/>
            </w14:solidFill>
          </w14:textFill>
        </w:rPr>
        <w:t xml:space="preserve"> </w:t>
      </w:r>
      <w:r>
        <w:rPr>
          <w:rFonts w:hint="eastAsia"/>
          <w:b/>
          <w:bCs/>
          <w:color w:val="000000" w:themeColor="text1"/>
          <w:sz w:val="36"/>
          <w:szCs w:val="36"/>
          <w14:textFill>
            <w14:solidFill>
              <w14:schemeClr w14:val="tx1"/>
            </w14:solidFill>
          </w14:textFill>
        </w:rPr>
        <w:t xml:space="preserve"> 录</w:t>
      </w:r>
    </w:p>
    <w:sdt>
      <w:sdtPr>
        <w:rPr>
          <w:rFonts w:ascii="Times New Roman" w:hAnsi="宋体"/>
          <w:szCs w:val="24"/>
        </w:rPr>
        <w:id w:val="147451554"/>
        <w15:color w:val="DBDBDB"/>
        <w:docPartObj>
          <w:docPartGallery w:val="Table of Contents"/>
          <w:docPartUnique/>
        </w:docPartObj>
      </w:sdtPr>
      <w:sdtEndPr>
        <w:rPr>
          <w:rFonts w:hint="eastAsia" w:ascii="Times New Roman" w:hAnsi="Times New Roman"/>
          <w:color w:val="000000" w:themeColor="text1"/>
          <w:sz w:val="24"/>
          <w:szCs w:val="24"/>
          <w14:textFill>
            <w14:solidFill>
              <w14:schemeClr w14:val="tx1"/>
            </w14:solidFill>
          </w14:textFill>
        </w:rPr>
      </w:sdtEndPr>
      <w:sdtContent>
        <w:p>
          <w:pPr>
            <w:pStyle w:val="11"/>
            <w:tabs>
              <w:tab w:val="right" w:leader="dot" w:pos="9084"/>
            </w:tabs>
            <w:spacing w:before="78" w:after="78"/>
            <w:rPr>
              <w:rFonts w:asciiTheme="minorHAnsi" w:hAnsiTheme="minorHAnsi" w:eastAsiaTheme="minorEastAsia" w:cstheme="minorBidi"/>
              <w:szCs w:val="22"/>
            </w:rPr>
          </w:pP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TOC \o "1-2" \h \u </w:instrText>
          </w:r>
          <w:r>
            <w:rPr>
              <w:color w:val="000000" w:themeColor="text1"/>
              <w:sz w:val="24"/>
              <w14:textFill>
                <w14:solidFill>
                  <w14:schemeClr w14:val="tx1"/>
                </w14:solidFill>
              </w14:textFill>
            </w:rPr>
            <w:fldChar w:fldCharType="separate"/>
          </w:r>
          <w:r>
            <w:fldChar w:fldCharType="begin"/>
          </w:r>
          <w:r>
            <w:instrText xml:space="preserve"> HYPERLINK \l "_Toc153545431" </w:instrText>
          </w:r>
          <w:r>
            <w:fldChar w:fldCharType="separate"/>
          </w:r>
          <w:r>
            <w:rPr>
              <w:rStyle w:val="17"/>
              <w:rFonts w:ascii="黑体" w:hAnsi="黑体" w:eastAsia="黑体" w:cs="黑体"/>
              <w:bCs/>
            </w:rPr>
            <w:t>前 言</w:t>
          </w:r>
          <w:r>
            <w:tab/>
          </w:r>
          <w:r>
            <w:fldChar w:fldCharType="begin"/>
          </w:r>
          <w:r>
            <w:instrText xml:space="preserve"> PAGEREF _Toc153545431 \h </w:instrText>
          </w:r>
          <w:r>
            <w:fldChar w:fldCharType="separate"/>
          </w:r>
          <w:r>
            <w:t>3</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"_Toc153545432" </w:instrText>
          </w:r>
          <w:r>
            <w:fldChar w:fldCharType="separate"/>
          </w:r>
          <w:r>
            <w:rPr>
              <w:rStyle w:val="17"/>
              <w:rFonts w:ascii="黑体" w:hAnsi="黑体" w:eastAsia="黑体" w:cs="黑体"/>
              <w:bCs/>
            </w:rPr>
            <w:t>1适用范围</w:t>
          </w:r>
          <w:r>
            <w:tab/>
          </w:r>
          <w:r>
            <w:fldChar w:fldCharType="begin"/>
          </w:r>
          <w:r>
            <w:instrText xml:space="preserve"> PAGEREF _Toc153545432 \h </w:instrText>
          </w:r>
          <w:r>
            <w:fldChar w:fldCharType="separate"/>
          </w:r>
          <w:r>
            <w:t>4</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"_Toc153545433" </w:instrText>
          </w:r>
          <w:r>
            <w:fldChar w:fldCharType="separate"/>
          </w:r>
          <w:r>
            <w:rPr>
              <w:rStyle w:val="17"/>
              <w:rFonts w:ascii="黑体" w:hAnsi="黑体" w:eastAsia="黑体" w:cs="黑体"/>
              <w:bCs/>
            </w:rPr>
            <w:t>2总则</w:t>
          </w:r>
          <w:r>
            <w:tab/>
          </w:r>
          <w:r>
            <w:fldChar w:fldCharType="begin"/>
          </w:r>
          <w:r>
            <w:instrText xml:space="preserve"> PAGEREF _Toc153545433 \h </w:instrText>
          </w:r>
          <w:r>
            <w:fldChar w:fldCharType="separate"/>
          </w:r>
          <w:r>
            <w:t>5</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"_Toc153545434" </w:instrText>
          </w:r>
          <w:r>
            <w:fldChar w:fldCharType="separate"/>
          </w:r>
          <w:r>
            <w:rPr>
              <w:rStyle w:val="17"/>
              <w:rFonts w:ascii="黑体" w:hAnsi="黑体" w:eastAsia="黑体" w:cs="黑体"/>
              <w:bCs/>
            </w:rPr>
            <w:t>3术语和定义</w:t>
          </w:r>
          <w:r>
            <w:tab/>
          </w:r>
          <w:r>
            <w:fldChar w:fldCharType="begin"/>
          </w:r>
          <w:r>
            <w:instrText xml:space="preserve"> PAGEREF _Toc153545434 \h </w:instrText>
          </w:r>
          <w:r>
            <w:fldChar w:fldCharType="separate"/>
          </w:r>
          <w:r>
            <w:t>6</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"_Toc153545435" </w:instrText>
          </w:r>
          <w:r>
            <w:fldChar w:fldCharType="separate"/>
          </w:r>
          <w:r>
            <w:rPr>
              <w:rStyle w:val="17"/>
              <w:rFonts w:ascii="黑体" w:hAnsi="黑体" w:eastAsia="黑体" w:cs="黑体"/>
              <w:bCs/>
            </w:rPr>
            <w:t>4基本规定</w:t>
          </w:r>
          <w:r>
            <w:tab/>
          </w:r>
          <w:r>
            <w:fldChar w:fldCharType="begin"/>
          </w:r>
          <w:r>
            <w:instrText xml:space="preserve"> PAGEREF _Toc153545435 \h </w:instrText>
          </w:r>
          <w:r>
            <w:fldChar w:fldCharType="separate"/>
          </w:r>
          <w:r>
            <w:t>7</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"_Toc153545436" </w:instrText>
          </w:r>
          <w:r>
            <w:fldChar w:fldCharType="separate"/>
          </w:r>
          <w:r>
            <w:rPr>
              <w:rStyle w:val="17"/>
              <w:rFonts w:ascii="黑体" w:hAnsi="黑体" w:eastAsia="黑体" w:cs="黑体"/>
              <w:bCs/>
            </w:rPr>
            <w:t>5 BIM模型搭建</w:t>
          </w:r>
          <w:r>
            <w:tab/>
          </w:r>
          <w:r>
            <w:fldChar w:fldCharType="begin"/>
          </w:r>
          <w:r>
            <w:instrText xml:space="preserve"> PAGEREF _Toc153545436 \h </w:instrText>
          </w:r>
          <w:r>
            <w:fldChar w:fldCharType="separate"/>
          </w:r>
          <w:r>
            <w:t>7</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"_Toc153545437" </w:instrText>
          </w:r>
          <w:r>
            <w:fldChar w:fldCharType="separate"/>
          </w:r>
          <w:r>
            <w:rPr>
              <w:rStyle w:val="17"/>
              <w:rFonts w:ascii="黑体" w:hAnsi="黑体" w:eastAsia="黑体" w:cs="黑体"/>
              <w:bCs/>
            </w:rPr>
            <w:t>6 技术管理</w:t>
          </w:r>
          <w:r>
            <w:tab/>
          </w:r>
          <w:r>
            <w:fldChar w:fldCharType="begin"/>
          </w:r>
          <w:r>
            <w:instrText xml:space="preserve"> PAGEREF _Toc153545437 \h </w:instrText>
          </w:r>
          <w:r>
            <w:fldChar w:fldCharType="separate"/>
          </w:r>
          <w:r>
            <w:t>8</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"_Toc153545438" </w:instrText>
          </w:r>
          <w:r>
            <w:fldChar w:fldCharType="separate"/>
          </w:r>
          <w:r>
            <w:rPr>
              <w:rStyle w:val="17"/>
              <w:rFonts w:ascii="黑体" w:hAnsi="黑体" w:eastAsia="黑体" w:cs="黑体"/>
              <w:bCs/>
            </w:rPr>
            <w:t>7 组织管理</w:t>
          </w:r>
          <w:r>
            <w:tab/>
          </w:r>
          <w:r>
            <w:fldChar w:fldCharType="begin"/>
          </w:r>
          <w:r>
            <w:instrText xml:space="preserve"> PAGEREF _Toc153545438 \h </w:instrText>
          </w:r>
          <w:r>
            <w:fldChar w:fldCharType="separate"/>
          </w:r>
          <w:r>
            <w:t>9</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"_Toc153545439" </w:instrText>
          </w:r>
          <w:r>
            <w:fldChar w:fldCharType="separate"/>
          </w:r>
          <w:r>
            <w:rPr>
              <w:rStyle w:val="17"/>
              <w:rFonts w:ascii="黑体" w:hAnsi="黑体" w:eastAsia="黑体" w:cs="黑体"/>
              <w:bCs/>
            </w:rPr>
            <w:t>8 绿色、安全文明施工管理</w:t>
          </w:r>
          <w:r>
            <w:tab/>
          </w:r>
          <w:r>
            <w:fldChar w:fldCharType="begin"/>
          </w:r>
          <w:r>
            <w:instrText xml:space="preserve"> PAGEREF _Toc153545439 \h </w:instrText>
          </w:r>
          <w:r>
            <w:fldChar w:fldCharType="separate"/>
          </w:r>
          <w:r>
            <w:t>12</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"_Toc153545440" </w:instrText>
          </w:r>
          <w:r>
            <w:fldChar w:fldCharType="separate"/>
          </w:r>
          <w:r>
            <w:rPr>
              <w:rStyle w:val="17"/>
              <w:rFonts w:ascii="黑体" w:hAnsi="黑体" w:eastAsia="黑体" w:cs="黑体"/>
              <w:bCs/>
            </w:rPr>
            <w:t>9 合约管理</w:t>
          </w:r>
          <w:r>
            <w:tab/>
          </w:r>
          <w:r>
            <w:fldChar w:fldCharType="begin"/>
          </w:r>
          <w:r>
            <w:instrText xml:space="preserve"> PAGEREF _Toc153545440 \h </w:instrText>
          </w:r>
          <w:r>
            <w:fldChar w:fldCharType="separate"/>
          </w:r>
          <w:r>
            <w:t>16</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"_Toc153545441" </w:instrText>
          </w:r>
          <w:r>
            <w:fldChar w:fldCharType="separate"/>
          </w:r>
          <w:r>
            <w:rPr>
              <w:rStyle w:val="17"/>
              <w:rFonts w:ascii="黑体" w:hAnsi="黑体" w:eastAsia="黑体" w:cs="黑体"/>
              <w:bCs/>
            </w:rPr>
            <w:t>10辅助管理</w:t>
          </w:r>
          <w:r>
            <w:tab/>
          </w:r>
          <w:r>
            <w:fldChar w:fldCharType="begin"/>
          </w:r>
          <w:r>
            <w:instrText xml:space="preserve"> PAGEREF _Toc153545441 \h </w:instrText>
          </w:r>
          <w:r>
            <w:fldChar w:fldCharType="separate"/>
          </w:r>
          <w:r>
            <w:t>16</w:t>
          </w:r>
          <w:r>
            <w:fldChar w:fldCharType="end"/>
          </w:r>
          <w:r>
            <w:fldChar w:fldCharType="end"/>
          </w:r>
        </w:p>
        <w:p>
          <w:pPr>
            <w:pStyle w:val="11"/>
            <w:tabs>
              <w:tab w:val="right" w:leader="dot" w:pos="9084"/>
            </w:tabs>
            <w:spacing w:before="78" w:after="78"/>
            <w:rPr>
              <w:rFonts w:asciiTheme="minorHAnsi" w:hAnsiTheme="minorHAnsi" w:eastAsiaTheme="minorEastAsia" w:cstheme="minorBidi"/>
              <w:szCs w:val="22"/>
            </w:rPr>
          </w:pPr>
          <w:r>
            <w:fldChar w:fldCharType="begin"/>
          </w:r>
          <w:r>
            <w:instrText xml:space="preserve"> HYPERLINK \l "_Toc153545442" </w:instrText>
          </w:r>
          <w:r>
            <w:fldChar w:fldCharType="separate"/>
          </w:r>
          <w:r>
            <w:rPr>
              <w:rStyle w:val="17"/>
              <w:rFonts w:ascii="黑体" w:hAnsi="黑体" w:eastAsia="黑体" w:cs="黑体"/>
              <w:bCs/>
            </w:rPr>
            <w:t>引用标准名录</w:t>
          </w:r>
          <w:r>
            <w:tab/>
          </w:r>
          <w:r>
            <w:fldChar w:fldCharType="begin"/>
          </w:r>
          <w:r>
            <w:instrText xml:space="preserve"> PAGEREF _Toc153545442 \h </w:instrText>
          </w:r>
          <w:r>
            <w:fldChar w:fldCharType="separate"/>
          </w:r>
          <w:r>
            <w:t>17</w:t>
          </w:r>
          <w:r>
            <w:fldChar w:fldCharType="end"/>
          </w:r>
          <w:r>
            <w:fldChar w:fldCharType="end"/>
          </w:r>
        </w:p>
        <w:p>
          <w:pPr>
            <w:jc w:val="center"/>
            <w:rPr>
              <w:color w:val="000000" w:themeColor="text1"/>
              <w:sz w:val="24"/>
              <w14:textFill>
                <w14:solidFill>
                  <w14:schemeClr w14:val="tx1"/>
                </w14:solidFill>
              </w14:textFill>
            </w:rPr>
          </w:pPr>
          <w:r>
            <w:rPr>
              <w:b/>
              <w:color w:val="000000" w:themeColor="text1"/>
              <w14:textFill>
                <w14:solidFill>
                  <w14:schemeClr w14:val="tx1"/>
                </w14:solidFill>
              </w14:textFill>
            </w:rPr>
            <w:fldChar w:fldCharType="end"/>
          </w:r>
        </w:p>
      </w:sdtContent>
    </w:sdt>
    <w:p>
      <w:pPr>
        <w:pStyle w:val="8"/>
        <w:spacing w:after="0"/>
        <w:ind w:left="0" w:leftChars="0"/>
        <w:jc w:val="center"/>
        <w:rPr>
          <w:rFonts w:ascii="黑体" w:hAnsi="黑体" w:eastAsia="黑体" w:cs="黑体"/>
          <w:bCs/>
          <w:sz w:val="32"/>
          <w:szCs w:val="32"/>
        </w:rPr>
      </w:pPr>
      <w:bookmarkStart w:id="0" w:name="_Toc5512"/>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8"/>
        <w:spacing w:after="0"/>
        <w:ind w:left="0" w:leftChars="0"/>
        <w:jc w:val="center"/>
        <w:rPr>
          <w:rFonts w:ascii="黑体" w:hAnsi="黑体" w:eastAsia="黑体" w:cs="黑体"/>
          <w:bCs/>
          <w:sz w:val="32"/>
          <w:szCs w:val="32"/>
        </w:rPr>
      </w:pPr>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1" w:name="_Toc153545431"/>
      <w:r>
        <w:rPr>
          <w:rFonts w:hint="eastAsia" w:ascii="黑体" w:hAnsi="黑体" w:eastAsia="黑体" w:cs="黑体"/>
          <w:bCs/>
          <w:sz w:val="32"/>
          <w:szCs w:val="32"/>
        </w:rPr>
        <w:t>前 言</w:t>
      </w:r>
      <w:bookmarkEnd w:id="0"/>
      <w:bookmarkEnd w:id="1"/>
    </w:p>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装配式混凝土结构智慧工地是一种通过模块化平台、网络及设备终端等实现建筑企业及项目收集信息、统计数据、控制资源、监管项目安全、成本、质量、进度、能源消耗的一种手段。可以协助企业及项目有效的控制各项风险，使企业及项目的收益达到最大化。</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装配式混凝土结构智慧工地可实时形成安全、质量、能源消耗等管理、验收类文件资料，提供施工过程中的实时信息和报表，提升企业及项目的管理水平。</w:t>
      </w:r>
    </w:p>
    <w:p>
      <w:pPr>
        <w:pStyle w:val="2"/>
        <w:keepLines/>
        <w:spacing w:before="156" w:after="156" w:line="360" w:lineRule="exact"/>
        <w:jc w:val="both"/>
        <w:rPr>
          <w:sz w:val="21"/>
          <w:szCs w:val="21"/>
        </w:rPr>
      </w:pPr>
      <w:bookmarkStart w:id="2" w:name="_Toc86329239"/>
    </w:p>
    <w:p>
      <w:pPr>
        <w:rPr>
          <w:szCs w:val="21"/>
        </w:rPr>
      </w:pPr>
    </w:p>
    <w:p>
      <w:pPr>
        <w:rPr>
          <w:szCs w:val="21"/>
        </w:rPr>
      </w:pPr>
    </w:p>
    <w:p>
      <w:pPr>
        <w:rPr>
          <w:szCs w:val="21"/>
        </w:rPr>
      </w:pPr>
    </w:p>
    <w:p>
      <w:pPr>
        <w:pStyle w:val="13"/>
        <w:numPr>
          <w:ilvl w:val="0"/>
          <w:numId w:val="0"/>
        </w:numPr>
      </w:pPr>
    </w:p>
    <w:p>
      <w:pPr>
        <w:pStyle w:val="8"/>
      </w:pPr>
    </w:p>
    <w:p>
      <w:pPr>
        <w:pStyle w:val="8"/>
      </w:pPr>
    </w:p>
    <w:p>
      <w:pPr>
        <w:pStyle w:val="8"/>
      </w:pPr>
    </w:p>
    <w:p>
      <w:pPr>
        <w:pStyle w:val="8"/>
      </w:pPr>
    </w:p>
    <w:p>
      <w:pPr>
        <w:pStyle w:val="8"/>
      </w:pPr>
    </w:p>
    <w:p>
      <w:pPr>
        <w:pStyle w:val="8"/>
      </w:pPr>
    </w:p>
    <w:p>
      <w:pPr>
        <w:pStyle w:val="8"/>
      </w:pPr>
    </w:p>
    <w:p>
      <w:pPr>
        <w:pStyle w:val="8"/>
        <w:rPr>
          <w:szCs w:val="21"/>
        </w:rPr>
      </w:pPr>
    </w:p>
    <w:p>
      <w:pPr>
        <w:pStyle w:val="8"/>
        <w:rPr>
          <w:szCs w:val="21"/>
        </w:rPr>
      </w:pPr>
    </w:p>
    <w:p>
      <w:pPr>
        <w:pStyle w:val="8"/>
        <w:rPr>
          <w:szCs w:val="21"/>
        </w:rPr>
      </w:pPr>
    </w:p>
    <w:p>
      <w:pPr>
        <w:pStyle w:val="8"/>
        <w:rPr>
          <w:szCs w:val="21"/>
        </w:rPr>
      </w:pPr>
    </w:p>
    <w:p>
      <w:pPr>
        <w:pStyle w:val="8"/>
        <w:rPr>
          <w:szCs w:val="21"/>
        </w:rPr>
      </w:pPr>
    </w:p>
    <w:p>
      <w:pPr>
        <w:pStyle w:val="8"/>
        <w:ind w:left="0" w:leftChars="0"/>
        <w:rPr>
          <w:szCs w:val="21"/>
        </w:rPr>
      </w:pPr>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p>
    <w:p/>
    <w:p>
      <w:pPr>
        <w:pStyle w:val="13"/>
        <w:numPr>
          <w:ilvl w:val="0"/>
          <w:numId w:val="0"/>
        </w:numPr>
        <w:ind w:left="840"/>
      </w:pPr>
    </w:p>
    <w:p>
      <w:pPr>
        <w:pStyle w:val="8"/>
      </w:pPr>
    </w:p>
    <w:p>
      <w:pPr>
        <w:pStyle w:val="8"/>
      </w:pPr>
    </w:p>
    <w:p>
      <w:pPr>
        <w:pStyle w:val="8"/>
      </w:pPr>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3" w:name="_Toc153545432"/>
      <w:r>
        <w:rPr>
          <w:rFonts w:hint="eastAsia" w:ascii="黑体" w:hAnsi="黑体" w:eastAsia="黑体" w:cs="黑体"/>
          <w:bCs/>
          <w:sz w:val="32"/>
          <w:szCs w:val="32"/>
        </w:rPr>
        <w:t>1适用范围</w:t>
      </w:r>
      <w:bookmarkEnd w:id="3"/>
    </w:p>
    <w:p/>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装配式混凝土结构智慧工地建设包括项目装配式施工全程管理流程的各项实施内容，含基础设施、软件系统、数据存储、整理和输出、BIM技术应用、人员管理、设备管理、物资管理、质量管理、安全管理、进度管理、视频监控、成本管理、资料管理</w:t>
      </w:r>
      <w:r>
        <w:rPr>
          <w:color w:val="000000" w:themeColor="text1"/>
          <w:szCs w:val="21"/>
          <w14:textFill>
            <w14:solidFill>
              <w14:schemeClr w14:val="tx1"/>
            </w14:solidFill>
          </w14:textFill>
        </w:rPr>
        <w:t>的</w:t>
      </w:r>
      <w:r>
        <w:rPr>
          <w:rFonts w:hint="eastAsia"/>
          <w:color w:val="000000" w:themeColor="text1"/>
          <w:szCs w:val="21"/>
          <w14:textFill>
            <w14:solidFill>
              <w14:schemeClr w14:val="tx1"/>
            </w14:solidFill>
          </w14:textFill>
        </w:rPr>
        <w:t>过程管控、预控</w:t>
      </w:r>
      <w:r>
        <w:rPr>
          <w:color w:val="000000" w:themeColor="text1"/>
          <w:szCs w:val="21"/>
          <w14:textFill>
            <w14:solidFill>
              <w14:schemeClr w14:val="tx1"/>
            </w14:solidFill>
          </w14:textFill>
        </w:rPr>
        <w:t>和</w:t>
      </w:r>
      <w:r>
        <w:rPr>
          <w:rFonts w:hint="eastAsia"/>
          <w:color w:val="000000" w:themeColor="text1"/>
          <w:szCs w:val="21"/>
          <w14:textFill>
            <w14:solidFill>
              <w14:schemeClr w14:val="tx1"/>
            </w14:solidFill>
          </w14:textFill>
        </w:rPr>
        <w:t>规范对照，以及智慧工地运行、运维、备份、通讯与实时信息管控、阶段考评和不断改进提升提供有力的依据</w:t>
      </w:r>
      <w:r>
        <w:rPr>
          <w:color w:val="000000" w:themeColor="text1"/>
          <w:szCs w:val="21"/>
          <w14:textFill>
            <w14:solidFill>
              <w14:schemeClr w14:val="tx1"/>
            </w14:solidFill>
          </w14:textFill>
        </w:rPr>
        <w:t>等内容。</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本标准适用于装配式混凝土建筑。</w:t>
      </w:r>
    </w:p>
    <w:p>
      <w:pPr>
        <w:pStyle w:val="13"/>
        <w:numPr>
          <w:ilvl w:val="0"/>
          <w:numId w:val="0"/>
        </w:numPr>
        <w:ind w:left="420" w:leftChars="200"/>
        <w:rPr>
          <w:sz w:val="21"/>
          <w:szCs w:val="21"/>
        </w:rPr>
      </w:pPr>
    </w:p>
    <w:p>
      <w:pPr>
        <w:pStyle w:val="8"/>
        <w:rPr>
          <w:szCs w:val="21"/>
        </w:rPr>
      </w:pPr>
    </w:p>
    <w:p>
      <w:pPr>
        <w:pStyle w:val="8"/>
        <w:rPr>
          <w:szCs w:val="21"/>
        </w:rPr>
      </w:pPr>
    </w:p>
    <w:p>
      <w:pPr>
        <w:pStyle w:val="4"/>
        <w:jc w:val="center"/>
        <w:rPr>
          <w:rFonts w:asciiTheme="majorEastAsia" w:hAnsiTheme="majorEastAsia" w:eastAsiaTheme="majorEastAsia"/>
          <w:bCs w:val="0"/>
          <w:color w:val="000000" w:themeColor="text1"/>
          <w:sz w:val="24"/>
          <w:szCs w:val="24"/>
          <w14:textFill>
            <w14:solidFill>
              <w14:schemeClr w14:val="tx1"/>
            </w14:solidFill>
          </w14:textFill>
        </w:rPr>
      </w:pPr>
    </w:p>
    <w:p>
      <w:pPr>
        <w:pStyle w:val="4"/>
        <w:jc w:val="center"/>
        <w:rPr>
          <w:rFonts w:asciiTheme="majorEastAsia" w:hAnsiTheme="majorEastAsia" w:eastAsiaTheme="majorEastAsia"/>
          <w:bCs w:val="0"/>
          <w:color w:val="000000" w:themeColor="text1"/>
          <w:sz w:val="24"/>
          <w:szCs w:val="24"/>
          <w14:textFill>
            <w14:solidFill>
              <w14:schemeClr w14:val="tx1"/>
            </w14:solidFill>
          </w14:textFill>
        </w:rPr>
      </w:pPr>
    </w:p>
    <w:p>
      <w:pPr>
        <w:pStyle w:val="4"/>
        <w:jc w:val="center"/>
        <w:rPr>
          <w:rFonts w:asciiTheme="majorEastAsia" w:hAnsiTheme="majorEastAsia" w:eastAsiaTheme="majorEastAsia"/>
          <w:bCs w:val="0"/>
          <w:color w:val="000000" w:themeColor="text1"/>
          <w:sz w:val="24"/>
          <w:szCs w:val="24"/>
          <w14:textFill>
            <w14:solidFill>
              <w14:schemeClr w14:val="tx1"/>
            </w14:solidFill>
          </w14:textFill>
        </w:rPr>
      </w:pPr>
    </w:p>
    <w:p>
      <w:pPr>
        <w:pStyle w:val="4"/>
        <w:jc w:val="center"/>
        <w:rPr>
          <w:rFonts w:asciiTheme="majorEastAsia" w:hAnsiTheme="majorEastAsia" w:eastAsiaTheme="majorEastAsia"/>
          <w:bCs w:val="0"/>
          <w:color w:val="000000" w:themeColor="text1"/>
          <w:sz w:val="24"/>
          <w:szCs w:val="24"/>
          <w14:textFill>
            <w14:solidFill>
              <w14:schemeClr w14:val="tx1"/>
            </w14:solidFill>
          </w14:textFill>
        </w:rPr>
      </w:pPr>
    </w:p>
    <w:p>
      <w:pPr>
        <w:pStyle w:val="4"/>
        <w:jc w:val="center"/>
        <w:rPr>
          <w:rFonts w:asciiTheme="majorEastAsia" w:hAnsiTheme="majorEastAsia" w:eastAsiaTheme="majorEastAsia"/>
          <w:bCs w:val="0"/>
          <w:color w:val="000000" w:themeColor="text1"/>
          <w:sz w:val="24"/>
          <w:szCs w:val="24"/>
          <w14:textFill>
            <w14:solidFill>
              <w14:schemeClr w14:val="tx1"/>
            </w14:solidFill>
          </w14:textFill>
        </w:rPr>
      </w:pPr>
    </w:p>
    <w:p>
      <w:pPr>
        <w:pStyle w:val="4"/>
        <w:jc w:val="both"/>
        <w:rPr>
          <w:rFonts w:asciiTheme="majorEastAsia" w:hAnsiTheme="majorEastAsia" w:eastAsiaTheme="majorEastAsia"/>
          <w:bCs w:val="0"/>
          <w:color w:val="000000" w:themeColor="text1"/>
          <w:sz w:val="24"/>
          <w:szCs w:val="24"/>
          <w14:textFill>
            <w14:solidFill>
              <w14:schemeClr w14:val="tx1"/>
            </w14:solidFill>
          </w14:textFill>
        </w:rPr>
      </w:pPr>
    </w:p>
    <w:p>
      <w:pPr>
        <w:pStyle w:val="13"/>
        <w:numPr>
          <w:ilvl w:val="0"/>
          <w:numId w:val="0"/>
        </w:numPr>
      </w:pPr>
    </w:p>
    <w:p>
      <w:pPr>
        <w:pStyle w:val="8"/>
      </w:pPr>
    </w:p>
    <w:p>
      <w:pPr>
        <w:pStyle w:val="11"/>
        <w:tabs>
          <w:tab w:val="right" w:leader="dot" w:pos="9355"/>
        </w:tabs>
        <w:spacing w:before="156" w:beforeLines="50" w:after="156" w:afterLines="50" w:line="360" w:lineRule="exact"/>
        <w:jc w:val="both"/>
        <w:rPr>
          <w:rFonts w:ascii="黑体" w:hAnsi="黑体" w:eastAsia="黑体" w:cs="黑体"/>
          <w:bCs/>
          <w:sz w:val="32"/>
          <w:szCs w:val="32"/>
        </w:rPr>
      </w:pPr>
    </w:p>
    <w:p/>
    <w:p/>
    <w:p/>
    <w:p/>
    <w:p/>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4" w:name="_Toc153545433"/>
      <w:r>
        <w:rPr>
          <w:rFonts w:ascii="黑体" w:hAnsi="黑体" w:eastAsia="黑体" w:cs="黑体"/>
          <w:bCs/>
          <w:sz w:val="32"/>
          <w:szCs w:val="32"/>
        </w:rPr>
        <w:t>2</w:t>
      </w:r>
      <w:r>
        <w:rPr>
          <w:rFonts w:hint="eastAsia" w:ascii="黑体" w:hAnsi="黑体" w:eastAsia="黑体" w:cs="黑体"/>
          <w:bCs/>
          <w:sz w:val="32"/>
          <w:szCs w:val="32"/>
        </w:rPr>
        <w:t>总则</w:t>
      </w:r>
      <w:bookmarkEnd w:id="4"/>
    </w:p>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.1　为规范装配式混凝土结构智慧工地建设，提升工程项目管理水平，推动装配式混凝土结构智慧工地建设的高质量发展，特制定本标准。</w:t>
      </w:r>
    </w:p>
    <w:p>
      <w:pPr>
        <w:spacing w:line="360" w:lineRule="auto"/>
        <w:ind w:firstLine="420" w:firstLineChars="200"/>
        <w:rPr>
          <w:color w:val="000000" w:themeColor="text1"/>
          <w:szCs w:val="21"/>
          <w14:textFill>
            <w14:solidFill>
              <w14:schemeClr w14:val="tx1"/>
            </w14:solidFill>
          </w14:textFill>
        </w:rPr>
      </w:pPr>
      <w:bookmarkStart w:id="5" w:name="_Toc24932"/>
      <w:bookmarkStart w:id="6" w:name="_Toc27043"/>
      <w:bookmarkStart w:id="7" w:name="_Toc13276"/>
      <w:bookmarkStart w:id="8" w:name="_Toc21135"/>
      <w:bookmarkStart w:id="9" w:name="_Toc10397"/>
      <w:bookmarkStart w:id="10" w:name="_Toc15847"/>
      <w:bookmarkStart w:id="11" w:name="_Toc30105"/>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.2</w:t>
      </w:r>
      <w:bookmarkEnd w:id="5"/>
      <w:bookmarkEnd w:id="6"/>
      <w:bookmarkEnd w:id="7"/>
      <w:bookmarkEnd w:id="8"/>
      <w:bookmarkEnd w:id="9"/>
      <w:bookmarkEnd w:id="10"/>
      <w:bookmarkEnd w:id="11"/>
      <w:r>
        <w:rPr>
          <w:rFonts w:hint="eastAsia"/>
          <w:color w:val="000000" w:themeColor="text1"/>
          <w:szCs w:val="21"/>
          <w14:textFill>
            <w14:solidFill>
              <w14:schemeClr w14:val="tx1"/>
            </w14:solidFill>
          </w14:textFill>
        </w:rPr>
        <w:t xml:space="preserve">  装配式建筑智慧工地建设的设备和软件供应商应具备相应的资质和能力，能够提供满足项目需求的技术和产品。</w:t>
      </w:r>
    </w:p>
    <w:p>
      <w:pPr>
        <w:spacing w:line="360" w:lineRule="auto"/>
        <w:ind w:firstLine="420" w:firstLineChars="200"/>
        <w:rPr>
          <w:color w:val="000000" w:themeColor="text1"/>
          <w:szCs w:val="21"/>
          <w14:textFill>
            <w14:solidFill>
              <w14:schemeClr w14:val="tx1"/>
            </w14:solidFill>
          </w14:textFill>
        </w:rPr>
      </w:pPr>
      <w:bookmarkStart w:id="12" w:name="_Toc26961"/>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 xml:space="preserve">  施工总承包单位是智慧工地建设的主要实施方，</w:t>
      </w:r>
      <w:bookmarkEnd w:id="12"/>
      <w:r>
        <w:rPr>
          <w:rFonts w:hint="eastAsia"/>
          <w:color w:val="000000" w:themeColor="text1"/>
          <w:szCs w:val="21"/>
          <w14:textFill>
            <w14:solidFill>
              <w14:schemeClr w14:val="tx1"/>
            </w14:solidFill>
          </w14:textFill>
        </w:rPr>
        <w:t>建设单位、设计单位、监理单位、勘察单位、构件生产单位等是智慧工地建设的一般实施方。</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　本标准未涉及的内容应符合国家和行业现行有关标准的规定。</w:t>
      </w:r>
    </w:p>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p>
    <w:p/>
    <w:p/>
    <w:p/>
    <w:p/>
    <w:p/>
    <w:p/>
    <w:p/>
    <w:p/>
    <w:p/>
    <w:p/>
    <w:p/>
    <w:p/>
    <w:p/>
    <w:p/>
    <w:p/>
    <w:p/>
    <w:p/>
    <w:p/>
    <w:p/>
    <w:p/>
    <w:p/>
    <w:p/>
    <w:p/>
    <w:p/>
    <w:p/>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13" w:name="_Toc153545434"/>
      <w:r>
        <w:rPr>
          <w:rFonts w:hint="eastAsia" w:ascii="黑体" w:hAnsi="黑体" w:eastAsia="黑体" w:cs="黑体"/>
          <w:bCs/>
          <w:sz w:val="32"/>
          <w:szCs w:val="32"/>
        </w:rPr>
        <w:t>3术语和定义</w:t>
      </w:r>
      <w:bookmarkEnd w:id="13"/>
    </w:p>
    <w:p>
      <w:pPr>
        <w:pStyle w:val="8"/>
        <w:spacing w:before="156" w:beforeLines="50" w:after="156" w:afterLines="50" w:line="360" w:lineRule="exact"/>
        <w:ind w:left="0" w:leftChars="0"/>
        <w:jc w:val="left"/>
        <w:rPr>
          <w:rFonts w:ascii="黑体" w:hAnsi="黑体" w:eastAsia="黑体" w:cs="黑体"/>
          <w:szCs w:val="21"/>
        </w:rPr>
      </w:pPr>
      <w:r>
        <w:rPr>
          <w:rFonts w:hint="eastAsia" w:ascii="黑体" w:hAnsi="黑体" w:eastAsia="黑体" w:cs="黑体"/>
          <w:szCs w:val="21"/>
        </w:rPr>
        <w:t>3</w:t>
      </w:r>
      <w:r>
        <w:rPr>
          <w:rFonts w:ascii="黑体" w:hAnsi="黑体" w:eastAsia="黑体" w:cs="黑体"/>
          <w:szCs w:val="21"/>
        </w:rPr>
        <w:t>.1</w:t>
      </w:r>
      <w:r>
        <w:rPr>
          <w:rFonts w:hint="eastAsia" w:ascii="黑体" w:hAnsi="黑体" w:eastAsia="黑体" w:cs="黑体"/>
          <w:szCs w:val="21"/>
        </w:rPr>
        <w:t xml:space="preserve">装配式混凝土建筑 </w:t>
      </w:r>
      <w:r>
        <w:rPr>
          <w:rFonts w:ascii="黑体" w:hAnsi="黑体" w:eastAsia="黑体" w:cs="黑体"/>
          <w:szCs w:val="21"/>
        </w:rPr>
        <w:t xml:space="preserve"> assembled building with convrete struc-ture</w:t>
      </w:r>
    </w:p>
    <w:p>
      <w:r>
        <w:t xml:space="preserve">     </w:t>
      </w:r>
      <w:r>
        <w:rPr>
          <w:rFonts w:hint="eastAsia"/>
        </w:rPr>
        <w:t>建筑的结构系统由混凝土部件（预制构件）构成的装配式建筑。</w:t>
      </w:r>
    </w:p>
    <w:p>
      <w:pPr>
        <w:pStyle w:val="8"/>
        <w:spacing w:before="156" w:beforeLines="50" w:after="156" w:afterLines="50" w:line="360" w:lineRule="exact"/>
        <w:ind w:left="0" w:leftChars="0"/>
        <w:jc w:val="left"/>
        <w:rPr>
          <w:rFonts w:ascii="黑体" w:hAnsi="黑体" w:eastAsia="黑体" w:cs="黑体"/>
          <w:szCs w:val="21"/>
        </w:rPr>
      </w:pPr>
      <w:r>
        <w:rPr>
          <w:rFonts w:hint="eastAsia" w:ascii="黑体" w:hAnsi="黑体" w:eastAsia="黑体" w:cs="黑体"/>
          <w:szCs w:val="21"/>
        </w:rPr>
        <w:t>3.</w:t>
      </w:r>
      <w:bookmarkStart w:id="14" w:name="_Toc381052969"/>
      <w:r>
        <w:rPr>
          <w:rFonts w:ascii="黑体" w:hAnsi="黑体" w:eastAsia="黑体" w:cs="黑体"/>
          <w:szCs w:val="21"/>
        </w:rPr>
        <w:t>2</w:t>
      </w:r>
      <w:r>
        <w:rPr>
          <w:rFonts w:hint="eastAsia" w:ascii="黑体" w:hAnsi="黑体" w:eastAsia="黑体" w:cs="黑体"/>
          <w:szCs w:val="21"/>
          <w:lang w:eastAsia="zh-Hans"/>
        </w:rPr>
        <w:t>　</w:t>
      </w:r>
      <w:r>
        <w:rPr>
          <w:rFonts w:hint="eastAsia" w:ascii="黑体" w:hAnsi="黑体" w:eastAsia="黑体" w:cs="黑体"/>
          <w:szCs w:val="21"/>
        </w:rPr>
        <w:t>智慧工地</w:t>
      </w:r>
      <w:r>
        <w:rPr>
          <w:rFonts w:hint="eastAsia" w:ascii="黑体" w:hAnsi="黑体" w:eastAsia="黑体" w:cs="黑体"/>
          <w:szCs w:val="21"/>
          <w:lang w:eastAsia="zh-Hans"/>
        </w:rPr>
        <w:t>　</w:t>
      </w:r>
      <w:r>
        <w:rPr>
          <w:rFonts w:hint="eastAsia" w:ascii="黑体" w:hAnsi="黑体" w:eastAsia="黑体" w:cs="黑体"/>
          <w:szCs w:val="21"/>
        </w:rPr>
        <w:t>Smart Construction Site</w:t>
      </w:r>
      <w:bookmarkEnd w:id="14"/>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综合运用物联网、云计算、移动互联网等技术手段，对人员、设备、安全、质量、生产、环境等要素在施工过程中产生的数据进行全面采集，并实现数据的共享和协同运作，实现应用智慧工地平台管理的施工现场。</w:t>
      </w:r>
    </w:p>
    <w:p>
      <w:pPr>
        <w:pStyle w:val="8"/>
        <w:spacing w:before="156" w:beforeLines="50" w:after="156" w:afterLines="50" w:line="360" w:lineRule="exact"/>
        <w:ind w:left="0" w:leftChars="0"/>
        <w:jc w:val="left"/>
        <w:rPr>
          <w:rFonts w:ascii="黑体" w:hAnsi="黑体" w:eastAsia="黑体" w:cs="黑体"/>
          <w:szCs w:val="21"/>
        </w:rPr>
      </w:pPr>
      <w:bookmarkStart w:id="15" w:name="_Toc1077332484"/>
      <w:r>
        <w:rPr>
          <w:rFonts w:hint="eastAsia" w:ascii="黑体" w:hAnsi="黑体" w:eastAsia="黑体" w:cs="黑体"/>
          <w:szCs w:val="21"/>
        </w:rPr>
        <w:t>3.</w:t>
      </w:r>
      <w:r>
        <w:rPr>
          <w:rFonts w:ascii="黑体" w:hAnsi="黑体" w:eastAsia="黑体" w:cs="黑体"/>
          <w:szCs w:val="21"/>
        </w:rPr>
        <w:t>3</w:t>
      </w:r>
      <w:r>
        <w:rPr>
          <w:rFonts w:hint="eastAsia" w:ascii="黑体" w:hAnsi="黑体" w:eastAsia="黑体" w:cs="黑体"/>
          <w:szCs w:val="21"/>
        </w:rPr>
        <w:t>　建筑信息模型　Building Information Modeling</w:t>
      </w:r>
      <w:bookmarkEnd w:id="15"/>
      <w:r>
        <w:rPr>
          <w:rFonts w:hint="eastAsia" w:ascii="黑体" w:hAnsi="黑体" w:eastAsia="黑体" w:cs="黑体"/>
          <w:szCs w:val="21"/>
        </w:rPr>
        <w:t xml:space="preserve"> </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筑信息模型是以三维数字技术为基础，集成建筑工程项目各种相关信息的工程数据模型，是对工程项目相关信息详尽的数字化表达。建筑信息模型通过数字信息技术把整个建筑进行虚拟数字化和智能化，是一个完整的、丰富的、逻辑的建筑信息承载平台。在建设工程及设施全生命期内，对其物理和功能特性进行数字化表达，并依此设计、施工、运营的过程和结果的总称。</w:t>
      </w:r>
    </w:p>
    <w:p>
      <w:pPr>
        <w:pStyle w:val="8"/>
        <w:spacing w:before="156" w:beforeLines="50" w:after="156" w:afterLines="50" w:line="360" w:lineRule="exact"/>
        <w:ind w:left="0" w:leftChars="0"/>
        <w:jc w:val="left"/>
        <w:rPr>
          <w:rFonts w:ascii="黑体" w:hAnsi="黑体" w:eastAsia="黑体" w:cs="黑体"/>
          <w:szCs w:val="21"/>
        </w:rPr>
      </w:pPr>
      <w:r>
        <w:rPr>
          <w:rFonts w:hint="eastAsia" w:ascii="黑体" w:hAnsi="黑体" w:eastAsia="黑体" w:cs="黑体"/>
          <w:szCs w:val="21"/>
        </w:rPr>
        <w:t>3.</w:t>
      </w:r>
      <w:r>
        <w:rPr>
          <w:rFonts w:ascii="黑体" w:hAnsi="黑体" w:eastAsia="黑体" w:cs="黑体"/>
          <w:szCs w:val="21"/>
        </w:rPr>
        <w:t>4</w:t>
      </w:r>
      <w:r>
        <w:rPr>
          <w:rFonts w:hint="eastAsia" w:ascii="黑体" w:hAnsi="黑体" w:eastAsia="黑体" w:cs="黑体"/>
          <w:szCs w:val="21"/>
        </w:rPr>
        <w:t xml:space="preserve">  APP</w:t>
      </w:r>
    </w:p>
    <w:p>
      <w:pPr>
        <w:ind w:firstLine="420" w:firstLineChars="200"/>
        <w:rPr>
          <w:rFonts w:ascii="宋体" w:hAnsi="宋体" w:cs="宋体"/>
          <w:szCs w:val="21"/>
        </w:rPr>
      </w:pPr>
      <w:r>
        <w:rPr>
          <w:rFonts w:hint="eastAsia" w:ascii="宋体" w:hAnsi="宋体" w:cs="宋体"/>
          <w:szCs w:val="21"/>
        </w:rPr>
        <w:t>计算机应用程序，现多指移动终端应用程序 Application</w:t>
      </w:r>
    </w:p>
    <w:p>
      <w:pPr>
        <w:pStyle w:val="8"/>
        <w:spacing w:before="156" w:beforeLines="50" w:after="156" w:afterLines="50" w:line="360" w:lineRule="exact"/>
        <w:ind w:left="0" w:leftChars="0"/>
        <w:jc w:val="left"/>
        <w:rPr>
          <w:rFonts w:ascii="黑体" w:hAnsi="黑体" w:eastAsia="黑体" w:cs="黑体"/>
          <w:szCs w:val="21"/>
        </w:rPr>
      </w:pPr>
      <w:r>
        <w:rPr>
          <w:rFonts w:hint="eastAsia" w:ascii="黑体" w:hAnsi="黑体" w:eastAsia="黑体" w:cs="黑体"/>
          <w:szCs w:val="21"/>
        </w:rPr>
        <w:t>3</w:t>
      </w:r>
      <w:r>
        <w:rPr>
          <w:rFonts w:ascii="黑体" w:hAnsi="黑体" w:eastAsia="黑体" w:cs="黑体"/>
          <w:szCs w:val="21"/>
        </w:rPr>
        <w:t>.5</w:t>
      </w:r>
      <w:r>
        <w:rPr>
          <w:rFonts w:hint="eastAsia" w:ascii="黑体" w:hAnsi="黑体" w:eastAsia="黑体" w:cs="黑体"/>
          <w:szCs w:val="21"/>
        </w:rPr>
        <w:t>模块化平台</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对接智慧工地现场管理体系各模块，具有对施工现场各要素进行远程检测、管理、统计分析等功能的信息管理平台。</w:t>
      </w:r>
    </w:p>
    <w:p>
      <w:pPr>
        <w:pStyle w:val="13"/>
        <w:numPr>
          <w:ilvl w:val="0"/>
          <w:numId w:val="0"/>
        </w:numPr>
        <w:ind w:left="420" w:leftChars="200"/>
      </w:pPr>
    </w:p>
    <w:p>
      <w:pPr>
        <w:pStyle w:val="8"/>
        <w:rPr>
          <w:rFonts w:asciiTheme="majorEastAsia" w:hAnsiTheme="majorEastAsia" w:eastAsiaTheme="majorEastAsia"/>
          <w:color w:val="000000" w:themeColor="text1"/>
          <w:sz w:val="24"/>
          <w14:textFill>
            <w14:solidFill>
              <w14:schemeClr w14:val="tx1"/>
            </w14:solidFill>
          </w14:textFill>
        </w:rPr>
      </w:pPr>
    </w:p>
    <w:p>
      <w:pPr>
        <w:pStyle w:val="8"/>
        <w:rPr>
          <w:rFonts w:asciiTheme="majorEastAsia" w:hAnsiTheme="majorEastAsia" w:eastAsiaTheme="majorEastAsia"/>
          <w:color w:val="000000" w:themeColor="text1"/>
          <w:sz w:val="24"/>
          <w14:textFill>
            <w14:solidFill>
              <w14:schemeClr w14:val="tx1"/>
            </w14:solidFill>
          </w14:textFill>
        </w:rPr>
      </w:pPr>
    </w:p>
    <w:p>
      <w:pPr>
        <w:rPr>
          <w:rFonts w:asciiTheme="majorEastAsia" w:hAnsiTheme="majorEastAsia" w:eastAsiaTheme="majorEastAsia"/>
          <w:color w:val="000000" w:themeColor="text1"/>
          <w:sz w:val="24"/>
          <w14:textFill>
            <w14:solidFill>
              <w14:schemeClr w14:val="tx1"/>
            </w14:solidFill>
          </w14:textFill>
        </w:rPr>
      </w:pPr>
    </w:p>
    <w:p>
      <w:pPr>
        <w:rPr>
          <w:rFonts w:asciiTheme="majorEastAsia" w:hAnsiTheme="majorEastAsia" w:eastAsiaTheme="majorEastAsia"/>
          <w:color w:val="000000" w:themeColor="text1"/>
          <w:sz w:val="24"/>
          <w14:textFill>
            <w14:solidFill>
              <w14:schemeClr w14:val="tx1"/>
            </w14:solidFill>
          </w14:textFill>
        </w:rPr>
      </w:pPr>
    </w:p>
    <w:p>
      <w:pPr>
        <w:rPr>
          <w:rFonts w:asciiTheme="majorEastAsia" w:hAnsiTheme="majorEastAsia" w:eastAsiaTheme="majorEastAsia"/>
          <w:color w:val="000000" w:themeColor="text1"/>
          <w:sz w:val="24"/>
          <w14:textFill>
            <w14:solidFill>
              <w14:schemeClr w14:val="tx1"/>
            </w14:solidFill>
          </w14:textFill>
        </w:rPr>
      </w:pPr>
    </w:p>
    <w:p>
      <w:pPr>
        <w:rPr>
          <w:rFonts w:asciiTheme="majorEastAsia" w:hAnsiTheme="majorEastAsia" w:eastAsiaTheme="majorEastAsia"/>
          <w:color w:val="000000" w:themeColor="text1"/>
          <w:sz w:val="24"/>
          <w14:textFill>
            <w14:solidFill>
              <w14:schemeClr w14:val="tx1"/>
            </w14:solidFill>
          </w14:textFill>
        </w:rPr>
      </w:pPr>
    </w:p>
    <w:p>
      <w:pPr>
        <w:pStyle w:val="13"/>
        <w:numPr>
          <w:ilvl w:val="0"/>
          <w:numId w:val="0"/>
        </w:numPr>
        <w:ind w:left="420" w:leftChars="200"/>
      </w:pPr>
    </w:p>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16" w:name="_Toc153545435"/>
      <w:r>
        <w:rPr>
          <w:rFonts w:ascii="黑体" w:hAnsi="黑体" w:eastAsia="黑体" w:cs="黑体"/>
          <w:bCs/>
          <w:sz w:val="32"/>
          <w:szCs w:val="32"/>
        </w:rPr>
        <w:t>4</w:t>
      </w:r>
      <w:r>
        <w:rPr>
          <w:rFonts w:hint="eastAsia" w:ascii="黑体" w:hAnsi="黑体" w:eastAsia="黑体" w:cs="黑体"/>
          <w:bCs/>
          <w:sz w:val="32"/>
          <w:szCs w:val="32"/>
        </w:rPr>
        <w:t>基本规定</w:t>
      </w:r>
      <w:bookmarkEnd w:id="16"/>
    </w:p>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.1　装配式混凝土结构智慧工地建设应建立智慧工地管理体系和规章制度。</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装配式混凝土结构智慧工地建设应编制智慧工地管理系统方案，并明确数据采集内容、采集方式、存储方式及应用路径。</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装配式混凝土结构智慧工地建设包括信息采集设备、网络基础设施、模块化平台、应用终端，并满足智慧工地建设的管理需求。</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数据采集应满足及时性、有效性和真实性的要求。</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装配式混凝土结构智慧工地系统应定期的维护。</w:t>
      </w:r>
    </w:p>
    <w:p/>
    <w:p>
      <w:pPr>
        <w:pStyle w:val="8"/>
        <w:ind w:left="0" w:leftChars="0"/>
        <w:rPr>
          <w:rFonts w:asciiTheme="majorEastAsia" w:hAnsiTheme="majorEastAsia" w:eastAsiaTheme="majorEastAsia"/>
          <w:color w:val="000000" w:themeColor="text1"/>
          <w:sz w:val="24"/>
          <w14:textFill>
            <w14:solidFill>
              <w14:schemeClr w14:val="tx1"/>
            </w14:solidFill>
          </w14:textFill>
        </w:rPr>
      </w:pPr>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17" w:name="_Toc153545436"/>
      <w:r>
        <w:rPr>
          <w:rFonts w:ascii="黑体" w:hAnsi="黑体" w:eastAsia="黑体" w:cs="黑体"/>
          <w:bCs/>
          <w:sz w:val="32"/>
          <w:szCs w:val="32"/>
        </w:rPr>
        <w:t>5</w:t>
      </w:r>
      <w:r>
        <w:rPr>
          <w:rFonts w:hint="eastAsia" w:ascii="黑体" w:hAnsi="黑体" w:eastAsia="黑体" w:cs="黑体"/>
          <w:bCs/>
          <w:sz w:val="32"/>
          <w:szCs w:val="32"/>
        </w:rPr>
        <w:t xml:space="preserve"> B</w:t>
      </w:r>
      <w:r>
        <w:rPr>
          <w:rFonts w:ascii="黑体" w:hAnsi="黑体" w:eastAsia="黑体" w:cs="黑体"/>
          <w:bCs/>
          <w:sz w:val="32"/>
          <w:szCs w:val="32"/>
        </w:rPr>
        <w:t>IM</w:t>
      </w:r>
      <w:r>
        <w:rPr>
          <w:rFonts w:hint="eastAsia" w:ascii="黑体" w:hAnsi="黑体" w:eastAsia="黑体" w:cs="黑体"/>
          <w:bCs/>
          <w:sz w:val="32"/>
          <w:szCs w:val="32"/>
        </w:rPr>
        <w:t>模型搭建</w:t>
      </w:r>
      <w:bookmarkEnd w:id="17"/>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 xml:space="preserve"> BIM</w:t>
      </w:r>
      <w:r>
        <w:rPr>
          <w:rFonts w:hint="eastAsia"/>
          <w:color w:val="000000" w:themeColor="text1"/>
          <w:szCs w:val="21"/>
          <w14:textFill>
            <w14:solidFill>
              <w14:schemeClr w14:val="tx1"/>
            </w14:solidFill>
          </w14:textFill>
        </w:rPr>
        <w:t>信息模型搭建</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5.1.1 </w:t>
      </w:r>
      <w:r>
        <w:rPr>
          <w:rFonts w:hint="eastAsia"/>
          <w:color w:val="000000" w:themeColor="text1"/>
          <w:szCs w:val="21"/>
          <w14:textFill>
            <w14:solidFill>
              <w14:schemeClr w14:val="tx1"/>
            </w14:solidFill>
          </w14:textFill>
        </w:rPr>
        <w:t>B</w:t>
      </w:r>
      <w:r>
        <w:rPr>
          <w:color w:val="000000" w:themeColor="text1"/>
          <w:szCs w:val="21"/>
          <w14:textFill>
            <w14:solidFill>
              <w14:schemeClr w14:val="tx1"/>
            </w14:solidFill>
          </w14:textFill>
        </w:rPr>
        <w:t>IM</w:t>
      </w:r>
      <w:r>
        <w:rPr>
          <w:rFonts w:hint="eastAsia"/>
          <w:color w:val="000000" w:themeColor="text1"/>
          <w:szCs w:val="21"/>
          <w14:textFill>
            <w14:solidFill>
              <w14:schemeClr w14:val="tx1"/>
            </w14:solidFill>
          </w14:textFill>
        </w:rPr>
        <w:t>模型搭建的目的</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w:t>
      </w:r>
      <w:r>
        <w:rPr>
          <w:color w:val="000000" w:themeColor="text1"/>
          <w:szCs w:val="21"/>
          <w14:textFill>
            <w14:solidFill>
              <w14:schemeClr w14:val="tx1"/>
            </w14:solidFill>
          </w14:textFill>
        </w:rPr>
        <w:t>IM</w:t>
      </w:r>
      <w:r>
        <w:rPr>
          <w:rFonts w:hint="eastAsia"/>
          <w:color w:val="000000" w:themeColor="text1"/>
          <w:szCs w:val="21"/>
          <w14:textFill>
            <w14:solidFill>
              <w14:schemeClr w14:val="tx1"/>
            </w14:solidFill>
          </w14:textFill>
        </w:rPr>
        <w:t>模型搭建的目的是将现场BIM应用与项目日常生产管理工作结合，保证优化项目原始管理流程，高效快捷。实现岗位、项目数据之间的互联互通，协同共享，综合展现的数字化管理。形成项目级BIM+智慧工地应用操作手册及实施应用方法论，包括人员配备情况，项目应用流程、项目阶段应用总结、应用结果分析及应用价值。</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将建筑项目的所有信息集成到一个统一的数字模型中。这个模型包含了建筑的几何形状、材料属性、构建序列和工程数据等各种信息。BIM的关键在于它的可视化能力，它使各个项目各个专业能够更好地理解和协作，减少了误差和冲突，立体的体现出后续工作中的相关问题，提高了效率，减少了错误的施工方向。</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将机电与土建的预留问题，外线、消防、通风等专业的管线布设问题，立体的结合在一起，通过模型与实体的同步建设，项目团队可以确保每个环节都按照计划执行。这种融合为项目提供了高度的可视化，使项目经理能够实时监控进展、检测潜在问题并采取纠正措施。此外，它还支持数据驱动的决策，帮助优化施工流程和资源分配。</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5.1.2</w:t>
      </w:r>
      <w:r>
        <w:rPr>
          <w:rFonts w:hint="eastAsia"/>
          <w:color w:val="000000" w:themeColor="text1"/>
          <w:szCs w:val="21"/>
          <w14:textFill>
            <w14:solidFill>
              <w14:schemeClr w14:val="tx1"/>
            </w14:solidFill>
          </w14:textFill>
        </w:rPr>
        <w:t>模型建造分类</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 模型建造：各专业通过施工图纸在前期将模型进行建造后，进行模型汇总，反馈相关问题。</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）实体建造：通过避免前期模型建造过程中提出的相关问题，现场实体建造大部分精力可以投入到单项质量及进度中，减少后续考虑装修、结构及各方面的预留问题的过程。</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5.1.3</w:t>
      </w:r>
      <w:r>
        <w:rPr>
          <w:rFonts w:hint="eastAsia"/>
          <w:color w:val="000000" w:themeColor="text1"/>
          <w:szCs w:val="21"/>
          <w14:textFill>
            <w14:solidFill>
              <w14:schemeClr w14:val="tx1"/>
            </w14:solidFill>
          </w14:textFill>
        </w:rPr>
        <w:t xml:space="preserve"> 模型建造应用</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（1）模型建造晚于实体施工进度的预警及提示功能</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）模型建造中出现“碰撞”“问题”的节点，在各专业施工前进行提示的功能</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）模型建造可以通过进度模块填写的完成时间，来体现出立体的实体进度及相关部位具体的完成时间。</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 xml:space="preserve">2 </w:t>
      </w:r>
      <w:r>
        <w:rPr>
          <w:rFonts w:hint="eastAsia"/>
          <w:color w:val="000000" w:themeColor="text1"/>
          <w:szCs w:val="21"/>
          <w14:textFill>
            <w14:solidFill>
              <w14:schemeClr w14:val="tx1"/>
            </w14:solidFill>
          </w14:textFill>
        </w:rPr>
        <w:t>构件模型建造</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.2.1</w:t>
      </w:r>
      <w:r>
        <w:rPr>
          <w:rFonts w:hint="eastAsia"/>
          <w:color w:val="000000" w:themeColor="text1"/>
          <w:szCs w:val="21"/>
          <w14:textFill>
            <w14:solidFill>
              <w14:schemeClr w14:val="tx1"/>
            </w14:solidFill>
          </w14:textFill>
        </w:rPr>
        <w:t>装配式混凝土结构墙板、叠合板、阳台板、踏步板等构件，均应建立独立的B</w:t>
      </w:r>
      <w:r>
        <w:rPr>
          <w:color w:val="000000" w:themeColor="text1"/>
          <w:szCs w:val="21"/>
          <w14:textFill>
            <w14:solidFill>
              <w14:schemeClr w14:val="tx1"/>
            </w14:solidFill>
          </w14:textFill>
        </w:rPr>
        <w:t>IM</w:t>
      </w:r>
      <w:r>
        <w:rPr>
          <w:rFonts w:hint="eastAsia"/>
          <w:color w:val="000000" w:themeColor="text1"/>
          <w:szCs w:val="21"/>
          <w14:textFill>
            <w14:solidFill>
              <w14:schemeClr w14:val="tx1"/>
            </w14:solidFill>
          </w14:textFill>
        </w:rPr>
        <w:t>模型，模型应包含构件的几何尺寸及相关参数。</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.2.2</w:t>
      </w:r>
      <w:r>
        <w:rPr>
          <w:rFonts w:hint="eastAsia"/>
          <w:color w:val="000000" w:themeColor="text1"/>
          <w:szCs w:val="21"/>
          <w14:textFill>
            <w14:solidFill>
              <w14:schemeClr w14:val="tx1"/>
            </w14:solidFill>
          </w14:textFill>
        </w:rPr>
        <w:t>叠合层、水电管线、现浇节点等部位要按照流水段建造模型，确保模型建造的独立性。</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.2.3</w:t>
      </w:r>
      <w:r>
        <w:rPr>
          <w:rFonts w:hint="eastAsia"/>
          <w:color w:val="000000" w:themeColor="text1"/>
          <w:szCs w:val="21"/>
          <w14:textFill>
            <w14:solidFill>
              <w14:schemeClr w14:val="tx1"/>
            </w14:solidFill>
          </w14:textFill>
        </w:rPr>
        <w:t>模型全部建造完成后，要按照施工建造及三维的位置搭建成建筑实体模型。</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 xml:space="preserve">3 </w:t>
      </w:r>
      <w:r>
        <w:rPr>
          <w:rFonts w:hint="eastAsia"/>
          <w:color w:val="000000" w:themeColor="text1"/>
          <w:szCs w:val="21"/>
          <w14:textFill>
            <w14:solidFill>
              <w14:schemeClr w14:val="tx1"/>
            </w14:solidFill>
          </w14:textFill>
        </w:rPr>
        <w:t>构件二维码、工序流程码</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.3.1</w:t>
      </w:r>
      <w:r>
        <w:rPr>
          <w:rFonts w:hint="eastAsia"/>
          <w:color w:val="000000" w:themeColor="text1"/>
          <w:szCs w:val="21"/>
          <w14:textFill>
            <w14:solidFill>
              <w14:schemeClr w14:val="tx1"/>
            </w14:solidFill>
          </w14:textFill>
        </w:rPr>
        <w:t>建造好的构件模型要与实体构件的二维码做好信息关联，在装配式混凝土结构施工至相关构件及部位时， 施工现场施工人员通过A</w:t>
      </w:r>
      <w:r>
        <w:rPr>
          <w:color w:val="000000" w:themeColor="text1"/>
          <w:szCs w:val="21"/>
          <w14:textFill>
            <w14:solidFill>
              <w14:schemeClr w14:val="tx1"/>
            </w14:solidFill>
          </w14:textFill>
        </w:rPr>
        <w:t>PP</w:t>
      </w:r>
      <w:r>
        <w:rPr>
          <w:rFonts w:hint="eastAsia"/>
          <w:color w:val="000000" w:themeColor="text1"/>
          <w:szCs w:val="21"/>
          <w14:textFill>
            <w14:solidFill>
              <w14:schemeClr w14:val="tx1"/>
            </w14:solidFill>
          </w14:textFill>
        </w:rPr>
        <w:t>扫描构件二维码，模型要实现同步建造。</w:t>
      </w:r>
    </w:p>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.3.2</w:t>
      </w:r>
      <w:r>
        <w:rPr>
          <w:rFonts w:hint="eastAsia"/>
          <w:color w:val="000000" w:themeColor="text1"/>
          <w:szCs w:val="21"/>
          <w14:textFill>
            <w14:solidFill>
              <w14:schemeClr w14:val="tx1"/>
            </w14:solidFill>
          </w14:textFill>
        </w:rPr>
        <w:t>叠合层、水电管线、现浇节点等工序要在B</w:t>
      </w:r>
      <w:r>
        <w:rPr>
          <w:color w:val="000000" w:themeColor="text1"/>
          <w:szCs w:val="21"/>
          <w14:textFill>
            <w14:solidFill>
              <w14:schemeClr w14:val="tx1"/>
            </w14:solidFill>
          </w14:textFill>
        </w:rPr>
        <w:t>IM</w:t>
      </w:r>
      <w:r>
        <w:rPr>
          <w:rFonts w:hint="eastAsia"/>
          <w:color w:val="000000" w:themeColor="text1"/>
          <w:szCs w:val="21"/>
          <w14:textFill>
            <w14:solidFill>
              <w14:schemeClr w14:val="tx1"/>
            </w14:solidFill>
          </w14:textFill>
        </w:rPr>
        <w:t>模型平台上设置工序流程码，当对应工序施工完成，验收合格后，要通过扫工序流程码实现模型同步建造。</w:t>
      </w:r>
    </w:p>
    <w:p>
      <w:pPr>
        <w:spacing w:line="360" w:lineRule="auto"/>
        <w:ind w:firstLine="420" w:firstLineChars="200"/>
        <w:rPr>
          <w:color w:val="000000" w:themeColor="text1"/>
          <w:szCs w:val="21"/>
          <w14:textFill>
            <w14:solidFill>
              <w14:schemeClr w14:val="tx1"/>
            </w14:solidFill>
          </w14:textFill>
        </w:rPr>
      </w:pPr>
    </w:p>
    <w:p>
      <w:pPr>
        <w:adjustRightInd w:val="0"/>
        <w:snapToGrid w:val="0"/>
        <w:spacing w:line="360" w:lineRule="auto"/>
        <w:ind w:firstLine="420" w:firstLineChars="200"/>
        <w:jc w:val="left"/>
        <w:rPr>
          <w:rFonts w:ascii="宋体" w:hAnsi="宋体" w:cs="宋体"/>
          <w:szCs w:val="21"/>
        </w:rPr>
      </w:pPr>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18" w:name="_Toc153545437"/>
      <w:r>
        <w:rPr>
          <w:rFonts w:ascii="黑体" w:hAnsi="黑体" w:eastAsia="黑体" w:cs="黑体"/>
          <w:bCs/>
          <w:sz w:val="32"/>
          <w:szCs w:val="32"/>
        </w:rPr>
        <w:t>6</w:t>
      </w:r>
      <w:r>
        <w:rPr>
          <w:rFonts w:hint="eastAsia" w:ascii="黑体" w:hAnsi="黑体" w:eastAsia="黑体" w:cs="黑体"/>
          <w:bCs/>
          <w:sz w:val="32"/>
          <w:szCs w:val="32"/>
        </w:rPr>
        <w:t xml:space="preserve"> 技术管理</w:t>
      </w:r>
      <w:bookmarkEnd w:id="18"/>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6.1</w:t>
      </w:r>
      <w:r>
        <w:rPr>
          <w:rFonts w:hint="eastAsia" w:asciiTheme="majorEastAsia" w:hAnsiTheme="majorEastAsia" w:eastAsiaTheme="majorEastAsia"/>
          <w:color w:val="000000" w:themeColor="text1"/>
          <w:sz w:val="24"/>
          <w14:textFill>
            <w14:solidFill>
              <w14:schemeClr w14:val="tx1"/>
            </w14:solidFill>
          </w14:textFill>
        </w:rPr>
        <w:t>技术管理模块</w:t>
      </w:r>
      <w:r>
        <w:rPr>
          <w:rFonts w:asciiTheme="majorEastAsia" w:hAnsiTheme="majorEastAsia" w:eastAsiaTheme="majorEastAsia"/>
          <w:color w:val="000000" w:themeColor="text1"/>
          <w:sz w:val="24"/>
          <w14:textFill>
            <w14:solidFill>
              <w14:schemeClr w14:val="tx1"/>
            </w14:solidFill>
          </w14:textFill>
        </w:rPr>
        <w:t xml:space="preserve"> </w:t>
      </w:r>
    </w:p>
    <w:p>
      <w:pPr>
        <w:pStyle w:val="25"/>
        <w:adjustRightInd w:val="0"/>
        <w:snapToGrid w:val="0"/>
        <w:spacing w:line="360" w:lineRule="auto"/>
        <w:jc w:val="both"/>
      </w:pPr>
      <w:r>
        <w:rPr>
          <w:rFonts w:hint="eastAsia"/>
        </w:rPr>
        <w:t>（1）BIM小组建立项目BIM模型；BIM模型集成5D平台；</w:t>
      </w:r>
    </w:p>
    <w:p>
      <w:pPr>
        <w:pStyle w:val="25"/>
        <w:adjustRightInd w:val="0"/>
        <w:snapToGrid w:val="0"/>
        <w:spacing w:line="360" w:lineRule="auto"/>
        <w:jc w:val="both"/>
      </w:pPr>
      <w:r>
        <w:rPr>
          <w:rFonts w:hint="eastAsia"/>
        </w:rPr>
        <w:t>（2）通过可视化方式管理项目进度、技术、质量安全，并实现资料协同；</w:t>
      </w:r>
    </w:p>
    <w:p>
      <w:pPr>
        <w:pStyle w:val="25"/>
        <w:adjustRightInd w:val="0"/>
        <w:snapToGrid w:val="0"/>
        <w:spacing w:line="360" w:lineRule="auto"/>
        <w:jc w:val="both"/>
      </w:pPr>
      <w:r>
        <w:rPr>
          <w:rFonts w:hint="eastAsia"/>
        </w:rPr>
        <w:t>（3）基于BIM平台建立项目精细化管理模式；</w:t>
      </w:r>
    </w:p>
    <w:p>
      <w:pPr>
        <w:pStyle w:val="25"/>
        <w:adjustRightInd w:val="0"/>
        <w:snapToGrid w:val="0"/>
        <w:spacing w:line="360" w:lineRule="auto"/>
        <w:jc w:val="both"/>
      </w:pPr>
      <w:r>
        <w:rPr>
          <w:rFonts w:hint="eastAsia"/>
        </w:rPr>
        <w:t>（4）制作BIM模拟施工、漫游视频；</w:t>
      </w:r>
    </w:p>
    <w:p>
      <w:pPr>
        <w:pStyle w:val="25"/>
        <w:adjustRightInd w:val="0"/>
        <w:snapToGrid w:val="0"/>
        <w:spacing w:line="360" w:lineRule="auto"/>
        <w:jc w:val="both"/>
      </w:pPr>
      <w:r>
        <w:rPr>
          <w:rFonts w:hint="eastAsia"/>
        </w:rPr>
        <w:t>（5）安全、质量巡检与BIM模型对接，保障复杂模型节点安全、质量；</w:t>
      </w:r>
    </w:p>
    <w:p>
      <w:pPr>
        <w:pStyle w:val="25"/>
        <w:adjustRightInd w:val="0"/>
        <w:snapToGrid w:val="0"/>
        <w:spacing w:line="360" w:lineRule="auto"/>
        <w:jc w:val="both"/>
      </w:pPr>
      <w:r>
        <w:rPr>
          <w:rFonts w:hint="eastAsia"/>
        </w:rPr>
        <w:t>（6）智慧平台挂接BIM视频，漫游、施工模拟等，作为对外BIM成果展示，技术宣传；</w:t>
      </w:r>
    </w:p>
    <w:p>
      <w:pPr>
        <w:pStyle w:val="25"/>
        <w:adjustRightInd w:val="0"/>
        <w:snapToGrid w:val="0"/>
        <w:spacing w:line="360" w:lineRule="auto"/>
        <w:jc w:val="both"/>
      </w:pPr>
      <w:r>
        <w:rPr>
          <w:rFonts w:hint="eastAsia"/>
        </w:rPr>
        <w:t>（7）规范、图纸、技术方案、交底等要纳入技术管理模块</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6.2</w:t>
      </w:r>
      <w:r>
        <w:rPr>
          <w:rFonts w:hint="eastAsia" w:asciiTheme="majorEastAsia" w:hAnsiTheme="majorEastAsia" w:eastAsiaTheme="majorEastAsia"/>
          <w:color w:val="000000" w:themeColor="text1"/>
          <w:sz w:val="24"/>
          <w14:textFill>
            <w14:solidFill>
              <w14:schemeClr w14:val="tx1"/>
            </w14:solidFill>
          </w14:textFill>
        </w:rPr>
        <w:t>工序流程及验收</w:t>
      </w:r>
    </w:p>
    <w:p>
      <w:pPr>
        <w:adjustRightInd w:val="0"/>
        <w:snapToGrid w:val="0"/>
        <w:spacing w:line="360" w:lineRule="auto"/>
        <w:jc w:val="left"/>
        <w:rPr>
          <w:rFonts w:ascii="宋体" w:hAnsi="宋体" w:cs="宋体"/>
          <w:szCs w:val="21"/>
        </w:rPr>
      </w:pPr>
      <w:r>
        <w:rPr>
          <w:rFonts w:hint="eastAsia" w:ascii="宋体" w:hAnsi="宋体" w:cs="宋体"/>
          <w:szCs w:val="21"/>
        </w:rPr>
        <w:t>6</w:t>
      </w:r>
      <w:r>
        <w:rPr>
          <w:rFonts w:ascii="宋体" w:hAnsi="宋体" w:cs="宋体"/>
          <w:szCs w:val="21"/>
        </w:rPr>
        <w:t>.2.1</w:t>
      </w:r>
      <w:r>
        <w:rPr>
          <w:rFonts w:hint="eastAsia" w:ascii="宋体" w:hAnsi="宋体" w:cs="宋体"/>
          <w:szCs w:val="21"/>
        </w:rPr>
        <w:t>装配式混凝土结构施工之前，要根据施工工艺、施工工序、流水段、检验批验收、分项验收等步骤设置施工工序流程。</w:t>
      </w:r>
    </w:p>
    <w:p>
      <w:pPr>
        <w:adjustRightInd w:val="0"/>
        <w:snapToGrid w:val="0"/>
        <w:spacing w:line="360" w:lineRule="auto"/>
        <w:jc w:val="left"/>
        <w:rPr>
          <w:rFonts w:ascii="宋体" w:hAnsi="宋体" w:cs="宋体"/>
          <w:szCs w:val="21"/>
        </w:rPr>
      </w:pPr>
      <w:r>
        <w:rPr>
          <w:rFonts w:hint="eastAsia" w:ascii="宋体" w:hAnsi="宋体" w:cs="宋体"/>
          <w:szCs w:val="21"/>
        </w:rPr>
        <w:t>6</w:t>
      </w:r>
      <w:r>
        <w:rPr>
          <w:rFonts w:ascii="宋体" w:hAnsi="宋体" w:cs="宋体"/>
          <w:szCs w:val="21"/>
        </w:rPr>
        <w:t>.2.2</w:t>
      </w:r>
      <w:r>
        <w:rPr>
          <w:rFonts w:hint="eastAsia" w:ascii="宋体" w:hAnsi="宋体" w:cs="宋体"/>
          <w:szCs w:val="21"/>
        </w:rPr>
        <w:t>装配式混凝土结构要在每个验收节点设置工序流程码。</w:t>
      </w:r>
    </w:p>
    <w:p>
      <w:pPr>
        <w:adjustRightInd w:val="0"/>
        <w:snapToGrid w:val="0"/>
        <w:spacing w:line="360" w:lineRule="auto"/>
        <w:jc w:val="left"/>
        <w:rPr>
          <w:rFonts w:ascii="宋体" w:hAnsi="宋体" w:cs="宋体"/>
          <w:szCs w:val="21"/>
        </w:rPr>
      </w:pPr>
      <w:r>
        <w:rPr>
          <w:rFonts w:hint="eastAsia" w:ascii="宋体" w:hAnsi="宋体" w:cs="宋体"/>
          <w:szCs w:val="21"/>
        </w:rPr>
        <w:t>6</w:t>
      </w:r>
      <w:r>
        <w:rPr>
          <w:rFonts w:ascii="宋体" w:hAnsi="宋体" w:cs="宋体"/>
          <w:szCs w:val="21"/>
        </w:rPr>
        <w:t>.2.3</w:t>
      </w:r>
      <w:r>
        <w:rPr>
          <w:rFonts w:hint="eastAsia" w:ascii="宋体" w:hAnsi="宋体" w:cs="宋体"/>
          <w:szCs w:val="21"/>
        </w:rPr>
        <w:t>根据项目组织机构及人员分工，赋予相关人员施工流程权限及验收权限。</w:t>
      </w:r>
    </w:p>
    <w:p>
      <w:pPr>
        <w:adjustRightInd w:val="0"/>
        <w:snapToGrid w:val="0"/>
        <w:spacing w:line="360" w:lineRule="auto"/>
        <w:ind w:firstLine="420" w:firstLineChars="200"/>
        <w:jc w:val="left"/>
        <w:rPr>
          <w:rFonts w:ascii="宋体" w:hAnsi="宋体" w:cs="宋体"/>
          <w:szCs w:val="21"/>
        </w:rPr>
      </w:pP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6.3</w:t>
      </w:r>
      <w:r>
        <w:rPr>
          <w:rFonts w:hint="eastAsia" w:asciiTheme="majorEastAsia" w:hAnsiTheme="majorEastAsia" w:eastAsiaTheme="majorEastAsia"/>
          <w:color w:val="000000" w:themeColor="text1"/>
          <w:sz w:val="24"/>
          <w14:textFill>
            <w14:solidFill>
              <w14:schemeClr w14:val="tx1"/>
            </w14:solidFill>
          </w14:textFill>
        </w:rPr>
        <w:t>试验管理</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6</w:t>
      </w:r>
      <w:r>
        <w:rPr>
          <w:rFonts w:asciiTheme="majorEastAsia" w:hAnsiTheme="majorEastAsia" w:eastAsiaTheme="majorEastAsia"/>
          <w:color w:val="000000" w:themeColor="text1"/>
          <w:sz w:val="24"/>
          <w14:textFill>
            <w14:solidFill>
              <w14:schemeClr w14:val="tx1"/>
            </w14:solidFill>
          </w14:textFill>
        </w:rPr>
        <w:t>.3.1</w:t>
      </w:r>
      <w:r>
        <w:rPr>
          <w:rFonts w:hint="eastAsia" w:asciiTheme="majorEastAsia" w:hAnsiTheme="majorEastAsia" w:eastAsiaTheme="majorEastAsia"/>
          <w:color w:val="000000" w:themeColor="text1"/>
          <w:sz w:val="24"/>
          <w14:textFill>
            <w14:solidFill>
              <w14:schemeClr w14:val="tx1"/>
            </w14:solidFill>
          </w14:textFill>
        </w:rPr>
        <w:t>装配式构件、钢筋原材、灌浆料、预留预埋管线等原材进场复试合格后，将复试结果上传至试验管理模块，并根据不同原材的部位设置流程码。</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6</w:t>
      </w:r>
      <w:r>
        <w:rPr>
          <w:rFonts w:asciiTheme="majorEastAsia" w:hAnsiTheme="majorEastAsia" w:eastAsiaTheme="majorEastAsia"/>
          <w:color w:val="000000" w:themeColor="text1"/>
          <w:sz w:val="24"/>
          <w14:textFill>
            <w14:solidFill>
              <w14:schemeClr w14:val="tx1"/>
            </w14:solidFill>
          </w14:textFill>
        </w:rPr>
        <w:t>.3.2</w:t>
      </w:r>
      <w:r>
        <w:rPr>
          <w:rFonts w:hint="eastAsia" w:asciiTheme="majorEastAsia" w:hAnsiTheme="majorEastAsia" w:eastAsiaTheme="majorEastAsia"/>
          <w:color w:val="000000" w:themeColor="text1"/>
          <w:sz w:val="24"/>
          <w14:textFill>
            <w14:solidFill>
              <w14:schemeClr w14:val="tx1"/>
            </w14:solidFill>
          </w14:textFill>
        </w:rPr>
        <w:t>工序试验如钢筋接头、套筒试验等试验合格后，将复试结果上传至试验模块设置流程码。</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6</w:t>
      </w:r>
      <w:r>
        <w:rPr>
          <w:rFonts w:asciiTheme="majorEastAsia" w:hAnsiTheme="majorEastAsia" w:eastAsiaTheme="majorEastAsia"/>
          <w:color w:val="000000" w:themeColor="text1"/>
          <w:sz w:val="24"/>
          <w14:textFill>
            <w14:solidFill>
              <w14:schemeClr w14:val="tx1"/>
            </w14:solidFill>
          </w14:textFill>
        </w:rPr>
        <w:t>.3.3</w:t>
      </w:r>
      <w:r>
        <w:rPr>
          <w:rFonts w:hint="eastAsia" w:asciiTheme="majorEastAsia" w:hAnsiTheme="majorEastAsia" w:eastAsiaTheme="majorEastAsia"/>
          <w:color w:val="000000" w:themeColor="text1"/>
          <w:sz w:val="24"/>
          <w14:textFill>
            <w14:solidFill>
              <w14:schemeClr w14:val="tx1"/>
            </w14:solidFill>
          </w14:textFill>
        </w:rPr>
        <w:t>首段、首件验收报告设置流程码。</w:t>
      </w:r>
    </w:p>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6.4</w:t>
      </w:r>
      <w:r>
        <w:rPr>
          <w:rFonts w:hint="eastAsia" w:asciiTheme="majorEastAsia" w:hAnsiTheme="majorEastAsia" w:eastAsiaTheme="majorEastAsia"/>
          <w:color w:val="000000" w:themeColor="text1"/>
          <w:sz w:val="24"/>
          <w14:textFill>
            <w14:solidFill>
              <w14:schemeClr w14:val="tx1"/>
            </w14:solidFill>
          </w14:textFill>
        </w:rPr>
        <w:t>质量管理</w:t>
      </w:r>
    </w:p>
    <w:p>
      <w:pPr>
        <w:pStyle w:val="25"/>
        <w:adjustRightInd w:val="0"/>
        <w:snapToGrid w:val="0"/>
        <w:spacing w:line="360" w:lineRule="auto"/>
        <w:jc w:val="both"/>
      </w:pPr>
      <w:r>
        <w:rPr>
          <w:rFonts w:hint="eastAsia"/>
        </w:rPr>
        <w:t>（1）质量隐患整改通知单、整改回复单、罚款单等相关业务表单在质量管理模块上实现实时监管；</w:t>
      </w:r>
    </w:p>
    <w:p>
      <w:pPr>
        <w:pStyle w:val="25"/>
        <w:adjustRightInd w:val="0"/>
        <w:snapToGrid w:val="0"/>
        <w:spacing w:line="360" w:lineRule="auto"/>
        <w:jc w:val="both"/>
      </w:pPr>
      <w:r>
        <w:rPr>
          <w:rFonts w:hint="eastAsia"/>
        </w:rPr>
        <w:t>（2）对现场安全问题全部通过系统登记维护，不怕发现问题，就怕不解决问题；</w:t>
      </w:r>
    </w:p>
    <w:p>
      <w:pPr>
        <w:pStyle w:val="9"/>
        <w:adjustRightInd w:val="0"/>
        <w:spacing w:line="360" w:lineRule="auto"/>
        <w:rPr>
          <w:rFonts w:ascii="宋体" w:hAnsi="宋体"/>
          <w:bCs/>
          <w:sz w:val="21"/>
          <w:szCs w:val="28"/>
        </w:rPr>
      </w:pPr>
      <w:r>
        <w:rPr>
          <w:rFonts w:hint="eastAsia" w:ascii="宋体" w:hAnsi="宋体"/>
          <w:bCs/>
          <w:sz w:val="21"/>
          <w:szCs w:val="28"/>
        </w:rPr>
        <w:t>（3）对项目质量大数据进行统计分析，做到质量重点监管；</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6.5</w:t>
      </w:r>
      <w:r>
        <w:rPr>
          <w:rFonts w:hint="eastAsia" w:asciiTheme="majorEastAsia" w:hAnsiTheme="majorEastAsia" w:eastAsiaTheme="majorEastAsia"/>
          <w:color w:val="000000" w:themeColor="text1"/>
          <w:sz w:val="24"/>
          <w14:textFill>
            <w14:solidFill>
              <w14:schemeClr w14:val="tx1"/>
            </w14:solidFill>
          </w14:textFill>
        </w:rPr>
        <w:t>验收资料表格模块</w:t>
      </w:r>
      <w:r>
        <w:rPr>
          <w:rFonts w:asciiTheme="majorEastAsia" w:hAnsiTheme="majorEastAsia" w:eastAsiaTheme="majorEastAsia"/>
          <w:color w:val="000000" w:themeColor="text1"/>
          <w:sz w:val="24"/>
          <w14:textFill>
            <w14:solidFill>
              <w14:schemeClr w14:val="tx1"/>
            </w14:solidFill>
          </w14:textFill>
        </w:rPr>
        <w:t xml:space="preserve"> </w:t>
      </w:r>
    </w:p>
    <w:p>
      <w:pPr>
        <w:pStyle w:val="25"/>
        <w:adjustRightInd w:val="0"/>
        <w:snapToGrid w:val="0"/>
        <w:spacing w:line="360" w:lineRule="auto"/>
        <w:jc w:val="both"/>
      </w:pPr>
      <w:r>
        <w:rPr>
          <w:rFonts w:hint="eastAsia"/>
        </w:rPr>
        <w:t>（1）基于装配式混凝土结构资料验收表格与构件二维码技术形成装配式资料自动生成。</w:t>
      </w:r>
    </w:p>
    <w:p>
      <w:pPr>
        <w:pStyle w:val="25"/>
        <w:adjustRightInd w:val="0"/>
        <w:snapToGrid w:val="0"/>
        <w:spacing w:line="360" w:lineRule="auto"/>
        <w:jc w:val="both"/>
      </w:pPr>
      <w:r>
        <w:rPr>
          <w:rFonts w:hint="eastAsia"/>
        </w:rPr>
        <w:t>（2）验收完成后通过手持终端实现实时资料报验。</w:t>
      </w:r>
    </w:p>
    <w:p>
      <w:pPr>
        <w:pStyle w:val="25"/>
        <w:adjustRightInd w:val="0"/>
        <w:snapToGrid w:val="0"/>
        <w:spacing w:line="360" w:lineRule="auto"/>
        <w:jc w:val="both"/>
      </w:pPr>
      <w:r>
        <w:rPr>
          <w:rFonts w:hint="eastAsia"/>
        </w:rPr>
        <w:t>（3）通过系统直接出具验收内容。</w:t>
      </w:r>
    </w:p>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19" w:name="_Toc153545438"/>
      <w:r>
        <w:rPr>
          <w:rFonts w:ascii="黑体" w:hAnsi="黑体" w:eastAsia="黑体" w:cs="黑体"/>
          <w:bCs/>
          <w:sz w:val="32"/>
          <w:szCs w:val="32"/>
        </w:rPr>
        <w:t>7</w:t>
      </w:r>
      <w:r>
        <w:rPr>
          <w:rFonts w:hint="eastAsia" w:ascii="黑体" w:hAnsi="黑体" w:eastAsia="黑体" w:cs="黑体"/>
          <w:bCs/>
          <w:sz w:val="32"/>
          <w:szCs w:val="32"/>
        </w:rPr>
        <w:t xml:space="preserve"> 组织管理</w:t>
      </w:r>
      <w:bookmarkEnd w:id="19"/>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7.1</w:t>
      </w:r>
      <w:r>
        <w:rPr>
          <w:rFonts w:hint="eastAsia" w:asciiTheme="majorEastAsia" w:hAnsiTheme="majorEastAsia" w:eastAsiaTheme="majorEastAsia"/>
          <w:color w:val="000000" w:themeColor="text1"/>
          <w:sz w:val="24"/>
          <w14:textFill>
            <w14:solidFill>
              <w14:schemeClr w14:val="tx1"/>
            </w14:solidFill>
          </w14:textFill>
        </w:rPr>
        <w:t>项目管理人员配置及权限设置</w:t>
      </w:r>
    </w:p>
    <w:p>
      <w:pPr>
        <w:pStyle w:val="25"/>
        <w:adjustRightInd w:val="0"/>
        <w:snapToGrid w:val="0"/>
        <w:spacing w:line="360" w:lineRule="auto"/>
        <w:jc w:val="both"/>
      </w:pPr>
      <w:r>
        <w:rPr>
          <w:rFonts w:hint="eastAsia"/>
        </w:rPr>
        <w:t>（1）根据工程的实际情况，按照相关规范及要求对总包单位、监理单位配备项目管理人员，并对不同人员的职责进行权限设置。</w:t>
      </w:r>
    </w:p>
    <w:p>
      <w:pPr>
        <w:pStyle w:val="25"/>
        <w:adjustRightInd w:val="0"/>
        <w:snapToGrid w:val="0"/>
        <w:spacing w:line="360" w:lineRule="auto"/>
        <w:jc w:val="both"/>
      </w:pPr>
      <w:r>
        <w:rPr>
          <w:rFonts w:hint="eastAsia"/>
        </w:rPr>
        <w:t>（</w:t>
      </w:r>
      <w:r>
        <w:t>2</w:t>
      </w:r>
      <w:r>
        <w:rPr>
          <w:rFonts w:hint="eastAsia"/>
        </w:rPr>
        <w:t>）工程项目的建设单位及相关单位设置相关的权限。</w:t>
      </w:r>
    </w:p>
    <w:p>
      <w:pPr>
        <w:pStyle w:val="8"/>
        <w:spacing w:after="0" w:line="360" w:lineRule="exact"/>
        <w:ind w:left="0" w:leftChars="0"/>
        <w:jc w:val="left"/>
        <w:rPr>
          <w:rFonts w:ascii="宋体" w:hAnsi="宋体" w:cs="宋体"/>
        </w:rPr>
      </w:pPr>
      <w:r>
        <w:rPr>
          <w:rFonts w:hint="eastAsia" w:ascii="宋体" w:hAnsi="宋体" w:cs="宋体"/>
        </w:rPr>
        <w:t>（3）</w:t>
      </w:r>
      <w:r>
        <w:rPr>
          <w:rFonts w:ascii="宋体" w:hAnsi="宋体" w:cs="宋体"/>
        </w:rPr>
        <w:t>工程项目应</w:t>
      </w:r>
      <w:r>
        <w:rPr>
          <w:rFonts w:hint="eastAsia" w:ascii="宋体" w:hAnsi="宋体" w:cs="宋体"/>
        </w:rPr>
        <w:t>通过人员管理系统的</w:t>
      </w:r>
      <w:r>
        <w:rPr>
          <w:rFonts w:hint="eastAsia" w:ascii="宋体" w:hAnsi="宋体" w:cs="宋体"/>
          <w:lang w:eastAsia="zh-Hans"/>
        </w:rPr>
        <w:t>应</w:t>
      </w:r>
      <w:r>
        <w:rPr>
          <w:rFonts w:hint="eastAsia" w:ascii="宋体" w:hAnsi="宋体" w:cs="宋体"/>
        </w:rPr>
        <w:t>用，实现现场人员统一管理。</w:t>
      </w:r>
    </w:p>
    <w:p>
      <w:pPr>
        <w:pStyle w:val="25"/>
        <w:adjustRightInd w:val="0"/>
        <w:snapToGrid w:val="0"/>
        <w:spacing w:line="360" w:lineRule="auto"/>
        <w:jc w:val="both"/>
      </w:pP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7</w:t>
      </w: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 xml:space="preserve">2 </w:t>
      </w:r>
      <w:r>
        <w:rPr>
          <w:rFonts w:hint="eastAsia" w:asciiTheme="majorEastAsia" w:hAnsiTheme="majorEastAsia" w:eastAsiaTheme="majorEastAsia"/>
          <w:color w:val="000000" w:themeColor="text1"/>
          <w:sz w:val="24"/>
          <w14:textFill>
            <w14:solidFill>
              <w14:schemeClr w14:val="tx1"/>
            </w14:solidFill>
          </w14:textFill>
        </w:rPr>
        <w:t>劳动力管理</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.2.1</w:t>
      </w:r>
      <w:r>
        <w:rPr>
          <w:rFonts w:hint="eastAsia" w:asciiTheme="majorEastAsia" w:hAnsiTheme="majorEastAsia" w:eastAsiaTheme="majorEastAsia"/>
          <w:color w:val="000000" w:themeColor="text1"/>
          <w:sz w:val="24"/>
          <w14:textFill>
            <w14:solidFill>
              <w14:schemeClr w14:val="tx1"/>
            </w14:solidFill>
          </w14:textFill>
        </w:rPr>
        <w:t>劳务作业人员监控系统应包含但不限于：</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1</w:t>
      </w:r>
      <w:r>
        <w:rPr>
          <w:rFonts w:hint="eastAsia" w:asciiTheme="majorEastAsia" w:hAnsiTheme="majorEastAsia" w:eastAsiaTheme="majorEastAsia"/>
          <w:color w:val="000000" w:themeColor="text1"/>
          <w:sz w:val="24"/>
          <w14:textFill>
            <w14:solidFill>
              <w14:schemeClr w14:val="tx1"/>
            </w14:solidFill>
          </w14:textFill>
        </w:rPr>
        <w:t>)作业人员实名制登记基础信息、合同信息、资格证书信息等。</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2</w:t>
      </w:r>
      <w:r>
        <w:rPr>
          <w:rFonts w:hint="eastAsia" w:asciiTheme="majorEastAsia" w:hAnsiTheme="majorEastAsia" w:eastAsiaTheme="majorEastAsia"/>
          <w:color w:val="000000" w:themeColor="text1"/>
          <w:sz w:val="24"/>
          <w14:textFill>
            <w14:solidFill>
              <w14:schemeClr w14:val="tx1"/>
            </w14:solidFill>
          </w14:textFill>
        </w:rPr>
        <w:t>)考勤管理：进场时间、出场时间。</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3</w:t>
      </w:r>
      <w:r>
        <w:rPr>
          <w:rFonts w:hint="eastAsia" w:asciiTheme="majorEastAsia" w:hAnsiTheme="majorEastAsia" w:eastAsiaTheme="majorEastAsia"/>
          <w:color w:val="000000" w:themeColor="text1"/>
          <w:sz w:val="24"/>
          <w14:textFill>
            <w14:solidFill>
              <w14:schemeClr w14:val="tx1"/>
            </w14:solidFill>
          </w14:textFill>
        </w:rPr>
        <w:t>)教育培训管理：培训时间、内容、类型、结果。</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宋体" w:hAnsi="宋体" w:cs="宋体"/>
        </w:rPr>
        <w:t>(</w:t>
      </w:r>
      <w:r>
        <w:rPr>
          <w:rFonts w:asciiTheme="majorEastAsia" w:hAnsiTheme="majorEastAsia" w:eastAsiaTheme="majorEastAsia"/>
          <w:color w:val="000000" w:themeColor="text1"/>
          <w:sz w:val="24"/>
          <w14:textFill>
            <w14:solidFill>
              <w14:schemeClr w14:val="tx1"/>
            </w14:solidFill>
          </w14:textFill>
        </w:rPr>
        <w:t>4</w:t>
      </w:r>
      <w:r>
        <w:rPr>
          <w:rFonts w:hint="eastAsia" w:asciiTheme="majorEastAsia" w:hAnsiTheme="majorEastAsia" w:eastAsiaTheme="majorEastAsia"/>
          <w:color w:val="000000" w:themeColor="text1"/>
          <w:sz w:val="24"/>
          <w14:textFill>
            <w14:solidFill>
              <w14:schemeClr w14:val="tx1"/>
            </w14:solidFill>
          </w14:textFill>
        </w:rPr>
        <w:t>)工资发放情况监控：工资发放时间、数量、到账回执等。</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5</w:t>
      </w:r>
      <w:r>
        <w:rPr>
          <w:rFonts w:hint="eastAsia" w:asciiTheme="majorEastAsia" w:hAnsiTheme="majorEastAsia" w:eastAsiaTheme="majorEastAsia"/>
          <w:color w:val="000000" w:themeColor="text1"/>
          <w:sz w:val="24"/>
          <w14:textFill>
            <w14:solidFill>
              <w14:schemeClr w14:val="tx1"/>
            </w14:solidFill>
          </w14:textFill>
        </w:rPr>
        <w:t>)现场工作监控：包括利用安全帽实现实时人员定位、活动轨迹；区域人员数量、分工种数量等统计功能。</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5</w:t>
      </w:r>
      <w:r>
        <w:rPr>
          <w:rFonts w:hint="eastAsia" w:asciiTheme="majorEastAsia" w:hAnsiTheme="majorEastAsia" w:eastAsiaTheme="majorEastAsia"/>
          <w:color w:val="000000" w:themeColor="text1"/>
          <w:sz w:val="24"/>
          <w14:textFill>
            <w14:solidFill>
              <w14:schemeClr w14:val="tx1"/>
            </w14:solidFill>
          </w14:textFill>
        </w:rPr>
        <w:t>)具备监测大屏展示功能，包含但不限于人员信息、考勤信息、培训信息、预警信息等。</w:t>
      </w:r>
    </w:p>
    <w:p>
      <w:pPr>
        <w:pStyle w:val="8"/>
        <w:adjustRightInd w:val="0"/>
        <w:snapToGrid w:val="0"/>
        <w:spacing w:after="0" w:line="360" w:lineRule="auto"/>
        <w:ind w:left="0" w:leftChars="0"/>
        <w:rPr>
          <w:rFonts w:ascii="宋体" w:hAnsi="宋体" w:cs="宋体"/>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.2.2</w:t>
      </w:r>
      <w:r>
        <w:rPr>
          <w:rFonts w:hint="eastAsia" w:asciiTheme="majorEastAsia" w:hAnsiTheme="majorEastAsia" w:eastAsiaTheme="majorEastAsia"/>
          <w:color w:val="000000" w:themeColor="text1"/>
          <w:sz w:val="24"/>
          <w14:textFill>
            <w14:solidFill>
              <w14:schemeClr w14:val="tx1"/>
            </w14:solidFill>
          </w14:textFill>
        </w:rPr>
        <w:t>劳动力监控管理系统可以通过分包维度、工种维度、人员维度等多个维度来查看人员的信息</w:t>
      </w:r>
      <w:r>
        <w:rPr>
          <w:rFonts w:hint="eastAsia" w:ascii="宋体" w:hAnsi="宋体" w:cs="宋体"/>
        </w:rPr>
        <w:t>采集情况及明细、出勤信息、所属班组及队伍的信息、现场安全教育及技术交底等教育情况。</w:t>
      </w:r>
    </w:p>
    <w:p>
      <w:pPr>
        <w:pStyle w:val="8"/>
        <w:spacing w:after="0" w:line="360" w:lineRule="exact"/>
        <w:ind w:left="0" w:leftChars="0"/>
        <w:jc w:val="left"/>
        <w:rPr>
          <w:rFonts w:ascii="宋体" w:hAnsi="宋体" w:cs="宋体"/>
        </w:rPr>
      </w:pPr>
      <w:r>
        <w:rPr>
          <w:rFonts w:hint="eastAsia" w:ascii="宋体" w:hAnsi="宋体" w:cs="宋体"/>
        </w:rPr>
        <w:t>7</w:t>
      </w:r>
      <w:r>
        <w:rPr>
          <w:rFonts w:ascii="宋体" w:hAnsi="宋体" w:cs="宋体"/>
        </w:rPr>
        <w:t>.2.3</w:t>
      </w:r>
      <w:r>
        <w:rPr>
          <w:rFonts w:hint="eastAsia" w:ascii="宋体" w:hAnsi="宋体" w:cs="宋体"/>
        </w:rPr>
        <w:t>劳动力监控系统应用宜选择人脸、虹膜、指纹、行为、声音等活体生物识别技术，来实现现场的智能化采集、进出控制及人员定位抓拍功能。</w:t>
      </w:r>
    </w:p>
    <w:p>
      <w:pPr>
        <w:pStyle w:val="8"/>
        <w:spacing w:after="0" w:line="360" w:lineRule="exact"/>
        <w:ind w:left="0" w:leftChars="0"/>
        <w:jc w:val="left"/>
        <w:rPr>
          <w:rFonts w:ascii="宋体" w:hAnsi="宋体" w:cs="宋体"/>
        </w:rPr>
      </w:pPr>
      <w:r>
        <w:rPr>
          <w:rFonts w:hint="eastAsia" w:ascii="宋体" w:hAnsi="宋体" w:cs="宋体"/>
        </w:rPr>
        <w:t>7</w:t>
      </w:r>
      <w:r>
        <w:rPr>
          <w:rFonts w:ascii="宋体" w:hAnsi="宋体" w:cs="宋体"/>
        </w:rPr>
        <w:t>.2.4</w:t>
      </w:r>
      <w:r>
        <w:rPr>
          <w:rFonts w:hint="eastAsia" w:ascii="宋体" w:hAnsi="宋体" w:cs="宋体"/>
        </w:rPr>
        <w:t>劳动力监控系统提示功能</w:t>
      </w:r>
      <w:r>
        <w:rPr>
          <w:rFonts w:hint="eastAsia" w:ascii="宋体" w:hAnsi="宋体" w:cs="宋体"/>
          <w:szCs w:val="21"/>
        </w:rPr>
        <w:t>但不限于以下功能：</w:t>
      </w:r>
    </w:p>
    <w:p>
      <w:pPr>
        <w:pStyle w:val="8"/>
        <w:spacing w:after="0" w:line="360" w:lineRule="exact"/>
        <w:ind w:left="0" w:leftChars="0"/>
        <w:rPr>
          <w:rFonts w:ascii="宋体" w:hAnsi="宋体" w:cs="宋体"/>
        </w:rPr>
      </w:pPr>
      <w:r>
        <w:rPr>
          <w:rFonts w:hint="eastAsia" w:ascii="宋体" w:hAnsi="宋体" w:cs="宋体"/>
        </w:rPr>
        <w:t>（</w:t>
      </w:r>
      <w:r>
        <w:rPr>
          <w:rFonts w:ascii="宋体" w:hAnsi="宋体" w:cs="宋体"/>
        </w:rPr>
        <w:t>1</w:t>
      </w:r>
      <w:r>
        <w:rPr>
          <w:rFonts w:hint="eastAsia" w:ascii="宋体" w:hAnsi="宋体" w:cs="宋体"/>
        </w:rPr>
        <w:t>）人员信息提示功能：录入缺项、证书即将过期、身份证过期、安全技术教育缺项、未签署合同或合同过期、未及时发放工资、未成年人或超过规定年龄参加工作等</w:t>
      </w:r>
    </w:p>
    <w:p>
      <w:pPr>
        <w:pStyle w:val="8"/>
        <w:spacing w:after="0" w:line="360" w:lineRule="exact"/>
        <w:ind w:left="0" w:leftChars="0"/>
        <w:rPr>
          <w:rFonts w:ascii="宋体" w:hAnsi="宋体" w:cs="宋体"/>
        </w:rPr>
      </w:pPr>
      <w:r>
        <w:rPr>
          <w:rFonts w:hint="eastAsia" w:ascii="宋体" w:hAnsi="宋体" w:cs="宋体"/>
        </w:rPr>
        <w:t>（</w:t>
      </w:r>
      <w:r>
        <w:rPr>
          <w:rFonts w:ascii="宋体" w:hAnsi="宋体" w:cs="宋体"/>
        </w:rPr>
        <w:t>2</w:t>
      </w:r>
      <w:r>
        <w:rPr>
          <w:rFonts w:hint="eastAsia" w:ascii="宋体" w:hAnsi="宋体" w:cs="宋体"/>
        </w:rPr>
        <w:t>）考勤管理提示功能：长时间未进行工作、工作时间超时、</w:t>
      </w:r>
    </w:p>
    <w:p>
      <w:pPr>
        <w:pStyle w:val="8"/>
        <w:spacing w:after="0" w:line="360" w:lineRule="exact"/>
        <w:ind w:left="0" w:leftChars="0"/>
        <w:rPr>
          <w:rFonts w:ascii="宋体" w:hAnsi="宋体" w:cs="宋体"/>
        </w:rPr>
      </w:pPr>
      <w:r>
        <w:rPr>
          <w:rFonts w:hint="eastAsia" w:ascii="宋体" w:hAnsi="宋体" w:cs="宋体"/>
        </w:rPr>
        <w:t>（</w:t>
      </w:r>
      <w:r>
        <w:rPr>
          <w:rFonts w:ascii="宋体" w:hAnsi="宋体" w:cs="宋体"/>
        </w:rPr>
        <w:t>3</w:t>
      </w:r>
      <w:r>
        <w:rPr>
          <w:rFonts w:hint="eastAsia" w:ascii="宋体" w:hAnsi="宋体" w:cs="宋体"/>
        </w:rPr>
        <w:t>）工资发放提示功能：需发放工资时、未及时发放工资、工资发放低于最低收入、工资发放到账</w:t>
      </w:r>
    </w:p>
    <w:p>
      <w:pPr>
        <w:pStyle w:val="8"/>
        <w:spacing w:after="0" w:line="360" w:lineRule="exact"/>
        <w:ind w:left="0" w:leftChars="0"/>
        <w:rPr>
          <w:rFonts w:ascii="宋体" w:hAnsi="宋体" w:cs="宋体"/>
        </w:rPr>
      </w:pPr>
      <w:r>
        <w:rPr>
          <w:rFonts w:hint="eastAsia" w:ascii="宋体" w:hAnsi="宋体" w:cs="宋体"/>
        </w:rPr>
        <w:t>（</w:t>
      </w:r>
      <w:r>
        <w:rPr>
          <w:rFonts w:ascii="宋体" w:hAnsi="宋体" w:cs="宋体"/>
        </w:rPr>
        <w:t>4</w:t>
      </w:r>
      <w:r>
        <w:rPr>
          <w:rFonts w:hint="eastAsia" w:ascii="宋体" w:hAnsi="宋体" w:cs="宋体"/>
        </w:rPr>
        <w:t>）现场工作监控提示功能：进入有限空间作业、楼顶等高危作业位置、作业位置人数过少、</w:t>
      </w:r>
      <w:r>
        <w:rPr>
          <w:rFonts w:ascii="宋体" w:hAnsi="宋体" w:cs="宋体"/>
        </w:rPr>
        <w:t>利用</w:t>
      </w:r>
      <w:r>
        <w:rPr>
          <w:rFonts w:hint="eastAsia" w:ascii="宋体" w:hAnsi="宋体" w:cs="宋体"/>
        </w:rPr>
        <w:t>违反现场安全规定行为。</w:t>
      </w:r>
    </w:p>
    <w:p>
      <w:pPr>
        <w:adjustRightInd w:val="0"/>
        <w:snapToGrid w:val="0"/>
        <w:spacing w:line="360" w:lineRule="auto"/>
        <w:ind w:firstLine="420" w:firstLineChars="200"/>
        <w:jc w:val="left"/>
        <w:rPr>
          <w:rFonts w:asciiTheme="minorEastAsia" w:hAnsiTheme="minorEastAsia"/>
          <w:strike/>
          <w:color w:val="000000"/>
        </w:rPr>
      </w:pP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7.3</w:t>
      </w:r>
      <w:r>
        <w:rPr>
          <w:rFonts w:hint="eastAsia" w:asciiTheme="majorEastAsia" w:hAnsiTheme="majorEastAsia" w:eastAsiaTheme="majorEastAsia"/>
          <w:color w:val="000000" w:themeColor="text1"/>
          <w:sz w:val="24"/>
          <w14:textFill>
            <w14:solidFill>
              <w14:schemeClr w14:val="tx1"/>
            </w14:solidFill>
          </w14:textFill>
        </w:rPr>
        <w:t>进度管理模块</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.3.1</w:t>
      </w:r>
      <w:r>
        <w:rPr>
          <w:rFonts w:hint="eastAsia" w:asciiTheme="minorEastAsia" w:hAnsiTheme="minorEastAsia"/>
          <w:color w:val="000000"/>
        </w:rPr>
        <w:t>通过网络计划前锋线，对比计划开始与实际开始、计划工期与实际工期、计划结束与实际结束；通过网络计划视频监控可视化展示实际进度与计划进度差异分析；</w:t>
      </w:r>
    </w:p>
    <w:p>
      <w:pPr>
        <w:adjustRightInd w:val="0"/>
        <w:snapToGrid w:val="0"/>
        <w:spacing w:line="360" w:lineRule="auto"/>
        <w:ind w:firstLine="420" w:firstLineChars="200"/>
        <w:rPr>
          <w:rFonts w:asciiTheme="minorEastAsia" w:hAnsiTheme="minorEastAsia"/>
          <w:color w:val="000000"/>
        </w:rPr>
      </w:pPr>
      <w:r>
        <w:rPr>
          <w:rFonts w:hint="eastAsia" w:asciiTheme="minorEastAsia" w:hAnsiTheme="minorEastAsia"/>
          <w:color w:val="000000"/>
        </w:rPr>
        <w:t>（</w:t>
      </w:r>
      <w:r>
        <w:rPr>
          <w:rFonts w:asciiTheme="minorEastAsia" w:hAnsiTheme="minorEastAsia"/>
          <w:color w:val="000000"/>
        </w:rPr>
        <w:t>1</w:t>
      </w:r>
      <w:r>
        <w:rPr>
          <w:rFonts w:hint="eastAsia" w:asciiTheme="minorEastAsia" w:hAnsiTheme="minorEastAsia"/>
          <w:color w:val="000000"/>
        </w:rPr>
        <w:t>）生产进度管理：现场各个分包及工长清晰自己的施工任务，通过手机端实时反馈现场进度信息，形成进度看板，项目管理层（项目经理、执行经理）实时掌握现场实际进度。生产进度管理规范现场管理流程，提高管理效率，网页端大数据分析，为项目进行分析决策提供数据支撑；</w:t>
      </w:r>
    </w:p>
    <w:p>
      <w:pPr>
        <w:adjustRightInd w:val="0"/>
        <w:snapToGrid w:val="0"/>
        <w:spacing w:line="360" w:lineRule="auto"/>
        <w:ind w:firstLine="420" w:firstLineChars="200"/>
        <w:rPr>
          <w:rFonts w:asciiTheme="minorEastAsia" w:hAnsiTheme="minorEastAsia"/>
          <w:color w:val="000000"/>
        </w:rPr>
      </w:pPr>
      <w:r>
        <w:rPr>
          <w:rFonts w:hint="eastAsia" w:asciiTheme="minorEastAsia" w:hAnsiTheme="minorEastAsia"/>
          <w:color w:val="000000"/>
        </w:rPr>
        <w:t>（</w:t>
      </w:r>
      <w:r>
        <w:rPr>
          <w:rFonts w:asciiTheme="minorEastAsia" w:hAnsiTheme="minorEastAsia"/>
          <w:color w:val="000000"/>
        </w:rPr>
        <w:t>2</w:t>
      </w:r>
      <w:r>
        <w:rPr>
          <w:rFonts w:hint="eastAsia" w:asciiTheme="minorEastAsia" w:hAnsiTheme="minorEastAsia"/>
          <w:color w:val="000000"/>
        </w:rPr>
        <w:t>）劳动力、材料、机械统计：施工过程中工长运用手机端对现场劳动力、材料、机械情况进行统计，形成资源使用台账，为项目资源管理提供支撑；</w:t>
      </w:r>
    </w:p>
    <w:p>
      <w:pPr>
        <w:adjustRightInd w:val="0"/>
        <w:snapToGrid w:val="0"/>
        <w:spacing w:line="360" w:lineRule="auto"/>
        <w:ind w:firstLine="420" w:firstLineChars="200"/>
        <w:rPr>
          <w:rFonts w:asciiTheme="minorEastAsia" w:hAnsiTheme="minorEastAsia"/>
          <w:color w:val="000000"/>
        </w:rPr>
      </w:pPr>
      <w:r>
        <w:rPr>
          <w:rFonts w:hint="eastAsia" w:asciiTheme="minorEastAsia" w:hAnsiTheme="minorEastAsia"/>
          <w:color w:val="000000"/>
        </w:rPr>
        <w:t>（</w:t>
      </w:r>
      <w:r>
        <w:rPr>
          <w:rFonts w:asciiTheme="minorEastAsia" w:hAnsiTheme="minorEastAsia"/>
          <w:color w:val="000000"/>
        </w:rPr>
        <w:t>3</w:t>
      </w:r>
      <w:r>
        <w:rPr>
          <w:rFonts w:hint="eastAsia" w:asciiTheme="minorEastAsia" w:hAnsiTheme="minorEastAsia"/>
          <w:color w:val="000000"/>
        </w:rPr>
        <w:t>）生产周会：通过网页端快速输出上会文件，提高汇报材料编制效率，减少工作量；</w:t>
      </w:r>
    </w:p>
    <w:p>
      <w:pPr>
        <w:adjustRightInd w:val="0"/>
        <w:snapToGrid w:val="0"/>
        <w:spacing w:line="360" w:lineRule="auto"/>
        <w:ind w:firstLine="420" w:firstLineChars="200"/>
        <w:rPr>
          <w:rFonts w:asciiTheme="minorEastAsia" w:hAnsiTheme="minorEastAsia"/>
          <w:color w:val="000000"/>
        </w:rPr>
      </w:pPr>
      <w:r>
        <w:rPr>
          <w:rFonts w:hint="eastAsia" w:asciiTheme="minorEastAsia" w:hAnsiTheme="minorEastAsia"/>
          <w:color w:val="000000"/>
        </w:rPr>
        <w:t>（</w:t>
      </w:r>
      <w:r>
        <w:rPr>
          <w:rFonts w:asciiTheme="minorEastAsia" w:hAnsiTheme="minorEastAsia"/>
          <w:color w:val="000000"/>
        </w:rPr>
        <w:t>4</w:t>
      </w:r>
      <w:r>
        <w:rPr>
          <w:rFonts w:hint="eastAsia" w:asciiTheme="minorEastAsia" w:hAnsiTheme="minorEastAsia"/>
          <w:color w:val="000000"/>
        </w:rPr>
        <w:t>）施工相册;通过移动端随时记录现场的照片，汇总质量、安全、进度等模块中的相关照片信息，形成系统的施工相册，为后续隐蔽工程验收、索赔佐证、实际进度比对提供帮助；</w:t>
      </w:r>
    </w:p>
    <w:p>
      <w:pPr>
        <w:adjustRightInd w:val="0"/>
        <w:snapToGrid w:val="0"/>
        <w:spacing w:line="360" w:lineRule="auto"/>
        <w:ind w:firstLine="420" w:firstLineChars="200"/>
        <w:rPr>
          <w:rFonts w:asciiTheme="minorEastAsia" w:hAnsiTheme="minorEastAsia"/>
          <w:color w:val="000000"/>
        </w:rPr>
      </w:pPr>
      <w:r>
        <w:rPr>
          <w:rFonts w:hint="eastAsia" w:asciiTheme="minorEastAsia" w:hAnsiTheme="minorEastAsia"/>
          <w:color w:val="000000"/>
        </w:rPr>
        <w:t>（</w:t>
      </w:r>
      <w:r>
        <w:rPr>
          <w:rFonts w:asciiTheme="minorEastAsia" w:hAnsiTheme="minorEastAsia"/>
          <w:color w:val="000000"/>
        </w:rPr>
        <w:t>5</w:t>
      </w:r>
      <w:r>
        <w:rPr>
          <w:rFonts w:hint="eastAsia" w:asciiTheme="minorEastAsia" w:hAnsiTheme="minorEastAsia"/>
          <w:color w:val="000000"/>
        </w:rPr>
        <w:t>）施工日志;运用系统自动生产当天、阶段、个人施工日志及施工日报转发打印代替传统手写施工日志。</w:t>
      </w:r>
    </w:p>
    <w:p>
      <w:pPr>
        <w:pStyle w:val="8"/>
        <w:spacing w:after="0" w:line="360" w:lineRule="exact"/>
        <w:ind w:left="0" w:leftChars="0"/>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.3.2</w:t>
      </w:r>
      <w:r>
        <w:rPr>
          <w:rFonts w:hint="eastAsia" w:ascii="宋体" w:hAnsi="宋体" w:cs="宋体"/>
        </w:rPr>
        <w:t>进度管理</w:t>
      </w:r>
      <w:r>
        <w:rPr>
          <w:rFonts w:hint="eastAsia"/>
        </w:rPr>
        <w:t>应满足项目管理、业主管理要求，通过进度监控的应用，有效控制项目进度。</w:t>
      </w:r>
    </w:p>
    <w:p>
      <w:pPr>
        <w:pStyle w:val="8"/>
        <w:spacing w:after="0" w:line="360" w:lineRule="exact"/>
        <w:ind w:left="0" w:leftChars="0"/>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.3.3</w:t>
      </w:r>
      <w:r>
        <w:rPr>
          <w:rFonts w:hint="eastAsia"/>
        </w:rPr>
        <w:t>进度监控范围包含但不限于制定分级进度计划、进度跟踪、进度分析、进度预警、进度纠偏等。</w:t>
      </w:r>
    </w:p>
    <w:p>
      <w:pPr>
        <w:pStyle w:val="8"/>
        <w:spacing w:after="0" w:line="360" w:lineRule="exact"/>
        <w:ind w:left="0" w:leftChars="0"/>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.3.4</w:t>
      </w:r>
      <w:r>
        <w:rPr>
          <w:rFonts w:hint="eastAsia"/>
        </w:rPr>
        <w:t>进度管理数据采集包含但不限于技术方案的采集、安全交底的采集、材料数据的采集、人员信息采集、机械的采集、环境因素的采集等。</w:t>
      </w:r>
    </w:p>
    <w:p>
      <w:pPr>
        <w:pStyle w:val="8"/>
        <w:spacing w:after="0" w:line="360" w:lineRule="exact"/>
        <w:ind w:left="0" w:leftChars="0"/>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.3.5</w:t>
      </w:r>
      <w:r>
        <w:rPr>
          <w:rFonts w:hint="eastAsia"/>
        </w:rPr>
        <w:t>进度计划编制依据应包括但不限于业主方要求、项目内控要求、项目周围环境的要求、材料要求、技术方面要求、人员及机械要求、季节性要求等。</w:t>
      </w:r>
    </w:p>
    <w:p>
      <w:pPr>
        <w:pStyle w:val="8"/>
        <w:spacing w:after="0" w:line="360" w:lineRule="exact"/>
        <w:ind w:left="0" w:leftChars="0"/>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.3.6</w:t>
      </w:r>
      <w:r>
        <w:rPr>
          <w:rFonts w:hint="eastAsia"/>
        </w:rPr>
        <w:t>进行监控的进度计划应支持调整，并非一成不变。</w:t>
      </w:r>
    </w:p>
    <w:p>
      <w:pPr>
        <w:pStyle w:val="8"/>
        <w:spacing w:after="0" w:line="360" w:lineRule="exact"/>
        <w:ind w:left="0" w:leftChars="0"/>
        <w:rPr>
          <w:rFonts w:ascii="宋体" w:hAnsi="宋体" w:cs="宋体"/>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.3.7</w:t>
      </w:r>
      <w:r>
        <w:rPr>
          <w:rFonts w:hint="eastAsia" w:ascii="宋体" w:hAnsi="宋体" w:cs="宋体"/>
        </w:rPr>
        <w:t>进度监控应包含但不限于以下功能：</w:t>
      </w:r>
    </w:p>
    <w:p>
      <w:pPr>
        <w:pStyle w:val="8"/>
        <w:spacing w:after="0" w:line="360" w:lineRule="exact"/>
        <w:ind w:left="724" w:leftChars="170" w:hanging="367" w:hangingChars="175"/>
        <w:rPr>
          <w:rFonts w:ascii="宋体" w:hAnsi="宋体" w:cs="宋体"/>
        </w:rPr>
      </w:pPr>
      <w:r>
        <w:rPr>
          <w:rFonts w:hint="eastAsia" w:ascii="宋体" w:hAnsi="宋体" w:cs="宋体"/>
        </w:rPr>
        <w:t>（</w:t>
      </w:r>
      <w:r>
        <w:rPr>
          <w:rFonts w:ascii="宋体" w:hAnsi="宋体" w:cs="宋体"/>
        </w:rPr>
        <w:t>1</w:t>
      </w:r>
      <w:r>
        <w:rPr>
          <w:rFonts w:hint="eastAsia" w:ascii="宋体" w:hAnsi="宋体" w:cs="宋体"/>
        </w:rPr>
        <w:t>）  具备编制、调整分级进度计划功能，并发送到各项目人员。</w:t>
      </w:r>
    </w:p>
    <w:p>
      <w:pPr>
        <w:pStyle w:val="8"/>
        <w:spacing w:after="0" w:line="360" w:lineRule="exact"/>
        <w:ind w:left="724" w:leftChars="170" w:hanging="367" w:hangingChars="175"/>
        <w:rPr>
          <w:rFonts w:ascii="宋体" w:hAnsi="宋体" w:cs="宋体"/>
        </w:rPr>
      </w:pPr>
      <w:r>
        <w:rPr>
          <w:rFonts w:hint="eastAsia" w:ascii="宋体" w:hAnsi="宋体" w:cs="宋体"/>
        </w:rPr>
        <w:t>（</w:t>
      </w:r>
      <w:r>
        <w:rPr>
          <w:rFonts w:ascii="宋体" w:hAnsi="宋体" w:cs="宋体"/>
        </w:rPr>
        <w:t>2</w:t>
      </w:r>
      <w:r>
        <w:rPr>
          <w:rFonts w:hint="eastAsia" w:ascii="宋体" w:hAnsi="宋体" w:cs="宋体"/>
        </w:rPr>
        <w:t>）具备进度预警功能，实时进行监控提醒</w:t>
      </w:r>
    </w:p>
    <w:p>
      <w:pPr>
        <w:pStyle w:val="8"/>
        <w:spacing w:after="0" w:line="360" w:lineRule="exact"/>
        <w:ind w:left="724" w:leftChars="170" w:hanging="367" w:hangingChars="175"/>
        <w:rPr>
          <w:rFonts w:ascii="宋体" w:hAnsi="宋体" w:cs="宋体"/>
        </w:rPr>
      </w:pPr>
      <w:r>
        <w:rPr>
          <w:rFonts w:hint="eastAsia" w:ascii="宋体" w:hAnsi="宋体" w:cs="宋体"/>
        </w:rPr>
        <w:t>（</w:t>
      </w:r>
      <w:r>
        <w:rPr>
          <w:rFonts w:ascii="宋体" w:hAnsi="宋体" w:cs="宋体"/>
        </w:rPr>
        <w:t>3</w:t>
      </w:r>
      <w:r>
        <w:rPr>
          <w:rFonts w:hint="eastAsia" w:ascii="宋体" w:hAnsi="宋体" w:cs="宋体"/>
        </w:rPr>
        <w:t>） 具备材料库存不足、方案未制定、人员数量不足的提醒功能，保证项目的进度。</w:t>
      </w:r>
    </w:p>
    <w:p>
      <w:pPr>
        <w:pStyle w:val="8"/>
        <w:spacing w:after="0" w:line="360" w:lineRule="exact"/>
        <w:ind w:left="724" w:leftChars="170" w:hanging="367" w:hangingChars="175"/>
        <w:rPr>
          <w:rFonts w:ascii="宋体" w:hAnsi="宋体" w:cs="宋体"/>
        </w:rPr>
      </w:pPr>
      <w:r>
        <w:rPr>
          <w:rFonts w:hint="eastAsia" w:ascii="宋体" w:hAnsi="宋体" w:cs="宋体"/>
        </w:rPr>
        <w:t>（</w:t>
      </w:r>
      <w:r>
        <w:rPr>
          <w:rFonts w:ascii="宋体" w:hAnsi="宋体" w:cs="宋体"/>
        </w:rPr>
        <w:t>4</w:t>
      </w:r>
      <w:r>
        <w:rPr>
          <w:rFonts w:hint="eastAsia" w:ascii="宋体" w:hAnsi="宋体" w:cs="宋体"/>
        </w:rPr>
        <w:t>）具备实时收集当天的工作及环境信息的功能，并及时记录影响施工的因素。</w:t>
      </w:r>
    </w:p>
    <w:p>
      <w:pPr>
        <w:pStyle w:val="8"/>
        <w:spacing w:after="0" w:line="360" w:lineRule="exact"/>
        <w:ind w:left="724" w:leftChars="170" w:hanging="367" w:hangingChars="175"/>
        <w:rPr>
          <w:rFonts w:ascii="宋体" w:hAnsi="宋体" w:cs="宋体"/>
        </w:rPr>
      </w:pPr>
      <w:r>
        <w:rPr>
          <w:rFonts w:hint="eastAsia" w:ascii="宋体" w:hAnsi="宋体" w:cs="宋体"/>
        </w:rPr>
        <w:t>（</w:t>
      </w:r>
      <w:r>
        <w:rPr>
          <w:rFonts w:ascii="宋体" w:hAnsi="宋体" w:cs="宋体"/>
        </w:rPr>
        <w:t>5</w:t>
      </w:r>
      <w:r>
        <w:rPr>
          <w:rFonts w:hint="eastAsia" w:ascii="宋体" w:hAnsi="宋体" w:cs="宋体"/>
        </w:rPr>
        <w:t>）具备影响进度的不利因素的上传功能，并可以选择问题解决人。</w:t>
      </w:r>
    </w:p>
    <w:p>
      <w:pPr>
        <w:pStyle w:val="8"/>
        <w:spacing w:after="0" w:line="360" w:lineRule="exact"/>
        <w:ind w:left="724" w:leftChars="170" w:hanging="367" w:hangingChars="175"/>
        <w:rPr>
          <w:rFonts w:ascii="宋体" w:hAnsi="宋体" w:cs="宋体"/>
        </w:rPr>
      </w:pPr>
      <w:r>
        <w:rPr>
          <w:rFonts w:hint="eastAsia" w:ascii="宋体" w:hAnsi="宋体" w:cs="宋体"/>
        </w:rPr>
        <w:t>（</w:t>
      </w:r>
      <w:r>
        <w:rPr>
          <w:rFonts w:ascii="宋体" w:hAnsi="宋体" w:cs="宋体"/>
        </w:rPr>
        <w:t>6</w:t>
      </w:r>
      <w:r>
        <w:rPr>
          <w:rFonts w:hint="eastAsia" w:ascii="宋体" w:hAnsi="宋体" w:cs="宋体"/>
        </w:rPr>
        <w:t>）具备实际进展情况与计划进行对比分析功能。</w:t>
      </w:r>
    </w:p>
    <w:p>
      <w:pPr>
        <w:pStyle w:val="8"/>
        <w:spacing w:after="0" w:line="360" w:lineRule="exact"/>
        <w:ind w:left="724" w:leftChars="170" w:hanging="367" w:hangingChars="175"/>
        <w:rPr>
          <w:rFonts w:ascii="宋体" w:hAnsi="宋体" w:cs="宋体"/>
        </w:rPr>
      </w:pPr>
      <w:r>
        <w:rPr>
          <w:rFonts w:hint="eastAsia" w:ascii="宋体" w:hAnsi="宋体" w:cs="宋体"/>
        </w:rPr>
        <w:t>（</w:t>
      </w:r>
      <w:r>
        <w:rPr>
          <w:rFonts w:ascii="宋体" w:hAnsi="宋体" w:cs="宋体"/>
        </w:rPr>
        <w:t>7</w:t>
      </w:r>
      <w:r>
        <w:rPr>
          <w:rFonts w:hint="eastAsia" w:ascii="宋体" w:hAnsi="宋体" w:cs="宋体"/>
        </w:rPr>
        <w:t>）具备参与施工人员、机械、材料的信息收集功能。</w:t>
      </w:r>
    </w:p>
    <w:p>
      <w:pPr>
        <w:pStyle w:val="8"/>
        <w:spacing w:after="0" w:line="360" w:lineRule="exact"/>
        <w:ind w:left="724" w:leftChars="170" w:hanging="367" w:hangingChars="175"/>
        <w:rPr>
          <w:rFonts w:ascii="宋体" w:hAnsi="宋体" w:cs="宋体"/>
        </w:rPr>
      </w:pPr>
      <w:r>
        <w:rPr>
          <w:rFonts w:hint="eastAsia" w:ascii="宋体" w:hAnsi="宋体" w:cs="宋体"/>
        </w:rPr>
        <w:t>（</w:t>
      </w:r>
      <w:r>
        <w:rPr>
          <w:rFonts w:ascii="宋体" w:hAnsi="宋体" w:cs="宋体"/>
        </w:rPr>
        <w:t>8</w:t>
      </w:r>
      <w:r>
        <w:rPr>
          <w:rFonts w:hint="eastAsia" w:ascii="宋体" w:hAnsi="宋体" w:cs="宋体"/>
        </w:rPr>
        <w:t>）具备上下道工序交接提醒功能。</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bookmarkStart w:id="20" w:name="_Toc14549"/>
      <w:bookmarkStart w:id="21" w:name="_Toc31988"/>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 xml:space="preserve">4 </w:t>
      </w:r>
      <w:bookmarkEnd w:id="20"/>
      <w:bookmarkEnd w:id="21"/>
      <w:r>
        <w:rPr>
          <w:rFonts w:hint="eastAsia" w:asciiTheme="majorEastAsia" w:hAnsiTheme="majorEastAsia" w:eastAsiaTheme="majorEastAsia"/>
          <w:color w:val="000000" w:themeColor="text1"/>
          <w:sz w:val="24"/>
          <w14:textFill>
            <w14:solidFill>
              <w14:schemeClr w14:val="tx1"/>
            </w14:solidFill>
          </w14:textFill>
        </w:rPr>
        <w:t>材料管理</w:t>
      </w:r>
    </w:p>
    <w:p>
      <w:pPr>
        <w:pStyle w:val="8"/>
        <w:spacing w:after="0" w:line="360" w:lineRule="exact"/>
        <w:ind w:left="0" w:leftChars="0"/>
        <w:rPr>
          <w:rFonts w:ascii="宋体" w:hAnsi="宋体" w:cs="宋体"/>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.4.1</w:t>
      </w:r>
      <w:r>
        <w:rPr>
          <w:rFonts w:hint="eastAsia" w:ascii="宋体" w:hAnsi="宋体" w:cs="宋体"/>
        </w:rPr>
        <w:t>材料监控应实现工程物资全周期监控包括但不限于物资计划的监控、物资招标及采购的监控、物资进退场的监控、物资盘存核算的监控、物资领用的监控。</w:t>
      </w:r>
    </w:p>
    <w:p>
      <w:pPr>
        <w:pStyle w:val="8"/>
        <w:spacing w:after="0" w:line="360" w:lineRule="exact"/>
        <w:ind w:left="0" w:leftChars="0"/>
        <w:rPr>
          <w:rFonts w:ascii="宋体" w:hAnsi="宋体" w:cs="宋体"/>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.4.2</w:t>
      </w:r>
      <w:r>
        <w:rPr>
          <w:rFonts w:hint="eastAsia" w:ascii="宋体" w:hAnsi="宋体" w:cs="宋体"/>
        </w:rPr>
        <w:t xml:space="preserve"> 材料监控应包含但不限于：材料分类监控、出入库监控、使用监控、半成品监控、库存监控、材料物资跟踪监控、退场监控。</w:t>
      </w:r>
    </w:p>
    <w:p>
      <w:pPr>
        <w:pStyle w:val="8"/>
        <w:spacing w:after="0" w:line="360" w:lineRule="exact"/>
        <w:ind w:left="0" w:leftChars="0"/>
        <w:rPr>
          <w:rFonts w:ascii="宋体" w:hAnsi="宋体" w:cs="宋体"/>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.4.3</w:t>
      </w:r>
      <w:r>
        <w:rPr>
          <w:rFonts w:hint="eastAsia" w:ascii="宋体" w:hAnsi="宋体" w:cs="宋体"/>
        </w:rPr>
        <w:t>材料监控采集信息应包含但不限于：材料名称、规格型号、数量、材质、生产单位、供应单位、进场日期、复试结果、使用部位、领用数量、使用数量、剩余数量、不合格品数量等。</w:t>
      </w:r>
    </w:p>
    <w:p>
      <w:pPr>
        <w:pStyle w:val="8"/>
        <w:spacing w:after="0" w:line="360" w:lineRule="exact"/>
        <w:ind w:left="0" w:leftChars="0"/>
        <w:rPr>
          <w:rFonts w:ascii="宋体" w:hAnsi="宋体" w:cs="宋体"/>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.4.4</w:t>
      </w:r>
      <w:r>
        <w:rPr>
          <w:rFonts w:hint="eastAsia" w:ascii="宋体" w:hAnsi="宋体" w:cs="宋体"/>
        </w:rPr>
        <w:t>材料监控应建立材料的主要数据库，包含该材料的所有资料，实现材料数据的透明化、使用的标准化。</w:t>
      </w:r>
    </w:p>
    <w:p>
      <w:pPr>
        <w:pStyle w:val="8"/>
        <w:spacing w:after="0" w:line="360" w:lineRule="exact"/>
        <w:ind w:left="0" w:leftChars="0"/>
        <w:rPr>
          <w:rFonts w:ascii="宋体" w:hAnsi="宋体" w:cs="宋体"/>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.4.5</w:t>
      </w:r>
      <w:r>
        <w:rPr>
          <w:rFonts w:hint="eastAsia" w:ascii="宋体" w:hAnsi="宋体" w:cs="宋体"/>
        </w:rPr>
        <w:t>材料监控功能包含但不限于：</w:t>
      </w:r>
    </w:p>
    <w:p>
      <w:pPr>
        <w:pStyle w:val="8"/>
        <w:jc w:val="left"/>
        <w:rPr>
          <w:rFonts w:ascii="宋体" w:hAnsi="宋体" w:cs="宋体"/>
        </w:rPr>
      </w:pPr>
      <w:r>
        <w:rPr>
          <w:rFonts w:hint="eastAsia" w:ascii="宋体" w:hAnsi="宋体" w:cs="宋体"/>
        </w:rPr>
        <w:t>（</w:t>
      </w:r>
      <w:r>
        <w:rPr>
          <w:rFonts w:ascii="宋体" w:hAnsi="宋体" w:cs="宋体"/>
        </w:rPr>
        <w:t>1</w:t>
      </w:r>
      <w:r>
        <w:rPr>
          <w:rFonts w:hint="eastAsia" w:ascii="宋体" w:hAnsi="宋体" w:cs="宋体"/>
        </w:rPr>
        <w:t>）</w:t>
      </w:r>
      <w:r>
        <w:rPr>
          <w:rFonts w:ascii="宋体" w:hAnsi="宋体" w:cs="宋体"/>
        </w:rPr>
        <w:t xml:space="preserve"> 具备</w:t>
      </w:r>
      <w:r>
        <w:rPr>
          <w:rFonts w:hint="eastAsia" w:ascii="宋体" w:hAnsi="宋体" w:cs="宋体"/>
        </w:rPr>
        <w:t>材料招标、采购的功能</w:t>
      </w:r>
      <w:r>
        <w:rPr>
          <w:rFonts w:ascii="宋体" w:hAnsi="宋体" w:cs="宋体"/>
        </w:rPr>
        <w:t>。</w:t>
      </w:r>
    </w:p>
    <w:p>
      <w:pPr>
        <w:pStyle w:val="8"/>
        <w:jc w:val="left"/>
        <w:rPr>
          <w:rFonts w:ascii="宋体" w:hAnsi="宋体" w:cs="宋体"/>
        </w:rPr>
      </w:pPr>
      <w:r>
        <w:rPr>
          <w:rFonts w:hint="eastAsia" w:ascii="宋体" w:hAnsi="宋体" w:cs="宋体"/>
        </w:rPr>
        <w:t>（</w:t>
      </w:r>
      <w:r>
        <w:rPr>
          <w:rFonts w:ascii="宋体" w:hAnsi="宋体" w:cs="宋体"/>
        </w:rPr>
        <w:t>2</w:t>
      </w:r>
      <w:r>
        <w:rPr>
          <w:rFonts w:hint="eastAsia" w:ascii="宋体" w:hAnsi="宋体" w:cs="宋体"/>
        </w:rPr>
        <w:t>）</w:t>
      </w:r>
      <w:r>
        <w:rPr>
          <w:rFonts w:ascii="宋体" w:hAnsi="宋体" w:cs="宋体"/>
        </w:rPr>
        <w:t>具备</w:t>
      </w:r>
      <w:r>
        <w:rPr>
          <w:rFonts w:hint="eastAsia" w:ascii="宋体" w:hAnsi="宋体" w:cs="宋体"/>
        </w:rPr>
        <w:t>材料入库信息、出库信息、库存数量、使用数量、使用人、收料人等信息汇总</w:t>
      </w:r>
      <w:r>
        <w:rPr>
          <w:rFonts w:ascii="宋体" w:hAnsi="宋体" w:cs="宋体"/>
        </w:rPr>
        <w:t>功能。</w:t>
      </w:r>
    </w:p>
    <w:p>
      <w:pPr>
        <w:pStyle w:val="8"/>
        <w:jc w:val="left"/>
        <w:rPr>
          <w:rFonts w:ascii="宋体" w:hAnsi="宋体" w:cs="宋体"/>
        </w:rPr>
      </w:pPr>
      <w:r>
        <w:rPr>
          <w:rFonts w:hint="eastAsia" w:ascii="宋体" w:hAnsi="宋体" w:cs="宋体"/>
        </w:rPr>
        <w:t>（</w:t>
      </w:r>
      <w:r>
        <w:rPr>
          <w:rFonts w:ascii="宋体" w:hAnsi="宋体" w:cs="宋体"/>
        </w:rPr>
        <w:t>3</w:t>
      </w:r>
      <w:r>
        <w:rPr>
          <w:rFonts w:hint="eastAsia" w:ascii="宋体" w:hAnsi="宋体" w:cs="宋体"/>
        </w:rPr>
        <w:t>）</w:t>
      </w:r>
      <w:r>
        <w:rPr>
          <w:rFonts w:ascii="宋体" w:hAnsi="宋体" w:cs="宋体"/>
        </w:rPr>
        <w:t>具备</w:t>
      </w:r>
      <w:r>
        <w:rPr>
          <w:rFonts w:hint="eastAsia" w:ascii="宋体" w:hAnsi="宋体" w:cs="宋体"/>
        </w:rPr>
        <w:t>材料使用的数量、位置的审批流程，逐层审批功能</w:t>
      </w:r>
      <w:r>
        <w:rPr>
          <w:rFonts w:ascii="宋体" w:hAnsi="宋体" w:cs="宋体"/>
        </w:rPr>
        <w:t>。</w:t>
      </w:r>
    </w:p>
    <w:p>
      <w:pPr>
        <w:pStyle w:val="8"/>
        <w:jc w:val="left"/>
        <w:rPr>
          <w:rFonts w:ascii="宋体" w:hAnsi="宋体" w:cs="宋体"/>
        </w:rPr>
      </w:pPr>
      <w:r>
        <w:rPr>
          <w:rFonts w:hint="eastAsia" w:ascii="宋体" w:hAnsi="宋体" w:cs="宋体"/>
        </w:rPr>
        <w:t>（</w:t>
      </w:r>
      <w:r>
        <w:rPr>
          <w:rFonts w:ascii="宋体" w:hAnsi="宋体" w:cs="宋体"/>
        </w:rPr>
        <w:t>4</w:t>
      </w:r>
      <w:r>
        <w:rPr>
          <w:rFonts w:hint="eastAsia" w:ascii="宋体" w:hAnsi="宋体" w:cs="宋体"/>
        </w:rPr>
        <w:t>）具备</w:t>
      </w:r>
      <w:r>
        <w:rPr>
          <w:rFonts w:ascii="宋体" w:hAnsi="宋体" w:cs="宋体"/>
        </w:rPr>
        <w:t>材料物资的现场位置</w:t>
      </w:r>
      <w:r>
        <w:rPr>
          <w:rFonts w:hint="eastAsia" w:ascii="宋体" w:hAnsi="宋体" w:cs="宋体"/>
        </w:rPr>
        <w:t>定位</w:t>
      </w:r>
      <w:r>
        <w:rPr>
          <w:rFonts w:ascii="宋体" w:hAnsi="宋体" w:cs="宋体"/>
        </w:rPr>
        <w:t>和使用部位</w:t>
      </w:r>
      <w:r>
        <w:rPr>
          <w:rFonts w:hint="eastAsia" w:ascii="宋体" w:hAnsi="宋体" w:cs="宋体"/>
        </w:rPr>
        <w:t>、使用人信息汇总功能</w:t>
      </w:r>
      <w:r>
        <w:rPr>
          <w:rFonts w:ascii="宋体" w:hAnsi="宋体" w:cs="宋体"/>
        </w:rPr>
        <w:t>。</w:t>
      </w:r>
    </w:p>
    <w:p>
      <w:pPr>
        <w:pStyle w:val="8"/>
        <w:jc w:val="left"/>
        <w:rPr>
          <w:rFonts w:ascii="宋体" w:hAnsi="宋体" w:cs="宋体"/>
        </w:rPr>
      </w:pPr>
      <w:r>
        <w:rPr>
          <w:rFonts w:hint="eastAsia" w:ascii="宋体" w:hAnsi="宋体" w:cs="宋体"/>
        </w:rPr>
        <w:t>（</w:t>
      </w:r>
      <w:r>
        <w:rPr>
          <w:rFonts w:ascii="宋体" w:hAnsi="宋体" w:cs="宋体"/>
        </w:rPr>
        <w:t>5</w:t>
      </w:r>
      <w:r>
        <w:rPr>
          <w:rFonts w:hint="eastAsia" w:ascii="宋体" w:hAnsi="宋体" w:cs="宋体"/>
        </w:rPr>
        <w:t>）具备根据日常材料使用量的平均值，针对材料大量出库或材料库存不足等情况时</w:t>
      </w:r>
      <w:r>
        <w:rPr>
          <w:rFonts w:ascii="宋体" w:hAnsi="宋体" w:cs="宋体"/>
        </w:rPr>
        <w:t>，具备预警和提示功能。</w:t>
      </w:r>
    </w:p>
    <w:p>
      <w:pPr>
        <w:pStyle w:val="8"/>
        <w:ind w:left="0" w:leftChars="0" w:firstLine="420" w:firstLineChars="200"/>
        <w:jc w:val="left"/>
        <w:rPr>
          <w:rFonts w:ascii="宋体" w:hAnsi="宋体" w:cs="宋体"/>
        </w:rPr>
      </w:pPr>
      <w:r>
        <w:rPr>
          <w:rFonts w:hint="eastAsia" w:ascii="宋体" w:hAnsi="宋体" w:cs="宋体"/>
        </w:rPr>
        <w:t>（</w:t>
      </w:r>
      <w:r>
        <w:rPr>
          <w:rFonts w:ascii="宋体" w:hAnsi="宋体" w:cs="宋体"/>
        </w:rPr>
        <w:t>6</w:t>
      </w:r>
      <w:r>
        <w:rPr>
          <w:rFonts w:hint="eastAsia" w:ascii="宋体" w:hAnsi="宋体" w:cs="宋体"/>
        </w:rPr>
        <w:t>）具备出现未做复试、资质不合格等情况时，系统提示功能</w:t>
      </w:r>
      <w:r>
        <w:rPr>
          <w:rFonts w:ascii="宋体" w:hAnsi="宋体" w:cs="宋体"/>
        </w:rPr>
        <w:t>。</w:t>
      </w:r>
    </w:p>
    <w:p>
      <w:pPr>
        <w:pStyle w:val="8"/>
        <w:ind w:left="0" w:leftChars="0" w:firstLine="420" w:firstLineChars="200"/>
        <w:jc w:val="left"/>
        <w:rPr>
          <w:rFonts w:ascii="宋体" w:hAnsi="宋体" w:cs="宋体"/>
        </w:rPr>
      </w:pPr>
      <w:r>
        <w:rPr>
          <w:rFonts w:hint="eastAsia" w:ascii="宋体" w:hAnsi="宋体" w:cs="宋体"/>
        </w:rPr>
        <w:t>（</w:t>
      </w:r>
      <w:r>
        <w:rPr>
          <w:rFonts w:ascii="宋体" w:hAnsi="宋体" w:cs="宋体"/>
        </w:rPr>
        <w:t>7</w:t>
      </w:r>
      <w:r>
        <w:rPr>
          <w:rFonts w:hint="eastAsia" w:ascii="宋体" w:hAnsi="宋体" w:cs="宋体"/>
        </w:rPr>
        <w:t>）装配式施工时，在材料入库和材料使用时，通过构建携带二维码的扫描，与构建存放区架体形成三维地图，明确构件位置、构件使用位置、或使用是否正确的提示功能和汇总功能。</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 xml:space="preserve">5 </w:t>
      </w:r>
      <w:r>
        <w:rPr>
          <w:rFonts w:hint="eastAsia" w:asciiTheme="majorEastAsia" w:hAnsiTheme="majorEastAsia" w:eastAsiaTheme="majorEastAsia"/>
          <w:color w:val="000000" w:themeColor="text1"/>
          <w:sz w:val="24"/>
          <w14:textFill>
            <w14:solidFill>
              <w14:schemeClr w14:val="tx1"/>
            </w14:solidFill>
          </w14:textFill>
        </w:rPr>
        <w:t>砼现场管理</w:t>
      </w:r>
    </w:p>
    <w:p>
      <w:pPr>
        <w:pStyle w:val="8"/>
        <w:spacing w:after="0" w:line="360" w:lineRule="exact"/>
        <w:ind w:left="0" w:leftChars="0"/>
        <w:rPr>
          <w:rFonts w:ascii="宋体" w:hAnsi="宋体" w:cs="宋体"/>
          <w:szCs w:val="21"/>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.5.1</w:t>
      </w:r>
      <w:r>
        <w:rPr>
          <w:rFonts w:hint="eastAsia" w:ascii="宋体" w:hAnsi="宋体" w:cs="宋体"/>
          <w:szCs w:val="21"/>
        </w:rPr>
        <w:t>混凝土的生产运输应严格执行工程项目质量管理规定，对生产过程中的各个环节进行质量监测和控制，通过混凝土运输及监控的应用，确保生产的质量和稳定、混凝土数量的充足。</w:t>
      </w:r>
    </w:p>
    <w:p>
      <w:pPr>
        <w:pStyle w:val="8"/>
        <w:spacing w:after="0" w:line="360" w:lineRule="exact"/>
        <w:ind w:left="0" w:leftChars="0"/>
        <w:rPr>
          <w:rFonts w:ascii="宋体" w:hAnsi="宋体" w:cs="宋体"/>
          <w:szCs w:val="21"/>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.5.2</w:t>
      </w:r>
      <w:r>
        <w:rPr>
          <w:rFonts w:hint="eastAsia" w:ascii="宋体" w:hAnsi="宋体" w:cs="宋体"/>
          <w:szCs w:val="21"/>
        </w:rPr>
        <w:t>混凝土的运输及监控范围应包含但不限于：混凝土原材的监控、搅拌时长的监控、出场进场时间的监控、现场塌落度信息及入模温度信息抽查填写、进场进出场过泵数据填写等。</w:t>
      </w:r>
    </w:p>
    <w:p>
      <w:pPr>
        <w:pStyle w:val="8"/>
        <w:spacing w:after="0" w:line="360" w:lineRule="exact"/>
        <w:ind w:left="0" w:leftChars="0"/>
        <w:rPr>
          <w:rFonts w:ascii="宋体" w:hAnsi="宋体" w:cs="宋体"/>
          <w:szCs w:val="21"/>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.5.3</w:t>
      </w:r>
      <w:r>
        <w:rPr>
          <w:rFonts w:hint="eastAsia" w:ascii="宋体" w:hAnsi="宋体" w:cs="宋体"/>
          <w:szCs w:val="21"/>
        </w:rPr>
        <w:t xml:space="preserve"> 监控采集信息应包含但不限于：</w:t>
      </w:r>
    </w:p>
    <w:p>
      <w:pPr>
        <w:pStyle w:val="8"/>
        <w:spacing w:after="0" w:line="360" w:lineRule="exact"/>
        <w:ind w:left="724" w:leftChars="170" w:hanging="367" w:hangingChars="175"/>
        <w:rPr>
          <w:rFonts w:ascii="宋体" w:hAnsi="宋体" w:cs="宋体"/>
          <w:szCs w:val="21"/>
        </w:rPr>
      </w:pPr>
      <w:r>
        <w:rPr>
          <w:rFonts w:hint="eastAsia" w:ascii="宋体" w:hAnsi="宋体" w:cs="宋体"/>
          <w:szCs w:val="21"/>
        </w:rPr>
        <w:t>（</w:t>
      </w:r>
      <w:r>
        <w:rPr>
          <w:rFonts w:ascii="宋体" w:hAnsi="宋体" w:cs="宋体"/>
          <w:szCs w:val="21"/>
        </w:rPr>
        <w:t>1</w:t>
      </w:r>
      <w:r>
        <w:rPr>
          <w:rFonts w:hint="eastAsia" w:ascii="宋体" w:hAnsi="宋体" w:cs="宋体"/>
          <w:szCs w:val="21"/>
        </w:rPr>
        <w:t>） 搅拌站监测：配合比、温度、配料重量、搅拌时间、搅拌速度、误差范围等数据。</w:t>
      </w:r>
    </w:p>
    <w:p>
      <w:pPr>
        <w:pStyle w:val="8"/>
        <w:spacing w:after="0" w:line="360" w:lineRule="exact"/>
        <w:ind w:left="724" w:leftChars="170" w:hanging="367" w:hangingChars="175"/>
        <w:rPr>
          <w:rFonts w:ascii="宋体" w:hAnsi="宋体" w:cs="宋体"/>
          <w:szCs w:val="21"/>
        </w:rPr>
      </w:pPr>
      <w:r>
        <w:rPr>
          <w:rFonts w:hint="eastAsia" w:ascii="宋体" w:hAnsi="宋体" w:cs="宋体"/>
          <w:szCs w:val="21"/>
        </w:rPr>
        <w:t>（</w:t>
      </w:r>
      <w:r>
        <w:rPr>
          <w:rFonts w:ascii="宋体" w:hAnsi="宋体" w:cs="宋体"/>
          <w:szCs w:val="21"/>
        </w:rPr>
        <w:t>2</w:t>
      </w:r>
      <w:r>
        <w:rPr>
          <w:rFonts w:hint="eastAsia" w:ascii="宋体" w:hAnsi="宋体" w:cs="宋体"/>
          <w:szCs w:val="21"/>
        </w:rPr>
        <w:t>）运输过程监测：通过出场时间与进场时间进行对比，采集数据差以考评混凝土供应方的能力。</w:t>
      </w:r>
    </w:p>
    <w:p>
      <w:pPr>
        <w:pStyle w:val="8"/>
        <w:spacing w:after="0" w:line="360" w:lineRule="exact"/>
        <w:ind w:left="724" w:leftChars="170" w:hanging="367" w:hangingChars="175"/>
        <w:rPr>
          <w:rFonts w:ascii="宋体" w:hAnsi="宋体" w:cs="宋体"/>
          <w:szCs w:val="21"/>
        </w:rPr>
      </w:pPr>
      <w:r>
        <w:rPr>
          <w:rFonts w:hint="eastAsia" w:ascii="宋体" w:hAnsi="宋体" w:cs="宋体"/>
          <w:szCs w:val="21"/>
        </w:rPr>
        <w:t>（</w:t>
      </w:r>
      <w:r>
        <w:rPr>
          <w:rFonts w:ascii="宋体" w:hAnsi="宋体" w:cs="宋体"/>
          <w:szCs w:val="21"/>
        </w:rPr>
        <w:t>3</w:t>
      </w:r>
      <w:r>
        <w:rPr>
          <w:rFonts w:hint="eastAsia" w:ascii="宋体" w:hAnsi="宋体" w:cs="宋体"/>
          <w:szCs w:val="21"/>
        </w:rPr>
        <w:t>）现场标养室试块监测：试块数量、养护状态、养护时间、送检试块实验数据等数据。</w:t>
      </w:r>
    </w:p>
    <w:p>
      <w:pPr>
        <w:pStyle w:val="8"/>
        <w:spacing w:after="0" w:line="360" w:lineRule="exact"/>
        <w:ind w:left="724" w:leftChars="170" w:hanging="367" w:hangingChars="175"/>
        <w:rPr>
          <w:rFonts w:ascii="宋体" w:hAnsi="宋体" w:cs="宋体"/>
          <w:szCs w:val="21"/>
        </w:rPr>
      </w:pPr>
      <w:r>
        <w:rPr>
          <w:rFonts w:hint="eastAsia" w:ascii="宋体" w:hAnsi="宋体" w:cs="宋体"/>
          <w:szCs w:val="21"/>
        </w:rPr>
        <w:t>（</w:t>
      </w:r>
      <w:r>
        <w:rPr>
          <w:rFonts w:ascii="宋体" w:hAnsi="宋体" w:cs="宋体"/>
          <w:szCs w:val="21"/>
        </w:rPr>
        <w:t>4</w:t>
      </w:r>
      <w:r>
        <w:rPr>
          <w:rFonts w:hint="eastAsia" w:ascii="宋体" w:hAnsi="宋体" w:cs="宋体"/>
          <w:szCs w:val="21"/>
        </w:rPr>
        <w:t>）使用过程中监测：入模温度信息、泵送时长或使用时长信息、使用位置信息、方量信息、养护信息等。</w:t>
      </w:r>
    </w:p>
    <w:p>
      <w:pPr>
        <w:pStyle w:val="8"/>
        <w:spacing w:after="0" w:line="360" w:lineRule="exact"/>
        <w:ind w:left="0" w:leftChars="0"/>
        <w:rPr>
          <w:rFonts w:ascii="宋体" w:hAnsi="宋体" w:cs="宋体"/>
          <w:szCs w:val="21"/>
        </w:rPr>
      </w:pPr>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.5.4</w:t>
      </w:r>
      <w:r>
        <w:rPr>
          <w:rFonts w:hint="eastAsia" w:ascii="宋体" w:hAnsi="宋体" w:cs="宋体"/>
          <w:szCs w:val="21"/>
        </w:rPr>
        <w:t>混凝土运输及监控应包含但不限于以下功能：</w:t>
      </w:r>
    </w:p>
    <w:p>
      <w:pPr>
        <w:pStyle w:val="8"/>
        <w:spacing w:after="0" w:line="360" w:lineRule="exact"/>
        <w:ind w:left="724" w:leftChars="170" w:hanging="367" w:hangingChars="175"/>
        <w:rPr>
          <w:rFonts w:ascii="宋体" w:hAnsi="宋体" w:cs="宋体"/>
          <w:szCs w:val="21"/>
        </w:rPr>
      </w:pPr>
      <w:r>
        <w:rPr>
          <w:rFonts w:hint="eastAsia" w:ascii="宋体" w:hAnsi="宋体" w:cs="宋体"/>
          <w:szCs w:val="21"/>
        </w:rPr>
        <w:t>（</w:t>
      </w:r>
      <w:r>
        <w:rPr>
          <w:rFonts w:ascii="宋体" w:hAnsi="宋体" w:cs="宋体"/>
          <w:szCs w:val="21"/>
        </w:rPr>
        <w:t>1</w:t>
      </w:r>
      <w:r>
        <w:rPr>
          <w:rFonts w:hint="eastAsia" w:ascii="宋体" w:hAnsi="宋体" w:cs="宋体"/>
          <w:szCs w:val="21"/>
        </w:rPr>
        <w:t>） 监控填写搅拌站配合比、原材规格及使用量、塌落度等出场数据</w:t>
      </w:r>
    </w:p>
    <w:p>
      <w:pPr>
        <w:pStyle w:val="8"/>
        <w:spacing w:after="0" w:line="360" w:lineRule="exact"/>
        <w:ind w:left="724" w:leftChars="170" w:hanging="367" w:hangingChars="175"/>
        <w:rPr>
          <w:rFonts w:ascii="宋体" w:hAnsi="宋体" w:cs="宋体"/>
          <w:szCs w:val="21"/>
        </w:rPr>
      </w:pPr>
      <w:r>
        <w:rPr>
          <w:rFonts w:hint="eastAsia" w:ascii="宋体" w:hAnsi="宋体" w:cs="宋体"/>
          <w:szCs w:val="21"/>
        </w:rPr>
        <w:t>（</w:t>
      </w:r>
      <w:r>
        <w:rPr>
          <w:rFonts w:ascii="宋体" w:hAnsi="宋体" w:cs="宋体"/>
          <w:szCs w:val="21"/>
        </w:rPr>
        <w:t>2</w:t>
      </w:r>
      <w:r>
        <w:rPr>
          <w:rFonts w:hint="eastAsia" w:ascii="宋体" w:hAnsi="宋体" w:cs="宋体"/>
          <w:szCs w:val="21"/>
        </w:rPr>
        <w:t>） 能够根据前期计算的工程量与实际使用方量的对比，监控现场实际使用混凝土方量数量的差值，并发出预警。</w:t>
      </w:r>
    </w:p>
    <w:p>
      <w:pPr>
        <w:pStyle w:val="8"/>
        <w:spacing w:after="0" w:line="360" w:lineRule="exact"/>
        <w:ind w:left="724" w:leftChars="170" w:hanging="367" w:hangingChars="175"/>
        <w:rPr>
          <w:rFonts w:ascii="黑体" w:hAnsi="黑体" w:eastAsia="黑体" w:cs="黑体"/>
          <w:bCs/>
          <w:sz w:val="32"/>
          <w:szCs w:val="32"/>
        </w:rPr>
      </w:pPr>
      <w:r>
        <w:rPr>
          <w:rFonts w:hint="eastAsia" w:ascii="宋体" w:hAnsi="宋体" w:cs="宋体"/>
          <w:szCs w:val="21"/>
        </w:rPr>
        <w:t>（</w:t>
      </w:r>
      <w:r>
        <w:rPr>
          <w:rFonts w:ascii="宋体" w:hAnsi="宋体" w:cs="宋体"/>
          <w:szCs w:val="21"/>
        </w:rPr>
        <w:t>3</w:t>
      </w:r>
      <w:r>
        <w:rPr>
          <w:rFonts w:hint="eastAsia" w:ascii="宋体" w:hAnsi="宋体" w:cs="宋体"/>
          <w:szCs w:val="21"/>
        </w:rPr>
        <w:t>） 能够根据车辆进出场时间及搅拌站每日供应方量，来计算出能否满足现场需求及现场平均使用方量，并上传至材料模块，进行综合评价。</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bookmarkStart w:id="22" w:name="_Toc22073"/>
      <w:bookmarkStart w:id="23" w:name="_Toc23945"/>
      <w:r>
        <w:rPr>
          <w:rFonts w:hint="eastAsia" w:asciiTheme="majorEastAsia" w:hAnsiTheme="majorEastAsia" w:eastAsiaTheme="majorEastAsia"/>
          <w:color w:val="000000" w:themeColor="text1"/>
          <w:sz w:val="24"/>
          <w14:textFill>
            <w14:solidFill>
              <w14:schemeClr w14:val="tx1"/>
            </w14:solidFill>
          </w14:textFill>
        </w:rPr>
        <w:t>7.</w:t>
      </w:r>
      <w:r>
        <w:rPr>
          <w:rFonts w:asciiTheme="majorEastAsia" w:hAnsiTheme="majorEastAsia" w:eastAsiaTheme="majorEastAsia"/>
          <w:color w:val="000000" w:themeColor="text1"/>
          <w:sz w:val="24"/>
          <w14:textFill>
            <w14:solidFill>
              <w14:schemeClr w14:val="tx1"/>
            </w14:solidFill>
          </w14:textFill>
        </w:rPr>
        <w:t xml:space="preserve">6 </w:t>
      </w:r>
      <w:bookmarkEnd w:id="22"/>
      <w:bookmarkEnd w:id="23"/>
      <w:r>
        <w:rPr>
          <w:rFonts w:hint="eastAsia" w:asciiTheme="majorEastAsia" w:hAnsiTheme="majorEastAsia" w:eastAsiaTheme="majorEastAsia"/>
          <w:color w:val="000000" w:themeColor="text1"/>
          <w:sz w:val="24"/>
          <w14:textFill>
            <w14:solidFill>
              <w14:schemeClr w14:val="tx1"/>
            </w14:solidFill>
          </w14:textFill>
        </w:rPr>
        <w:t>大型设备管理</w:t>
      </w:r>
    </w:p>
    <w:p>
      <w:pPr>
        <w:pStyle w:val="8"/>
        <w:spacing w:after="0" w:line="360" w:lineRule="exact"/>
        <w:ind w:left="0" w:leftChars="0"/>
        <w:jc w:val="left"/>
        <w:rPr>
          <w:rFonts w:ascii="宋体" w:hAnsi="宋体" w:cs="宋体"/>
        </w:rPr>
      </w:pPr>
      <w:r>
        <w:rPr>
          <w:rFonts w:hint="eastAsia" w:ascii="黑体" w:hAnsi="黑体" w:eastAsia="黑体" w:cs="黑体"/>
        </w:rPr>
        <w:t>7.</w:t>
      </w:r>
      <w:r>
        <w:rPr>
          <w:rFonts w:ascii="黑体" w:hAnsi="黑体" w:eastAsia="黑体" w:cs="黑体"/>
        </w:rPr>
        <w:t>6</w:t>
      </w:r>
      <w:r>
        <w:rPr>
          <w:rFonts w:hint="eastAsia" w:ascii="黑体" w:hAnsi="黑体" w:eastAsia="黑体" w:cs="黑体"/>
        </w:rPr>
        <w:t>.1</w:t>
      </w:r>
      <w:r>
        <w:rPr>
          <w:rFonts w:hint="eastAsia" w:ascii="宋体" w:hAnsi="宋体" w:cs="宋体"/>
        </w:rPr>
        <w:t xml:space="preserve">  工程大型机械监控:将塔吊、水泥搅拌机、挖掘机等工程机械接入到平台中，就能自动采集设备运行时的电流、电压及开关状态，并在异常故障时自动报警通知。通过平台了解大型机械从进场安装、过程使用、拆除退场等全程资料，并加以监控。</w:t>
      </w:r>
    </w:p>
    <w:p>
      <w:pPr>
        <w:pStyle w:val="8"/>
        <w:spacing w:after="0" w:line="360" w:lineRule="exact"/>
        <w:ind w:left="0" w:leftChars="0"/>
        <w:jc w:val="left"/>
        <w:rPr>
          <w:rFonts w:ascii="宋体" w:hAnsi="宋体" w:cs="宋体"/>
        </w:rPr>
      </w:pPr>
      <w:r>
        <w:rPr>
          <w:rFonts w:hint="eastAsia" w:ascii="黑体" w:hAnsi="黑体" w:eastAsia="黑体" w:cs="黑体"/>
        </w:rPr>
        <w:t>7.</w:t>
      </w:r>
      <w:r>
        <w:rPr>
          <w:rFonts w:ascii="黑体" w:hAnsi="黑体" w:eastAsia="黑体" w:cs="黑体"/>
        </w:rPr>
        <w:t>6</w:t>
      </w:r>
      <w:r>
        <w:rPr>
          <w:rFonts w:hint="eastAsia" w:ascii="黑体" w:hAnsi="黑体" w:eastAsia="黑体" w:cs="黑体"/>
        </w:rPr>
        <w:t>.2</w:t>
      </w:r>
      <w:r>
        <w:rPr>
          <w:rFonts w:hint="eastAsia" w:ascii="宋体" w:hAnsi="宋体" w:cs="宋体"/>
        </w:rPr>
        <w:t xml:space="preserve">  大型机械监控范围应包含但不限于：</w:t>
      </w:r>
    </w:p>
    <w:p>
      <w:pPr>
        <w:pStyle w:val="8"/>
        <w:spacing w:after="0" w:line="360" w:lineRule="exact"/>
        <w:ind w:left="0" w:leftChars="0"/>
        <w:jc w:val="left"/>
        <w:rPr>
          <w:rFonts w:ascii="宋体" w:hAnsi="宋体" w:cs="宋体"/>
        </w:rPr>
      </w:pPr>
      <w:r>
        <w:rPr>
          <w:rFonts w:hint="eastAsia" w:ascii="宋体" w:hAnsi="宋体" w:cs="宋体"/>
        </w:rPr>
        <w:t>资料监控：厂家资料、安装厂家资质、检测资料、过程使用资料、维修资料、租赁合同、</w:t>
      </w:r>
    </w:p>
    <w:p>
      <w:pPr>
        <w:pStyle w:val="8"/>
        <w:spacing w:after="0" w:line="360" w:lineRule="exact"/>
        <w:ind w:left="0" w:leftChars="0"/>
        <w:jc w:val="left"/>
        <w:rPr>
          <w:rFonts w:ascii="宋体" w:hAnsi="宋体" w:cs="宋体"/>
        </w:rPr>
      </w:pPr>
      <w:r>
        <w:rPr>
          <w:rFonts w:hint="eastAsia" w:ascii="宋体" w:hAnsi="宋体" w:cs="宋体"/>
        </w:rPr>
        <w:t>运行过程监控：专人专机识别系统、危险预警、防碰撞、实时数据采集、声光报警、受力荷载预警，平整度预警</w:t>
      </w:r>
    </w:p>
    <w:p>
      <w:pPr>
        <w:pStyle w:val="8"/>
        <w:spacing w:after="0" w:line="360" w:lineRule="exact"/>
        <w:ind w:left="0" w:leftChars="0"/>
        <w:jc w:val="left"/>
        <w:rPr>
          <w:rFonts w:ascii="宋体" w:hAnsi="宋体" w:cs="宋体"/>
        </w:rPr>
      </w:pPr>
      <w:r>
        <w:rPr>
          <w:rFonts w:hint="eastAsia" w:ascii="宋体" w:hAnsi="宋体" w:cs="宋体"/>
        </w:rPr>
        <w:t>安装过程、维修过程、拆除过程监控：</w:t>
      </w:r>
    </w:p>
    <w:p>
      <w:pPr>
        <w:pStyle w:val="8"/>
        <w:spacing w:after="0" w:line="360" w:lineRule="exact"/>
        <w:ind w:left="0" w:leftChars="0"/>
        <w:jc w:val="left"/>
        <w:rPr>
          <w:rFonts w:ascii="宋体" w:hAnsi="宋体" w:cs="宋体"/>
        </w:rPr>
      </w:pPr>
      <w:r>
        <w:rPr>
          <w:rFonts w:hint="eastAsia" w:ascii="黑体" w:hAnsi="黑体" w:eastAsia="黑体" w:cs="黑体"/>
        </w:rPr>
        <w:t>7.</w:t>
      </w:r>
      <w:r>
        <w:rPr>
          <w:rFonts w:ascii="黑体" w:hAnsi="黑体" w:eastAsia="黑体" w:cs="黑体"/>
        </w:rPr>
        <w:t>6</w:t>
      </w:r>
      <w:r>
        <w:rPr>
          <w:rFonts w:hint="eastAsia" w:ascii="黑体" w:hAnsi="黑体" w:eastAsia="黑体" w:cs="黑体"/>
        </w:rPr>
        <w:t>.3</w:t>
      </w:r>
      <w:r>
        <w:rPr>
          <w:rFonts w:hint="eastAsia" w:ascii="宋体" w:hAnsi="宋体" w:cs="宋体"/>
        </w:rPr>
        <w:t xml:space="preserve">  大型机械设备监控，通过在大型机械上增加相应的传感器，将数据同步至数据终端，终端收集到数据后，与提前设置好的预警值进行对比，发出相应的声光预警，进而增加施工安全性。</w:t>
      </w:r>
    </w:p>
    <w:p>
      <w:pPr>
        <w:pStyle w:val="8"/>
        <w:spacing w:after="0" w:line="360" w:lineRule="exact"/>
        <w:ind w:left="0" w:leftChars="0"/>
        <w:jc w:val="left"/>
        <w:rPr>
          <w:rFonts w:ascii="宋体" w:hAnsi="宋体" w:cs="宋体"/>
          <w:strike/>
        </w:rPr>
      </w:pPr>
      <w:r>
        <w:rPr>
          <w:rFonts w:hint="eastAsia" w:ascii="黑体" w:hAnsi="黑体" w:eastAsia="黑体" w:cs="黑体"/>
        </w:rPr>
        <w:t>7.</w:t>
      </w:r>
      <w:r>
        <w:rPr>
          <w:rFonts w:ascii="黑体" w:hAnsi="黑体" w:eastAsia="黑体" w:cs="黑体"/>
        </w:rPr>
        <w:t>6</w:t>
      </w:r>
      <w:r>
        <w:rPr>
          <w:rFonts w:hint="eastAsia" w:ascii="黑体" w:hAnsi="黑体" w:eastAsia="黑体" w:cs="黑体"/>
        </w:rPr>
        <w:t>.4</w:t>
      </w:r>
      <w:r>
        <w:rPr>
          <w:rFonts w:hint="eastAsia" w:ascii="宋体" w:hAnsi="宋体" w:cs="宋体"/>
        </w:rPr>
        <w:t xml:space="preserve">  设备运行状态监控应利用</w:t>
      </w:r>
      <w:r>
        <w:rPr>
          <w:rFonts w:hint="eastAsia" w:ascii="宋体" w:hAnsi="宋体" w:cs="宋体"/>
          <w:szCs w:val="21"/>
        </w:rPr>
        <w:t>自动化监测设备、监控视频系统及物联网技术</w:t>
      </w:r>
      <w:r>
        <w:rPr>
          <w:rFonts w:hint="eastAsia" w:ascii="宋体" w:hAnsi="宋体" w:cs="宋体"/>
        </w:rPr>
        <w:t>，实时获取运行参数。需特种作业人员操作的设备应加装相应的身份识别装置，实时采集操作人员信息。</w:t>
      </w:r>
    </w:p>
    <w:p>
      <w:pPr>
        <w:pStyle w:val="8"/>
        <w:spacing w:after="0" w:line="360" w:lineRule="exact"/>
        <w:ind w:left="0" w:leftChars="0"/>
        <w:jc w:val="left"/>
        <w:rPr>
          <w:rFonts w:ascii="宋体" w:hAnsi="宋体" w:cs="宋体"/>
        </w:rPr>
      </w:pPr>
      <w:r>
        <w:rPr>
          <w:rFonts w:hint="eastAsia" w:ascii="黑体" w:hAnsi="黑体" w:eastAsia="黑体" w:cs="黑体"/>
        </w:rPr>
        <w:t>7.</w:t>
      </w:r>
      <w:r>
        <w:rPr>
          <w:rFonts w:ascii="黑体" w:hAnsi="黑体" w:eastAsia="黑体" w:cs="黑体"/>
        </w:rPr>
        <w:t>6</w:t>
      </w:r>
      <w:r>
        <w:rPr>
          <w:rFonts w:hint="eastAsia" w:ascii="黑体" w:hAnsi="黑体" w:eastAsia="黑体" w:cs="黑体"/>
        </w:rPr>
        <w:t>.5</w:t>
      </w:r>
      <w:r>
        <w:rPr>
          <w:rFonts w:hint="eastAsia" w:ascii="宋体" w:hAnsi="宋体" w:cs="宋体"/>
        </w:rPr>
        <w:t xml:space="preserve">  大型机械监控应</w:t>
      </w:r>
      <w:r>
        <w:rPr>
          <w:rFonts w:hint="eastAsia" w:ascii="宋体" w:hAnsi="宋体" w:cs="宋体"/>
          <w:szCs w:val="21"/>
        </w:rPr>
        <w:t>包含但不限于以下功能：</w:t>
      </w:r>
    </w:p>
    <w:p>
      <w:pPr>
        <w:pStyle w:val="8"/>
        <w:spacing w:after="0" w:line="360" w:lineRule="exact"/>
        <w:ind w:left="174" w:leftChars="83"/>
        <w:rPr>
          <w:rFonts w:ascii="宋体" w:hAnsi="宋体" w:cs="宋体"/>
        </w:rPr>
      </w:pPr>
      <w:r>
        <w:rPr>
          <w:rFonts w:hint="eastAsia" w:ascii="宋体" w:hAnsi="宋体" w:cs="宋体"/>
        </w:rPr>
        <w:t>（1）危险预警功能：当起重设备达到吊装的荷载时，风速感应器感应到风速过大，运行过程中距离周围建筑物、高压线等过近等情况，系统应即时监控，并进行声光报警，将信息发送到相关负责人手机终端。</w:t>
      </w:r>
    </w:p>
    <w:p>
      <w:pPr>
        <w:pStyle w:val="8"/>
        <w:spacing w:after="0" w:line="360" w:lineRule="exact"/>
        <w:ind w:left="174" w:leftChars="83"/>
        <w:rPr>
          <w:rFonts w:ascii="宋体" w:hAnsi="宋体" w:cs="宋体"/>
        </w:rPr>
      </w:pPr>
      <w:r>
        <w:rPr>
          <w:rFonts w:hint="eastAsia" w:ascii="宋体" w:hAnsi="宋体" w:cs="宋体"/>
        </w:rPr>
        <w:t>（2）具备塔群防碰撞功能，多台塔机在交叉作业过程中，系统实时跟踪各塔机的吊臂及吊钩位置，当塔机进入彼此的防碰撞危险区时，应进行声光报警。</w:t>
      </w:r>
    </w:p>
    <w:p>
      <w:pPr>
        <w:pStyle w:val="8"/>
        <w:spacing w:after="0" w:line="360" w:lineRule="exact"/>
        <w:ind w:left="174" w:leftChars="83"/>
        <w:rPr>
          <w:rFonts w:ascii="宋体" w:hAnsi="宋体" w:cs="宋体"/>
        </w:rPr>
      </w:pPr>
      <w:r>
        <w:rPr>
          <w:rFonts w:hint="eastAsia" w:ascii="宋体" w:hAnsi="宋体" w:cs="宋体"/>
        </w:rPr>
        <w:t>（3）</w:t>
      </w:r>
      <w:r>
        <w:rPr>
          <w:rFonts w:ascii="宋体" w:hAnsi="宋体" w:cs="宋体"/>
        </w:rPr>
        <w:t>具备运行可视化功能，</w:t>
      </w:r>
      <w:r>
        <w:rPr>
          <w:rFonts w:hint="eastAsia" w:ascii="宋体" w:hAnsi="宋体" w:cs="宋体"/>
        </w:rPr>
        <w:t>通过传感器将大型机械的运动轨迹信息收集到终端中，终端对信息进行处理，以三维形式动画反馈到中央大屏中的机械监控模块中，可以随时查看机械的使用情况</w:t>
      </w:r>
      <w:r>
        <w:rPr>
          <w:rFonts w:ascii="宋体" w:hAnsi="宋体" w:cs="宋体"/>
        </w:rPr>
        <w:t>。</w:t>
      </w:r>
    </w:p>
    <w:p>
      <w:pPr>
        <w:pStyle w:val="8"/>
        <w:spacing w:after="0" w:line="360" w:lineRule="exact"/>
        <w:ind w:left="206" w:leftChars="98"/>
        <w:rPr>
          <w:rFonts w:ascii="宋体" w:hAnsi="宋体" w:cs="宋体"/>
        </w:rPr>
      </w:pPr>
      <w:r>
        <w:rPr>
          <w:rFonts w:hint="eastAsia" w:ascii="宋体" w:hAnsi="宋体" w:cs="宋体"/>
        </w:rPr>
        <w:t>（4）</w:t>
      </w:r>
      <w:r>
        <w:rPr>
          <w:rFonts w:ascii="宋体" w:hAnsi="宋体" w:cs="宋体"/>
        </w:rPr>
        <w:t>具备声光报警功能，系统支持向平台发送预报警信息或向管理人员推送预报警短信。</w:t>
      </w:r>
    </w:p>
    <w:p>
      <w:pPr>
        <w:pStyle w:val="8"/>
        <w:spacing w:after="0" w:line="360" w:lineRule="exact"/>
        <w:ind w:left="206" w:leftChars="98"/>
        <w:rPr>
          <w:rFonts w:ascii="宋体" w:hAnsi="宋体" w:cs="宋体"/>
        </w:rPr>
      </w:pPr>
      <w:r>
        <w:rPr>
          <w:rFonts w:hint="eastAsia" w:ascii="宋体" w:hAnsi="宋体" w:cs="宋体"/>
        </w:rPr>
        <w:t>（5）</w:t>
      </w:r>
      <w:r>
        <w:rPr>
          <w:rFonts w:ascii="宋体" w:hAnsi="宋体" w:cs="宋体"/>
        </w:rPr>
        <w:t>具备钢丝绳</w:t>
      </w:r>
      <w:r>
        <w:rPr>
          <w:rFonts w:hint="eastAsia" w:ascii="宋体" w:hAnsi="宋体" w:cs="宋体"/>
        </w:rPr>
        <w:t>等易磨损设备的</w:t>
      </w:r>
      <w:r>
        <w:rPr>
          <w:rFonts w:ascii="宋体" w:hAnsi="宋体" w:cs="宋体"/>
        </w:rPr>
        <w:t>运行里程、时间监测预警功能。</w:t>
      </w:r>
    </w:p>
    <w:p>
      <w:pPr>
        <w:pStyle w:val="8"/>
        <w:spacing w:after="0" w:line="360" w:lineRule="exact"/>
        <w:ind w:left="174" w:leftChars="83"/>
        <w:rPr>
          <w:rFonts w:ascii="宋体" w:hAnsi="宋体" w:cs="宋体"/>
        </w:rPr>
      </w:pPr>
      <w:r>
        <w:rPr>
          <w:rFonts w:hint="eastAsia" w:ascii="宋体" w:hAnsi="宋体" w:cs="宋体"/>
        </w:rPr>
        <w:t>（6）具备人脸识别及指纹感知功能，由安全部录入相关操作人员的信息，每次启动设备时需要进行人脸识别及扫描指纹，识别成功后方可启动机械，防止非专业人员操作设备，造成危险。</w:t>
      </w:r>
    </w:p>
    <w:p>
      <w:pPr>
        <w:pStyle w:val="8"/>
        <w:spacing w:after="0" w:line="360" w:lineRule="exact"/>
        <w:ind w:left="174" w:leftChars="83"/>
        <w:rPr>
          <w:rFonts w:ascii="宋体" w:hAnsi="宋体" w:cs="宋体"/>
        </w:rPr>
      </w:pPr>
      <w:r>
        <w:rPr>
          <w:rFonts w:hint="eastAsia" w:ascii="宋体" w:hAnsi="宋体" w:cs="宋体"/>
        </w:rPr>
        <w:t>（7）具备实时采集数据功能，在大型机械施工过程中，实时对机械进行受力的数据分析，并记录产生波动的数值及时间。</w:t>
      </w:r>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24" w:name="_Toc153545439"/>
      <w:r>
        <w:rPr>
          <w:rFonts w:ascii="黑体" w:hAnsi="黑体" w:eastAsia="黑体" w:cs="黑体"/>
          <w:bCs/>
          <w:sz w:val="32"/>
          <w:szCs w:val="32"/>
        </w:rPr>
        <w:t>8</w:t>
      </w:r>
      <w:r>
        <w:rPr>
          <w:rFonts w:hint="eastAsia" w:ascii="黑体" w:hAnsi="黑体" w:eastAsia="黑体" w:cs="黑体"/>
          <w:bCs/>
          <w:sz w:val="32"/>
          <w:szCs w:val="32"/>
        </w:rPr>
        <w:t xml:space="preserve"> 绿色、安全文明施工管理</w:t>
      </w:r>
      <w:bookmarkEnd w:id="24"/>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8.1</w:t>
      </w:r>
      <w:r>
        <w:rPr>
          <w:rFonts w:hint="eastAsia" w:asciiTheme="majorEastAsia" w:hAnsiTheme="majorEastAsia" w:eastAsiaTheme="majorEastAsia"/>
          <w:color w:val="000000" w:themeColor="text1"/>
          <w:sz w:val="24"/>
          <w14:textFill>
            <w14:solidFill>
              <w14:schemeClr w14:val="tx1"/>
            </w14:solidFill>
          </w14:textFill>
        </w:rPr>
        <w:t>安全管理模块</w:t>
      </w:r>
      <w:r>
        <w:rPr>
          <w:rFonts w:asciiTheme="majorEastAsia" w:hAnsiTheme="majorEastAsia" w:eastAsiaTheme="majorEastAsia"/>
          <w:color w:val="000000" w:themeColor="text1"/>
          <w:sz w:val="24"/>
          <w14:textFill>
            <w14:solidFill>
              <w14:schemeClr w14:val="tx1"/>
            </w14:solidFill>
          </w14:textFill>
        </w:rPr>
        <w:t xml:space="preserve"> </w:t>
      </w:r>
    </w:p>
    <w:p>
      <w:pPr>
        <w:adjustRightInd w:val="0"/>
        <w:snapToGrid w:val="0"/>
        <w:spacing w:line="360" w:lineRule="auto"/>
        <w:ind w:firstLine="420" w:firstLineChars="200"/>
        <w:rPr>
          <w:rFonts w:asciiTheme="minorEastAsia" w:hAnsiTheme="minorEastAsia"/>
          <w:color w:val="000000"/>
        </w:rPr>
      </w:pPr>
      <w:r>
        <w:rPr>
          <w:rFonts w:hint="eastAsia" w:asciiTheme="minorEastAsia" w:hAnsiTheme="minorEastAsia"/>
          <w:color w:val="000000"/>
        </w:rPr>
        <w:t>8</w:t>
      </w:r>
      <w:r>
        <w:rPr>
          <w:rFonts w:asciiTheme="minorEastAsia" w:hAnsiTheme="minorEastAsia"/>
          <w:color w:val="000000"/>
        </w:rPr>
        <w:t>.1.1</w:t>
      </w:r>
      <w:r>
        <w:rPr>
          <w:rFonts w:hint="eastAsia" w:asciiTheme="minorEastAsia" w:hAnsiTheme="minorEastAsia"/>
          <w:color w:val="000000"/>
        </w:rPr>
        <w:t>安全隐患整改通知单、整改回复单、罚款单等相关业务表单实现业务替代；</w:t>
      </w:r>
    </w:p>
    <w:p>
      <w:pPr>
        <w:adjustRightInd w:val="0"/>
        <w:snapToGrid w:val="0"/>
        <w:spacing w:line="360" w:lineRule="auto"/>
        <w:ind w:firstLine="420" w:firstLineChars="200"/>
        <w:rPr>
          <w:rFonts w:asciiTheme="minorEastAsia" w:hAnsiTheme="minorEastAsia"/>
          <w:color w:val="000000"/>
        </w:rPr>
      </w:pPr>
      <w:r>
        <w:rPr>
          <w:rFonts w:hint="eastAsia" w:asciiTheme="minorEastAsia" w:hAnsiTheme="minorEastAsia"/>
          <w:color w:val="000000"/>
        </w:rPr>
        <w:t>8</w:t>
      </w:r>
      <w:r>
        <w:rPr>
          <w:rFonts w:asciiTheme="minorEastAsia" w:hAnsiTheme="minorEastAsia"/>
          <w:color w:val="000000"/>
        </w:rPr>
        <w:t>.1.2</w:t>
      </w:r>
      <w:r>
        <w:rPr>
          <w:rFonts w:hint="eastAsia" w:asciiTheme="minorEastAsia" w:hAnsiTheme="minorEastAsia"/>
          <w:color w:val="000000"/>
        </w:rPr>
        <w:t>对现场安全问题全部通过系统登记维护，不怕发现问题，就怕不解决问题；</w:t>
      </w:r>
    </w:p>
    <w:p>
      <w:pPr>
        <w:adjustRightInd w:val="0"/>
        <w:snapToGrid w:val="0"/>
        <w:spacing w:line="360" w:lineRule="auto"/>
        <w:ind w:firstLine="420" w:firstLineChars="200"/>
        <w:rPr>
          <w:rFonts w:asciiTheme="minorEastAsia" w:hAnsiTheme="minorEastAsia"/>
          <w:color w:val="000000"/>
        </w:rPr>
      </w:pPr>
      <w:r>
        <w:rPr>
          <w:rFonts w:hint="eastAsia" w:asciiTheme="minorEastAsia" w:hAnsiTheme="minorEastAsia"/>
          <w:color w:val="000000"/>
        </w:rPr>
        <w:t>8</w:t>
      </w:r>
      <w:r>
        <w:rPr>
          <w:rFonts w:asciiTheme="minorEastAsia" w:hAnsiTheme="minorEastAsia"/>
          <w:color w:val="000000"/>
        </w:rPr>
        <w:t>.1.3</w:t>
      </w:r>
      <w:r>
        <w:rPr>
          <w:rFonts w:hint="eastAsia" w:asciiTheme="minorEastAsia" w:hAnsiTheme="minorEastAsia"/>
          <w:color w:val="000000"/>
        </w:rPr>
        <w:t>项目安全大数据平台统计分析；</w:t>
      </w:r>
    </w:p>
    <w:p>
      <w:pPr>
        <w:adjustRightInd w:val="0"/>
        <w:snapToGrid w:val="0"/>
        <w:spacing w:line="360" w:lineRule="auto"/>
        <w:ind w:firstLine="420" w:firstLineChars="200"/>
        <w:rPr>
          <w:rFonts w:asciiTheme="minorEastAsia" w:hAnsiTheme="minorEastAsia"/>
          <w:color w:val="000000"/>
        </w:rPr>
      </w:pP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8.2</w:t>
      </w:r>
      <w:r>
        <w:rPr>
          <w:rFonts w:hint="eastAsia" w:asciiTheme="majorEastAsia" w:hAnsiTheme="majorEastAsia" w:eastAsiaTheme="majorEastAsia"/>
          <w:color w:val="000000" w:themeColor="text1"/>
          <w:sz w:val="24"/>
          <w14:textFill>
            <w14:solidFill>
              <w14:schemeClr w14:val="tx1"/>
            </w14:solidFill>
          </w14:textFill>
        </w:rPr>
        <w:t>劳务实名制管理模块</w:t>
      </w:r>
      <w:r>
        <w:rPr>
          <w:rFonts w:asciiTheme="majorEastAsia" w:hAnsiTheme="majorEastAsia" w:eastAsiaTheme="majorEastAsia"/>
          <w:color w:val="000000" w:themeColor="text1"/>
          <w:sz w:val="24"/>
          <w14:textFill>
            <w14:solidFill>
              <w14:schemeClr w14:val="tx1"/>
            </w14:solidFill>
          </w14:textFill>
        </w:rPr>
        <w:t xml:space="preserve"> </w:t>
      </w:r>
    </w:p>
    <w:p>
      <w:pPr>
        <w:adjustRightInd w:val="0"/>
        <w:snapToGrid w:val="0"/>
        <w:spacing w:line="360" w:lineRule="auto"/>
        <w:ind w:firstLine="480" w:firstLineChars="200"/>
        <w:rPr>
          <w:rFonts w:asciiTheme="minorEastAsia" w:hAnsiTheme="minorEastAsia"/>
          <w:color w:val="000000"/>
        </w:rPr>
      </w:pPr>
      <w:r>
        <w:rPr>
          <w:rFonts w:asciiTheme="majorEastAsia" w:hAnsiTheme="majorEastAsia" w:eastAsiaTheme="majorEastAsia"/>
          <w:color w:val="000000" w:themeColor="text1"/>
          <w:sz w:val="24"/>
          <w14:textFill>
            <w14:solidFill>
              <w14:schemeClr w14:val="tx1"/>
            </w14:solidFill>
          </w14:textFill>
        </w:rPr>
        <w:t>8.2</w:t>
      </w: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1</w:t>
      </w:r>
      <w:r>
        <w:rPr>
          <w:rFonts w:hint="eastAsia" w:asciiTheme="minorEastAsia" w:hAnsiTheme="minorEastAsia"/>
          <w:color w:val="000000"/>
        </w:rPr>
        <w:t>实现现场封闭式管理，保障系统应用。落实实名制管理制度，禁止外来人员进入，本项目劳务人员刷卡进出；特殊工种信息维护，持证上岗，证书到期预警提醒；</w:t>
      </w:r>
    </w:p>
    <w:p>
      <w:pPr>
        <w:adjustRightInd w:val="0"/>
        <w:snapToGrid w:val="0"/>
        <w:spacing w:line="360" w:lineRule="auto"/>
        <w:ind w:firstLine="480" w:firstLineChars="200"/>
        <w:rPr>
          <w:rFonts w:asciiTheme="minorEastAsia" w:hAnsiTheme="minorEastAsia"/>
          <w:color w:val="000000"/>
        </w:rPr>
      </w:pPr>
      <w:r>
        <w:rPr>
          <w:rFonts w:asciiTheme="majorEastAsia" w:hAnsiTheme="majorEastAsia" w:eastAsiaTheme="majorEastAsia"/>
          <w:color w:val="000000" w:themeColor="text1"/>
          <w:sz w:val="24"/>
          <w14:textFill>
            <w14:solidFill>
              <w14:schemeClr w14:val="tx1"/>
            </w14:solidFill>
          </w14:textFill>
        </w:rPr>
        <w:t>8.2</w:t>
      </w: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2</w:t>
      </w:r>
      <w:r>
        <w:rPr>
          <w:rFonts w:hint="eastAsia" w:asciiTheme="minorEastAsia" w:hAnsiTheme="minorEastAsia"/>
          <w:color w:val="000000"/>
        </w:rPr>
        <w:t>安全培训落地，通过系统平台，进行现场安全教育登记，未进行教育人员禁止进入施工场地；</w:t>
      </w:r>
    </w:p>
    <w:p>
      <w:pPr>
        <w:adjustRightInd w:val="0"/>
        <w:snapToGrid w:val="0"/>
        <w:spacing w:line="360" w:lineRule="auto"/>
        <w:ind w:firstLine="480" w:firstLineChars="200"/>
        <w:rPr>
          <w:rFonts w:asciiTheme="minorEastAsia" w:hAnsiTheme="minorEastAsia"/>
          <w:color w:val="000000"/>
        </w:rPr>
      </w:pPr>
      <w:r>
        <w:rPr>
          <w:rFonts w:asciiTheme="majorEastAsia" w:hAnsiTheme="majorEastAsia" w:eastAsiaTheme="majorEastAsia"/>
          <w:color w:val="000000" w:themeColor="text1"/>
          <w:sz w:val="24"/>
          <w14:textFill>
            <w14:solidFill>
              <w14:schemeClr w14:val="tx1"/>
            </w14:solidFill>
          </w14:textFill>
        </w:rPr>
        <w:t>8.2</w:t>
      </w: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3</w:t>
      </w:r>
      <w:r>
        <w:rPr>
          <w:rFonts w:hint="eastAsia" w:asciiTheme="minorEastAsia" w:hAnsiTheme="minorEastAsia"/>
          <w:color w:val="000000"/>
        </w:rPr>
        <w:t>通过劳务实名制平台掌握项目现场劳务人数，工种配比，年龄分布，出勤工时等信息；</w:t>
      </w:r>
    </w:p>
    <w:p>
      <w:pPr>
        <w:adjustRightInd w:val="0"/>
        <w:snapToGrid w:val="0"/>
        <w:spacing w:line="360" w:lineRule="auto"/>
        <w:ind w:firstLine="480" w:firstLineChars="200"/>
        <w:rPr>
          <w:rFonts w:asciiTheme="minorEastAsia" w:hAnsiTheme="minorEastAsia"/>
          <w:color w:val="000000"/>
        </w:rPr>
      </w:pPr>
      <w:r>
        <w:rPr>
          <w:rFonts w:asciiTheme="majorEastAsia" w:hAnsiTheme="majorEastAsia" w:eastAsiaTheme="majorEastAsia"/>
          <w:color w:val="000000" w:themeColor="text1"/>
          <w:sz w:val="24"/>
          <w14:textFill>
            <w14:solidFill>
              <w14:schemeClr w14:val="tx1"/>
            </w14:solidFill>
          </w14:textFill>
        </w:rPr>
        <w:t>8.2</w:t>
      </w: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4</w:t>
      </w:r>
      <w:r>
        <w:rPr>
          <w:rFonts w:hint="eastAsia" w:asciiTheme="minorEastAsia" w:hAnsiTheme="minorEastAsia"/>
          <w:color w:val="000000"/>
        </w:rPr>
        <w:t>劳务用工花名册，人员考勤表，变更变，安全教育台账等劳务相关表达系统直接输出；</w:t>
      </w:r>
    </w:p>
    <w:p>
      <w:pPr>
        <w:adjustRightInd w:val="0"/>
        <w:snapToGrid w:val="0"/>
        <w:spacing w:line="360" w:lineRule="auto"/>
        <w:ind w:firstLine="480" w:firstLineChars="200"/>
        <w:rPr>
          <w:rFonts w:asciiTheme="minorEastAsia" w:hAnsiTheme="minorEastAsia"/>
          <w:color w:val="000000"/>
        </w:rPr>
      </w:pPr>
      <w:r>
        <w:rPr>
          <w:rFonts w:asciiTheme="majorEastAsia" w:hAnsiTheme="majorEastAsia" w:eastAsiaTheme="majorEastAsia"/>
          <w:color w:val="000000" w:themeColor="text1"/>
          <w:sz w:val="24"/>
          <w14:textFill>
            <w14:solidFill>
              <w14:schemeClr w14:val="tx1"/>
            </w14:solidFill>
          </w14:textFill>
        </w:rPr>
        <w:t>8.2</w:t>
      </w: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5</w:t>
      </w:r>
      <w:r>
        <w:rPr>
          <w:rFonts w:hint="eastAsia" w:asciiTheme="minorEastAsia" w:hAnsiTheme="minorEastAsia"/>
          <w:color w:val="000000"/>
        </w:rPr>
        <w:t>实现劳务实名制闭环管理，从工人教育进场——实名制登记——过程奖罚记录——人员退场全业务线替代；</w:t>
      </w:r>
    </w:p>
    <w:p>
      <w:pPr>
        <w:adjustRightInd w:val="0"/>
        <w:snapToGrid w:val="0"/>
        <w:spacing w:line="360" w:lineRule="auto"/>
        <w:ind w:firstLine="420" w:firstLineChars="200"/>
        <w:rPr>
          <w:rFonts w:asciiTheme="minorEastAsia" w:hAnsiTheme="minorEastAsia"/>
          <w:color w:val="000000"/>
        </w:rPr>
      </w:pP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8.3</w:t>
      </w:r>
      <w:r>
        <w:rPr>
          <w:rFonts w:hint="eastAsia" w:asciiTheme="majorEastAsia" w:hAnsiTheme="majorEastAsia" w:eastAsiaTheme="majorEastAsia"/>
          <w:color w:val="000000" w:themeColor="text1"/>
          <w:sz w:val="24"/>
          <w14:textFill>
            <w14:solidFill>
              <w14:schemeClr w14:val="tx1"/>
            </w14:solidFill>
          </w14:textFill>
        </w:rPr>
        <w:t>节水管理</w:t>
      </w:r>
    </w:p>
    <w:p>
      <w:pPr>
        <w:pStyle w:val="8"/>
        <w:spacing w:after="0" w:line="360" w:lineRule="exact"/>
        <w:ind w:left="0" w:leftChars="0"/>
        <w:jc w:val="left"/>
        <w:rPr>
          <w:rFonts w:ascii="黑体" w:hAnsi="黑体" w:eastAsia="黑体" w:cs="黑体"/>
        </w:rPr>
      </w:pPr>
      <w:bookmarkStart w:id="25" w:name="_Toc320793539"/>
      <w:bookmarkStart w:id="26" w:name="_Toc376780522"/>
      <w:bookmarkStart w:id="27" w:name="_Toc14527368"/>
      <w:bookmarkStart w:id="28" w:name="_Toc497817293"/>
      <w:r>
        <w:rPr>
          <w:rFonts w:ascii="黑体" w:hAnsi="黑体" w:eastAsia="黑体" w:cs="黑体"/>
        </w:rPr>
        <w:t>8.3</w:t>
      </w:r>
      <w:r>
        <w:rPr>
          <w:rFonts w:hint="eastAsia" w:ascii="黑体" w:hAnsi="黑体" w:eastAsia="黑体" w:cs="黑体"/>
        </w:rPr>
        <w:t>.1控制保障措施</w:t>
      </w:r>
      <w:bookmarkEnd w:id="25"/>
      <w:bookmarkEnd w:id="26"/>
      <w:bookmarkEnd w:id="27"/>
      <w:bookmarkEnd w:id="28"/>
    </w:p>
    <w:p>
      <w:pPr>
        <w:adjustRightInd w:val="0"/>
        <w:snapToGrid w:val="0"/>
        <w:spacing w:line="360" w:lineRule="auto"/>
        <w:ind w:firstLine="420" w:firstLineChars="200"/>
      </w:pPr>
      <w:r>
        <w:rPr>
          <w:rFonts w:hint="eastAsia"/>
        </w:rPr>
        <w:t>（1）商务部门在签订分包或劳务合同时，应将节水指标纳入合同条款，节约水源。</w:t>
      </w:r>
    </w:p>
    <w:p>
      <w:pPr>
        <w:adjustRightInd w:val="0"/>
        <w:snapToGrid w:val="0"/>
        <w:spacing w:line="360" w:lineRule="auto"/>
        <w:ind w:firstLine="420" w:firstLineChars="200"/>
      </w:pPr>
      <w:r>
        <w:rPr>
          <w:rFonts w:hint="eastAsia"/>
        </w:rPr>
        <w:t>（2）安排专人定期对用水计量进行考核，并做好相应的记录。</w:t>
      </w:r>
    </w:p>
    <w:p>
      <w:pPr>
        <w:pStyle w:val="8"/>
        <w:spacing w:after="0" w:line="360" w:lineRule="exact"/>
        <w:ind w:left="0" w:leftChars="0"/>
        <w:jc w:val="left"/>
        <w:rPr>
          <w:rFonts w:ascii="黑体" w:hAnsi="黑体" w:eastAsia="黑体" w:cs="黑体"/>
        </w:rPr>
      </w:pPr>
      <w:bookmarkStart w:id="29" w:name="_Toc497817294"/>
      <w:bookmarkStart w:id="30" w:name="_Toc376780523"/>
      <w:bookmarkStart w:id="31" w:name="_Toc320793540"/>
      <w:bookmarkStart w:id="32" w:name="_Toc14527369"/>
      <w:r>
        <w:rPr>
          <w:rFonts w:ascii="黑体" w:hAnsi="黑体" w:eastAsia="黑体" w:cs="黑体"/>
        </w:rPr>
        <w:t>8.3</w:t>
      </w:r>
      <w:r>
        <w:rPr>
          <w:rFonts w:hint="eastAsia" w:ascii="黑体" w:hAnsi="黑体" w:eastAsia="黑体" w:cs="黑体"/>
        </w:rPr>
        <w:t>.2一般保障措施</w:t>
      </w:r>
      <w:bookmarkEnd w:id="29"/>
      <w:bookmarkEnd w:id="30"/>
      <w:bookmarkEnd w:id="31"/>
      <w:bookmarkEnd w:id="32"/>
    </w:p>
    <w:p>
      <w:pPr>
        <w:tabs>
          <w:tab w:val="left" w:pos="312"/>
        </w:tabs>
        <w:adjustRightInd w:val="0"/>
        <w:snapToGrid w:val="0"/>
        <w:spacing w:line="360" w:lineRule="auto"/>
        <w:ind w:left="420"/>
      </w:pPr>
    </w:p>
    <w:p>
      <w:pPr>
        <w:tabs>
          <w:tab w:val="left" w:pos="312"/>
        </w:tabs>
        <w:adjustRightInd w:val="0"/>
        <w:snapToGrid w:val="0"/>
        <w:spacing w:line="360" w:lineRule="auto"/>
        <w:ind w:left="420"/>
      </w:pPr>
      <w:r>
        <w:rPr>
          <w:rFonts w:hint="eastAsia"/>
        </w:rPr>
        <w:t>（1）项目开工前，根据相关要求及地方性标准设置用水定额。</w:t>
      </w:r>
    </w:p>
    <w:p>
      <w:pPr>
        <w:adjustRightInd w:val="0"/>
        <w:snapToGrid w:val="0"/>
        <w:spacing w:line="360" w:lineRule="auto"/>
        <w:ind w:left="420"/>
      </w:pPr>
      <w:r>
        <w:rPr>
          <w:rFonts w:hint="eastAsia"/>
        </w:rPr>
        <w:t>（2）编制施工现场给排水管线图，保证供水、排水系统合理使用。</w:t>
      </w:r>
    </w:p>
    <w:p>
      <w:pPr>
        <w:adjustRightInd w:val="0"/>
        <w:snapToGrid w:val="0"/>
        <w:spacing w:line="360" w:lineRule="auto"/>
        <w:ind w:firstLine="420" w:firstLineChars="200"/>
      </w:pPr>
      <w:r>
        <w:rPr>
          <w:rFonts w:hint="eastAsia"/>
        </w:rPr>
        <w:t>（3）施工现场办公区、办公区的生活用水采用节水器具，配置率确保达到100%。</w:t>
      </w:r>
    </w:p>
    <w:p>
      <w:pPr>
        <w:adjustRightInd w:val="0"/>
        <w:snapToGrid w:val="0"/>
        <w:spacing w:line="360" w:lineRule="auto"/>
        <w:ind w:firstLine="420" w:firstLineChars="200"/>
      </w:pPr>
      <w:r>
        <w:rPr>
          <w:rFonts w:hint="eastAsia"/>
        </w:rPr>
        <w:t>（4）施工用水及生活用水分开计量，单独设表。</w:t>
      </w:r>
    </w:p>
    <w:p>
      <w:pPr>
        <w:adjustRightInd w:val="0"/>
        <w:snapToGrid w:val="0"/>
        <w:spacing w:line="360" w:lineRule="auto"/>
        <w:ind w:firstLine="420" w:firstLineChars="200"/>
      </w:pPr>
      <w:r>
        <w:rPr>
          <w:rFonts w:hint="eastAsia"/>
        </w:rPr>
        <w:t>（5）优先采用中水养护，可以采取收集地下室、坑槽中经检验满足施工要求的水进行养护、冲洗用水。现场做到，非传统水源和循环水的再利用量大于30%。</w:t>
      </w:r>
    </w:p>
    <w:p>
      <w:pPr>
        <w:adjustRightInd w:val="0"/>
        <w:snapToGrid w:val="0"/>
        <w:spacing w:line="360" w:lineRule="auto"/>
        <w:ind w:firstLine="420" w:firstLineChars="200"/>
      </w:pPr>
      <w:r>
        <w:rPr>
          <w:rFonts w:hint="eastAsia"/>
        </w:rPr>
        <w:t>（6）养护采用薄膜覆盖，减少水用量。</w:t>
      </w:r>
    </w:p>
    <w:p>
      <w:pPr>
        <w:adjustRightInd w:val="0"/>
        <w:snapToGrid w:val="0"/>
        <w:spacing w:line="360" w:lineRule="auto"/>
        <w:ind w:firstLine="420" w:firstLineChars="200"/>
      </w:pPr>
      <w:r>
        <w:rPr>
          <w:rFonts w:hint="eastAsia"/>
        </w:rPr>
        <w:t>（7）注意观察管网、用水器具，防止渗漏，造成浪费。</w:t>
      </w:r>
    </w:p>
    <w:p>
      <w:pPr>
        <w:adjustRightInd w:val="0"/>
        <w:snapToGrid w:val="0"/>
        <w:spacing w:line="360" w:lineRule="auto"/>
        <w:ind w:firstLine="420" w:firstLineChars="200"/>
      </w:pPr>
      <w:r>
        <w:rPr>
          <w:rFonts w:hint="eastAsia"/>
        </w:rPr>
        <w:t>（8）建立完善的雨水收集系统，形成水的循环利用。</w:t>
      </w:r>
    </w:p>
    <w:p>
      <w:pPr>
        <w:pStyle w:val="8"/>
        <w:spacing w:after="0" w:line="360" w:lineRule="exact"/>
        <w:ind w:left="0" w:leftChars="0"/>
        <w:jc w:val="left"/>
        <w:rPr>
          <w:rFonts w:ascii="黑体" w:hAnsi="黑体" w:eastAsia="黑体" w:cs="黑体"/>
        </w:rPr>
      </w:pPr>
      <w:bookmarkStart w:id="33" w:name="_Toc14527371"/>
      <w:bookmarkStart w:id="34" w:name="_Toc376780525"/>
      <w:bookmarkStart w:id="35" w:name="_Toc320793542"/>
      <w:r>
        <w:rPr>
          <w:rFonts w:ascii="黑体" w:hAnsi="黑体" w:eastAsia="黑体" w:cs="黑体"/>
        </w:rPr>
        <w:t>8.3</w:t>
      </w:r>
      <w:r>
        <w:rPr>
          <w:rFonts w:hint="eastAsia" w:ascii="黑体" w:hAnsi="黑体" w:eastAsia="黑体" w:cs="黑体"/>
        </w:rPr>
        <w:t>.</w:t>
      </w:r>
      <w:r>
        <w:rPr>
          <w:rFonts w:ascii="黑体" w:hAnsi="黑体" w:eastAsia="黑体" w:cs="黑体"/>
        </w:rPr>
        <w:t>3</w:t>
      </w:r>
      <w:r>
        <w:rPr>
          <w:rFonts w:hint="eastAsia" w:ascii="黑体" w:hAnsi="黑体" w:eastAsia="黑体" w:cs="黑体"/>
        </w:rPr>
        <w:t>水资源利用</w:t>
      </w:r>
      <w:bookmarkEnd w:id="33"/>
      <w:bookmarkEnd w:id="34"/>
      <w:bookmarkEnd w:id="35"/>
    </w:p>
    <w:p>
      <w:pPr>
        <w:adjustRightInd w:val="0"/>
        <w:snapToGrid w:val="0"/>
        <w:spacing w:line="360" w:lineRule="auto"/>
        <w:ind w:firstLine="420" w:firstLineChars="200"/>
      </w:pPr>
      <w:r>
        <w:rPr>
          <w:rFonts w:hint="eastAsia"/>
        </w:rPr>
        <w:t>（1）办公区集中设置直饮水机，自来水经净化处理后可直接饮用，方便、卫生。比饮用桶装水、瓶装水成本低，且环保。</w:t>
      </w:r>
    </w:p>
    <w:p>
      <w:pPr>
        <w:adjustRightInd w:val="0"/>
        <w:snapToGrid w:val="0"/>
        <w:spacing w:line="360" w:lineRule="auto"/>
        <w:ind w:firstLine="420" w:firstLineChars="200"/>
      </w:pPr>
      <w:r>
        <w:rPr>
          <w:rFonts w:hint="eastAsia"/>
        </w:rPr>
        <w:t>（2）主要出入口设置洗车槽和沉淀池，沉淀池的水经过沉淀后可循环使用。在基坑降水期间，现场扬尘洒水和绿化浇灌采用基坑降水水源，减少了市政用水。施工现场喷洒路面、不使用市政自来水。</w:t>
      </w:r>
    </w:p>
    <w:p>
      <w:pPr>
        <w:adjustRightInd w:val="0"/>
        <w:snapToGrid w:val="0"/>
        <w:spacing w:line="360" w:lineRule="auto"/>
        <w:ind w:firstLine="420" w:firstLineChars="200"/>
      </w:pPr>
      <w:r>
        <w:rPr>
          <w:rFonts w:hint="eastAsia"/>
        </w:rPr>
        <w:t>（3）施工现场设有集水井，用于储存雨水，循环利用。</w:t>
      </w:r>
    </w:p>
    <w:p>
      <w:pPr>
        <w:adjustRightInd w:val="0"/>
        <w:snapToGrid w:val="0"/>
        <w:spacing w:line="360" w:lineRule="auto"/>
        <w:ind w:firstLine="420" w:firstLineChars="200"/>
      </w:pPr>
      <w:r>
        <w:rPr>
          <w:rFonts w:hint="eastAsia"/>
        </w:rPr>
        <w:t>（4）现场安排充分利用雨水进行喷洒路面，绿化浇灌，达到环保要求。</w:t>
      </w:r>
    </w:p>
    <w:p>
      <w:pPr>
        <w:adjustRightInd w:val="0"/>
        <w:snapToGrid w:val="0"/>
        <w:spacing w:line="360" w:lineRule="auto"/>
        <w:ind w:firstLine="420" w:firstLineChars="200"/>
      </w:pPr>
      <w:r>
        <w:rPr>
          <w:rFonts w:hint="eastAsia"/>
        </w:rPr>
        <w:t>（5）生活、生产污水经处理后能够重复使用的现场重复使用，或者经处理完毕后达到要求后排入市政污水管网。</w:t>
      </w:r>
    </w:p>
    <w:p>
      <w:pPr>
        <w:adjustRightInd w:val="0"/>
        <w:snapToGrid w:val="0"/>
        <w:spacing w:line="360" w:lineRule="auto"/>
        <w:ind w:firstLine="420" w:firstLineChars="200"/>
      </w:pPr>
      <w:r>
        <w:rPr>
          <w:rFonts w:hint="eastAsia"/>
        </w:rPr>
        <w:t>（6）定期对现场集水井、坑中存水进行检测，合格后再使用。</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8.4</w:t>
      </w:r>
      <w:r>
        <w:rPr>
          <w:rFonts w:hint="eastAsia" w:asciiTheme="majorEastAsia" w:hAnsiTheme="majorEastAsia" w:eastAsiaTheme="majorEastAsia"/>
          <w:color w:val="000000" w:themeColor="text1"/>
          <w:sz w:val="24"/>
          <w14:textFill>
            <w14:solidFill>
              <w14:schemeClr w14:val="tx1"/>
            </w14:solidFill>
          </w14:textFill>
        </w:rPr>
        <w:t>节电管理</w:t>
      </w:r>
    </w:p>
    <w:p>
      <w:pPr>
        <w:pStyle w:val="8"/>
        <w:spacing w:after="0" w:line="360" w:lineRule="exact"/>
        <w:ind w:left="0" w:leftChars="0"/>
        <w:jc w:val="left"/>
        <w:rPr>
          <w:rFonts w:ascii="黑体" w:hAnsi="黑体" w:eastAsia="黑体" w:cs="黑体"/>
        </w:rPr>
      </w:pPr>
      <w:bookmarkStart w:id="36" w:name="_Toc14527374"/>
      <w:bookmarkStart w:id="37" w:name="_Toc497817297"/>
      <w:bookmarkStart w:id="38" w:name="_Toc376780528"/>
      <w:bookmarkStart w:id="39" w:name="_Toc320793545"/>
      <w:r>
        <w:rPr>
          <w:rFonts w:ascii="黑体" w:hAnsi="黑体" w:eastAsia="黑体" w:cs="黑体"/>
        </w:rPr>
        <w:t>8.4</w:t>
      </w:r>
      <w:r>
        <w:rPr>
          <w:rFonts w:hint="eastAsia" w:ascii="黑体" w:hAnsi="黑体" w:eastAsia="黑体" w:cs="黑体"/>
        </w:rPr>
        <w:t>.1控制保障措施</w:t>
      </w:r>
      <w:bookmarkEnd w:id="36"/>
      <w:bookmarkEnd w:id="37"/>
      <w:bookmarkEnd w:id="38"/>
      <w:bookmarkEnd w:id="39"/>
    </w:p>
    <w:p>
      <w:pPr>
        <w:adjustRightInd w:val="0"/>
        <w:snapToGrid w:val="0"/>
        <w:spacing w:line="360" w:lineRule="auto"/>
      </w:pPr>
      <w:r>
        <w:rPr>
          <w:rFonts w:hint="eastAsia"/>
        </w:rPr>
        <w:t>（1）制订合理施工能耗指标，提高施工能源利用率，优先使用国家、行业推荐的节能、高效、环保的施工设备和机具。尽量使用电动工具，且能耗达到国家节能标准的产品。</w:t>
      </w:r>
    </w:p>
    <w:p>
      <w:pPr>
        <w:adjustRightInd w:val="0"/>
        <w:snapToGrid w:val="0"/>
        <w:spacing w:line="360" w:lineRule="auto"/>
      </w:pPr>
      <w:r>
        <w:rPr>
          <w:rFonts w:hint="eastAsia"/>
        </w:rPr>
        <w:t>（2）定期进行计量、核算、对比分析，并有预防与纠正措施。使用工况良好的电器设备，并经常保养，避免因设备老化增加损耗。</w:t>
      </w:r>
    </w:p>
    <w:p>
      <w:pPr>
        <w:adjustRightInd w:val="0"/>
        <w:snapToGrid w:val="0"/>
        <w:spacing w:line="360" w:lineRule="auto"/>
      </w:pPr>
      <w:r>
        <w:rPr>
          <w:rFonts w:hint="eastAsia"/>
        </w:rPr>
        <w:t>（3）禁止使用国家、行业、地方政府明令淘汰的施工设备和机具。</w:t>
      </w:r>
    </w:p>
    <w:p>
      <w:pPr>
        <w:pStyle w:val="8"/>
        <w:spacing w:after="0" w:line="360" w:lineRule="exact"/>
        <w:ind w:left="0" w:leftChars="0"/>
        <w:jc w:val="left"/>
        <w:rPr>
          <w:rFonts w:ascii="黑体" w:hAnsi="黑体" w:eastAsia="黑体" w:cs="黑体"/>
        </w:rPr>
      </w:pPr>
      <w:bookmarkStart w:id="40" w:name="_Toc320793547"/>
      <w:bookmarkStart w:id="41" w:name="_Toc376780530"/>
      <w:bookmarkStart w:id="42" w:name="_Toc14527376"/>
      <w:r>
        <w:rPr>
          <w:rFonts w:hint="eastAsia" w:ascii="黑体" w:hAnsi="黑体" w:eastAsia="黑体" w:cs="黑体"/>
        </w:rPr>
        <w:t>8</w:t>
      </w:r>
      <w:r>
        <w:rPr>
          <w:rFonts w:ascii="黑体" w:hAnsi="黑体" w:eastAsia="黑体" w:cs="黑体"/>
        </w:rPr>
        <w:t>.4.2</w:t>
      </w:r>
      <w:r>
        <w:rPr>
          <w:rFonts w:hint="eastAsia" w:ascii="黑体" w:hAnsi="黑体" w:eastAsia="黑体" w:cs="黑体"/>
        </w:rPr>
        <w:t>临时用电设施</w:t>
      </w:r>
      <w:bookmarkEnd w:id="40"/>
      <w:bookmarkEnd w:id="41"/>
      <w:bookmarkEnd w:id="42"/>
    </w:p>
    <w:p>
      <w:pPr>
        <w:adjustRightInd w:val="0"/>
        <w:snapToGrid w:val="0"/>
        <w:spacing w:line="360" w:lineRule="auto"/>
        <w:ind w:firstLine="420" w:firstLineChars="200"/>
      </w:pPr>
      <w:r>
        <w:rPr>
          <w:rFonts w:hint="eastAsia"/>
        </w:rPr>
        <w:t>设备采购时应优先选择节能型、带有环保表示的设备。建立临时用电管理制度，安排专人进行考核，用电设置合理，达到节能要求。现场照明设计应符合现行行业标准的规定。</w:t>
      </w:r>
    </w:p>
    <w:p>
      <w:pPr>
        <w:pStyle w:val="8"/>
        <w:spacing w:after="0" w:line="360" w:lineRule="exact"/>
        <w:ind w:left="0" w:leftChars="0"/>
        <w:jc w:val="left"/>
        <w:rPr>
          <w:rFonts w:ascii="黑体" w:hAnsi="黑体" w:eastAsia="黑体" w:cs="黑体"/>
        </w:rPr>
      </w:pPr>
      <w:bookmarkStart w:id="43" w:name="_Toc14527378"/>
      <w:bookmarkStart w:id="44" w:name="_Toc376780532"/>
      <w:bookmarkStart w:id="45" w:name="_Toc320793549"/>
      <w:r>
        <w:rPr>
          <w:rFonts w:ascii="黑体" w:hAnsi="黑体" w:eastAsia="黑体" w:cs="黑体"/>
        </w:rPr>
        <w:t>8.4</w:t>
      </w:r>
      <w:r>
        <w:rPr>
          <w:rFonts w:hint="eastAsia" w:ascii="黑体" w:hAnsi="黑体" w:eastAsia="黑体" w:cs="黑体"/>
        </w:rPr>
        <w:t>.3临时设施</w:t>
      </w:r>
      <w:bookmarkEnd w:id="43"/>
      <w:bookmarkEnd w:id="44"/>
      <w:bookmarkEnd w:id="45"/>
    </w:p>
    <w:p>
      <w:pPr>
        <w:adjustRightInd w:val="0"/>
        <w:snapToGrid w:val="0"/>
        <w:spacing w:line="360" w:lineRule="auto"/>
      </w:pPr>
      <w:r>
        <w:rPr>
          <w:rFonts w:hint="eastAsia"/>
        </w:rPr>
        <w:t>（1）在设置现场宿舍等生活设施时，采用可拆卸的具有保温隔热效果的活动彩钢板复合墙体和屋面，以及采用密封保温隔热性能好的门窗。</w:t>
      </w:r>
    </w:p>
    <w:p>
      <w:pPr>
        <w:adjustRightInd w:val="0"/>
        <w:snapToGrid w:val="0"/>
        <w:spacing w:line="360" w:lineRule="auto"/>
      </w:pPr>
      <w:r>
        <w:rPr>
          <w:rFonts w:hint="eastAsia"/>
        </w:rPr>
        <w:t>（2）规定合理的温、湿度标准和使用时间，提高空调和采暖装置的运行效率。室内采用36伏电压安全照明，空调单独线路，安装用电计量表，定时定量供电避免浪费。根据《国务院办公厅关于严格执行公共建筑空调温度控制标准的通知》和北京市的有关规定，夏季室内空调温度设置不得低于26℃，冬季室内空调温度设置不得高于20℃。空调运行期间应关闭门窗。</w:t>
      </w:r>
    </w:p>
    <w:p>
      <w:pPr>
        <w:adjustRightInd w:val="0"/>
        <w:snapToGrid w:val="0"/>
        <w:spacing w:line="360" w:lineRule="auto"/>
      </w:pPr>
      <w:r>
        <w:rPr>
          <w:rFonts w:hint="eastAsia"/>
        </w:rPr>
        <w:t>（3）利用场地自然条件，合理设计生产、生活及办公临时设施的体形、朝向、间距和窗墙比，使其获得良好的日照、通风和采光。办公区、生活区照明全部使用LED光源的节能灯具，现场照明采用LED灯具并配有定时装置，根据日照时间及时进行调整。节能照明灯具使用率达到100%。</w:t>
      </w:r>
    </w:p>
    <w:p>
      <w:pPr>
        <w:adjustRightInd w:val="0"/>
        <w:snapToGrid w:val="0"/>
        <w:spacing w:line="360" w:lineRule="auto"/>
      </w:pPr>
      <w:r>
        <w:rPr>
          <w:rFonts w:hint="eastAsia"/>
        </w:rPr>
        <w:t>（4）在施工现场的办公区和生活区设置明显的有节水、节能、节约材料等具体内容的警示标识牌，在重点部位设置安全警示标志。按合理配置采暖、空调、风扇数量，规定使用时间，实行分段分时使用，节约用电。</w:t>
      </w:r>
    </w:p>
    <w:p>
      <w:pPr>
        <w:adjustRightInd w:val="0"/>
        <w:snapToGrid w:val="0"/>
        <w:spacing w:line="360" w:lineRule="auto"/>
      </w:pPr>
      <w:r>
        <w:t>8.4.4</w:t>
      </w:r>
      <w:r>
        <w:rPr>
          <w:rFonts w:hint="eastAsia"/>
        </w:rPr>
        <w:t>能源资源利用</w:t>
      </w:r>
    </w:p>
    <w:p>
      <w:pPr>
        <w:adjustRightInd w:val="0"/>
        <w:snapToGrid w:val="0"/>
        <w:spacing w:line="360" w:lineRule="auto"/>
        <w:ind w:firstLine="420" w:firstLineChars="200"/>
      </w:pPr>
      <w:r>
        <w:rPr>
          <w:rFonts w:hint="eastAsia"/>
        </w:rPr>
        <w:t>（1）工人生活区采用空气能热水系统。施工现场、办公区、生活区安装太阳能路灯，用于夜间施工现场、办公区、生活区内道路照明。</w:t>
      </w:r>
    </w:p>
    <w:p>
      <w:pPr>
        <w:adjustRightInd w:val="0"/>
        <w:snapToGrid w:val="0"/>
        <w:spacing w:line="360" w:lineRule="auto"/>
        <w:ind w:firstLine="420" w:firstLineChars="200"/>
      </w:pPr>
      <w:r>
        <w:rPr>
          <w:rFonts w:hint="eastAsia"/>
        </w:rPr>
        <w:t>(2)现场配备电动汽车充电桩，鼓励大家电动车出行，减少汽车尾气对环境的污染。</w:t>
      </w:r>
    </w:p>
    <w:p>
      <w:pPr>
        <w:adjustRightInd w:val="0"/>
        <w:snapToGrid w:val="0"/>
        <w:spacing w:line="360" w:lineRule="auto"/>
      </w:pPr>
      <w:r>
        <w:t>8.4.5</w:t>
      </w:r>
      <w:r>
        <w:rPr>
          <w:rFonts w:hint="eastAsia"/>
        </w:rPr>
        <w:t>生活区及塔吊用电远程遥控功能</w:t>
      </w:r>
    </w:p>
    <w:p>
      <w:pPr>
        <w:adjustRightInd w:val="0"/>
        <w:snapToGrid w:val="0"/>
        <w:spacing w:line="360" w:lineRule="auto"/>
        <w:ind w:firstLine="420" w:firstLineChars="200"/>
      </w:pPr>
      <w:r>
        <w:rPr>
          <w:rFonts w:hint="eastAsia"/>
        </w:rPr>
        <w:t>对生活区和塔吊等的大型设备实行分路定时送送电、断电、电量监控，预警，远程遥控供电功能。</w:t>
      </w:r>
    </w:p>
    <w:p>
      <w:pPr>
        <w:adjustRightInd w:val="0"/>
        <w:snapToGrid w:val="0"/>
        <w:spacing w:line="360" w:lineRule="auto"/>
        <w:ind w:firstLine="420" w:firstLineChars="200"/>
        <w:rPr>
          <w:rFonts w:asciiTheme="minorEastAsia" w:hAnsiTheme="minorEastAsia"/>
          <w:color w:val="000000"/>
        </w:rPr>
      </w:pP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8.5</w:t>
      </w:r>
      <w:r>
        <w:rPr>
          <w:rFonts w:hint="eastAsia" w:asciiTheme="majorEastAsia" w:hAnsiTheme="majorEastAsia" w:eastAsiaTheme="majorEastAsia"/>
          <w:color w:val="000000" w:themeColor="text1"/>
          <w:sz w:val="24"/>
          <w14:textFill>
            <w14:solidFill>
              <w14:schemeClr w14:val="tx1"/>
            </w14:solidFill>
          </w14:textFill>
        </w:rPr>
        <w:t>视频监控管理</w:t>
      </w:r>
    </w:p>
    <w:p>
      <w:pPr>
        <w:pStyle w:val="8"/>
        <w:spacing w:after="0" w:line="360" w:lineRule="exact"/>
        <w:ind w:left="0" w:leftChars="0"/>
        <w:jc w:val="left"/>
        <w:rPr>
          <w:rFonts w:ascii="黑体" w:hAnsi="黑体" w:eastAsia="黑体" w:cs="黑体"/>
        </w:rPr>
      </w:pPr>
      <w:r>
        <w:rPr>
          <w:rFonts w:hint="eastAsia" w:ascii="黑体" w:hAnsi="黑体" w:eastAsia="黑体" w:cs="黑体"/>
        </w:rPr>
        <w:t>8.</w:t>
      </w:r>
      <w:r>
        <w:rPr>
          <w:rFonts w:ascii="黑体" w:hAnsi="黑体" w:eastAsia="黑体" w:cs="黑体"/>
        </w:rPr>
        <w:t>5.</w:t>
      </w:r>
      <w:r>
        <w:rPr>
          <w:rFonts w:hint="eastAsia" w:ascii="黑体" w:hAnsi="黑体" w:eastAsia="黑体" w:cs="黑体"/>
        </w:rPr>
        <w:t>1视频监控功能内容</w:t>
      </w:r>
    </w:p>
    <w:p>
      <w:pPr>
        <w:adjustRightInd w:val="0"/>
        <w:snapToGrid w:val="0"/>
        <w:spacing w:line="360" w:lineRule="auto"/>
        <w:ind w:firstLine="420" w:firstLineChars="200"/>
      </w:pPr>
      <w:r>
        <w:rPr>
          <w:rFonts w:hint="eastAsia"/>
        </w:rPr>
        <w:t>视频监控功能包括：视频采集、视频查看、视频控制、数据存储、设备管理、权限管理、联动报警、监控中心等功能。</w:t>
      </w:r>
    </w:p>
    <w:p>
      <w:pPr>
        <w:pStyle w:val="8"/>
        <w:spacing w:after="0" w:line="360" w:lineRule="exact"/>
        <w:ind w:left="0" w:leftChars="0"/>
        <w:jc w:val="left"/>
        <w:rPr>
          <w:rFonts w:ascii="黑体" w:hAnsi="黑体" w:eastAsia="黑体" w:cs="黑体"/>
        </w:rPr>
      </w:pPr>
      <w:r>
        <w:rPr>
          <w:rFonts w:hint="eastAsia" w:ascii="黑体" w:hAnsi="黑体" w:eastAsia="黑体" w:cs="黑体"/>
        </w:rPr>
        <w:t>8.</w:t>
      </w:r>
      <w:r>
        <w:rPr>
          <w:rFonts w:ascii="黑体" w:hAnsi="黑体" w:eastAsia="黑体" w:cs="黑体"/>
        </w:rPr>
        <w:t>5.</w:t>
      </w:r>
      <w:r>
        <w:rPr>
          <w:rFonts w:hint="eastAsia" w:ascii="黑体" w:hAnsi="黑体" w:eastAsia="黑体" w:cs="黑体"/>
        </w:rPr>
        <w:t>2视频功能要求</w:t>
      </w:r>
    </w:p>
    <w:p>
      <w:pPr>
        <w:pStyle w:val="8"/>
        <w:spacing w:after="0" w:line="360" w:lineRule="exact"/>
        <w:ind w:left="0" w:leftChars="0"/>
        <w:jc w:val="left"/>
        <w:rPr>
          <w:rFonts w:ascii="黑体" w:hAnsi="黑体" w:eastAsia="黑体" w:cs="黑体"/>
        </w:rPr>
      </w:pPr>
      <w:r>
        <w:rPr>
          <w:rFonts w:hint="eastAsia" w:ascii="黑体" w:hAnsi="黑体" w:eastAsia="黑体" w:cs="黑体"/>
        </w:rPr>
        <w:t>（1）视频采集</w:t>
      </w:r>
    </w:p>
    <w:p>
      <w:pPr>
        <w:adjustRightInd w:val="0"/>
        <w:snapToGrid w:val="0"/>
        <w:spacing w:line="360" w:lineRule="auto"/>
        <w:ind w:firstLine="480"/>
      </w:pPr>
      <w:r>
        <w:rPr>
          <w:rFonts w:hint="eastAsia"/>
        </w:rPr>
        <w:t>（a）采集范围覆盖包括但不限于施工出入口、重点施工作业区域、危大工程作业面。</w:t>
      </w:r>
    </w:p>
    <w:p>
      <w:pPr>
        <w:adjustRightInd w:val="0"/>
        <w:snapToGrid w:val="0"/>
        <w:spacing w:line="360" w:lineRule="auto"/>
        <w:ind w:firstLine="480"/>
      </w:pPr>
      <w:r>
        <w:rPr>
          <w:rFonts w:hint="eastAsia"/>
        </w:rPr>
        <w:t>（b）施工作业区域、危大工程作业面、危险区域、禁止进入区域。</w:t>
      </w:r>
    </w:p>
    <w:p>
      <w:pPr>
        <w:adjustRightInd w:val="0"/>
        <w:snapToGrid w:val="0"/>
        <w:spacing w:line="360" w:lineRule="auto"/>
        <w:ind w:firstLine="480"/>
      </w:pPr>
      <w:r>
        <w:rPr>
          <w:rFonts w:hint="eastAsia"/>
        </w:rPr>
        <w:t>（c）根据建筑面积确定监控点最低数量。</w:t>
      </w:r>
    </w:p>
    <w:p>
      <w:pPr>
        <w:adjustRightInd w:val="0"/>
        <w:snapToGrid w:val="0"/>
        <w:spacing w:line="360" w:lineRule="auto"/>
        <w:ind w:firstLine="480"/>
      </w:pPr>
      <w:r>
        <w:rPr>
          <w:rFonts w:hint="eastAsia"/>
        </w:rPr>
        <w:t>（d）在制高点布置不少于1台高清球形摄像机，水平支持360°旋转，支持巡航、守望位、先扫画面冻结功能。</w:t>
      </w:r>
    </w:p>
    <w:p>
      <w:pPr>
        <w:adjustRightInd w:val="0"/>
        <w:snapToGrid w:val="0"/>
        <w:spacing w:line="360" w:lineRule="auto"/>
        <w:ind w:firstLine="480"/>
      </w:pPr>
      <w:r>
        <w:rPr>
          <w:rFonts w:hint="eastAsia"/>
        </w:rPr>
        <w:t>（e）监控数据具备联网传输功能。</w:t>
      </w:r>
    </w:p>
    <w:p>
      <w:pPr>
        <w:adjustRightInd w:val="0"/>
        <w:snapToGrid w:val="0"/>
        <w:spacing w:line="360" w:lineRule="auto"/>
        <w:ind w:firstLine="480"/>
      </w:pPr>
      <w:r>
        <w:rPr>
          <w:rFonts w:hint="eastAsia"/>
        </w:rPr>
        <w:t>（f）具备夜间视频采集能力，有效可视距离不小于30m。</w:t>
      </w:r>
    </w:p>
    <w:p>
      <w:pPr>
        <w:adjustRightInd w:val="0"/>
        <w:snapToGrid w:val="0"/>
        <w:spacing w:line="360" w:lineRule="auto"/>
        <w:ind w:firstLine="480"/>
      </w:pPr>
      <w:r>
        <w:rPr>
          <w:rFonts w:hint="eastAsia"/>
        </w:rPr>
        <w:t>（g）对生活区进行视屏全覆盖，对作业区域开阔面实现全覆盖。</w:t>
      </w:r>
    </w:p>
    <w:p>
      <w:pPr>
        <w:adjustRightInd w:val="0"/>
        <w:snapToGrid w:val="0"/>
        <w:spacing w:line="360" w:lineRule="auto"/>
        <w:ind w:firstLine="480"/>
      </w:pPr>
      <w:r>
        <w:rPr>
          <w:rFonts w:hint="eastAsia"/>
        </w:rPr>
        <w:t>（h）支持不少于6路采集数据图像OSD叠加</w:t>
      </w:r>
    </w:p>
    <w:p>
      <w:pPr>
        <w:adjustRightInd w:val="0"/>
        <w:snapToGrid w:val="0"/>
        <w:spacing w:line="360" w:lineRule="auto"/>
        <w:ind w:firstLine="480"/>
      </w:pPr>
      <w:r>
        <w:rPr>
          <w:rFonts w:hint="eastAsia"/>
        </w:rPr>
        <w:t>（i）出入口设置不少于1台人脸比对图像识别设备</w:t>
      </w:r>
    </w:p>
    <w:p>
      <w:pPr>
        <w:adjustRightInd w:val="0"/>
        <w:snapToGrid w:val="0"/>
        <w:spacing w:line="360" w:lineRule="auto"/>
        <w:ind w:firstLine="480"/>
      </w:pPr>
      <w:r>
        <w:rPr>
          <w:rFonts w:hint="eastAsia"/>
        </w:rPr>
        <w:t>（j）支持兼容HTML5标准的HLS视屏流</w:t>
      </w:r>
    </w:p>
    <w:p>
      <w:pPr>
        <w:adjustRightInd w:val="0"/>
        <w:snapToGrid w:val="0"/>
        <w:spacing w:line="360" w:lineRule="auto"/>
        <w:ind w:firstLine="480"/>
      </w:pPr>
      <w:r>
        <w:rPr>
          <w:rFonts w:hint="eastAsia"/>
        </w:rPr>
        <w:t>（k）提供安全帽、工作服穿戴识别、图像测距功能</w:t>
      </w:r>
    </w:p>
    <w:p>
      <w:pPr>
        <w:adjustRightInd w:val="0"/>
        <w:snapToGrid w:val="0"/>
        <w:spacing w:line="360" w:lineRule="auto"/>
        <w:ind w:firstLine="480"/>
      </w:pPr>
      <w:r>
        <w:rPr>
          <w:rFonts w:hint="eastAsia"/>
        </w:rPr>
        <w:t>（l）提供图像抓拍黑、白名单比对及对接第三方数据库</w:t>
      </w:r>
    </w:p>
    <w:p>
      <w:pPr>
        <w:adjustRightInd w:val="0"/>
        <w:snapToGrid w:val="0"/>
        <w:spacing w:line="360" w:lineRule="auto"/>
        <w:ind w:firstLine="480"/>
      </w:pPr>
      <w:r>
        <w:rPr>
          <w:rFonts w:hint="eastAsia"/>
        </w:rPr>
        <w:t>（m）提供音频采集功能，能实现视频、音频同步切换</w:t>
      </w:r>
    </w:p>
    <w:p>
      <w:pPr>
        <w:pStyle w:val="8"/>
        <w:spacing w:after="0" w:line="360" w:lineRule="exact"/>
        <w:ind w:left="0" w:leftChars="0"/>
        <w:jc w:val="left"/>
        <w:rPr>
          <w:rFonts w:ascii="黑体" w:hAnsi="黑体" w:eastAsia="黑体" w:cs="黑体"/>
        </w:rPr>
      </w:pPr>
      <w:r>
        <w:rPr>
          <w:rFonts w:hint="eastAsia" w:ascii="黑体" w:hAnsi="黑体" w:eastAsia="黑体" w:cs="黑体"/>
        </w:rPr>
        <w:t>（2）视频查看</w:t>
      </w:r>
    </w:p>
    <w:p>
      <w:pPr>
        <w:adjustRightInd w:val="0"/>
        <w:snapToGrid w:val="0"/>
        <w:spacing w:line="360" w:lineRule="auto"/>
        <w:ind w:firstLine="420" w:firstLineChars="200"/>
      </w:pPr>
      <w:r>
        <w:rPr>
          <w:rFonts w:hint="eastAsia"/>
        </w:rPr>
        <w:t>（a）提供监控控视频实时查看功能</w:t>
      </w:r>
    </w:p>
    <w:p>
      <w:pPr>
        <w:adjustRightInd w:val="0"/>
        <w:snapToGrid w:val="0"/>
        <w:spacing w:line="360" w:lineRule="auto"/>
        <w:ind w:firstLine="420" w:firstLineChars="200"/>
      </w:pPr>
      <w:r>
        <w:rPr>
          <w:rFonts w:hint="eastAsia"/>
        </w:rPr>
        <w:t>（b）提供视频回放功能，支持通过IP地址、时间预警类型、名称等检锁功能，支持多路同步回放、全品回放、视频摘要等功能。</w:t>
      </w:r>
    </w:p>
    <w:p>
      <w:pPr>
        <w:adjustRightInd w:val="0"/>
        <w:snapToGrid w:val="0"/>
        <w:spacing w:line="360" w:lineRule="auto"/>
        <w:ind w:firstLine="420" w:firstLineChars="200"/>
      </w:pPr>
      <w:r>
        <w:rPr>
          <w:rFonts w:hint="eastAsia"/>
        </w:rPr>
        <w:t>（c）提供摄像头分组布局，多面浏览等功能</w:t>
      </w:r>
    </w:p>
    <w:p>
      <w:pPr>
        <w:adjustRightInd w:val="0"/>
        <w:snapToGrid w:val="0"/>
        <w:spacing w:line="360" w:lineRule="auto"/>
        <w:ind w:firstLine="420" w:firstLineChars="200"/>
      </w:pPr>
      <w:r>
        <w:rPr>
          <w:rFonts w:hint="eastAsia"/>
        </w:rPr>
        <w:t>（d）提供视频轮巡功能，能支持设置轮巡时间间隔，能支持多个摄像头显示顺序设置</w:t>
      </w:r>
    </w:p>
    <w:p>
      <w:pPr>
        <w:adjustRightInd w:val="0"/>
        <w:snapToGrid w:val="0"/>
        <w:spacing w:line="360" w:lineRule="auto"/>
        <w:ind w:firstLine="420" w:firstLineChars="200"/>
      </w:pPr>
      <w:r>
        <w:rPr>
          <w:rFonts w:hint="eastAsia"/>
        </w:rPr>
        <w:t>（e）提供通过互联网实现实时视频查看功能，端到端视频延时不大于3S，图像分辨率不小于1280×720</w:t>
      </w:r>
    </w:p>
    <w:p>
      <w:pPr>
        <w:adjustRightInd w:val="0"/>
        <w:snapToGrid w:val="0"/>
        <w:spacing w:line="360" w:lineRule="auto"/>
        <w:ind w:firstLine="420" w:firstLineChars="200"/>
      </w:pPr>
      <w:r>
        <w:rPr>
          <w:rFonts w:hint="eastAsia"/>
        </w:rPr>
        <w:t>（f）提供通过移动端实现实时视频查看功能，端到端视频延时不大于3S，图像分辨率不小于480×800</w:t>
      </w:r>
    </w:p>
    <w:p>
      <w:pPr>
        <w:adjustRightInd w:val="0"/>
        <w:snapToGrid w:val="0"/>
        <w:spacing w:line="360" w:lineRule="auto"/>
        <w:ind w:firstLine="420" w:firstLineChars="200"/>
      </w:pPr>
      <w:r>
        <w:rPr>
          <w:rFonts w:hint="eastAsia"/>
        </w:rPr>
        <w:t>（g）支持三码流、心跳。多客户端同时访问。</w:t>
      </w:r>
    </w:p>
    <w:p>
      <w:pPr>
        <w:adjustRightInd w:val="0"/>
        <w:snapToGrid w:val="0"/>
        <w:spacing w:line="360" w:lineRule="auto"/>
        <w:ind w:firstLine="420" w:firstLineChars="200"/>
      </w:pPr>
      <w:r>
        <w:rPr>
          <w:rFonts w:hint="eastAsia"/>
        </w:rPr>
        <w:t>（h）食品本地数据回放分辨率不低于1920×1080.</w:t>
      </w:r>
    </w:p>
    <w:p>
      <w:pPr>
        <w:pStyle w:val="8"/>
        <w:spacing w:after="0" w:line="360" w:lineRule="exact"/>
        <w:ind w:left="0" w:leftChars="0"/>
        <w:jc w:val="left"/>
        <w:rPr>
          <w:rFonts w:ascii="黑体" w:hAnsi="黑体" w:eastAsia="黑体" w:cs="黑体"/>
        </w:rPr>
      </w:pPr>
      <w:r>
        <w:rPr>
          <w:rFonts w:hint="eastAsia" w:ascii="黑体" w:hAnsi="黑体" w:eastAsia="黑体" w:cs="黑体"/>
        </w:rPr>
        <w:t>（3）视频查看</w:t>
      </w:r>
    </w:p>
    <w:p>
      <w:pPr>
        <w:adjustRightInd w:val="0"/>
        <w:snapToGrid w:val="0"/>
        <w:spacing w:line="360" w:lineRule="auto"/>
        <w:ind w:firstLine="420" w:firstLineChars="200"/>
      </w:pPr>
      <w:r>
        <w:rPr>
          <w:rFonts w:hint="eastAsia"/>
        </w:rPr>
        <w:t>（a）提供云台控制功能，可实现调节摄像头的旋转角度、镜头景深远近等</w:t>
      </w:r>
    </w:p>
    <w:p>
      <w:pPr>
        <w:adjustRightInd w:val="0"/>
        <w:snapToGrid w:val="0"/>
        <w:spacing w:line="360" w:lineRule="auto"/>
        <w:ind w:firstLine="420" w:firstLineChars="200"/>
      </w:pPr>
      <w:r>
        <w:rPr>
          <w:rFonts w:hint="eastAsia"/>
        </w:rPr>
        <w:t>（b）支持BMP/JPG图片手动或自动抓拍</w:t>
      </w:r>
    </w:p>
    <w:p>
      <w:pPr>
        <w:pStyle w:val="8"/>
        <w:spacing w:after="0" w:line="360" w:lineRule="exact"/>
        <w:ind w:left="0" w:leftChars="0"/>
        <w:jc w:val="left"/>
        <w:rPr>
          <w:rFonts w:ascii="黑体" w:hAnsi="黑体" w:eastAsia="黑体" w:cs="黑体"/>
        </w:rPr>
      </w:pPr>
      <w:r>
        <w:rPr>
          <w:rFonts w:hint="eastAsia" w:ascii="黑体" w:hAnsi="黑体" w:eastAsia="黑体" w:cs="黑体"/>
        </w:rPr>
        <w:t>（4）数据存储</w:t>
      </w:r>
    </w:p>
    <w:p>
      <w:pPr>
        <w:adjustRightInd w:val="0"/>
        <w:snapToGrid w:val="0"/>
        <w:spacing w:line="360" w:lineRule="auto"/>
        <w:ind w:firstLine="420" w:firstLineChars="200"/>
      </w:pPr>
      <w:r>
        <w:rPr>
          <w:rFonts w:hint="eastAsia"/>
        </w:rPr>
        <w:t>（a）视频存储时间不应小于30d</w:t>
      </w:r>
    </w:p>
    <w:p>
      <w:pPr>
        <w:adjustRightInd w:val="0"/>
        <w:snapToGrid w:val="0"/>
        <w:spacing w:line="360" w:lineRule="auto"/>
        <w:ind w:firstLine="420" w:firstLineChars="200"/>
      </w:pPr>
      <w:r>
        <w:rPr>
          <w:rFonts w:hint="eastAsia"/>
        </w:rPr>
        <w:t>（b）提供视频备份功能，支持视频日志备份功能</w:t>
      </w:r>
    </w:p>
    <w:p>
      <w:pPr>
        <w:adjustRightInd w:val="0"/>
        <w:snapToGrid w:val="0"/>
        <w:spacing w:line="360" w:lineRule="auto"/>
        <w:ind w:firstLine="420" w:firstLineChars="200"/>
      </w:pPr>
      <w:r>
        <w:rPr>
          <w:rFonts w:hint="eastAsia"/>
        </w:rPr>
        <w:t>（c）支持图片、视频、数据分类存储</w:t>
      </w:r>
    </w:p>
    <w:p>
      <w:pPr>
        <w:adjustRightInd w:val="0"/>
        <w:snapToGrid w:val="0"/>
        <w:spacing w:line="360" w:lineRule="auto"/>
        <w:ind w:firstLine="420" w:firstLineChars="200"/>
      </w:pPr>
      <w:r>
        <w:rPr>
          <w:rFonts w:hint="eastAsia"/>
        </w:rPr>
        <w:t>（d）支持H264、H265混合编码</w:t>
      </w:r>
    </w:p>
    <w:p>
      <w:pPr>
        <w:pStyle w:val="8"/>
        <w:spacing w:after="0" w:line="360" w:lineRule="exact"/>
        <w:ind w:left="0" w:leftChars="0"/>
        <w:jc w:val="left"/>
        <w:rPr>
          <w:rFonts w:ascii="黑体" w:hAnsi="黑体" w:eastAsia="黑体" w:cs="黑体"/>
        </w:rPr>
      </w:pPr>
      <w:r>
        <w:rPr>
          <w:rFonts w:hint="eastAsia" w:ascii="黑体" w:hAnsi="黑体" w:eastAsia="黑体" w:cs="黑体"/>
        </w:rPr>
        <w:t>（5）设备管理</w:t>
      </w:r>
    </w:p>
    <w:p>
      <w:pPr>
        <w:adjustRightInd w:val="0"/>
        <w:snapToGrid w:val="0"/>
        <w:spacing w:line="360" w:lineRule="auto"/>
        <w:ind w:firstLine="420" w:firstLineChars="200"/>
      </w:pPr>
      <w:r>
        <w:rPr>
          <w:rFonts w:hint="eastAsia"/>
        </w:rPr>
        <w:t>（a）提供设备IP地址配置功能</w:t>
      </w:r>
    </w:p>
    <w:p>
      <w:pPr>
        <w:adjustRightInd w:val="0"/>
        <w:snapToGrid w:val="0"/>
        <w:spacing w:line="360" w:lineRule="auto"/>
        <w:ind w:firstLine="420" w:firstLineChars="200"/>
      </w:pPr>
      <w:r>
        <w:rPr>
          <w:rFonts w:hint="eastAsia"/>
        </w:rPr>
        <w:t>（b）提供设备参数配置功能</w:t>
      </w:r>
    </w:p>
    <w:p>
      <w:pPr>
        <w:adjustRightInd w:val="0"/>
        <w:snapToGrid w:val="0"/>
        <w:spacing w:line="360" w:lineRule="auto"/>
        <w:ind w:firstLine="420" w:firstLineChars="200"/>
      </w:pPr>
      <w:r>
        <w:rPr>
          <w:rFonts w:hint="eastAsia"/>
        </w:rPr>
        <w:t>（c）提供设备权限设置功能</w:t>
      </w:r>
    </w:p>
    <w:p>
      <w:pPr>
        <w:pStyle w:val="8"/>
        <w:spacing w:after="0" w:line="360" w:lineRule="exact"/>
        <w:ind w:left="0" w:leftChars="0"/>
        <w:jc w:val="left"/>
        <w:rPr>
          <w:rFonts w:ascii="黑体" w:hAnsi="黑体" w:eastAsia="黑体" w:cs="黑体"/>
        </w:rPr>
      </w:pPr>
      <w:bookmarkStart w:id="46" w:name="OLE_LINK3"/>
      <w:r>
        <w:rPr>
          <w:rFonts w:hint="eastAsia" w:ascii="黑体" w:hAnsi="黑体" w:eastAsia="黑体" w:cs="黑体"/>
        </w:rPr>
        <w:t>（6）联动报警</w:t>
      </w:r>
    </w:p>
    <w:bookmarkEnd w:id="46"/>
    <w:p>
      <w:pPr>
        <w:adjustRightInd w:val="0"/>
        <w:snapToGrid w:val="0"/>
        <w:spacing w:line="360" w:lineRule="auto"/>
        <w:ind w:firstLine="420" w:firstLineChars="200"/>
      </w:pPr>
      <w:r>
        <w:rPr>
          <w:rFonts w:hint="eastAsia"/>
        </w:rPr>
        <w:t>（a）提供环境检测和设备状态异常报警联动功能</w:t>
      </w:r>
    </w:p>
    <w:p>
      <w:pPr>
        <w:adjustRightInd w:val="0"/>
        <w:snapToGrid w:val="0"/>
        <w:spacing w:line="360" w:lineRule="auto"/>
        <w:ind w:firstLine="420" w:firstLineChars="200"/>
      </w:pPr>
      <w:r>
        <w:rPr>
          <w:rFonts w:hint="eastAsia"/>
        </w:rPr>
        <w:t>（b）具备外接联动报警设备能力</w:t>
      </w:r>
    </w:p>
    <w:p>
      <w:pPr>
        <w:adjustRightInd w:val="0"/>
        <w:snapToGrid w:val="0"/>
        <w:spacing w:line="360" w:lineRule="auto"/>
        <w:ind w:firstLine="420" w:firstLineChars="200"/>
      </w:pPr>
      <w:r>
        <w:rPr>
          <w:rFonts w:hint="eastAsia"/>
        </w:rPr>
        <w:t>（c）提供UWB、蓝牙、RFID实现定位。轨迹联动功能</w:t>
      </w:r>
    </w:p>
    <w:p>
      <w:pPr>
        <w:adjustRightInd w:val="0"/>
        <w:snapToGrid w:val="0"/>
        <w:spacing w:line="360" w:lineRule="auto"/>
        <w:ind w:firstLine="420" w:firstLineChars="200"/>
      </w:pPr>
      <w:r>
        <w:rPr>
          <w:rFonts w:hint="eastAsia"/>
        </w:rPr>
        <w:t>（d）提供自动识别功能，包括但不限于：人脸识别、车辆识别、行为识别</w:t>
      </w:r>
    </w:p>
    <w:p>
      <w:pPr>
        <w:adjustRightInd w:val="0"/>
        <w:snapToGrid w:val="0"/>
        <w:spacing w:line="360" w:lineRule="auto"/>
        <w:ind w:firstLine="420" w:firstLineChars="200"/>
      </w:pPr>
      <w:r>
        <w:rPr>
          <w:rFonts w:hint="eastAsia"/>
        </w:rPr>
        <w:t>（e）出现打架斗殴时，提供自动预警功能</w:t>
      </w:r>
    </w:p>
    <w:p>
      <w:pPr>
        <w:adjustRightInd w:val="0"/>
        <w:snapToGrid w:val="0"/>
        <w:spacing w:line="360" w:lineRule="auto"/>
        <w:ind w:firstLine="420" w:firstLineChars="200"/>
      </w:pPr>
      <w:r>
        <w:rPr>
          <w:rFonts w:hint="eastAsia"/>
        </w:rPr>
        <w:t>（f）提供移动侦测，视频遮挡，周界，拌线，人脸识别，物品遗失，失焦、偏色检测，物体跟踪，场景变换检测等功能</w:t>
      </w:r>
    </w:p>
    <w:p>
      <w:pPr>
        <w:pStyle w:val="8"/>
        <w:spacing w:after="0" w:line="360" w:lineRule="exact"/>
        <w:ind w:left="0" w:leftChars="0"/>
        <w:jc w:val="left"/>
        <w:rPr>
          <w:rFonts w:ascii="黑体" w:hAnsi="黑体" w:eastAsia="黑体" w:cs="黑体"/>
        </w:rPr>
      </w:pPr>
      <w:r>
        <w:rPr>
          <w:rFonts w:hint="eastAsia" w:ascii="黑体" w:hAnsi="黑体" w:eastAsia="黑体" w:cs="黑体"/>
        </w:rPr>
        <w:t>（7）监控中心</w:t>
      </w:r>
    </w:p>
    <w:p>
      <w:pPr>
        <w:adjustRightInd w:val="0"/>
        <w:snapToGrid w:val="0"/>
        <w:spacing w:line="360" w:lineRule="auto"/>
        <w:ind w:firstLine="420" w:firstLineChars="200"/>
      </w:pPr>
      <w:r>
        <w:rPr>
          <w:rFonts w:hint="eastAsia"/>
        </w:rPr>
        <w:t>（a）支持分布式、集中式等多种管理模式</w:t>
      </w:r>
    </w:p>
    <w:p>
      <w:pPr>
        <w:adjustRightInd w:val="0"/>
        <w:snapToGrid w:val="0"/>
        <w:spacing w:line="360" w:lineRule="auto"/>
        <w:ind w:firstLine="420" w:firstLineChars="200"/>
      </w:pPr>
      <w:r>
        <w:rPr>
          <w:rFonts w:hint="eastAsia"/>
        </w:rPr>
        <w:t>（b）监控系统具备不少于三级组织架构管理能力</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8.6</w:t>
      </w:r>
      <w:r>
        <w:rPr>
          <w:rFonts w:hint="eastAsia" w:asciiTheme="majorEastAsia" w:hAnsiTheme="majorEastAsia" w:eastAsiaTheme="majorEastAsia"/>
          <w:color w:val="000000" w:themeColor="text1"/>
          <w:sz w:val="24"/>
          <w14:textFill>
            <w14:solidFill>
              <w14:schemeClr w14:val="tx1"/>
            </w14:solidFill>
          </w14:textFill>
        </w:rPr>
        <w:t>呼叫对讲即时通讯</w:t>
      </w:r>
    </w:p>
    <w:p>
      <w:pPr>
        <w:pStyle w:val="25"/>
        <w:adjustRightInd w:val="0"/>
        <w:snapToGrid w:val="0"/>
        <w:spacing w:line="360" w:lineRule="auto"/>
        <w:jc w:val="both"/>
      </w:pPr>
      <w:r>
        <w:rPr>
          <w:rFonts w:hint="eastAsia"/>
        </w:rPr>
        <w:t>（1）通过网络终端A</w:t>
      </w:r>
      <w:r>
        <w:t>PP</w:t>
      </w:r>
      <w:r>
        <w:rPr>
          <w:rFonts w:hint="eastAsia"/>
        </w:rPr>
        <w:t>功能及现场局域网络实现现场呼叫对讲功能。</w:t>
      </w:r>
    </w:p>
    <w:p>
      <w:pPr>
        <w:pStyle w:val="25"/>
        <w:adjustRightInd w:val="0"/>
        <w:snapToGrid w:val="0"/>
        <w:spacing w:line="360" w:lineRule="auto"/>
        <w:jc w:val="both"/>
      </w:pPr>
      <w:r>
        <w:rPr>
          <w:rFonts w:hint="eastAsia"/>
        </w:rPr>
        <w:t>（2）攻克项目通讯壁垒，实现实时通讯，加强项目整体把控。</w:t>
      </w:r>
    </w:p>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47" w:name="_Toc153545440"/>
      <w:r>
        <w:rPr>
          <w:rFonts w:ascii="黑体" w:hAnsi="黑体" w:eastAsia="黑体" w:cs="黑体"/>
          <w:bCs/>
          <w:sz w:val="32"/>
          <w:szCs w:val="32"/>
        </w:rPr>
        <w:t>9</w:t>
      </w:r>
      <w:r>
        <w:rPr>
          <w:rFonts w:hint="eastAsia" w:ascii="黑体" w:hAnsi="黑体" w:eastAsia="黑体" w:cs="黑体"/>
          <w:bCs/>
          <w:sz w:val="32"/>
          <w:szCs w:val="32"/>
        </w:rPr>
        <w:t xml:space="preserve"> 合约管理</w:t>
      </w:r>
      <w:bookmarkEnd w:id="47"/>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9</w:t>
      </w:r>
      <w:r>
        <w:rPr>
          <w:rFonts w:asciiTheme="majorEastAsia" w:hAnsiTheme="majorEastAsia" w:eastAsiaTheme="majorEastAsia"/>
          <w:color w:val="000000" w:themeColor="text1"/>
          <w:sz w:val="24"/>
          <w14:textFill>
            <w14:solidFill>
              <w14:schemeClr w14:val="tx1"/>
            </w14:solidFill>
          </w14:textFill>
        </w:rPr>
        <w:t>.1</w:t>
      </w:r>
      <w:r>
        <w:rPr>
          <w:rFonts w:hint="eastAsia" w:asciiTheme="majorEastAsia" w:hAnsiTheme="majorEastAsia" w:eastAsiaTheme="majorEastAsia"/>
          <w:color w:val="000000" w:themeColor="text1"/>
          <w:sz w:val="24"/>
          <w14:textFill>
            <w14:solidFill>
              <w14:schemeClr w14:val="tx1"/>
            </w14:solidFill>
          </w14:textFill>
        </w:rPr>
        <w:t>资金盈亏及收支统计模块</w:t>
      </w:r>
    </w:p>
    <w:p>
      <w:pPr>
        <w:pStyle w:val="25"/>
        <w:adjustRightInd w:val="0"/>
        <w:snapToGrid w:val="0"/>
        <w:spacing w:line="360" w:lineRule="auto"/>
        <w:jc w:val="both"/>
      </w:pPr>
      <w:r>
        <w:rPr>
          <w:rFonts w:hint="eastAsia"/>
        </w:rPr>
        <w:t>9</w:t>
      </w:r>
      <w:r>
        <w:t>.1.1</w:t>
      </w:r>
      <w:r>
        <w:rPr>
          <w:rFonts w:hint="eastAsia"/>
        </w:rPr>
        <w:t>通过资金收入录入与现场实际成本统计实现收支盈亏实时显示。</w:t>
      </w:r>
    </w:p>
    <w:p>
      <w:pPr>
        <w:pStyle w:val="25"/>
        <w:adjustRightInd w:val="0"/>
        <w:snapToGrid w:val="0"/>
        <w:spacing w:line="360" w:lineRule="auto"/>
        <w:jc w:val="both"/>
      </w:pPr>
      <w:r>
        <w:rPr>
          <w:rFonts w:hint="eastAsia"/>
        </w:rPr>
        <w:t>9</w:t>
      </w:r>
      <w:r>
        <w:t>.1.2</w:t>
      </w:r>
      <w:r>
        <w:rPr>
          <w:rFonts w:hint="eastAsia"/>
        </w:rPr>
        <w:t>根据实时收支数据，为项目调整项目资源配置提供参数。</w:t>
      </w:r>
    </w:p>
    <w:p>
      <w:pPr>
        <w:pStyle w:val="25"/>
        <w:adjustRightInd w:val="0"/>
        <w:snapToGrid w:val="0"/>
        <w:spacing w:line="360" w:lineRule="auto"/>
        <w:jc w:val="both"/>
      </w:pPr>
      <w:r>
        <w:t>9.1.3</w:t>
      </w:r>
      <w:r>
        <w:rPr>
          <w:rFonts w:hint="eastAsia"/>
        </w:rPr>
        <w:t>实现月工程款报量及报价替代。</w:t>
      </w:r>
    </w:p>
    <w:p>
      <w:pPr>
        <w:pStyle w:val="25"/>
        <w:adjustRightInd w:val="0"/>
        <w:snapToGrid w:val="0"/>
        <w:spacing w:line="360" w:lineRule="auto"/>
        <w:jc w:val="both"/>
      </w:pPr>
      <w:r>
        <w:rPr>
          <w:rFonts w:hint="eastAsia"/>
        </w:rPr>
        <w:t>9</w:t>
      </w:r>
      <w:r>
        <w:t>.1.4</w:t>
      </w:r>
      <w:r>
        <w:rPr>
          <w:rFonts w:hint="eastAsia"/>
        </w:rPr>
        <w:t>对工程单项或部分超预算实现提示。</w:t>
      </w:r>
    </w:p>
    <w:p>
      <w:pPr>
        <w:adjustRightInd w:val="0"/>
        <w:snapToGrid w:val="0"/>
        <w:spacing w:line="360" w:lineRule="auto"/>
        <w:ind w:firstLine="420" w:firstLineChars="200"/>
        <w:rPr>
          <w:rFonts w:asciiTheme="minorEastAsia" w:hAnsiTheme="minorEastAsia"/>
          <w:color w:val="000000"/>
        </w:rPr>
      </w:pPr>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48" w:name="_Toc153545441"/>
      <w:r>
        <w:rPr>
          <w:rFonts w:ascii="黑体" w:hAnsi="黑体" w:eastAsia="黑体" w:cs="黑体"/>
          <w:bCs/>
          <w:sz w:val="32"/>
          <w:szCs w:val="32"/>
        </w:rPr>
        <w:t>10</w:t>
      </w:r>
      <w:r>
        <w:rPr>
          <w:rFonts w:hint="eastAsia" w:ascii="黑体" w:hAnsi="黑体" w:eastAsia="黑体" w:cs="黑体"/>
          <w:bCs/>
          <w:sz w:val="32"/>
          <w:szCs w:val="32"/>
        </w:rPr>
        <w:t>辅助管理</w:t>
      </w:r>
      <w:bookmarkEnd w:id="48"/>
    </w:p>
    <w:p>
      <w:pPr>
        <w:pStyle w:val="8"/>
        <w:adjustRightInd w:val="0"/>
        <w:snapToGrid w:val="0"/>
        <w:spacing w:after="0" w:line="360" w:lineRule="auto"/>
        <w:ind w:left="0" w:leftChars="0"/>
        <w:rPr>
          <w:rFonts w:asciiTheme="minorEastAsia" w:hAnsiTheme="minorEastAsia" w:eastAsiaTheme="minorEastAsia"/>
          <w:i/>
          <w:iCs/>
          <w:sz w:val="24"/>
        </w:rPr>
      </w:pPr>
      <w:r>
        <w:rPr>
          <w:rFonts w:asciiTheme="majorEastAsia" w:hAnsiTheme="majorEastAsia" w:eastAsiaTheme="majorEastAsia"/>
          <w:color w:val="000000" w:themeColor="text1"/>
          <w:sz w:val="24"/>
          <w14:textFill>
            <w14:solidFill>
              <w14:schemeClr w14:val="tx1"/>
            </w14:solidFill>
          </w14:textFill>
        </w:rPr>
        <w:t>10.1</w:t>
      </w:r>
      <w:r>
        <w:rPr>
          <w:rFonts w:hint="eastAsia" w:asciiTheme="majorEastAsia" w:hAnsiTheme="majorEastAsia" w:eastAsiaTheme="majorEastAsia"/>
          <w:color w:val="000000" w:themeColor="text1"/>
          <w:sz w:val="24"/>
          <w14:textFill>
            <w14:solidFill>
              <w14:schemeClr w14:val="tx1"/>
            </w14:solidFill>
          </w14:textFill>
        </w:rPr>
        <w:t>数据统计模块</w:t>
      </w:r>
      <w:r>
        <w:rPr>
          <w:rFonts w:asciiTheme="minorEastAsia" w:hAnsiTheme="minorEastAsia"/>
          <w:color w:val="000000"/>
        </w:rPr>
        <w:t xml:space="preserve"> </w:t>
      </w:r>
    </w:p>
    <w:p>
      <w:pPr>
        <w:pStyle w:val="25"/>
        <w:adjustRightInd w:val="0"/>
        <w:snapToGrid w:val="0"/>
        <w:spacing w:line="360" w:lineRule="auto"/>
        <w:jc w:val="both"/>
      </w:pPr>
      <w:r>
        <w:rPr>
          <w:rFonts w:hint="eastAsia"/>
        </w:rPr>
        <w:t>（1）通过终端扫码实现构件统计及基本信息统计。</w:t>
      </w:r>
    </w:p>
    <w:p>
      <w:pPr>
        <w:pStyle w:val="25"/>
        <w:adjustRightInd w:val="0"/>
        <w:snapToGrid w:val="0"/>
        <w:spacing w:line="360" w:lineRule="auto"/>
        <w:jc w:val="both"/>
      </w:pPr>
      <w:r>
        <w:rPr>
          <w:rFonts w:hint="eastAsia"/>
        </w:rPr>
        <w:t>（2）通过综合门禁系统、构件验收系统、材料成本录入系统实现成本统计，材料统计及劳动力统计。</w:t>
      </w:r>
    </w:p>
    <w:p>
      <w:pPr>
        <w:pStyle w:val="25"/>
        <w:adjustRightInd w:val="0"/>
        <w:snapToGrid w:val="0"/>
        <w:spacing w:line="360" w:lineRule="auto"/>
        <w:jc w:val="both"/>
      </w:pPr>
      <w:r>
        <w:rPr>
          <w:rFonts w:hint="eastAsia"/>
        </w:rPr>
        <w:t>（3）根据统计数据分析项目各项指标，为项目资源配置提供数据。</w:t>
      </w:r>
    </w:p>
    <w:p>
      <w:pPr>
        <w:pStyle w:val="8"/>
        <w:adjustRightInd w:val="0"/>
        <w:snapToGrid w:val="0"/>
        <w:spacing w:after="0" w:line="360" w:lineRule="auto"/>
        <w:ind w:left="0" w:leftChars="0"/>
        <w:rPr>
          <w:rFonts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1</w:t>
      </w:r>
      <w:r>
        <w:rPr>
          <w:rFonts w:asciiTheme="majorEastAsia" w:hAnsiTheme="majorEastAsia" w:eastAsiaTheme="majorEastAsia"/>
          <w:color w:val="000000" w:themeColor="text1"/>
          <w:sz w:val="24"/>
          <w14:textFill>
            <w14:solidFill>
              <w14:schemeClr w14:val="tx1"/>
            </w14:solidFill>
          </w14:textFill>
        </w:rPr>
        <w:t>0.2</w:t>
      </w:r>
      <w:r>
        <w:rPr>
          <w:rFonts w:hint="eastAsia" w:asciiTheme="majorEastAsia" w:hAnsiTheme="majorEastAsia" w:eastAsiaTheme="majorEastAsia"/>
          <w:color w:val="000000" w:themeColor="text1"/>
          <w:sz w:val="24"/>
          <w14:textFill>
            <w14:solidFill>
              <w14:schemeClr w14:val="tx1"/>
            </w14:solidFill>
          </w14:textFill>
        </w:rPr>
        <w:t>协同办公模块</w:t>
      </w:r>
    </w:p>
    <w:p>
      <w:pPr>
        <w:pStyle w:val="25"/>
        <w:adjustRightInd w:val="0"/>
        <w:snapToGrid w:val="0"/>
        <w:spacing w:line="360" w:lineRule="auto"/>
        <w:ind w:firstLine="420" w:firstLineChars="200"/>
        <w:jc w:val="left"/>
      </w:pPr>
      <w:r>
        <w:rPr>
          <w:rFonts w:hint="eastAsia"/>
        </w:rPr>
        <w:t>利用协同办公功能，将建设单位、监理单位、施工单位、设计单位及分包单位紧密联合起来，利用平台协同办公，提高沟通效率，减少沟通成本；</w:t>
      </w:r>
    </w:p>
    <w:p>
      <w:pPr>
        <w:pStyle w:val="11"/>
        <w:tabs>
          <w:tab w:val="right" w:leader="dot" w:pos="9355"/>
        </w:tabs>
        <w:adjustRightInd w:val="0"/>
        <w:snapToGrid w:val="0"/>
        <w:spacing w:beforeLines="0" w:afterLines="0" w:line="360" w:lineRule="auto"/>
        <w:jc w:val="center"/>
        <w:outlineLvl w:val="0"/>
        <w:rPr>
          <w:rFonts w:ascii="黑体" w:hAnsi="黑体" w:eastAsia="黑体" w:cs="黑体"/>
          <w:bCs/>
          <w:sz w:val="32"/>
          <w:szCs w:val="32"/>
        </w:rPr>
      </w:pPr>
      <w:bookmarkStart w:id="49" w:name="_Toc103885139"/>
      <w:bookmarkStart w:id="50" w:name="_Toc536471406"/>
    </w:p>
    <w:bookmarkEnd w:id="2"/>
    <w:bookmarkEnd w:id="49"/>
    <w:bookmarkEnd w:id="50"/>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rPr>
          <w:rFonts w:hint="eastAsia"/>
        </w:rPr>
      </w:pPr>
    </w:p>
    <w:p>
      <w:pPr>
        <w:pStyle w:val="9"/>
      </w:pPr>
    </w:p>
    <w:p>
      <w:pPr>
        <w:pStyle w:val="9"/>
      </w:pPr>
    </w:p>
    <w:p>
      <w:pPr>
        <w:pStyle w:val="9"/>
      </w:pPr>
    </w:p>
    <w:p>
      <w:pPr>
        <w:pStyle w:val="11"/>
        <w:tabs>
          <w:tab w:val="right" w:leader="dot" w:pos="9355"/>
        </w:tabs>
        <w:spacing w:before="156" w:beforeLines="50" w:after="156" w:afterLines="50" w:line="360" w:lineRule="exact"/>
        <w:jc w:val="center"/>
        <w:outlineLvl w:val="0"/>
        <w:rPr>
          <w:rFonts w:ascii="黑体" w:hAnsi="黑体" w:eastAsia="黑体" w:cs="黑体"/>
          <w:bCs/>
          <w:sz w:val="32"/>
          <w:szCs w:val="32"/>
        </w:rPr>
      </w:pPr>
      <w:bookmarkStart w:id="51" w:name="_Toc153545442"/>
      <w:r>
        <w:rPr>
          <w:rFonts w:hint="eastAsia" w:ascii="黑体" w:hAnsi="黑体" w:eastAsia="黑体" w:cs="黑体"/>
          <w:bCs/>
          <w:sz w:val="32"/>
          <w:szCs w:val="32"/>
        </w:rPr>
        <w:t>引用标准名录</w:t>
      </w:r>
      <w:bookmarkEnd w:id="51"/>
    </w:p>
    <w:p/>
    <w:p>
      <w:pPr>
        <w:spacing w:line="360" w:lineRule="exact"/>
        <w:ind w:firstLine="420" w:firstLineChars="200"/>
        <w:rPr>
          <w:rFonts w:hint="eastAsia" w:ascii="宋体" w:hAnsi="宋体" w:eastAsia="宋体" w:cs="Times New Roman"/>
          <w:bCs/>
          <w:kern w:val="2"/>
          <w:sz w:val="21"/>
          <w:szCs w:val="28"/>
          <w:lang w:val="en-US" w:eastAsia="zh-CN" w:bidi="ar-SA"/>
        </w:rPr>
      </w:pPr>
      <w:r>
        <w:rPr>
          <w:rFonts w:hint="eastAsia" w:ascii="宋体" w:hAnsi="宋体" w:eastAsia="宋体" w:cs="Times New Roman"/>
          <w:bCs/>
          <w:kern w:val="2"/>
          <w:sz w:val="21"/>
          <w:szCs w:val="28"/>
          <w:lang w:val="en-US" w:eastAsia="zh-CN" w:bidi="ar-SA"/>
        </w:rPr>
        <w:t>装配式建筑评价标准  GB/T51129-2017</w:t>
      </w:r>
    </w:p>
    <w:p>
      <w:pPr>
        <w:spacing w:line="360" w:lineRule="exact"/>
        <w:ind w:firstLine="420" w:firstLineChars="200"/>
        <w:rPr>
          <w:rFonts w:hint="eastAsia" w:ascii="宋体" w:hAnsi="宋体" w:eastAsia="宋体" w:cs="Times New Roman"/>
          <w:bCs/>
          <w:kern w:val="2"/>
          <w:sz w:val="21"/>
          <w:szCs w:val="28"/>
          <w:lang w:val="en-US" w:eastAsia="zh-CN" w:bidi="ar-SA"/>
        </w:rPr>
      </w:pPr>
      <w:r>
        <w:rPr>
          <w:rFonts w:hint="eastAsia" w:ascii="宋体" w:hAnsi="宋体" w:eastAsia="宋体" w:cs="Times New Roman"/>
          <w:bCs/>
          <w:kern w:val="2"/>
          <w:sz w:val="21"/>
          <w:szCs w:val="28"/>
          <w:lang w:val="en-US" w:eastAsia="zh-CN" w:bidi="ar-SA"/>
        </w:rPr>
        <w:t>装配式混凝土建筑技术标准  GB/T51231-2016</w:t>
      </w:r>
    </w:p>
    <w:p>
      <w:pPr>
        <w:spacing w:line="360" w:lineRule="exact"/>
        <w:ind w:firstLine="420" w:firstLineChars="200"/>
        <w:rPr>
          <w:rFonts w:hint="eastAsia" w:ascii="宋体" w:hAnsi="宋体" w:eastAsia="宋体" w:cs="Times New Roman"/>
          <w:bCs/>
          <w:kern w:val="2"/>
          <w:sz w:val="21"/>
          <w:szCs w:val="28"/>
          <w:lang w:val="en-US" w:eastAsia="zh-CN" w:bidi="ar-SA"/>
        </w:rPr>
      </w:pPr>
      <w:r>
        <w:rPr>
          <w:rFonts w:hint="eastAsia" w:ascii="宋体" w:hAnsi="宋体" w:eastAsia="宋体" w:cs="Times New Roman"/>
          <w:bCs/>
          <w:kern w:val="2"/>
          <w:sz w:val="21"/>
          <w:szCs w:val="28"/>
          <w:lang w:val="en-US" w:eastAsia="zh-CN" w:bidi="ar-SA"/>
        </w:rPr>
        <w:t>装配式混凝土结构技术规程  JGJ1-2014</w:t>
      </w:r>
    </w:p>
    <w:p>
      <w:pPr>
        <w:spacing w:line="360" w:lineRule="exact"/>
        <w:ind w:firstLine="420" w:firstLineChars="200"/>
        <w:rPr>
          <w:rFonts w:hint="eastAsia" w:ascii="宋体" w:hAnsi="宋体" w:eastAsia="宋体" w:cs="Times New Roman"/>
          <w:bCs/>
          <w:kern w:val="2"/>
          <w:sz w:val="21"/>
          <w:szCs w:val="28"/>
          <w:lang w:val="en-US" w:eastAsia="zh-CN" w:bidi="ar-SA"/>
        </w:rPr>
      </w:pPr>
      <w:r>
        <w:rPr>
          <w:rFonts w:hint="eastAsia" w:ascii="宋体" w:hAnsi="宋体" w:eastAsia="宋体" w:cs="Times New Roman"/>
          <w:bCs/>
          <w:kern w:val="2"/>
          <w:sz w:val="21"/>
          <w:szCs w:val="28"/>
          <w:lang w:val="en-US" w:eastAsia="zh-CN" w:bidi="ar-SA"/>
        </w:rPr>
        <w:t>预制带肋底板混凝土叠合楼板技术规程 JGJ258-2011</w:t>
      </w:r>
    </w:p>
    <w:p>
      <w:pPr>
        <w:spacing w:line="360" w:lineRule="exact"/>
        <w:ind w:firstLine="420" w:firstLineChars="200"/>
        <w:rPr>
          <w:rFonts w:hint="eastAsia" w:ascii="宋体" w:hAnsi="宋体" w:eastAsia="宋体" w:cs="Times New Roman"/>
          <w:bCs/>
          <w:kern w:val="2"/>
          <w:sz w:val="21"/>
          <w:szCs w:val="28"/>
          <w:lang w:val="en-US" w:eastAsia="zh-CN" w:bidi="ar-SA"/>
        </w:rPr>
      </w:pPr>
      <w:r>
        <w:rPr>
          <w:rFonts w:hint="eastAsia" w:ascii="宋体" w:hAnsi="宋体" w:eastAsia="宋体" w:cs="Times New Roman"/>
          <w:bCs/>
          <w:kern w:val="2"/>
          <w:sz w:val="21"/>
          <w:szCs w:val="28"/>
          <w:lang w:val="en-US" w:eastAsia="zh-CN" w:bidi="ar-SA"/>
        </w:rPr>
        <w:t>装配整体式钢筋焊接网叠合混凝土结构技术规程  T/CECS 579-2019</w:t>
      </w:r>
    </w:p>
    <w:p>
      <w:pPr>
        <w:spacing w:line="360" w:lineRule="exact"/>
        <w:ind w:firstLine="420" w:firstLineChars="200"/>
        <w:rPr>
          <w:rFonts w:hint="eastAsia" w:ascii="宋体" w:hAnsi="宋体" w:eastAsia="宋体" w:cs="Times New Roman"/>
          <w:bCs/>
          <w:kern w:val="2"/>
          <w:sz w:val="21"/>
          <w:szCs w:val="28"/>
          <w:lang w:val="en-US" w:eastAsia="zh-CN" w:bidi="ar-SA"/>
        </w:rPr>
      </w:pPr>
      <w:r>
        <w:rPr>
          <w:rFonts w:hint="eastAsia" w:ascii="宋体" w:hAnsi="宋体" w:eastAsia="宋体" w:cs="Times New Roman"/>
          <w:bCs/>
          <w:kern w:val="2"/>
          <w:sz w:val="21"/>
          <w:szCs w:val="28"/>
          <w:lang w:val="en-US" w:eastAsia="zh-CN" w:bidi="ar-SA"/>
        </w:rPr>
        <w:t>装配整体式叠合混凝土结构施工及质量验收标准 T/CEC1180-2022</w:t>
      </w:r>
    </w:p>
    <w:p>
      <w:pPr>
        <w:pStyle w:val="4"/>
        <w:rPr>
          <w:rFonts w:asciiTheme="majorEastAsia" w:hAnsiTheme="majorEastAsia" w:eastAsiaTheme="majorEastAsia"/>
          <w:bCs w:val="0"/>
          <w:color w:val="000000" w:themeColor="text1"/>
          <w:sz w:val="24"/>
          <w:szCs w:val="24"/>
          <w14:textFill>
            <w14:solidFill>
              <w14:schemeClr w14:val="tx1"/>
            </w14:solidFill>
          </w14:textFill>
        </w:rPr>
      </w:pPr>
    </w:p>
    <w:p>
      <w:pPr>
        <w:pStyle w:val="9"/>
      </w:pPr>
    </w:p>
    <w:sectPr>
      <w:footerReference r:id="rId4" w:type="default"/>
      <w:pgSz w:w="11906" w:h="16838"/>
      <w:pgMar w:top="1440" w:right="1406" w:bottom="1440" w:left="1406"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4" w:lineRule="auto"/>
      <w:jc w:val="center"/>
      <w:rPr>
        <w:rFonts w:ascii="黑体" w:hAnsi="黑体" w:eastAsia="黑体" w:cs="黑体"/>
        <w:sz w:val="27"/>
        <w:szCs w:val="27"/>
      </w:rPr>
    </w:pPr>
    <w:r>
      <w:rPr>
        <w:rFonts w:ascii="黑体" w:hAnsi="黑体" w:eastAsia="黑体" w:cs="黑体"/>
        <w:spacing w:val="17"/>
        <w:sz w:val="27"/>
        <w:szCs w:val="27"/>
      </w:rPr>
      <w:t>北</w:t>
    </w:r>
    <w:r>
      <w:rPr>
        <w:rFonts w:ascii="黑体" w:hAnsi="黑体" w:eastAsia="黑体" w:cs="黑体"/>
        <w:spacing w:val="9"/>
        <w:sz w:val="27"/>
        <w:szCs w:val="27"/>
      </w:rPr>
      <w:t>京市建设教育协会</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pStyle w:val="13"/>
      <w:suff w:val="nothing"/>
      <w:lvlText w:val="（%1）"/>
      <w:lvlJc w:val="left"/>
      <w:pPr>
        <w:tabs>
          <w:tab w:val="left" w:pos="0"/>
        </w:tabs>
        <w:ind w:left="8610"/>
      </w:pPr>
      <w:rPr>
        <w:rFonts w:hint="default"/>
      </w:rPr>
    </w:lvl>
    <w:lvl w:ilvl="1" w:tentative="0">
      <w:start w:val="1"/>
      <w:numFmt w:val="lowerLetter"/>
      <w:lvlText w:val="%2)"/>
      <w:lvlJc w:val="left"/>
      <w:pPr>
        <w:tabs>
          <w:tab w:val="left" w:pos="840"/>
        </w:tabs>
        <w:ind w:left="9240" w:hanging="420"/>
      </w:pPr>
    </w:lvl>
    <w:lvl w:ilvl="2" w:tentative="0">
      <w:start w:val="1"/>
      <w:numFmt w:val="lowerRoman"/>
      <w:lvlText w:val="%3."/>
      <w:lvlJc w:val="right"/>
      <w:pPr>
        <w:tabs>
          <w:tab w:val="left" w:pos="1260"/>
        </w:tabs>
        <w:ind w:left="9660" w:hanging="420"/>
      </w:pPr>
    </w:lvl>
    <w:lvl w:ilvl="3" w:tentative="0">
      <w:start w:val="1"/>
      <w:numFmt w:val="decimal"/>
      <w:lvlText w:val="%4."/>
      <w:lvlJc w:val="left"/>
      <w:pPr>
        <w:tabs>
          <w:tab w:val="left" w:pos="1680"/>
        </w:tabs>
        <w:ind w:left="10080" w:hanging="420"/>
      </w:pPr>
    </w:lvl>
    <w:lvl w:ilvl="4" w:tentative="0">
      <w:start w:val="1"/>
      <w:numFmt w:val="lowerLetter"/>
      <w:lvlText w:val="%5)"/>
      <w:lvlJc w:val="left"/>
      <w:pPr>
        <w:tabs>
          <w:tab w:val="left" w:pos="2100"/>
        </w:tabs>
        <w:ind w:left="10500" w:hanging="420"/>
      </w:pPr>
    </w:lvl>
    <w:lvl w:ilvl="5" w:tentative="0">
      <w:start w:val="1"/>
      <w:numFmt w:val="lowerRoman"/>
      <w:lvlText w:val="%6."/>
      <w:lvlJc w:val="right"/>
      <w:pPr>
        <w:tabs>
          <w:tab w:val="left" w:pos="2520"/>
        </w:tabs>
        <w:ind w:left="10920" w:hanging="420"/>
      </w:pPr>
    </w:lvl>
    <w:lvl w:ilvl="6" w:tentative="0">
      <w:start w:val="1"/>
      <w:numFmt w:val="decimal"/>
      <w:lvlText w:val="%7."/>
      <w:lvlJc w:val="left"/>
      <w:pPr>
        <w:tabs>
          <w:tab w:val="left" w:pos="2940"/>
        </w:tabs>
        <w:ind w:left="11340" w:hanging="420"/>
      </w:pPr>
    </w:lvl>
    <w:lvl w:ilvl="7" w:tentative="0">
      <w:start w:val="1"/>
      <w:numFmt w:val="lowerLetter"/>
      <w:lvlText w:val="%8)"/>
      <w:lvlJc w:val="left"/>
      <w:pPr>
        <w:tabs>
          <w:tab w:val="left" w:pos="3360"/>
        </w:tabs>
        <w:ind w:left="11760" w:hanging="420"/>
      </w:pPr>
    </w:lvl>
    <w:lvl w:ilvl="8" w:tentative="0">
      <w:start w:val="1"/>
      <w:numFmt w:val="lowerRoman"/>
      <w:lvlText w:val="%9."/>
      <w:lvlJc w:val="right"/>
      <w:pPr>
        <w:tabs>
          <w:tab w:val="left" w:pos="3780"/>
        </w:tabs>
        <w:ind w:left="121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0N2I0ZDg2YzEwMWZhZGE5MjllZDE4YzJiZWI3ZjUifQ=="/>
  </w:docVars>
  <w:rsids>
    <w:rsidRoot w:val="00D12433"/>
    <w:rsid w:val="00007FFA"/>
    <w:rsid w:val="0001364B"/>
    <w:rsid w:val="0006210B"/>
    <w:rsid w:val="00077202"/>
    <w:rsid w:val="00082497"/>
    <w:rsid w:val="00111269"/>
    <w:rsid w:val="00112A8E"/>
    <w:rsid w:val="00142542"/>
    <w:rsid w:val="001C2B3D"/>
    <w:rsid w:val="00210C99"/>
    <w:rsid w:val="002359F0"/>
    <w:rsid w:val="00261689"/>
    <w:rsid w:val="00280114"/>
    <w:rsid w:val="002A5314"/>
    <w:rsid w:val="002C0A35"/>
    <w:rsid w:val="002D7463"/>
    <w:rsid w:val="002E4830"/>
    <w:rsid w:val="00302190"/>
    <w:rsid w:val="0031411E"/>
    <w:rsid w:val="00322C86"/>
    <w:rsid w:val="00334166"/>
    <w:rsid w:val="003565A3"/>
    <w:rsid w:val="00360AFE"/>
    <w:rsid w:val="003D355C"/>
    <w:rsid w:val="004136A3"/>
    <w:rsid w:val="00461612"/>
    <w:rsid w:val="00484968"/>
    <w:rsid w:val="004A6DD3"/>
    <w:rsid w:val="004B6B35"/>
    <w:rsid w:val="005311FE"/>
    <w:rsid w:val="00536BC0"/>
    <w:rsid w:val="005620C2"/>
    <w:rsid w:val="00584CE7"/>
    <w:rsid w:val="00596050"/>
    <w:rsid w:val="005C013C"/>
    <w:rsid w:val="005C07A0"/>
    <w:rsid w:val="005C1BB0"/>
    <w:rsid w:val="005D381C"/>
    <w:rsid w:val="00616B94"/>
    <w:rsid w:val="00653D0C"/>
    <w:rsid w:val="006B3DA0"/>
    <w:rsid w:val="006D4392"/>
    <w:rsid w:val="006D542E"/>
    <w:rsid w:val="00702661"/>
    <w:rsid w:val="00713300"/>
    <w:rsid w:val="00713CDC"/>
    <w:rsid w:val="00732602"/>
    <w:rsid w:val="00745581"/>
    <w:rsid w:val="0076565F"/>
    <w:rsid w:val="00777FB6"/>
    <w:rsid w:val="007F3DF3"/>
    <w:rsid w:val="00812592"/>
    <w:rsid w:val="008145E1"/>
    <w:rsid w:val="00830CE2"/>
    <w:rsid w:val="00865449"/>
    <w:rsid w:val="0087469D"/>
    <w:rsid w:val="008D59C0"/>
    <w:rsid w:val="00986800"/>
    <w:rsid w:val="009B1BF3"/>
    <w:rsid w:val="009E7877"/>
    <w:rsid w:val="009F2743"/>
    <w:rsid w:val="00A058F1"/>
    <w:rsid w:val="00A14506"/>
    <w:rsid w:val="00A531AF"/>
    <w:rsid w:val="00A97399"/>
    <w:rsid w:val="00AC4E68"/>
    <w:rsid w:val="00AC5EBB"/>
    <w:rsid w:val="00AF3EF4"/>
    <w:rsid w:val="00B37290"/>
    <w:rsid w:val="00B71009"/>
    <w:rsid w:val="00BA4FC2"/>
    <w:rsid w:val="00BA7434"/>
    <w:rsid w:val="00BF2B59"/>
    <w:rsid w:val="00C153E5"/>
    <w:rsid w:val="00C26277"/>
    <w:rsid w:val="00CB1CCF"/>
    <w:rsid w:val="00CD038A"/>
    <w:rsid w:val="00CE3820"/>
    <w:rsid w:val="00D12433"/>
    <w:rsid w:val="00D6059C"/>
    <w:rsid w:val="00D749E5"/>
    <w:rsid w:val="00DB0BCB"/>
    <w:rsid w:val="00DE2621"/>
    <w:rsid w:val="00DE3587"/>
    <w:rsid w:val="00DF37C3"/>
    <w:rsid w:val="00E65856"/>
    <w:rsid w:val="00ED30F6"/>
    <w:rsid w:val="00F11644"/>
    <w:rsid w:val="00F660CA"/>
    <w:rsid w:val="00F82B81"/>
    <w:rsid w:val="00F83268"/>
    <w:rsid w:val="00F85759"/>
    <w:rsid w:val="00FE030E"/>
    <w:rsid w:val="02AE15D3"/>
    <w:rsid w:val="0380066E"/>
    <w:rsid w:val="06163BD1"/>
    <w:rsid w:val="06587D46"/>
    <w:rsid w:val="06E104FE"/>
    <w:rsid w:val="07A62D33"/>
    <w:rsid w:val="08336052"/>
    <w:rsid w:val="096864F2"/>
    <w:rsid w:val="0C155EAE"/>
    <w:rsid w:val="0D870F11"/>
    <w:rsid w:val="0DBC624E"/>
    <w:rsid w:val="10703EDE"/>
    <w:rsid w:val="1208183C"/>
    <w:rsid w:val="12B213D3"/>
    <w:rsid w:val="136C36A3"/>
    <w:rsid w:val="13BB2B22"/>
    <w:rsid w:val="13D34EB0"/>
    <w:rsid w:val="13E0137B"/>
    <w:rsid w:val="15363948"/>
    <w:rsid w:val="158C51CE"/>
    <w:rsid w:val="164B4C87"/>
    <w:rsid w:val="18931250"/>
    <w:rsid w:val="1A255D39"/>
    <w:rsid w:val="1AFA71C6"/>
    <w:rsid w:val="1CE22BA3"/>
    <w:rsid w:val="1D031C5E"/>
    <w:rsid w:val="1D9E53A3"/>
    <w:rsid w:val="1DA67951"/>
    <w:rsid w:val="1EFF012E"/>
    <w:rsid w:val="1F022AED"/>
    <w:rsid w:val="20A57BD4"/>
    <w:rsid w:val="2262451F"/>
    <w:rsid w:val="22F2594D"/>
    <w:rsid w:val="23B7130C"/>
    <w:rsid w:val="24217571"/>
    <w:rsid w:val="24872B98"/>
    <w:rsid w:val="29826D04"/>
    <w:rsid w:val="29FD638B"/>
    <w:rsid w:val="2B585F6F"/>
    <w:rsid w:val="2B9F47C1"/>
    <w:rsid w:val="2E9A689E"/>
    <w:rsid w:val="302723B3"/>
    <w:rsid w:val="30CE282F"/>
    <w:rsid w:val="30D75B88"/>
    <w:rsid w:val="360D5BA8"/>
    <w:rsid w:val="366A2FFA"/>
    <w:rsid w:val="38A50B06"/>
    <w:rsid w:val="39186A2C"/>
    <w:rsid w:val="39FC040D"/>
    <w:rsid w:val="3D260E53"/>
    <w:rsid w:val="45720E80"/>
    <w:rsid w:val="46E91DDA"/>
    <w:rsid w:val="47AC3472"/>
    <w:rsid w:val="4C6D519A"/>
    <w:rsid w:val="4D6C6F90"/>
    <w:rsid w:val="50C160A2"/>
    <w:rsid w:val="515E084A"/>
    <w:rsid w:val="51A46F68"/>
    <w:rsid w:val="54221FB6"/>
    <w:rsid w:val="54B27BEE"/>
    <w:rsid w:val="55C53951"/>
    <w:rsid w:val="5765020B"/>
    <w:rsid w:val="57805D82"/>
    <w:rsid w:val="57FF539E"/>
    <w:rsid w:val="58FD587D"/>
    <w:rsid w:val="5A473291"/>
    <w:rsid w:val="5A4E03B9"/>
    <w:rsid w:val="5F9D55F5"/>
    <w:rsid w:val="5F9E0521"/>
    <w:rsid w:val="63133F4E"/>
    <w:rsid w:val="63681C59"/>
    <w:rsid w:val="63CE60C7"/>
    <w:rsid w:val="63F01637"/>
    <w:rsid w:val="67DF6074"/>
    <w:rsid w:val="69270753"/>
    <w:rsid w:val="6A7529FC"/>
    <w:rsid w:val="6BB60A75"/>
    <w:rsid w:val="6C823EF2"/>
    <w:rsid w:val="6CDF30F3"/>
    <w:rsid w:val="6D167CF2"/>
    <w:rsid w:val="6F5E47A3"/>
    <w:rsid w:val="70221C74"/>
    <w:rsid w:val="71E35433"/>
    <w:rsid w:val="76DE441B"/>
    <w:rsid w:val="7C976B4A"/>
    <w:rsid w:val="7DC611BF"/>
    <w:rsid w:val="7DEA3F71"/>
    <w:rsid w:val="7F231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0"/>
    <w:pPr>
      <w:keepNext/>
      <w:spacing w:beforeLines="50" w:afterLines="50"/>
      <w:jc w:val="left"/>
      <w:outlineLvl w:val="0"/>
    </w:pPr>
    <w:rPr>
      <w:b/>
      <w:sz w:val="32"/>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20"/>
    <w:qFormat/>
    <w:uiPriority w:val="0"/>
    <w:pPr>
      <w:keepNext/>
      <w:keepLines/>
      <w:spacing w:before="100" w:beforeAutospacing="1" w:after="100" w:afterAutospacing="1"/>
      <w:jc w:val="left"/>
      <w:outlineLvl w:val="2"/>
    </w:pPr>
    <w:rPr>
      <w:b/>
      <w:bCs/>
      <w:szCs w:val="32"/>
    </w:rPr>
  </w:style>
  <w:style w:type="paragraph" w:styleId="5">
    <w:name w:val="heading 4"/>
    <w:basedOn w:val="1"/>
    <w:next w:val="1"/>
    <w:link w:val="21"/>
    <w:qFormat/>
    <w:uiPriority w:val="0"/>
    <w:pPr>
      <w:keepNext/>
      <w:jc w:val="center"/>
      <w:outlineLvl w:val="3"/>
    </w:pPr>
    <w:rPr>
      <w:i/>
      <w:iCs/>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6">
    <w:name w:val="Body Text"/>
    <w:basedOn w:val="1"/>
    <w:unhideWhenUsed/>
    <w:qFormat/>
    <w:uiPriority w:val="1"/>
    <w:pPr>
      <w:jc w:val="left"/>
    </w:pPr>
    <w:rPr>
      <w:rFonts w:ascii="宋体" w:hAnsi="宋体"/>
      <w:kern w:val="0"/>
      <w:szCs w:val="21"/>
    </w:rPr>
  </w:style>
  <w:style w:type="paragraph" w:styleId="7">
    <w:name w:val="Body Text Indent"/>
    <w:basedOn w:val="1"/>
    <w:next w:val="1"/>
    <w:semiHidden/>
    <w:qFormat/>
    <w:uiPriority w:val="99"/>
    <w:pPr>
      <w:spacing w:after="120"/>
      <w:ind w:left="420" w:leftChars="200"/>
    </w:pPr>
    <w:rPr>
      <w:sz w:val="22"/>
      <w:szCs w:val="20"/>
    </w:rPr>
  </w:style>
  <w:style w:type="paragraph" w:styleId="8">
    <w:name w:val="Body Text Indent 2"/>
    <w:basedOn w:val="1"/>
    <w:unhideWhenUsed/>
    <w:qFormat/>
    <w:uiPriority w:val="99"/>
    <w:pPr>
      <w:spacing w:after="120"/>
      <w:ind w:left="420" w:leftChars="200"/>
    </w:pPr>
  </w:style>
  <w:style w:type="paragraph" w:styleId="9">
    <w:name w:val="footer"/>
    <w:basedOn w:val="1"/>
    <w:unhideWhenUsed/>
    <w:qFormat/>
    <w:uiPriority w:val="99"/>
    <w:pPr>
      <w:tabs>
        <w:tab w:val="center" w:pos="4153"/>
        <w:tab w:val="right" w:pos="8306"/>
      </w:tabs>
      <w:snapToGrid w:val="0"/>
      <w:jc w:val="left"/>
    </w:pPr>
    <w:rPr>
      <w:sz w:val="18"/>
    </w:rPr>
  </w:style>
  <w:style w:type="paragraph" w:styleId="10">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pPr>
      <w:spacing w:beforeLines="25" w:afterLines="25"/>
      <w:jc w:val="left"/>
    </w:pPr>
    <w:rPr>
      <w:rFonts w:ascii="宋体"/>
      <w:szCs w:val="21"/>
    </w:rPr>
  </w:style>
  <w:style w:type="paragraph" w:styleId="12">
    <w:name w:val="toc 2"/>
    <w:basedOn w:val="1"/>
    <w:next w:val="1"/>
    <w:semiHidden/>
    <w:unhideWhenUsed/>
    <w:qFormat/>
    <w:uiPriority w:val="39"/>
    <w:pPr>
      <w:ind w:left="420" w:leftChars="200"/>
    </w:pPr>
  </w:style>
  <w:style w:type="paragraph" w:styleId="13">
    <w:name w:val="Body Text First Indent 2"/>
    <w:basedOn w:val="7"/>
    <w:next w:val="8"/>
    <w:unhideWhenUsed/>
    <w:qFormat/>
    <w:uiPriority w:val="99"/>
    <w:pPr>
      <w:numPr>
        <w:ilvl w:val="0"/>
        <w:numId w:val="1"/>
      </w:numPr>
      <w:ind w:firstLine="420"/>
    </w:pPr>
    <w:rPr>
      <w:rFonts w:eastAsia="仿宋"/>
    </w:rPr>
  </w:style>
  <w:style w:type="character" w:styleId="16">
    <w:name w:val="Strong"/>
    <w:basedOn w:val="15"/>
    <w:qFormat/>
    <w:uiPriority w:val="22"/>
    <w:rPr>
      <w:b/>
    </w:rPr>
  </w:style>
  <w:style w:type="character" w:styleId="17">
    <w:name w:val="Hyperlink"/>
    <w:basedOn w:val="15"/>
    <w:unhideWhenUsed/>
    <w:uiPriority w:val="99"/>
    <w:rPr>
      <w:color w:val="0563C1" w:themeColor="hyperlink"/>
      <w:u w:val="single"/>
      <w14:textFill>
        <w14:solidFill>
          <w14:schemeClr w14:val="hlink"/>
        </w14:solidFill>
      </w14:textFill>
    </w:rPr>
  </w:style>
  <w:style w:type="character" w:styleId="18">
    <w:name w:val="HTML Code"/>
    <w:basedOn w:val="15"/>
    <w:semiHidden/>
    <w:unhideWhenUsed/>
    <w:qFormat/>
    <w:uiPriority w:val="99"/>
    <w:rPr>
      <w:rFonts w:ascii="Courier New" w:hAnsi="Courier New"/>
      <w:sz w:val="20"/>
    </w:rPr>
  </w:style>
  <w:style w:type="character" w:customStyle="1" w:styleId="19">
    <w:name w:val="标题 1 字符"/>
    <w:basedOn w:val="15"/>
    <w:qFormat/>
    <w:uiPriority w:val="0"/>
    <w:rPr>
      <w:rFonts w:ascii="Times New Roman" w:hAnsi="Times New Roman" w:eastAsia="宋体" w:cs="Times New Roman"/>
      <w:b/>
      <w:sz w:val="32"/>
      <w:szCs w:val="24"/>
    </w:rPr>
  </w:style>
  <w:style w:type="character" w:customStyle="1" w:styleId="20">
    <w:name w:val="标题 3 字符"/>
    <w:basedOn w:val="15"/>
    <w:link w:val="4"/>
    <w:qFormat/>
    <w:uiPriority w:val="0"/>
    <w:rPr>
      <w:rFonts w:ascii="Times New Roman" w:hAnsi="Times New Roman" w:eastAsia="宋体" w:cs="Times New Roman"/>
      <w:b/>
      <w:bCs/>
      <w:szCs w:val="32"/>
    </w:rPr>
  </w:style>
  <w:style w:type="character" w:customStyle="1" w:styleId="21">
    <w:name w:val="标题 4 字符"/>
    <w:basedOn w:val="15"/>
    <w:link w:val="5"/>
    <w:qFormat/>
    <w:uiPriority w:val="0"/>
    <w:rPr>
      <w:rFonts w:ascii="Times New Roman" w:hAnsi="Times New Roman" w:eastAsia="宋体" w:cs="Times New Roman"/>
      <w:i/>
      <w:iCs/>
      <w:szCs w:val="24"/>
    </w:rPr>
  </w:style>
  <w:style w:type="character" w:customStyle="1" w:styleId="22">
    <w:name w:val="标题 1 字符1"/>
    <w:link w:val="2"/>
    <w:qFormat/>
    <w:uiPriority w:val="9"/>
    <w:rPr>
      <w:rFonts w:ascii="Times New Roman" w:hAnsi="Times New Roman" w:eastAsia="黑体"/>
      <w:b/>
      <w:bCs/>
      <w:kern w:val="44"/>
      <w:sz w:val="44"/>
      <w:szCs w:val="44"/>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5">
    <w:name w:val="表格"/>
    <w:basedOn w:val="1"/>
    <w:qFormat/>
    <w:uiPriority w:val="0"/>
    <w:pPr>
      <w:jc w:val="center"/>
    </w:pPr>
    <w:rPr>
      <w:rFonts w:ascii="宋体" w:hAnsi="宋体"/>
      <w:bCs/>
      <w:szCs w:val="28"/>
    </w:rPr>
  </w:style>
  <w:style w:type="table" w:customStyle="1" w:styleId="26">
    <w:name w:val="网格表 5 深色 - 着色 11"/>
    <w:basedOn w:val="14"/>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EEAF6"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w:type="band1Vert">
      <w:tcPr>
        <w:shd w:val="clear" w:color="auto" w:fill="BDD6EE" w:themeFill="accent1" w:themeFillTint="66"/>
      </w:tcPr>
    </w:tblStylePr>
    <w:tblStylePr w:type="band1Horz">
      <w:tcPr>
        <w:shd w:val="clear" w:color="auto" w:fill="BDD6EE" w:themeFill="accent1" w:themeFillTint="66"/>
      </w:tcPr>
    </w:tblStylePr>
  </w:style>
  <w:style w:type="paragraph" w:customStyle="1" w:styleId="27">
    <w:name w:val="Table Paragraph"/>
    <w:basedOn w:val="1"/>
    <w:qFormat/>
    <w:uiPriority w:val="0"/>
    <w:pPr>
      <w:autoSpaceDE w:val="0"/>
      <w:autoSpaceDN w:val="0"/>
      <w:jc w:val="left"/>
    </w:pPr>
    <w:rPr>
      <w:rFonts w:ascii="宋体" w:hAnsi="宋体" w:cs="宋体"/>
      <w:kern w:val="0"/>
      <w:sz w:val="22"/>
      <w:szCs w:val="22"/>
    </w:rPr>
  </w:style>
  <w:style w:type="table" w:customStyle="1" w:styleId="28">
    <w:name w:val="Table Normal"/>
    <w:basedOn w:val="14"/>
    <w:qFormat/>
    <w:uiPriority w:val="0"/>
    <w:rPr>
      <w:rFonts w:eastAsia="Times New Roman"/>
    </w:rPr>
    <w:tblPr>
      <w:tblCellMar>
        <w:left w:w="0" w:type="dxa"/>
        <w:right w:w="0" w:type="dxa"/>
      </w:tblCellMar>
    </w:tblPr>
  </w:style>
  <w:style w:type="paragraph" w:styleId="29">
    <w:name w:val="List Paragraph"/>
    <w:basedOn w:val="1"/>
    <w:qFormat/>
    <w:uiPriority w:val="34"/>
    <w:pPr>
      <w:ind w:firstLine="420" w:firstLineChars="200"/>
    </w:pPr>
  </w:style>
  <w:style w:type="paragraph" w:customStyle="1" w:styleId="30">
    <w:name w:val="列表段落1"/>
    <w:basedOn w:val="1"/>
    <w:qFormat/>
    <w:uiPriority w:val="0"/>
    <w:pPr>
      <w:ind w:firstLine="420" w:firstLineChars="200"/>
    </w:pPr>
    <w:rPr>
      <w:szCs w:val="21"/>
    </w:rPr>
  </w:style>
  <w:style w:type="paragraph" w:customStyle="1" w:styleId="31">
    <w:name w:val="Default"/>
    <w:basedOn w:val="1"/>
    <w:qFormat/>
    <w:uiPriority w:val="0"/>
    <w:pPr>
      <w:autoSpaceDE w:val="0"/>
      <w:autoSpaceDN w:val="0"/>
      <w:adjustRightInd w:val="0"/>
      <w:jc w:val="left"/>
    </w:pPr>
    <w:rPr>
      <w:rFonts w:ascii="黑体" w:hAnsi="Calibri" w:eastAsia="黑体" w:cs="宋体"/>
      <w:color w:val="000000"/>
      <w:kern w:val="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23CCFE-E19D-4993-B509-03DE1FC5E597}">
  <ds:schemaRefs/>
</ds:datastoreItem>
</file>

<file path=docProps/app.xml><?xml version="1.0" encoding="utf-8"?>
<Properties xmlns="http://schemas.openxmlformats.org/officeDocument/2006/extended-properties" xmlns:vt="http://schemas.openxmlformats.org/officeDocument/2006/docPropsVTypes">
  <Template>Normal</Template>
  <Pages>18</Pages>
  <Words>1793</Words>
  <Characters>10225</Characters>
  <Lines>85</Lines>
  <Paragraphs>23</Paragraphs>
  <TotalTime>484</TotalTime>
  <ScaleCrop>false</ScaleCrop>
  <LinksUpToDate>false</LinksUpToDate>
  <CharactersWithSpaces>11995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2023-09-05T02:09:00Z</dcterms:created>
  <dc:creator>Lenovo</dc:creator>
  <cp:lastModifiedBy>Anthony</cp:lastModifiedBy>
  <dcterms:modified xsi:type="dcterms:W3CDTF">2023-12-22T04:35:51Z</dcterms:modified>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7EE6EA945A614C3497551E37B5858088_13</vt:lpwstr>
  </property>
</Properties>
</file>