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144D3">
      <w:pPr>
        <w:rPr>
          <w:rFonts w:hint="default" w:ascii="Times New Roman" w:hAnsi="Times New Roman" w:eastAsia="宋体" w:cs="Times New Roman"/>
          <w:sz w:val="36"/>
          <w:szCs w:val="36"/>
          <w:highlight w:val="yellow"/>
          <w:lang w:val="en-US" w:eastAsia="zh-CN"/>
        </w:rPr>
      </w:pPr>
      <w:bookmarkStart w:id="0" w:name="_Toc28249"/>
      <w:r>
        <w:rPr>
          <w:color w:val="000000"/>
          <w:sz w:val="32"/>
          <w:szCs w:val="40"/>
          <w:highlight w:val="none"/>
        </w:rPr>
        <w:t>项目</w:t>
      </w:r>
      <w:r>
        <w:rPr>
          <w:rFonts w:hint="default" w:ascii="Times New Roman" w:hAnsi="Times New Roman" w:cs="Times New Roman"/>
          <w:color w:val="000000"/>
          <w:sz w:val="32"/>
          <w:szCs w:val="40"/>
          <w:highlight w:val="none"/>
        </w:rPr>
        <w:t>编号：</w:t>
      </w:r>
      <w:r>
        <w:rPr>
          <w:rFonts w:hint="eastAsia" w:ascii="Times New Roman" w:hAnsi="Times New Roman" w:cs="Times New Roman"/>
          <w:color w:val="000000"/>
          <w:sz w:val="32"/>
          <w:szCs w:val="40"/>
          <w:highlight w:val="none"/>
          <w:lang w:val="en-US" w:eastAsia="zh-CN"/>
        </w:rPr>
        <w:t>11f55h</w:t>
      </w:r>
    </w:p>
    <w:p w14:paraId="09B6D768">
      <w:pPr>
        <w:pStyle w:val="2"/>
      </w:pPr>
    </w:p>
    <w:p w14:paraId="4FD339C7">
      <w:pPr>
        <w:adjustRightInd w:val="0"/>
        <w:snapToGrid w:val="0"/>
        <w:jc w:val="center"/>
        <w:outlineLvl w:val="0"/>
        <w:rPr>
          <w:rFonts w:ascii="方正小标宋_GBK" w:hAnsi="Times New Roman" w:eastAsia="方正小标宋_GBK" w:cs="Times New Roman"/>
          <w:bCs/>
          <w:sz w:val="72"/>
          <w:szCs w:val="72"/>
          <w:highlight w:val="none"/>
        </w:rPr>
      </w:pPr>
      <w:r>
        <w:rPr>
          <w:rFonts w:hint="eastAsia" w:ascii="方正小标宋_GBK" w:hAnsi="Times New Roman" w:eastAsia="方正小标宋_GBK" w:cs="Times New Roman"/>
          <w:bCs/>
          <w:sz w:val="72"/>
          <w:szCs w:val="72"/>
          <w:highlight w:val="none"/>
        </w:rPr>
        <w:t>建设项目环境影响报告表</w:t>
      </w:r>
    </w:p>
    <w:p w14:paraId="1C747230">
      <w:pPr>
        <w:adjustRightInd w:val="0"/>
        <w:snapToGrid w:val="0"/>
        <w:spacing w:before="249" w:beforeLines="80"/>
        <w:jc w:val="center"/>
        <w:rPr>
          <w:rFonts w:ascii="楷体_GB2312" w:hAnsi="Times New Roman" w:eastAsia="楷体_GB2312" w:cs="Times New Roman"/>
          <w:bCs/>
          <w:sz w:val="48"/>
          <w:szCs w:val="48"/>
          <w:highlight w:val="none"/>
        </w:rPr>
      </w:pPr>
      <w:r>
        <w:rPr>
          <w:rFonts w:hint="eastAsia" w:ascii="楷体_GB2312" w:hAnsi="Times New Roman" w:eastAsia="楷体_GB2312" w:cs="Times New Roman"/>
          <w:bCs/>
          <w:sz w:val="48"/>
          <w:szCs w:val="48"/>
          <w:highlight w:val="none"/>
        </w:rPr>
        <w:t>（污染影响类）</w:t>
      </w:r>
    </w:p>
    <w:p w14:paraId="44BB2170">
      <w:pPr>
        <w:rPr>
          <w:rFonts w:ascii="Times New Roman" w:hAnsi="Times New Roman" w:eastAsia="宋体" w:cs="Times New Roman"/>
          <w:highlight w:val="none"/>
        </w:rPr>
      </w:pPr>
    </w:p>
    <w:p w14:paraId="172B9F43">
      <w:pPr>
        <w:jc w:val="center"/>
        <w:rPr>
          <w:rFonts w:ascii="Times New Roman" w:hAnsi="Times New Roman" w:eastAsia="仿宋" w:cs="Times New Roman"/>
          <w:sz w:val="52"/>
          <w:szCs w:val="52"/>
          <w:highlight w:val="none"/>
        </w:rPr>
      </w:pPr>
    </w:p>
    <w:p w14:paraId="40C50426">
      <w:pPr>
        <w:ind w:firstLine="1040"/>
        <w:rPr>
          <w:rFonts w:ascii="Times New Roman" w:hAnsi="Times New Roman" w:eastAsia="仿宋" w:cs="Times New Roman"/>
          <w:sz w:val="44"/>
          <w:szCs w:val="44"/>
          <w:highlight w:val="none"/>
        </w:rPr>
      </w:pPr>
    </w:p>
    <w:p w14:paraId="75D26480">
      <w:pPr>
        <w:ind w:firstLine="1040"/>
        <w:rPr>
          <w:rFonts w:ascii="Times New Roman" w:hAnsi="Times New Roman" w:eastAsia="仿宋" w:cs="Times New Roman"/>
          <w:sz w:val="44"/>
          <w:szCs w:val="44"/>
          <w:highlight w:val="none"/>
        </w:rPr>
      </w:pPr>
    </w:p>
    <w:p w14:paraId="17057C29">
      <w:pPr>
        <w:ind w:firstLine="1040"/>
        <w:rPr>
          <w:rFonts w:ascii="Times New Roman" w:hAnsi="Times New Roman" w:eastAsia="仿宋" w:cs="Times New Roman"/>
          <w:sz w:val="44"/>
          <w:szCs w:val="44"/>
          <w:highlight w:val="none"/>
        </w:rPr>
      </w:pPr>
    </w:p>
    <w:p w14:paraId="79154B61">
      <w:pPr>
        <w:ind w:firstLine="1040"/>
        <w:rPr>
          <w:rFonts w:ascii="Times New Roman" w:hAnsi="Times New Roman" w:eastAsia="仿宋" w:cs="Times New Roman"/>
          <w:sz w:val="44"/>
          <w:szCs w:val="44"/>
          <w:highlight w:val="none"/>
        </w:rPr>
      </w:pPr>
    </w:p>
    <w:p w14:paraId="38703FBD">
      <w:pPr>
        <w:adjustRightInd w:val="0"/>
        <w:snapToGrid w:val="0"/>
        <w:spacing w:line="360" w:lineRule="auto"/>
        <w:ind w:left="1600" w:hanging="1600" w:hangingChars="500"/>
        <w:jc w:val="left"/>
        <w:rPr>
          <w:sz w:val="32"/>
          <w:szCs w:val="32"/>
          <w:highlight w:val="none"/>
        </w:rPr>
      </w:pPr>
      <w:r>
        <w:rPr>
          <w:rFonts w:hint="eastAsia" w:ascii="仿宋_GB2312" w:hAnsi="Times New Roman" w:eastAsia="仿宋_GB2312" w:cs="Times New Roman"/>
          <w:sz w:val="32"/>
          <w:szCs w:val="32"/>
          <w:highlight w:val="none"/>
        </w:rPr>
        <w:t>项目名称：</w:t>
      </w:r>
      <w:r>
        <w:rPr>
          <w:rFonts w:hint="default" w:ascii="仿宋_GB2312" w:hAnsi="Times New Roman" w:eastAsia="仿宋_GB2312" w:cs="Times New Roman"/>
          <w:sz w:val="32"/>
          <w:szCs w:val="32"/>
          <w:highlight w:val="none"/>
          <w:u w:val="single"/>
          <w:lang w:val="en-US" w:eastAsia="zh-CN"/>
        </w:rPr>
        <w:t>中山</w:t>
      </w:r>
      <w:r>
        <w:rPr>
          <w:rFonts w:hint="eastAsia" w:ascii="仿宋_GB2312" w:hAnsi="Times New Roman" w:eastAsia="仿宋_GB2312" w:cs="Times New Roman"/>
          <w:sz w:val="32"/>
          <w:szCs w:val="32"/>
          <w:highlight w:val="none"/>
          <w:u w:val="single"/>
          <w:lang w:val="en-US" w:eastAsia="zh-CN"/>
        </w:rPr>
        <w:t>高美合成新材料</w:t>
      </w:r>
      <w:r>
        <w:rPr>
          <w:rFonts w:hint="default" w:ascii="仿宋_GB2312" w:hAnsi="Times New Roman" w:eastAsia="仿宋_GB2312" w:cs="Times New Roman"/>
          <w:sz w:val="32"/>
          <w:szCs w:val="32"/>
          <w:highlight w:val="none"/>
          <w:u w:val="single"/>
          <w:lang w:val="en-US" w:eastAsia="zh-CN"/>
        </w:rPr>
        <w:t>有限公司年产</w:t>
      </w:r>
      <w:r>
        <w:rPr>
          <w:rFonts w:hint="eastAsia" w:ascii="仿宋_GB2312" w:hAnsi="Times New Roman" w:eastAsia="仿宋_GB2312" w:cs="Times New Roman"/>
          <w:sz w:val="32"/>
          <w:szCs w:val="32"/>
          <w:highlight w:val="none"/>
          <w:u w:val="single"/>
          <w:lang w:val="en-US" w:eastAsia="zh-CN"/>
        </w:rPr>
        <w:t>TPE颗粒1000吨</w:t>
      </w:r>
      <w:r>
        <w:rPr>
          <w:rFonts w:hint="default" w:ascii="仿宋_GB2312" w:hAnsi="Times New Roman" w:eastAsia="仿宋_GB2312" w:cs="Times New Roman"/>
          <w:sz w:val="32"/>
          <w:szCs w:val="32"/>
          <w:highlight w:val="none"/>
          <w:u w:val="single"/>
          <w:lang w:val="en-US" w:eastAsia="zh-CN"/>
        </w:rPr>
        <w:t>新建项目</w:t>
      </w:r>
    </w:p>
    <w:p w14:paraId="5D4A8A0D">
      <w:pPr>
        <w:adjustRightInd w:val="0"/>
        <w:snapToGrid w:val="0"/>
        <w:spacing w:line="288" w:lineRule="auto"/>
        <w:rPr>
          <w:rFonts w:hint="eastAsia" w:ascii="仿宋_GB2312" w:hAnsi="Times New Roman" w:eastAsia="仿宋_GB2312" w:cs="Times New Roman"/>
          <w:sz w:val="32"/>
          <w:szCs w:val="32"/>
          <w:highlight w:val="none"/>
        </w:rPr>
      </w:pPr>
    </w:p>
    <w:p w14:paraId="25FDD647">
      <w:pPr>
        <w:adjustRightInd w:val="0"/>
        <w:snapToGrid w:val="0"/>
        <w:spacing w:line="288" w:lineRule="auto"/>
        <w:rPr>
          <w:rFonts w:ascii="仿宋_GB2312" w:hAnsi="Times New Roman" w:eastAsia="仿宋_GB2312" w:cs="Times New Roman"/>
          <w:sz w:val="32"/>
          <w:szCs w:val="32"/>
          <w:highlight w:val="none"/>
          <w:u w:val="single"/>
        </w:rPr>
      </w:pPr>
      <w:r>
        <w:rPr>
          <w:rFonts w:hint="eastAsia" w:ascii="仿宋_GB2312" w:hAnsi="Times New Roman" w:eastAsia="仿宋_GB2312" w:cs="Times New Roman"/>
          <w:sz w:val="32"/>
          <w:szCs w:val="32"/>
          <w:highlight w:val="none"/>
        </w:rPr>
        <w:t>建设单位（盖章）：</w:t>
      </w:r>
      <w:r>
        <w:rPr>
          <w:rFonts w:hint="eastAsia" w:ascii="仿宋_GB2312" w:hAnsi="Times New Roman" w:eastAsia="仿宋_GB2312" w:cs="Times New Roman"/>
          <w:sz w:val="32"/>
          <w:szCs w:val="32"/>
          <w:highlight w:val="none"/>
          <w:u w:val="single"/>
          <w:lang w:val="en-US" w:eastAsia="zh-CN"/>
        </w:rPr>
        <w:t xml:space="preserve">  </w:t>
      </w:r>
      <w:r>
        <w:rPr>
          <w:rFonts w:hint="default" w:ascii="仿宋_GB2312" w:hAnsi="Times New Roman" w:eastAsia="仿宋_GB2312" w:cs="Times New Roman"/>
          <w:sz w:val="32"/>
          <w:szCs w:val="32"/>
          <w:highlight w:val="none"/>
          <w:u w:val="single"/>
          <w:lang w:val="en-US" w:eastAsia="zh-CN"/>
        </w:rPr>
        <w:t>中山</w:t>
      </w:r>
      <w:r>
        <w:rPr>
          <w:rFonts w:hint="eastAsia" w:ascii="仿宋_GB2312" w:hAnsi="Times New Roman" w:eastAsia="仿宋_GB2312" w:cs="Times New Roman"/>
          <w:sz w:val="32"/>
          <w:szCs w:val="32"/>
          <w:highlight w:val="none"/>
          <w:u w:val="single"/>
          <w:lang w:val="en-US" w:eastAsia="zh-CN"/>
        </w:rPr>
        <w:t>高美合成新材料</w:t>
      </w:r>
      <w:r>
        <w:rPr>
          <w:rFonts w:hint="default" w:ascii="仿宋_GB2312" w:hAnsi="Times New Roman" w:eastAsia="仿宋_GB2312" w:cs="Times New Roman"/>
          <w:sz w:val="32"/>
          <w:szCs w:val="32"/>
          <w:highlight w:val="none"/>
          <w:u w:val="single"/>
          <w:lang w:val="en-US" w:eastAsia="zh-CN"/>
        </w:rPr>
        <w:t>有限公司</w:t>
      </w:r>
      <w:r>
        <w:rPr>
          <w:rFonts w:hint="eastAsia" w:ascii="仿宋_GB2312" w:hAnsi="Times New Roman" w:eastAsia="仿宋_GB2312" w:cs="Times New Roman"/>
          <w:sz w:val="32"/>
          <w:szCs w:val="32"/>
          <w:highlight w:val="none"/>
          <w:u w:val="single"/>
          <w:lang w:eastAsia="zh-CN"/>
        </w:rPr>
        <w:t xml:space="preserve"> </w:t>
      </w:r>
      <w:r>
        <w:rPr>
          <w:rFonts w:hint="eastAsia" w:ascii="仿宋_GB2312" w:hAnsi="Times New Roman" w:eastAsia="仿宋_GB2312" w:cs="Times New Roman"/>
          <w:sz w:val="32"/>
          <w:szCs w:val="32"/>
          <w:highlight w:val="none"/>
          <w:u w:val="single"/>
        </w:rPr>
        <w:t xml:space="preserve">     </w:t>
      </w:r>
      <w:r>
        <w:rPr>
          <w:rFonts w:hint="eastAsia" w:ascii="仿宋_GB2312" w:hAnsi="Times New Roman" w:eastAsia="仿宋_GB2312" w:cs="Times New Roman"/>
          <w:sz w:val="32"/>
          <w:szCs w:val="32"/>
          <w:highlight w:val="none"/>
          <w:u w:val="single"/>
          <w:lang w:val="en-US" w:eastAsia="zh-CN"/>
        </w:rPr>
        <w:t xml:space="preserve">       </w:t>
      </w:r>
      <w:r>
        <w:rPr>
          <w:rFonts w:hint="eastAsia" w:ascii="仿宋_GB2312" w:hAnsi="Times New Roman" w:eastAsia="仿宋_GB2312" w:cs="Times New Roman"/>
          <w:sz w:val="32"/>
          <w:szCs w:val="32"/>
          <w:highlight w:val="none"/>
          <w:u w:val="single"/>
        </w:rPr>
        <w:t xml:space="preserve">  </w:t>
      </w:r>
    </w:p>
    <w:p w14:paraId="54DDF5DF">
      <w:pPr>
        <w:rPr>
          <w:sz w:val="32"/>
          <w:szCs w:val="32"/>
          <w:highlight w:val="none"/>
        </w:rPr>
      </w:pPr>
    </w:p>
    <w:p w14:paraId="7EFAD00E">
      <w:pPr>
        <w:adjustRightInd w:val="0"/>
        <w:snapToGrid w:val="0"/>
        <w:spacing w:line="288" w:lineRule="auto"/>
        <w:rPr>
          <w:rFonts w:ascii="仿宋_GB2312" w:hAnsi="Times New Roman" w:eastAsia="仿宋_GB2312" w:cs="Times New Roman"/>
          <w:sz w:val="32"/>
          <w:szCs w:val="32"/>
          <w:highlight w:val="none"/>
          <w:u w:val="single"/>
        </w:rPr>
      </w:pPr>
      <w:r>
        <w:rPr>
          <w:rFonts w:hint="eastAsia" w:ascii="仿宋_GB2312" w:hAnsi="Times New Roman" w:eastAsia="仿宋_GB2312" w:cs="Times New Roman"/>
          <w:sz w:val="32"/>
          <w:szCs w:val="32"/>
          <w:highlight w:val="none"/>
        </w:rPr>
        <w:t>编制日期：</w:t>
      </w:r>
      <w:r>
        <w:rPr>
          <w:rFonts w:hint="eastAsia" w:ascii="仿宋_GB2312" w:hAnsi="Times New Roman" w:eastAsia="仿宋_GB2312" w:cs="Times New Roman"/>
          <w:sz w:val="32"/>
          <w:szCs w:val="32"/>
          <w:highlight w:val="none"/>
          <w:u w:val="single"/>
        </w:rPr>
        <w:t xml:space="preserve"> </w:t>
      </w:r>
      <w:r>
        <w:rPr>
          <w:rFonts w:ascii="仿宋_GB2312" w:hAnsi="Times New Roman" w:eastAsia="仿宋_GB2312" w:cs="Times New Roman"/>
          <w:sz w:val="32"/>
          <w:szCs w:val="32"/>
          <w:highlight w:val="none"/>
          <w:u w:val="single"/>
        </w:rPr>
        <w:t xml:space="preserve">   </w:t>
      </w:r>
      <w:r>
        <w:rPr>
          <w:rFonts w:hint="eastAsia" w:ascii="仿宋_GB2312" w:hAnsi="Times New Roman" w:eastAsia="仿宋_GB2312" w:cs="Times New Roman"/>
          <w:sz w:val="32"/>
          <w:szCs w:val="32"/>
          <w:highlight w:val="none"/>
          <w:u w:val="single"/>
        </w:rPr>
        <w:t xml:space="preserve">        </w:t>
      </w:r>
      <w:r>
        <w:rPr>
          <w:rFonts w:hint="eastAsia" w:ascii="仿宋_GB2312" w:hAnsi="Times New Roman" w:eastAsia="仿宋_GB2312" w:cs="Times New Roman"/>
          <w:sz w:val="32"/>
          <w:szCs w:val="32"/>
          <w:highlight w:val="none"/>
          <w:u w:val="single"/>
          <w:lang w:val="en-US" w:eastAsia="zh-CN"/>
        </w:rPr>
        <w:t xml:space="preserve">       2025</w:t>
      </w:r>
      <w:r>
        <w:rPr>
          <w:rFonts w:hint="eastAsia" w:ascii="仿宋_GB2312" w:hAnsi="Times New Roman" w:eastAsia="仿宋_GB2312" w:cs="Times New Roman"/>
          <w:sz w:val="32"/>
          <w:szCs w:val="32"/>
          <w:highlight w:val="none"/>
          <w:u w:val="single"/>
        </w:rPr>
        <w:t>年</w:t>
      </w:r>
      <w:r>
        <w:rPr>
          <w:rFonts w:hint="eastAsia" w:ascii="仿宋_GB2312" w:hAnsi="Times New Roman" w:eastAsia="仿宋_GB2312" w:cs="Times New Roman"/>
          <w:sz w:val="32"/>
          <w:szCs w:val="32"/>
          <w:highlight w:val="none"/>
          <w:u w:val="single"/>
          <w:lang w:val="en-US" w:eastAsia="zh-CN"/>
        </w:rPr>
        <w:t xml:space="preserve"> 5</w:t>
      </w:r>
      <w:bookmarkStart w:id="448" w:name="_GoBack"/>
      <w:bookmarkEnd w:id="448"/>
      <w:r>
        <w:rPr>
          <w:rFonts w:hint="eastAsia" w:ascii="仿宋_GB2312" w:hAnsi="Times New Roman" w:eastAsia="仿宋_GB2312" w:cs="Times New Roman"/>
          <w:sz w:val="32"/>
          <w:szCs w:val="32"/>
          <w:highlight w:val="none"/>
          <w:u w:val="single"/>
        </w:rPr>
        <w:t>月</w:t>
      </w:r>
      <w:r>
        <w:rPr>
          <w:rFonts w:ascii="仿宋_GB2312" w:hAnsi="Times New Roman" w:eastAsia="仿宋_GB2312" w:cs="Times New Roman"/>
          <w:sz w:val="32"/>
          <w:szCs w:val="32"/>
          <w:highlight w:val="none"/>
          <w:u w:val="single"/>
        </w:rPr>
        <w:t xml:space="preserve">                </w:t>
      </w:r>
      <w:r>
        <w:rPr>
          <w:rFonts w:hint="eastAsia" w:ascii="仿宋_GB2312" w:hAnsi="Times New Roman" w:eastAsia="仿宋_GB2312" w:cs="Times New Roman"/>
          <w:sz w:val="32"/>
          <w:szCs w:val="32"/>
          <w:highlight w:val="none"/>
          <w:u w:val="single"/>
        </w:rPr>
        <w:t xml:space="preserve">      </w:t>
      </w:r>
    </w:p>
    <w:p w14:paraId="478C8849">
      <w:pPr>
        <w:adjustRightInd w:val="0"/>
        <w:snapToGrid w:val="0"/>
        <w:spacing w:line="288" w:lineRule="auto"/>
        <w:ind w:firstLine="1040"/>
        <w:rPr>
          <w:rFonts w:ascii="仿宋_GB2312" w:hAnsi="Times New Roman" w:eastAsia="仿宋_GB2312" w:cs="Times New Roman"/>
          <w:sz w:val="32"/>
          <w:szCs w:val="32"/>
          <w:highlight w:val="none"/>
          <w:u w:val="single"/>
        </w:rPr>
      </w:pPr>
      <w:bookmarkStart w:id="1" w:name="_Hlk57884087"/>
    </w:p>
    <w:p w14:paraId="3E680B09">
      <w:pPr>
        <w:adjustRightInd w:val="0"/>
        <w:snapToGrid w:val="0"/>
        <w:spacing w:line="288" w:lineRule="auto"/>
        <w:ind w:firstLine="1040"/>
        <w:rPr>
          <w:rFonts w:ascii="仿宋_GB2312" w:hAnsi="Times New Roman" w:eastAsia="仿宋_GB2312" w:cs="Times New Roman"/>
          <w:sz w:val="32"/>
          <w:szCs w:val="32"/>
          <w:highlight w:val="none"/>
        </w:rPr>
      </w:pPr>
    </w:p>
    <w:p w14:paraId="37104C32">
      <w:pPr>
        <w:adjustRightInd w:val="0"/>
        <w:snapToGrid w:val="0"/>
        <w:spacing w:line="288" w:lineRule="auto"/>
        <w:ind w:firstLine="1040"/>
        <w:rPr>
          <w:rFonts w:ascii="仿宋_GB2312" w:hAnsi="Times New Roman" w:eastAsia="仿宋_GB2312" w:cs="Times New Roman"/>
          <w:sz w:val="32"/>
          <w:szCs w:val="32"/>
          <w:highlight w:val="none"/>
        </w:rPr>
      </w:pPr>
    </w:p>
    <w:p w14:paraId="442EC28B">
      <w:pPr>
        <w:adjustRightInd w:val="0"/>
        <w:snapToGrid w:val="0"/>
        <w:spacing w:line="288" w:lineRule="auto"/>
        <w:ind w:firstLine="1040"/>
        <w:rPr>
          <w:rFonts w:ascii="仿宋_GB2312" w:hAnsi="Times New Roman" w:eastAsia="仿宋_GB2312" w:cs="Times New Roman"/>
          <w:sz w:val="32"/>
          <w:szCs w:val="32"/>
          <w:highlight w:val="none"/>
        </w:rPr>
      </w:pPr>
    </w:p>
    <w:p w14:paraId="5F5D5AFF">
      <w:pPr>
        <w:adjustRightInd w:val="0"/>
        <w:snapToGrid w:val="0"/>
        <w:spacing w:line="288" w:lineRule="auto"/>
        <w:ind w:firstLine="1040"/>
        <w:rPr>
          <w:rFonts w:ascii="仿宋_GB2312" w:hAnsi="Times New Roman" w:eastAsia="仿宋_GB2312" w:cs="Times New Roman"/>
          <w:sz w:val="32"/>
          <w:szCs w:val="32"/>
          <w:highlight w:val="none"/>
        </w:rPr>
      </w:pPr>
    </w:p>
    <w:bookmarkEnd w:id="1"/>
    <w:p w14:paraId="4080C185">
      <w:pPr>
        <w:adjustRightInd w:val="0"/>
        <w:snapToGrid w:val="0"/>
        <w:spacing w:line="288" w:lineRule="auto"/>
        <w:jc w:val="center"/>
        <w:rPr>
          <w:rFonts w:ascii="楷体_GB2312" w:hAnsi="Times New Roman" w:eastAsia="楷体_GB2312" w:cs="Times New Roman"/>
          <w:sz w:val="32"/>
          <w:szCs w:val="32"/>
          <w:highlight w:val="none"/>
        </w:rPr>
      </w:pPr>
      <w:r>
        <w:rPr>
          <w:rFonts w:hint="eastAsia" w:ascii="楷体_GB2312" w:hAnsi="Times New Roman" w:eastAsia="楷体_GB2312" w:cs="Times New Roman"/>
          <w:sz w:val="32"/>
          <w:szCs w:val="32"/>
          <w:highlight w:val="none"/>
        </w:rPr>
        <w:t>中华人民共和国生态环境部制</w:t>
      </w:r>
    </w:p>
    <w:p w14:paraId="32D3CA19">
      <w:pPr>
        <w:spacing w:line="360" w:lineRule="auto"/>
        <w:jc w:val="center"/>
        <w:rPr>
          <w:rFonts w:ascii="Times New Roman" w:hAnsi="Times New Roman" w:eastAsia="黑体" w:cs="Times New Roman"/>
          <w:sz w:val="36"/>
          <w:szCs w:val="36"/>
          <w:highlight w:val="none"/>
        </w:rPr>
      </w:pPr>
    </w:p>
    <w:sdt>
      <w:sdtPr>
        <w:rPr>
          <w:rFonts w:hint="default" w:ascii="Times New Roman" w:hAnsi="Times New Roman" w:eastAsia="宋体" w:cs="Times New Roman"/>
          <w:color w:val="000000" w:themeColor="text1"/>
          <w:sz w:val="24"/>
          <w:highlight w:val="none"/>
          <w14:textFill>
            <w14:solidFill>
              <w14:schemeClr w14:val="tx1"/>
            </w14:solidFill>
          </w14:textFill>
        </w:rPr>
        <w:id w:val="147465381"/>
        <w15:color w:val="DBDBDB"/>
        <w:docPartObj>
          <w:docPartGallery w:val="Table of Contents"/>
          <w:docPartUnique/>
        </w:docPartObj>
      </w:sdtPr>
      <w:sdtEndPr>
        <w:rPr>
          <w:rFonts w:hint="default" w:ascii="Times New Roman" w:hAnsi="Times New Roman" w:eastAsia="宋体" w:cs="Times New Roman"/>
          <w:color w:val="000000" w:themeColor="text1"/>
          <w:sz w:val="24"/>
          <w:szCs w:val="24"/>
          <w:highlight w:val="none"/>
          <w14:textFill>
            <w14:solidFill>
              <w14:schemeClr w14:val="tx1"/>
            </w14:solidFill>
          </w14:textFill>
        </w:rPr>
      </w:sdtEndPr>
      <w:sdtContent>
        <w:p w14:paraId="387528A8">
          <w:pPr>
            <w:spacing w:line="360" w:lineRule="auto"/>
            <w:jc w:val="center"/>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目录</w:t>
          </w:r>
        </w:p>
        <w:p w14:paraId="1CADB004">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TOC \o "1-3" \h \u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_Toc3611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一、建设项目基本情况</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_Toc3611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47F86F37">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_Toc19483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二、建设项目工程分析</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_Toc19483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9</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41AD7AD0">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_Toc7149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三、区域环境质量现状、环境保护目标及评价标准</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_Toc7149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19</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77854A6A">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_Toc5200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四、主要环境影响和保护措施</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_Toc5200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27</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3464FEE0">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_Toc18825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五、环境保护措施监督检查清单</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_Toc18825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55</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414897D4">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_Toc26598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六、结论</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_Toc26598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59</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5EF30613">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_Toc3201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建设项目污染物排放量汇总表</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_Toc3201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60</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4BB22A1C">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_Toc32524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附图1 项目四至图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_Toc32524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61</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62CF130F">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_Toc10245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附图2 项目地理位置图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_Toc10245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62</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467CA740">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_Toc3936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附图3 项目</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厂区平面布置图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_Toc3936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63</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330D443B">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_Toc15111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附图4 中山市自然资源一图通</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_Toc15111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64</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68D55EE7">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_Toc2956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附图5 中山市环境空气质量功能区划图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_Toc2956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65</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6DF785D0">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_Toc25987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附图6 中山市水环境功能区划示意图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_Toc25987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66</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78256466">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_Toc25403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附图7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中心城区</w:t>
          </w:r>
          <w:r>
            <w:rPr>
              <w:rFonts w:hint="default" w:ascii="Times New Roman" w:hAnsi="Times New Roman" w:eastAsia="宋体" w:cs="Times New Roman"/>
              <w:color w:val="000000" w:themeColor="text1"/>
              <w:sz w:val="24"/>
              <w:szCs w:val="24"/>
              <w:highlight w:val="none"/>
              <w14:textFill>
                <w14:solidFill>
                  <w14:schemeClr w14:val="tx1"/>
                </w14:solidFill>
              </w14:textFill>
            </w:rPr>
            <w:t>声环境功能区划图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_Toc25403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67</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76ECD358">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_Toc15529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附图8 大气环境保护目标范围图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_Toc15529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68</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76FFD664">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_Toc6226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附图9 声环境保护目标范围图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_Toc6226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69</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30AC7E81">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_Toc28268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附图10 中山市环境管控单元图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_Toc28268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70</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36789B3F">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_Toc3598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附图11 项目引用大气监测点位图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_Toc3598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71</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0B761AE9">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_Toc29129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附图12 中山市地下水污染防治重点区分区图</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_Toc29129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72</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53321750">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_Toc17764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Cs/>
              <w:color w:val="000000" w:themeColor="text1"/>
              <w:sz w:val="24"/>
              <w:szCs w:val="24"/>
              <w:highlight w:val="none"/>
              <w14:textFill>
                <w14:solidFill>
                  <w14:schemeClr w14:val="tx1"/>
                </w14:solidFill>
              </w14:textFill>
            </w:rPr>
            <w:t>附件1 大气引用监测报告</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_Toc17764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73</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2E66A012">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_Toc14883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Cs/>
              <w:color w:val="000000" w:themeColor="text1"/>
              <w:sz w:val="24"/>
              <w:szCs w:val="24"/>
              <w:highlight w:val="none"/>
              <w14:textFill>
                <w14:solidFill>
                  <w14:schemeClr w14:val="tx1"/>
                </w14:solidFill>
              </w14:textFill>
            </w:rPr>
            <w:t>附件2 类比废水监测报告</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_Toc14883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81</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7C38F446">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_Toc2401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Cs/>
              <w:color w:val="000000" w:themeColor="text1"/>
              <w:sz w:val="24"/>
              <w:szCs w:val="24"/>
              <w:highlight w:val="none"/>
              <w14:textFill>
                <w14:solidFill>
                  <w14:schemeClr w14:val="tx1"/>
                </w14:solidFill>
              </w14:textFill>
            </w:rPr>
            <w:t>附件</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Cs/>
              <w:color w:val="000000" w:themeColor="text1"/>
              <w:sz w:val="24"/>
              <w:szCs w:val="24"/>
              <w:highlight w:val="none"/>
              <w14:textFill>
                <w14:solidFill>
                  <w14:schemeClr w14:val="tx1"/>
                </w14:solidFill>
              </w14:textFill>
            </w:rPr>
            <w:t xml:space="preserve"> </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高新技术企业证书</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_Toc2401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88</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46C89BD5">
          <w:pPr>
            <w:pStyle w:val="23"/>
            <w:tabs>
              <w:tab w:val="right" w:leader="dot" w:pos="8844"/>
            </w:tabs>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HYPERLINK \l _Toc24228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附件4 中环建登[2004]05464号</w:t>
          </w:r>
          <w:r>
            <w:rPr>
              <w:rFonts w:hint="default" w:ascii="Times New Roman" w:hAnsi="Times New Roman" w:eastAsia="宋体" w:cs="Times New Roman"/>
              <w:color w:val="000000" w:themeColor="text1"/>
              <w:sz w:val="24"/>
              <w:szCs w:val="24"/>
              <w:highlight w:val="none"/>
              <w14:textFill>
                <w14:solidFill>
                  <w14:schemeClr w14:val="tx1"/>
                </w14:solidFill>
              </w14:textFill>
            </w:rPr>
            <w:tab/>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PAGEREF _Toc24228 \h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89</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p w14:paraId="6421E64D">
          <w:pPr>
            <w:pStyle w:val="4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p>
      </w:sdtContent>
    </w:sdt>
    <w:p w14:paraId="2B115C45">
      <w:pPr>
        <w:rPr>
          <w:rFonts w:hint="default" w:ascii="Times New Roman" w:hAnsi="Times New Roman" w:eastAsia="宋体" w:cs="Times New Roman"/>
          <w:color w:val="000000" w:themeColor="text1"/>
          <w:highlight w:val="none"/>
          <w14:textFill>
            <w14:solidFill>
              <w14:schemeClr w14:val="tx1"/>
            </w14:solidFill>
          </w14:textFill>
        </w:rPr>
        <w:sectPr>
          <w:footerReference r:id="rId3" w:type="default"/>
          <w:pgSz w:w="11906" w:h="16838"/>
          <w:pgMar w:top="1440" w:right="1531" w:bottom="1440" w:left="1531" w:header="851" w:footer="992" w:gutter="0"/>
          <w:pgNumType w:start="1"/>
          <w:cols w:space="425" w:num="1"/>
          <w:docGrid w:type="lines" w:linePitch="312" w:charSpace="0"/>
        </w:sectPr>
      </w:pPr>
      <w:r>
        <w:rPr>
          <w:rFonts w:hint="default" w:ascii="Times New Roman" w:hAnsi="Times New Roman" w:eastAsia="宋体" w:cs="Times New Roman"/>
          <w:color w:val="000000" w:themeColor="text1"/>
          <w:highlight w:val="none"/>
          <w14:textFill>
            <w14:solidFill>
              <w14:schemeClr w14:val="tx1"/>
            </w14:solidFill>
          </w14:textFill>
        </w:rPr>
        <w:br w:type="page"/>
      </w:r>
    </w:p>
    <w:p w14:paraId="512BA735">
      <w:pPr>
        <w:pStyle w:val="2"/>
        <w:spacing w:before="0" w:after="0"/>
        <w:jc w:val="center"/>
        <w:rPr>
          <w:rFonts w:hint="default" w:ascii="Times New Roman" w:hAnsi="Times New Roman" w:eastAsia="宋体" w:cs="Times New Roman"/>
          <w:color w:val="000000" w:themeColor="text1"/>
          <w:sz w:val="24"/>
          <w:highlight w:val="none"/>
          <w14:textFill>
            <w14:solidFill>
              <w14:schemeClr w14:val="tx1"/>
            </w14:solidFill>
          </w14:textFill>
        </w:rPr>
      </w:pPr>
      <w:bookmarkStart w:id="2" w:name="_Toc3611"/>
      <w:r>
        <w:rPr>
          <w:rFonts w:hint="default" w:ascii="Times New Roman" w:hAnsi="Times New Roman" w:eastAsia="宋体" w:cs="Times New Roman"/>
          <w:color w:val="000000" w:themeColor="text1"/>
          <w:sz w:val="24"/>
          <w:highlight w:val="none"/>
          <w14:textFill>
            <w14:solidFill>
              <w14:schemeClr w14:val="tx1"/>
            </w14:solidFill>
          </w14:textFill>
        </w:rPr>
        <w:t>一、建设项目基本情况</w:t>
      </w:r>
      <w:bookmarkEnd w:id="0"/>
      <w:bookmarkEnd w:id="2"/>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131"/>
        <w:gridCol w:w="2000"/>
        <w:gridCol w:w="2981"/>
      </w:tblGrid>
      <w:tr w14:paraId="30E37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75" w:type="pct"/>
            <w:tcBorders>
              <w:tl2br w:val="nil"/>
              <w:tr2bl w:val="nil"/>
            </w:tcBorders>
            <w:vAlign w:val="center"/>
          </w:tcPr>
          <w:p w14:paraId="5CFBA0B9">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建设项目名称</w:t>
            </w:r>
          </w:p>
        </w:tc>
        <w:tc>
          <w:tcPr>
            <w:tcW w:w="3924" w:type="pct"/>
            <w:gridSpan w:val="3"/>
            <w:tcBorders>
              <w:tl2br w:val="nil"/>
              <w:tr2bl w:val="nil"/>
            </w:tcBorders>
            <w:vAlign w:val="center"/>
          </w:tcPr>
          <w:p w14:paraId="1440D6A1">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中山</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高美合成新材料</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有限公司年产</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TPE颗粒1000吨</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新建项目</w:t>
            </w:r>
          </w:p>
        </w:tc>
      </w:tr>
      <w:tr w14:paraId="1838A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075" w:type="pct"/>
            <w:tcBorders>
              <w:tl2br w:val="nil"/>
              <w:tr2bl w:val="nil"/>
            </w:tcBorders>
            <w:vAlign w:val="center"/>
          </w:tcPr>
          <w:p w14:paraId="5B51775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项目代码</w:t>
            </w:r>
          </w:p>
        </w:tc>
        <w:tc>
          <w:tcPr>
            <w:tcW w:w="3924" w:type="pct"/>
            <w:gridSpan w:val="3"/>
            <w:tcBorders>
              <w:tl2br w:val="nil"/>
              <w:tr2bl w:val="nil"/>
            </w:tcBorders>
            <w:vAlign w:val="center"/>
          </w:tcPr>
          <w:p w14:paraId="72F5D421">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2505-442000-04-01-313371</w:t>
            </w:r>
          </w:p>
        </w:tc>
      </w:tr>
      <w:tr w14:paraId="041C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755E7F3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建设单位联系人</w:t>
            </w:r>
          </w:p>
        </w:tc>
        <w:tc>
          <w:tcPr>
            <w:tcW w:w="1176" w:type="pct"/>
            <w:tcBorders>
              <w:tl2br w:val="nil"/>
              <w:tr2bl w:val="nil"/>
            </w:tcBorders>
            <w:vAlign w:val="center"/>
          </w:tcPr>
          <w:p w14:paraId="1D72918D">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p>
        </w:tc>
        <w:tc>
          <w:tcPr>
            <w:tcW w:w="1103" w:type="pct"/>
            <w:tcBorders>
              <w:tl2br w:val="nil"/>
              <w:tr2bl w:val="nil"/>
            </w:tcBorders>
            <w:vAlign w:val="center"/>
          </w:tcPr>
          <w:p w14:paraId="25125F26">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联系方式</w:t>
            </w:r>
          </w:p>
        </w:tc>
        <w:tc>
          <w:tcPr>
            <w:tcW w:w="1645" w:type="pct"/>
            <w:tcBorders>
              <w:tl2br w:val="nil"/>
              <w:tr2bl w:val="nil"/>
            </w:tcBorders>
            <w:vAlign w:val="center"/>
          </w:tcPr>
          <w:p w14:paraId="459BFDB8">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p>
        </w:tc>
      </w:tr>
      <w:tr w14:paraId="4BEE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46B42F92">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建设地点</w:t>
            </w:r>
          </w:p>
        </w:tc>
        <w:tc>
          <w:tcPr>
            <w:tcW w:w="3924" w:type="pct"/>
            <w:gridSpan w:val="3"/>
            <w:tcBorders>
              <w:tl2br w:val="nil"/>
              <w:tr2bl w:val="nil"/>
            </w:tcBorders>
            <w:vAlign w:val="center"/>
          </w:tcPr>
          <w:p w14:paraId="57614C51">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西区金昌工业路35号</w:t>
            </w:r>
          </w:p>
        </w:tc>
      </w:tr>
      <w:tr w14:paraId="6CA5A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42FCCD46">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地理坐标</w:t>
            </w:r>
          </w:p>
        </w:tc>
        <w:tc>
          <w:tcPr>
            <w:tcW w:w="3924" w:type="pct"/>
            <w:gridSpan w:val="3"/>
            <w:tcBorders>
              <w:tl2br w:val="nil"/>
              <w:tr2bl w:val="nil"/>
            </w:tcBorders>
            <w:vAlign w:val="center"/>
          </w:tcPr>
          <w:p w14:paraId="1F63757E">
            <w:pPr>
              <w:jc w:val="center"/>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东经113°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43.871</w:t>
            </w:r>
            <w:r>
              <w:rPr>
                <w:rFonts w:hint="default" w:ascii="Times New Roman" w:hAnsi="Times New Roman" w:eastAsia="宋体" w:cs="Times New Roman"/>
                <w:color w:val="000000" w:themeColor="text1"/>
                <w:sz w:val="24"/>
                <w:szCs w:val="24"/>
                <w:highlight w:val="none"/>
                <w14:textFill>
                  <w14:solidFill>
                    <w14:schemeClr w14:val="tx1"/>
                  </w14:solidFill>
                </w14:textFill>
              </w:rPr>
              <w:t>"，北纬22°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4.295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tc>
      </w:tr>
      <w:tr w14:paraId="6E10E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5" w:type="pct"/>
            <w:tcBorders>
              <w:tl2br w:val="nil"/>
              <w:tr2bl w:val="nil"/>
            </w:tcBorders>
            <w:vAlign w:val="center"/>
          </w:tcPr>
          <w:p w14:paraId="783970EF">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国民经济</w:t>
            </w:r>
          </w:p>
          <w:p w14:paraId="4CA4A7D2">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行业类别</w:t>
            </w:r>
          </w:p>
        </w:tc>
        <w:tc>
          <w:tcPr>
            <w:tcW w:w="1176" w:type="pct"/>
            <w:tcBorders>
              <w:tl2br w:val="nil"/>
              <w:tr2bl w:val="nil"/>
            </w:tcBorders>
            <w:vAlign w:val="center"/>
          </w:tcPr>
          <w:p w14:paraId="22EAF18B">
            <w:pPr>
              <w:jc w:val="center"/>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w:t>
            </w:r>
            <w:r>
              <w:rPr>
                <w:rFonts w:hint="eastAsia" w:ascii="Times New Roman" w:hAnsi="Times New Roman" w:cs="Times New Roman"/>
                <w:color w:val="000000" w:themeColor="text1"/>
                <w:sz w:val="24"/>
                <w:highlight w:val="none"/>
                <w:lang w:val="en-US" w:eastAsia="zh-CN"/>
                <w14:textFill>
                  <w14:solidFill>
                    <w14:schemeClr w14:val="tx1"/>
                  </w14:solidFill>
                </w14:textFill>
              </w:rPr>
              <w:t>2929塑料零件及其他塑料制品制造</w:t>
            </w:r>
          </w:p>
        </w:tc>
        <w:tc>
          <w:tcPr>
            <w:tcW w:w="1103" w:type="pct"/>
            <w:tcBorders>
              <w:tl2br w:val="nil"/>
              <w:tr2bl w:val="nil"/>
            </w:tcBorders>
            <w:vAlign w:val="center"/>
          </w:tcPr>
          <w:p w14:paraId="0D8F7D7C">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建设项目</w:t>
            </w:r>
          </w:p>
          <w:p w14:paraId="1A56B9CA">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行业类别</w:t>
            </w:r>
          </w:p>
        </w:tc>
        <w:tc>
          <w:tcPr>
            <w:tcW w:w="1645" w:type="pct"/>
            <w:tcBorders>
              <w:tl2br w:val="nil"/>
              <w:tr2bl w:val="nil"/>
            </w:tcBorders>
            <w:vAlign w:val="center"/>
          </w:tcPr>
          <w:p w14:paraId="42A1E426">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二十六、橡胶和塑料制品业29--53、塑料制品业 292 －其他（年用非溶剂型低VOCs含量涂料10吨以下的除外）</w:t>
            </w:r>
          </w:p>
        </w:tc>
      </w:tr>
      <w:tr w14:paraId="09CCD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6C52B372">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建设性质</w:t>
            </w:r>
          </w:p>
        </w:tc>
        <w:tc>
          <w:tcPr>
            <w:tcW w:w="1176" w:type="pct"/>
            <w:tcBorders>
              <w:tl2br w:val="nil"/>
              <w:tr2bl w:val="nil"/>
            </w:tcBorders>
            <w:vAlign w:val="center"/>
          </w:tcPr>
          <w:p w14:paraId="6B92E1E7">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52"/>
            </w:r>
            <w:r>
              <w:rPr>
                <w:rFonts w:hint="default" w:ascii="Times New Roman" w:hAnsi="Times New Roman" w:eastAsia="宋体" w:cs="Times New Roman"/>
                <w:color w:val="000000" w:themeColor="text1"/>
                <w:sz w:val="24"/>
                <w:highlight w:val="none"/>
                <w14:textFill>
                  <w14:solidFill>
                    <w14:schemeClr w14:val="tx1"/>
                  </w14:solidFill>
                </w14:textFill>
              </w:rPr>
              <w:t>新建（迁建）</w:t>
            </w:r>
          </w:p>
          <w:p w14:paraId="40B5E594">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改建</w:t>
            </w:r>
          </w:p>
          <w:p w14:paraId="4E161DA9">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扩建</w:t>
            </w:r>
          </w:p>
          <w:p w14:paraId="2C5CE8E9">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技术改造</w:t>
            </w:r>
          </w:p>
        </w:tc>
        <w:tc>
          <w:tcPr>
            <w:tcW w:w="1103" w:type="pct"/>
            <w:tcBorders>
              <w:tl2br w:val="nil"/>
              <w:tr2bl w:val="nil"/>
            </w:tcBorders>
            <w:vAlign w:val="center"/>
          </w:tcPr>
          <w:p w14:paraId="3B76F7A9">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建设项目</w:t>
            </w:r>
          </w:p>
          <w:p w14:paraId="31A70693">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申报情形</w:t>
            </w:r>
          </w:p>
        </w:tc>
        <w:tc>
          <w:tcPr>
            <w:tcW w:w="1645" w:type="pct"/>
            <w:tcBorders>
              <w:tl2br w:val="nil"/>
              <w:tr2bl w:val="nil"/>
            </w:tcBorders>
            <w:vAlign w:val="center"/>
          </w:tcPr>
          <w:p w14:paraId="1730EF3B">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52"/>
            </w:r>
            <w:r>
              <w:rPr>
                <w:rFonts w:hint="default" w:ascii="Times New Roman" w:hAnsi="Times New Roman" w:eastAsia="宋体" w:cs="Times New Roman"/>
                <w:color w:val="000000" w:themeColor="text1"/>
                <w:sz w:val="24"/>
                <w:highlight w:val="none"/>
                <w14:textFill>
                  <w14:solidFill>
                    <w14:schemeClr w14:val="tx1"/>
                  </w14:solidFill>
                </w14:textFill>
              </w:rPr>
              <w:t>首次申报项目</w:t>
            </w:r>
          </w:p>
          <w:p w14:paraId="30261622">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不予批准后再次申报项目</w:t>
            </w:r>
          </w:p>
          <w:p w14:paraId="2874CA94">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超五年重新审核项目</w:t>
            </w:r>
          </w:p>
          <w:p w14:paraId="7A5665C8">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重大变动重新报批项目</w:t>
            </w:r>
          </w:p>
        </w:tc>
      </w:tr>
      <w:tr w14:paraId="53EF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2AB0E3B8">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项目审批（核准/备案）部门（选填）</w:t>
            </w:r>
          </w:p>
        </w:tc>
        <w:tc>
          <w:tcPr>
            <w:tcW w:w="1176" w:type="pct"/>
            <w:tcBorders>
              <w:tl2br w:val="nil"/>
              <w:tr2bl w:val="nil"/>
            </w:tcBorders>
            <w:vAlign w:val="center"/>
          </w:tcPr>
          <w:p w14:paraId="7FA57AE6">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w:t>
            </w:r>
          </w:p>
        </w:tc>
        <w:tc>
          <w:tcPr>
            <w:tcW w:w="1103" w:type="pct"/>
            <w:tcBorders>
              <w:tl2br w:val="nil"/>
              <w:tr2bl w:val="nil"/>
            </w:tcBorders>
            <w:vAlign w:val="center"/>
          </w:tcPr>
          <w:p w14:paraId="474E06E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项目审批（核准/备案）文号（选填）</w:t>
            </w:r>
          </w:p>
        </w:tc>
        <w:tc>
          <w:tcPr>
            <w:tcW w:w="1645" w:type="pct"/>
            <w:tcBorders>
              <w:tl2br w:val="nil"/>
              <w:tr2bl w:val="nil"/>
            </w:tcBorders>
            <w:vAlign w:val="center"/>
          </w:tcPr>
          <w:p w14:paraId="6F2A1598">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w:t>
            </w:r>
          </w:p>
        </w:tc>
      </w:tr>
      <w:tr w14:paraId="1AC47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1A67CFD0">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总投资（万元）</w:t>
            </w:r>
          </w:p>
        </w:tc>
        <w:tc>
          <w:tcPr>
            <w:tcW w:w="1176" w:type="pct"/>
            <w:tcBorders>
              <w:tl2br w:val="nil"/>
              <w:tr2bl w:val="nil"/>
            </w:tcBorders>
            <w:vAlign w:val="center"/>
          </w:tcPr>
          <w:p w14:paraId="598F0490">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2900</w:t>
            </w:r>
          </w:p>
        </w:tc>
        <w:tc>
          <w:tcPr>
            <w:tcW w:w="1103" w:type="pct"/>
            <w:tcBorders>
              <w:tl2br w:val="nil"/>
              <w:tr2bl w:val="nil"/>
            </w:tcBorders>
            <w:vAlign w:val="center"/>
          </w:tcPr>
          <w:p w14:paraId="79C9D2C4">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环保投资（万元）</w:t>
            </w:r>
          </w:p>
        </w:tc>
        <w:tc>
          <w:tcPr>
            <w:tcW w:w="1645" w:type="pct"/>
            <w:tcBorders>
              <w:tl2br w:val="nil"/>
              <w:tr2bl w:val="nil"/>
            </w:tcBorders>
            <w:vAlign w:val="center"/>
          </w:tcPr>
          <w:p w14:paraId="0CDF82CE">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50</w:t>
            </w:r>
          </w:p>
        </w:tc>
      </w:tr>
      <w:tr w14:paraId="29232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178BA614">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环保投资占比（%）</w:t>
            </w:r>
          </w:p>
        </w:tc>
        <w:tc>
          <w:tcPr>
            <w:tcW w:w="1176" w:type="pct"/>
            <w:tcBorders>
              <w:tl2br w:val="nil"/>
              <w:tr2bl w:val="nil"/>
            </w:tcBorders>
            <w:vAlign w:val="center"/>
          </w:tcPr>
          <w:p w14:paraId="3A233F1C">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1.72</w:t>
            </w:r>
          </w:p>
        </w:tc>
        <w:tc>
          <w:tcPr>
            <w:tcW w:w="1103" w:type="pct"/>
            <w:tcBorders>
              <w:tl2br w:val="nil"/>
              <w:tr2bl w:val="nil"/>
            </w:tcBorders>
            <w:vAlign w:val="center"/>
          </w:tcPr>
          <w:p w14:paraId="44BDE330">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施工工期</w:t>
            </w:r>
          </w:p>
        </w:tc>
        <w:tc>
          <w:tcPr>
            <w:tcW w:w="1645" w:type="pct"/>
            <w:tcBorders>
              <w:tl2br w:val="nil"/>
              <w:tr2bl w:val="nil"/>
            </w:tcBorders>
            <w:vAlign w:val="center"/>
          </w:tcPr>
          <w:p w14:paraId="2FD46F44">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w:t>
            </w:r>
          </w:p>
        </w:tc>
      </w:tr>
      <w:tr w14:paraId="6808D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60025CD7">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是否开工建设</w:t>
            </w:r>
          </w:p>
        </w:tc>
        <w:tc>
          <w:tcPr>
            <w:tcW w:w="1176" w:type="pct"/>
            <w:tcBorders>
              <w:tl2br w:val="nil"/>
              <w:tr2bl w:val="nil"/>
            </w:tcBorders>
            <w:vAlign w:val="center"/>
          </w:tcPr>
          <w:p w14:paraId="15C0D8B5">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52"/>
            </w:r>
            <w:r>
              <w:rPr>
                <w:rFonts w:hint="default" w:ascii="Times New Roman" w:hAnsi="Times New Roman" w:eastAsia="宋体" w:cs="Times New Roman"/>
                <w:color w:val="000000" w:themeColor="text1"/>
                <w:sz w:val="24"/>
                <w:highlight w:val="none"/>
                <w14:textFill>
                  <w14:solidFill>
                    <w14:schemeClr w14:val="tx1"/>
                  </w14:solidFill>
                </w14:textFill>
              </w:rPr>
              <w:t>否</w:t>
            </w:r>
          </w:p>
          <w:p w14:paraId="0D50892C">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4"/>
                <w:highlight w:val="none"/>
                <w14:textFill>
                  <w14:solidFill>
                    <w14:schemeClr w14:val="tx1"/>
                  </w14:solidFill>
                </w14:textFill>
              </w:rPr>
              <w:t>是：_________</w:t>
            </w:r>
          </w:p>
        </w:tc>
        <w:tc>
          <w:tcPr>
            <w:tcW w:w="1103" w:type="pct"/>
            <w:tcBorders>
              <w:tl2br w:val="nil"/>
              <w:tr2bl w:val="nil"/>
            </w:tcBorders>
            <w:vAlign w:val="center"/>
          </w:tcPr>
          <w:p w14:paraId="4D4DF4E0">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用地（用海）</w:t>
            </w:r>
          </w:p>
          <w:p w14:paraId="394A8C6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面积（㎡）</w:t>
            </w:r>
          </w:p>
        </w:tc>
        <w:tc>
          <w:tcPr>
            <w:tcW w:w="1645" w:type="pct"/>
            <w:tcBorders>
              <w:tl2br w:val="nil"/>
              <w:tr2bl w:val="nil"/>
            </w:tcBorders>
            <w:vAlign w:val="center"/>
          </w:tcPr>
          <w:p w14:paraId="2B005C85">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8370</w:t>
            </w:r>
          </w:p>
        </w:tc>
      </w:tr>
      <w:tr w14:paraId="1E8D1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1FD5E477">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专项评价设置情况</w:t>
            </w:r>
          </w:p>
        </w:tc>
        <w:tc>
          <w:tcPr>
            <w:tcW w:w="3924" w:type="pct"/>
            <w:gridSpan w:val="3"/>
            <w:tcBorders>
              <w:tl2br w:val="nil"/>
              <w:tr2bl w:val="nil"/>
            </w:tcBorders>
            <w:vAlign w:val="center"/>
          </w:tcPr>
          <w:p w14:paraId="16D6BF08">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无</w:t>
            </w:r>
          </w:p>
        </w:tc>
      </w:tr>
      <w:tr w14:paraId="7A4C6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7D667792">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规划情况</w:t>
            </w:r>
          </w:p>
        </w:tc>
        <w:tc>
          <w:tcPr>
            <w:tcW w:w="3924" w:type="pct"/>
            <w:gridSpan w:val="3"/>
            <w:tcBorders>
              <w:tl2br w:val="nil"/>
              <w:tr2bl w:val="nil"/>
            </w:tcBorders>
            <w:vAlign w:val="center"/>
          </w:tcPr>
          <w:p w14:paraId="52102867">
            <w:pPr>
              <w:spacing w:line="360" w:lineRule="auto"/>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无</w:t>
            </w:r>
          </w:p>
        </w:tc>
      </w:tr>
      <w:tr w14:paraId="0AF8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7C26577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规划环境影响评价情况</w:t>
            </w:r>
          </w:p>
        </w:tc>
        <w:tc>
          <w:tcPr>
            <w:tcW w:w="3924" w:type="pct"/>
            <w:gridSpan w:val="3"/>
            <w:tcBorders>
              <w:tl2br w:val="nil"/>
              <w:tr2bl w:val="nil"/>
            </w:tcBorders>
            <w:vAlign w:val="center"/>
          </w:tcPr>
          <w:p w14:paraId="46A954E1">
            <w:pPr>
              <w:spacing w:line="360" w:lineRule="auto"/>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无</w:t>
            </w:r>
          </w:p>
        </w:tc>
      </w:tr>
      <w:tr w14:paraId="65DEE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5" w:type="pct"/>
            <w:tcBorders>
              <w:tl2br w:val="nil"/>
              <w:tr2bl w:val="nil"/>
            </w:tcBorders>
            <w:vAlign w:val="center"/>
          </w:tcPr>
          <w:p w14:paraId="71BCAE2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规划及规划环境影响评价符合性分析</w:t>
            </w:r>
          </w:p>
        </w:tc>
        <w:tc>
          <w:tcPr>
            <w:tcW w:w="3924" w:type="pct"/>
            <w:gridSpan w:val="3"/>
            <w:tcBorders>
              <w:tl2br w:val="nil"/>
              <w:tr2bl w:val="nil"/>
            </w:tcBorders>
            <w:vAlign w:val="center"/>
          </w:tcPr>
          <w:p w14:paraId="34B18C90">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无</w:t>
            </w:r>
          </w:p>
        </w:tc>
      </w:tr>
      <w:tr w14:paraId="21AC9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2" w:hRule="atLeast"/>
        </w:trPr>
        <w:tc>
          <w:tcPr>
            <w:tcW w:w="5000" w:type="pct"/>
            <w:gridSpan w:val="4"/>
            <w:tcBorders>
              <w:tl2br w:val="nil"/>
              <w:tr2bl w:val="nil"/>
            </w:tcBorders>
            <w:vAlign w:val="center"/>
          </w:tcPr>
          <w:p w14:paraId="4CAA50A1">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其他符合性分析</w:t>
            </w:r>
          </w:p>
          <w:p w14:paraId="4B87BF55">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相符性分析</w:t>
            </w:r>
            <w:r>
              <w:rPr>
                <w:rFonts w:hint="default" w:ascii="Times New Roman" w:hAnsi="Times New Roman" w:eastAsia="宋体" w:cs="Times New Roman"/>
                <w:b/>
                <w:color w:val="000000" w:themeColor="text1"/>
                <w:sz w:val="21"/>
                <w:highlight w:val="none"/>
                <w14:textFill>
                  <w14:solidFill>
                    <w14:schemeClr w14:val="tx1"/>
                  </w14:solidFill>
                </w14:textFill>
              </w:rPr>
              <w:t>一览表</w:t>
            </w:r>
          </w:p>
          <w:tbl>
            <w:tblPr>
              <w:tblStyle w:val="33"/>
              <w:tblW w:w="49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272"/>
              <w:gridCol w:w="1376"/>
              <w:gridCol w:w="3313"/>
              <w:gridCol w:w="1874"/>
              <w:gridCol w:w="426"/>
            </w:tblGrid>
            <w:tr w14:paraId="6DBAE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Align w:val="center"/>
                </w:tcPr>
                <w:p w14:paraId="246AC65F">
                  <w:pPr>
                    <w:pStyle w:val="18"/>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序号</w:t>
                  </w:r>
                </w:p>
              </w:tc>
              <w:tc>
                <w:tcPr>
                  <w:tcW w:w="732" w:type="pct"/>
                  <w:vAlign w:val="center"/>
                </w:tcPr>
                <w:p w14:paraId="34768B68">
                  <w:pPr>
                    <w:pStyle w:val="18"/>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产业、准入政策名称</w:t>
                  </w:r>
                </w:p>
              </w:tc>
              <w:tc>
                <w:tcPr>
                  <w:tcW w:w="2699" w:type="pct"/>
                  <w:gridSpan w:val="2"/>
                  <w:vAlign w:val="center"/>
                </w:tcPr>
                <w:p w14:paraId="5E368089">
                  <w:pPr>
                    <w:pStyle w:val="18"/>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涉及条款</w:t>
                  </w:r>
                </w:p>
              </w:tc>
              <w:tc>
                <w:tcPr>
                  <w:tcW w:w="1078" w:type="pct"/>
                  <w:vAlign w:val="center"/>
                </w:tcPr>
                <w:p w14:paraId="289F60C2">
                  <w:pPr>
                    <w:pStyle w:val="18"/>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项目建设情况</w:t>
                  </w:r>
                </w:p>
              </w:tc>
              <w:tc>
                <w:tcPr>
                  <w:tcW w:w="245" w:type="pct"/>
                  <w:vAlign w:val="center"/>
                </w:tcPr>
                <w:p w14:paraId="6D0F44B1">
                  <w:pPr>
                    <w:pStyle w:val="18"/>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相符性</w:t>
                  </w:r>
                </w:p>
                <w:p w14:paraId="10806C47">
                  <w:pPr>
                    <w:pStyle w:val="18"/>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判定</w:t>
                  </w:r>
                </w:p>
              </w:tc>
            </w:tr>
            <w:tr w14:paraId="5620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jc w:val="center"/>
              </w:trPr>
              <w:tc>
                <w:tcPr>
                  <w:tcW w:w="244" w:type="pct"/>
                  <w:vMerge w:val="restart"/>
                  <w:vAlign w:val="center"/>
                </w:tcPr>
                <w:p w14:paraId="6E2AE863">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732" w:type="pct"/>
                  <w:vAlign w:val="center"/>
                </w:tcPr>
                <w:p w14:paraId="744B5DE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"file:///D:\\微信\\WeChat%20Files\\wxid_1606796060012\\com_caislabs_ebk\\K管理政策\\名录-目录-名单\\产业结构调整指导目录(发改令第40号2005-12-2).htm" \t "main" \o "产业结构调整指导目录(发改令第40号2005-12-2)"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1"/>
                      <w:szCs w:val="21"/>
                      <w:highlight w:val="none"/>
                      <w14:textFill>
                        <w14:solidFill>
                          <w14:schemeClr w14:val="tx1"/>
                        </w14:solidFill>
                      </w14:textFill>
                    </w:rPr>
                    <w:t>产业结构调整指导目录</w:t>
                  </w:r>
                  <w:r>
                    <w:rPr>
                      <w:rFonts w:hint="default" w:ascii="Times New Roman" w:hAnsi="Times New Roman" w:eastAsia="宋体" w:cs="Times New Roman"/>
                      <w:color w:val="000000" w:themeColor="text1"/>
                      <w:sz w:val="2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 w:val="21"/>
                      <w:szCs w:val="21"/>
                      <w:highlight w:val="none"/>
                      <w14:textFill>
                        <w14:solidFill>
                          <w14:schemeClr w14:val="tx1"/>
                        </w14:solidFill>
                      </w14:textFill>
                    </w:rPr>
                    <w:t>（2024年本）》</w:t>
                  </w:r>
                </w:p>
              </w:tc>
              <w:tc>
                <w:tcPr>
                  <w:tcW w:w="2699" w:type="pct"/>
                  <w:gridSpan w:val="2"/>
                  <w:vAlign w:val="center"/>
                </w:tcPr>
                <w:p w14:paraId="58AEC290">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鼓励、</w:t>
                  </w:r>
                  <w:r>
                    <w:rPr>
                      <w:rFonts w:hint="default" w:ascii="Times New Roman" w:hAnsi="Times New Roman" w:eastAsia="宋体" w:cs="Times New Roman"/>
                      <w:color w:val="000000" w:themeColor="text1"/>
                      <w:sz w:val="21"/>
                      <w:szCs w:val="21"/>
                      <w:highlight w:val="none"/>
                      <w14:textFill>
                        <w14:solidFill>
                          <w14:schemeClr w14:val="tx1"/>
                        </w14:solidFill>
                      </w14:textFill>
                    </w:rPr>
                    <w:t>淘汰和限制类</w:t>
                  </w:r>
                </w:p>
                <w:p w14:paraId="220BA3DA">
                  <w:pPr>
                    <w:rPr>
                      <w:color w:val="000000" w:themeColor="text1"/>
                      <w:highlight w:val="none"/>
                      <w14:textFill>
                        <w14:solidFill>
                          <w14:schemeClr w14:val="tx1"/>
                        </w14:solidFill>
                      </w14:textFill>
                    </w:rPr>
                  </w:pPr>
                </w:p>
                <w:p w14:paraId="0D9EA55B">
                  <w:pPr>
                    <w:rPr>
                      <w:color w:val="000000" w:themeColor="text1"/>
                      <w:highlight w:val="none"/>
                      <w14:textFill>
                        <w14:solidFill>
                          <w14:schemeClr w14:val="tx1"/>
                        </w14:solidFill>
                      </w14:textFill>
                    </w:rPr>
                  </w:pPr>
                </w:p>
              </w:tc>
              <w:tc>
                <w:tcPr>
                  <w:tcW w:w="1078" w:type="pct"/>
                  <w:vAlign w:val="center"/>
                </w:tcPr>
                <w:p w14:paraId="0321675E">
                  <w:pPr>
                    <w:adjustRightInd w:val="0"/>
                    <w:snapToGrid w:val="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p>
                <w:p w14:paraId="45EBC482">
                  <w:pPr>
                    <w:adjustRightInd w:val="0"/>
                    <w:snapToGrid w:val="0"/>
                    <w:jc w:val="cente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本项目不属于鼓励、淘汰和限制类。</w:t>
                  </w:r>
                </w:p>
              </w:tc>
              <w:tc>
                <w:tcPr>
                  <w:tcW w:w="245" w:type="pct"/>
                  <w:vMerge w:val="restart"/>
                  <w:vAlign w:val="center"/>
                </w:tcPr>
                <w:p w14:paraId="324CE014">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14B2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44" w:type="pct"/>
                  <w:vMerge w:val="continue"/>
                  <w:vAlign w:val="center"/>
                </w:tcPr>
                <w:p w14:paraId="7471E302">
                  <w:pPr>
                    <w:adjustRightInd w:val="0"/>
                    <w:snapToGrid w:val="0"/>
                    <w:jc w:val="center"/>
                    <w:rPr>
                      <w:color w:val="000000" w:themeColor="text1"/>
                      <w:highlight w:val="none"/>
                      <w14:textFill>
                        <w14:solidFill>
                          <w14:schemeClr w14:val="tx1"/>
                        </w14:solidFill>
                      </w14:textFill>
                    </w:rPr>
                  </w:pPr>
                </w:p>
              </w:tc>
              <w:tc>
                <w:tcPr>
                  <w:tcW w:w="732" w:type="pct"/>
                  <w:vAlign w:val="center"/>
                </w:tcPr>
                <w:p w14:paraId="77374C25">
                  <w:pPr>
                    <w:adjustRightInd w:val="0"/>
                    <w:snapToGrid w:val="0"/>
                    <w:jc w:val="center"/>
                    <w:rPr>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《产业发展与转移指导目录（2018 年本）》</w:t>
                  </w:r>
                </w:p>
              </w:tc>
              <w:tc>
                <w:tcPr>
                  <w:tcW w:w="2699" w:type="pct"/>
                  <w:gridSpan w:val="2"/>
                  <w:vAlign w:val="center"/>
                </w:tcPr>
                <w:p w14:paraId="239995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1078" w:type="pct"/>
                  <w:vAlign w:val="center"/>
                </w:tcPr>
                <w:p w14:paraId="657982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项目不属于引导逐步调整退出的产业，不属于引导不再承接的产业。</w:t>
                  </w:r>
                </w:p>
              </w:tc>
              <w:tc>
                <w:tcPr>
                  <w:tcW w:w="245" w:type="pct"/>
                  <w:vMerge w:val="continue"/>
                  <w:vAlign w:val="center"/>
                </w:tcPr>
                <w:p w14:paraId="05FC4F5B">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14AEE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0B2FFB5F">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Align w:val="center"/>
                </w:tcPr>
                <w:p w14:paraId="29D64903">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《市场准入负面清单（202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14:textFill>
                        <w14:solidFill>
                          <w14:schemeClr w14:val="tx1"/>
                        </w14:solidFill>
                      </w14:textFill>
                    </w:rPr>
                    <w:t>年版）》</w:t>
                  </w:r>
                </w:p>
              </w:tc>
              <w:tc>
                <w:tcPr>
                  <w:tcW w:w="2699" w:type="pct"/>
                  <w:gridSpan w:val="2"/>
                  <w:vAlign w:val="center"/>
                </w:tcPr>
                <w:p w14:paraId="1F7A0A3C">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1078" w:type="pct"/>
                  <w:vAlign w:val="center"/>
                </w:tcPr>
                <w:p w14:paraId="73BB682D">
                  <w:pPr>
                    <w:adjustRightInd w:val="0"/>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w:t>
                  </w:r>
                  <w:r>
                    <w:rPr>
                      <w:rFonts w:hint="default" w:ascii="Times New Roman" w:hAnsi="Times New Roman" w:eastAsia="宋体" w:cs="Times New Roman"/>
                      <w:bCs/>
                      <w:color w:val="000000" w:themeColor="text1"/>
                      <w:szCs w:val="21"/>
                      <w:highlight w:val="none"/>
                      <w14:textFill>
                        <w14:solidFill>
                          <w14:schemeClr w14:val="tx1"/>
                        </w14:solidFill>
                      </w14:textFill>
                    </w:rPr>
                    <w:t>不属于禁止准入类</w:t>
                  </w:r>
                  <w:r>
                    <w:rPr>
                      <w:rFonts w:hint="default" w:ascii="Times New Roman" w:hAnsi="Times New Roman" w:eastAsia="宋体" w:cs="Times New Roman"/>
                      <w:color w:val="000000" w:themeColor="text1"/>
                      <w:szCs w:val="21"/>
                      <w:highlight w:val="none"/>
                      <w14:textFill>
                        <w14:solidFill>
                          <w14:schemeClr w14:val="tx1"/>
                        </w14:solidFill>
                      </w14:textFill>
                    </w:rPr>
                    <w:t>和许可准入类</w:t>
                  </w:r>
                </w:p>
              </w:tc>
              <w:tc>
                <w:tcPr>
                  <w:tcW w:w="245" w:type="pct"/>
                  <w:vMerge w:val="continue"/>
                  <w:vAlign w:val="center"/>
                </w:tcPr>
                <w:p w14:paraId="4449FF7D">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7B82C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244" w:type="pct"/>
                  <w:vMerge w:val="restart"/>
                  <w:vAlign w:val="center"/>
                </w:tcPr>
                <w:p w14:paraId="215514DC">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732" w:type="pct"/>
                  <w:vMerge w:val="restart"/>
                  <w:vAlign w:val="center"/>
                </w:tcPr>
                <w:p w14:paraId="22697A70">
                  <w:pPr>
                    <w:pStyle w:val="18"/>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《中山市涉挥发性有机物项目环保管理规定》的通知</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中环规字〔2021〕1号</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】、《中山市生态环境局关于</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&lt;</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中山市涉挥发性有机物项目环保管理规定</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&gt;</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补充说明的函》【</w:t>
                  </w:r>
                  <w:r>
                    <w:rPr>
                      <w:rFonts w:hint="default" w:ascii="Times New Roman" w:hAnsi="Times New Roman" w:eastAsia="宋体" w:cs="Times New Roman"/>
                      <w:color w:val="000000" w:themeColor="text1"/>
                      <w:sz w:val="21"/>
                      <w:szCs w:val="21"/>
                      <w:highlight w:val="none"/>
                      <w14:textFill>
                        <w14:solidFill>
                          <w14:schemeClr w14:val="tx1"/>
                        </w14:solidFill>
                      </w14:textFill>
                    </w:rPr>
                    <w:t>中环</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函</w:t>
                  </w:r>
                  <w:r>
                    <w:rPr>
                      <w:rFonts w:hint="default" w:ascii="Times New Roman" w:hAnsi="Times New Roman" w:eastAsia="宋体" w:cs="Times New Roman"/>
                      <w:color w:val="000000" w:themeColor="text1"/>
                      <w:sz w:val="21"/>
                      <w:szCs w:val="21"/>
                      <w:highlight w:val="none"/>
                      <w14:textFill>
                        <w14:solidFill>
                          <w14:schemeClr w14:val="tx1"/>
                        </w14:solidFill>
                      </w14:textFill>
                    </w:rPr>
                    <w:t>〔202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85</w:t>
                  </w:r>
                  <w:r>
                    <w:rPr>
                      <w:rFonts w:hint="default" w:ascii="Times New Roman" w:hAnsi="Times New Roman" w:eastAsia="宋体" w:cs="Times New Roman"/>
                      <w:color w:val="000000" w:themeColor="text1"/>
                      <w:sz w:val="21"/>
                      <w:szCs w:val="21"/>
                      <w:highlight w:val="none"/>
                      <w14:textFill>
                        <w14:solidFill>
                          <w14:schemeClr w14:val="tx1"/>
                        </w14:solidFill>
                      </w14:textFill>
                    </w:rPr>
                    <w:t>号</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p>
              </w:tc>
              <w:tc>
                <w:tcPr>
                  <w:tcW w:w="2699" w:type="pct"/>
                  <w:gridSpan w:val="2"/>
                  <w:vAlign w:val="center"/>
                </w:tcPr>
                <w:p w14:paraId="0B67F2B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中山市大气重点区域（东区、西区、南区、石岐街道）不再审批（或备案）新建、扩建涉总VOCs 产排工业项目</w:t>
                  </w:r>
                </w:p>
              </w:tc>
              <w:tc>
                <w:tcPr>
                  <w:tcW w:w="1078" w:type="pct"/>
                  <w:vMerge w:val="restart"/>
                  <w:vAlign w:val="center"/>
                </w:tcPr>
                <w:p w14:paraId="30F44BD0">
                  <w:pPr>
                    <w:pStyle w:val="18"/>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项目选址位于</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西区</w:t>
                  </w:r>
                  <w:r>
                    <w:rPr>
                      <w:rFonts w:hint="default" w:ascii="Times New Roman" w:hAnsi="Times New Roman" w:eastAsia="宋体" w:cs="Times New Roman"/>
                      <w:color w:val="000000" w:themeColor="text1"/>
                      <w:sz w:val="21"/>
                      <w:szCs w:val="21"/>
                      <w:highlight w:val="none"/>
                      <w14:textFill>
                        <w14:solidFill>
                          <w14:schemeClr w14:val="tx1"/>
                        </w14:solidFill>
                      </w14:textFill>
                    </w:rPr>
                    <w:t>，选址区域属于二类大气环境功能区，不在一类环境功能区内</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根据企业提供附件3可知，本建设单位属于</w:t>
                  </w:r>
                  <w:r>
                    <w:rPr>
                      <w:rFonts w:hint="eastAsia" w:ascii="Times New Roman" w:hAnsi="Times New Roman" w:eastAsia="宋体" w:cs="Times New Roman"/>
                      <w:color w:val="000000" w:themeColor="text1"/>
                      <w:sz w:val="21"/>
                      <w:szCs w:val="21"/>
                      <w:highlight w:val="none"/>
                      <w14:textFill>
                        <w14:solidFill>
                          <w14:schemeClr w14:val="tx1"/>
                        </w14:solidFill>
                      </w14:textFill>
                    </w:rPr>
                    <w:t>由科技主管部门授予的省级以上“高新技术企业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14:textFill>
                        <w14:solidFill>
                          <w14:schemeClr w14:val="tx1"/>
                        </w14:solidFill>
                      </w14:textFill>
                    </w:rPr>
                    <w:t>称号企业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即本项目属于</w:t>
                  </w:r>
                  <w:r>
                    <w:rPr>
                      <w:rFonts w:hint="eastAsia" w:ascii="Times New Roman" w:hAnsi="Times New Roman" w:eastAsia="宋体" w:cs="Times New Roman"/>
                      <w:color w:val="000000" w:themeColor="text1"/>
                      <w:sz w:val="21"/>
                      <w:szCs w:val="21"/>
                      <w:highlight w:val="none"/>
                      <w14:textFill>
                        <w14:solidFill>
                          <w14:schemeClr w14:val="tx1"/>
                        </w14:solidFill>
                      </w14:textFill>
                    </w:rPr>
                    <w:t>市级或以上重点项目</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可免于</w:t>
                  </w:r>
                  <w:r>
                    <w:rPr>
                      <w:rFonts w:hint="eastAsia" w:ascii="Times New Roman" w:hAnsi="Times New Roman" w:eastAsia="宋体" w:cs="Times New Roman"/>
                      <w:color w:val="000000" w:themeColor="text1"/>
                      <w:sz w:val="21"/>
                      <w:szCs w:val="21"/>
                      <w:highlight w:val="none"/>
                      <w14:textFill>
                        <w14:solidFill>
                          <w14:schemeClr w14:val="tx1"/>
                        </w14:solidFill>
                      </w14:textFill>
                    </w:rPr>
                    <w:t>执行第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四</w:t>
                  </w:r>
                  <w:r>
                    <w:rPr>
                      <w:rFonts w:hint="eastAsia" w:ascii="Times New Roman" w:hAnsi="Times New Roman" w:eastAsia="宋体" w:cs="Times New Roman"/>
                      <w:color w:val="000000" w:themeColor="text1"/>
                      <w:sz w:val="21"/>
                      <w:szCs w:val="21"/>
                      <w:highlight w:val="none"/>
                      <w14:textFill>
                        <w14:solidFill>
                          <w14:schemeClr w14:val="tx1"/>
                        </w14:solidFill>
                      </w14:textFill>
                    </w:rPr>
                    <w:t>条、第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五</w:t>
                  </w:r>
                  <w:r>
                    <w:rPr>
                      <w:rFonts w:hint="eastAsia" w:ascii="Times New Roman" w:hAnsi="Times New Roman" w:eastAsia="宋体" w:cs="Times New Roman"/>
                      <w:color w:val="000000" w:themeColor="text1"/>
                      <w:sz w:val="21"/>
                      <w:szCs w:val="21"/>
                      <w:highlight w:val="none"/>
                      <w14:textFill>
                        <w14:solidFill>
                          <w14:schemeClr w14:val="tx1"/>
                        </w14:solidFill>
                      </w14:textFill>
                    </w:rPr>
                    <w:t>条、第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六</w:t>
                  </w:r>
                  <w:r>
                    <w:rPr>
                      <w:rFonts w:hint="eastAsia" w:ascii="Times New Roman" w:hAnsi="Times New Roman" w:eastAsia="宋体" w:cs="Times New Roman"/>
                      <w:color w:val="000000" w:themeColor="text1"/>
                      <w:sz w:val="21"/>
                      <w:szCs w:val="21"/>
                      <w:highlight w:val="none"/>
                      <w14:textFill>
                        <w14:solidFill>
                          <w14:schemeClr w14:val="tx1"/>
                        </w14:solidFill>
                      </w14:textFill>
                    </w:rPr>
                    <w:t>条之相关规定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p>
              </w:tc>
              <w:tc>
                <w:tcPr>
                  <w:tcW w:w="245" w:type="pct"/>
                  <w:vMerge w:val="restart"/>
                  <w:vAlign w:val="center"/>
                </w:tcPr>
                <w:p w14:paraId="61C03CC2">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20B6F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4" w:type="pct"/>
                  <w:vMerge w:val="continue"/>
                  <w:vAlign w:val="center"/>
                </w:tcPr>
                <w:p w14:paraId="337355DB">
                  <w:pPr>
                    <w:pStyle w:val="18"/>
                    <w:jc w:val="center"/>
                    <w:rPr>
                      <w:color w:val="000000" w:themeColor="text1"/>
                      <w:highlight w:val="none"/>
                      <w14:textFill>
                        <w14:solidFill>
                          <w14:schemeClr w14:val="tx1"/>
                        </w14:solidFill>
                      </w14:textFill>
                    </w:rPr>
                  </w:pPr>
                </w:p>
              </w:tc>
              <w:tc>
                <w:tcPr>
                  <w:tcW w:w="732" w:type="pct"/>
                  <w:vMerge w:val="continue"/>
                  <w:vAlign w:val="center"/>
                </w:tcPr>
                <w:p w14:paraId="6B31B117">
                  <w:pPr>
                    <w:pStyle w:val="18"/>
                    <w:jc w:val="center"/>
                    <w:rPr>
                      <w:color w:val="000000" w:themeColor="text1"/>
                      <w:highlight w:val="none"/>
                      <w14:textFill>
                        <w14:solidFill>
                          <w14:schemeClr w14:val="tx1"/>
                        </w14:solidFill>
                      </w14:textFill>
                    </w:rPr>
                  </w:pPr>
                </w:p>
              </w:tc>
              <w:tc>
                <w:tcPr>
                  <w:tcW w:w="2699" w:type="pct"/>
                  <w:gridSpan w:val="2"/>
                  <w:vAlign w:val="center"/>
                </w:tcPr>
                <w:p w14:paraId="40428AD9">
                  <w:pPr>
                    <w:pStyle w:val="18"/>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VOCs共性工厂、市级或以上重点项目、低排放量规模以上项目免于执行第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四</w:t>
                  </w:r>
                  <w:r>
                    <w:rPr>
                      <w:rFonts w:hint="eastAsia" w:ascii="Times New Roman" w:hAnsi="Times New Roman" w:eastAsia="宋体" w:cs="Times New Roman"/>
                      <w:color w:val="000000" w:themeColor="text1"/>
                      <w:sz w:val="21"/>
                      <w:szCs w:val="21"/>
                      <w:highlight w:val="none"/>
                      <w14:textFill>
                        <w14:solidFill>
                          <w14:schemeClr w14:val="tx1"/>
                        </w14:solidFill>
                      </w14:textFill>
                    </w:rPr>
                    <w:t>条、第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五</w:t>
                  </w:r>
                  <w:r>
                    <w:rPr>
                      <w:rFonts w:hint="eastAsia" w:ascii="Times New Roman" w:hAnsi="Times New Roman" w:eastAsia="宋体" w:cs="Times New Roman"/>
                      <w:color w:val="000000" w:themeColor="text1"/>
                      <w:sz w:val="21"/>
                      <w:szCs w:val="21"/>
                      <w:highlight w:val="none"/>
                      <w14:textFill>
                        <w14:solidFill>
                          <w14:schemeClr w14:val="tx1"/>
                        </w14:solidFill>
                      </w14:textFill>
                    </w:rPr>
                    <w:t>条、第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六</w:t>
                  </w:r>
                  <w:r>
                    <w:rPr>
                      <w:rFonts w:hint="eastAsia" w:ascii="Times New Roman" w:hAnsi="Times New Roman" w:eastAsia="宋体" w:cs="Times New Roman"/>
                      <w:color w:val="000000" w:themeColor="text1"/>
                      <w:sz w:val="21"/>
                      <w:szCs w:val="21"/>
                      <w:highlight w:val="none"/>
                      <w14:textFill>
                        <w14:solidFill>
                          <w14:schemeClr w14:val="tx1"/>
                        </w14:solidFill>
                      </w14:textFill>
                    </w:rPr>
                    <w:t>条之相关规定。一类空气功能区</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不得豁免。</w:t>
                  </w:r>
                </w:p>
              </w:tc>
              <w:tc>
                <w:tcPr>
                  <w:tcW w:w="1078" w:type="pct"/>
                  <w:vMerge w:val="continue"/>
                  <w:vAlign w:val="center"/>
                </w:tcPr>
                <w:p w14:paraId="593A3906">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45" w:type="pct"/>
                  <w:vMerge w:val="continue"/>
                  <w:vAlign w:val="center"/>
                </w:tcPr>
                <w:p w14:paraId="7D6660E0">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17296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4" w:type="pct"/>
                  <w:vMerge w:val="continue"/>
                  <w:vAlign w:val="center"/>
                </w:tcPr>
                <w:p w14:paraId="1C095B1E">
                  <w:pPr>
                    <w:pStyle w:val="18"/>
                    <w:jc w:val="center"/>
                    <w:rPr>
                      <w:color w:val="000000" w:themeColor="text1"/>
                      <w:highlight w:val="none"/>
                      <w14:textFill>
                        <w14:solidFill>
                          <w14:schemeClr w14:val="tx1"/>
                        </w14:solidFill>
                      </w14:textFill>
                    </w:rPr>
                  </w:pPr>
                </w:p>
              </w:tc>
              <w:tc>
                <w:tcPr>
                  <w:tcW w:w="732" w:type="pct"/>
                  <w:vMerge w:val="continue"/>
                  <w:vAlign w:val="center"/>
                </w:tcPr>
                <w:p w14:paraId="4D051380">
                  <w:pPr>
                    <w:pStyle w:val="18"/>
                    <w:jc w:val="center"/>
                    <w:rPr>
                      <w:color w:val="000000" w:themeColor="text1"/>
                      <w:highlight w:val="none"/>
                      <w14:textFill>
                        <w14:solidFill>
                          <w14:schemeClr w14:val="tx1"/>
                        </w14:solidFill>
                      </w14:textFill>
                    </w:rPr>
                  </w:pPr>
                </w:p>
              </w:tc>
              <w:tc>
                <w:tcPr>
                  <w:tcW w:w="2699" w:type="pct"/>
                  <w:gridSpan w:val="2"/>
                  <w:vAlign w:val="center"/>
                </w:tcPr>
                <w:p w14:paraId="72BF1DC4">
                  <w:pPr>
                    <w:pStyle w:val="18"/>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“市级或以上重点项目”是指纳入重点项目计划、重大项目库、重点工业项目库和“3.28”洽谈会签约项目以及重点企业的新建、扩建、技改项目，重点企业范围如下</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24B7A3A4">
                  <w:pPr>
                    <w:pStyle w:val="18"/>
                    <w:jc w:val="center"/>
                    <w:rPr>
                      <w:rFonts w:hint="eastAsia"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一、注册地或总部在中山市的上市企业，以及中山市金融工作局发布的“中山市上市后备企业资源库名录”中的“重点上市后备企业”</w:t>
                  </w:r>
                </w:p>
                <w:p w14:paraId="13E5CAD6">
                  <w:pPr>
                    <w:pStyle w:val="18"/>
                    <w:jc w:val="both"/>
                    <w:rPr>
                      <w:rFonts w:hint="eastAsia"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二、由科技主管部门授予的省级以上“高新技术</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14:textFill>
                        <w14:solidFill>
                          <w14:schemeClr w14:val="tx1"/>
                        </w14:solidFill>
                      </w14:textFill>
                    </w:rPr>
                    <w:t>企业称号企业，且有效期内的。</w:t>
                  </w:r>
                </w:p>
                <w:p w14:paraId="338E4C9D">
                  <w:pPr>
                    <w:pStyle w:val="18"/>
                    <w:jc w:val="both"/>
                    <w:rPr>
                      <w:rFonts w:hint="eastAsia"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三、工业和信息化主管部认定绿色制造名单中的“绿色工厂绿色工厂”、“绿色供应链管理企业”企业。建设单位需提供纳入上述项目库的证明材料，如上述项目库实施动态调整，以送审环评文件时情况为准</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p>
              </w:tc>
              <w:tc>
                <w:tcPr>
                  <w:tcW w:w="1078" w:type="pct"/>
                  <w:vMerge w:val="continue"/>
                  <w:vAlign w:val="center"/>
                </w:tcPr>
                <w:p w14:paraId="7823C9E7">
                  <w:pPr>
                    <w:pStyle w:val="18"/>
                    <w:jc w:val="center"/>
                    <w:rPr>
                      <w:rFonts w:hint="eastAsia" w:ascii="Times New Roman" w:hAnsi="Times New Roman" w:eastAsia="宋体" w:cs="Times New Roman"/>
                      <w:color w:val="000000" w:themeColor="text1"/>
                      <w:sz w:val="21"/>
                      <w:szCs w:val="21"/>
                      <w:highlight w:val="none"/>
                      <w14:textFill>
                        <w14:solidFill>
                          <w14:schemeClr w14:val="tx1"/>
                        </w14:solidFill>
                      </w14:textFill>
                    </w:rPr>
                  </w:pPr>
                </w:p>
              </w:tc>
              <w:tc>
                <w:tcPr>
                  <w:tcW w:w="245" w:type="pct"/>
                  <w:vMerge w:val="continue"/>
                  <w:vAlign w:val="center"/>
                </w:tcPr>
                <w:p w14:paraId="58B9FFAF">
                  <w:pPr>
                    <w:pStyle w:val="18"/>
                    <w:jc w:val="center"/>
                    <w:rPr>
                      <w:rFonts w:hint="eastAsia" w:ascii="Times New Roman" w:hAnsi="Times New Roman" w:eastAsia="宋体" w:cs="Times New Roman"/>
                      <w:color w:val="000000" w:themeColor="text1"/>
                      <w:sz w:val="21"/>
                      <w:szCs w:val="21"/>
                      <w:highlight w:val="none"/>
                      <w14:textFill>
                        <w14:solidFill>
                          <w14:schemeClr w14:val="tx1"/>
                        </w14:solidFill>
                      </w14:textFill>
                    </w:rPr>
                  </w:pPr>
                </w:p>
              </w:tc>
            </w:tr>
            <w:tr w14:paraId="6B2B1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1575D51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59B4ABF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699" w:type="pct"/>
                  <w:gridSpan w:val="2"/>
                  <w:vAlign w:val="center"/>
                </w:tcPr>
                <w:p w14:paraId="17BA030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全市范围内原则上不再审批或备案新建、扩建涉使用非低（无）VOCs涂料、油墨、胶粘剂原辅材料的工业类项目</w:t>
                  </w:r>
                </w:p>
              </w:tc>
              <w:tc>
                <w:tcPr>
                  <w:tcW w:w="1078" w:type="pct"/>
                  <w:vAlign w:val="center"/>
                </w:tcPr>
                <w:p w14:paraId="75509B18">
                  <w:pPr>
                    <w:pStyle w:val="18"/>
                    <w:wordWrap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本项目不涉及使用非低（无）VOCs涂料、油墨、胶粘剂原辅材料。</w:t>
                  </w:r>
                </w:p>
              </w:tc>
              <w:tc>
                <w:tcPr>
                  <w:tcW w:w="245" w:type="pct"/>
                  <w:vAlign w:val="center"/>
                </w:tcPr>
                <w:p w14:paraId="7EE147F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404E6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5983E6AA">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7254DB11">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699" w:type="pct"/>
                  <w:gridSpan w:val="2"/>
                  <w:vAlign w:val="center"/>
                </w:tcPr>
                <w:p w14:paraId="2DE960C3">
                  <w:pPr>
                    <w:adjustRightInd w:val="0"/>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VOCs 废气遵循“应收尽收、分质收集”的原则，收集效率不应低于90%。由于技术可行性等因素，确实达不到90%的，需在环评报告充分论述并确定收集效率要求。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 无组织排放位置，控制风速应不低于0.3米/秒。有行业要求的按相关规定执行。</w:t>
                  </w:r>
                </w:p>
              </w:tc>
              <w:tc>
                <w:tcPr>
                  <w:tcW w:w="1078" w:type="pct"/>
                  <w:vAlign w:val="center"/>
                </w:tcPr>
                <w:p w14:paraId="6F8BCBF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挤出</w:t>
                  </w:r>
                  <w:r>
                    <w:rPr>
                      <w:rFonts w:hint="default" w:ascii="Times New Roman" w:hAnsi="Times New Roman" w:eastAsia="宋体" w:cs="Times New Roman"/>
                      <w:color w:val="000000" w:themeColor="text1"/>
                      <w:sz w:val="21"/>
                      <w:szCs w:val="21"/>
                      <w:highlight w:val="none"/>
                      <w14:textFill>
                        <w14:solidFill>
                          <w14:schemeClr w14:val="tx1"/>
                        </w14:solidFill>
                      </w14:textFill>
                    </w:rPr>
                    <w:t>工序废气通过</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管道</w:t>
                  </w:r>
                  <w:r>
                    <w:rPr>
                      <w:rFonts w:hint="default" w:ascii="Times New Roman" w:hAnsi="Times New Roman" w:eastAsia="宋体" w:cs="Times New Roman"/>
                      <w:color w:val="000000" w:themeColor="text1"/>
                      <w:sz w:val="21"/>
                      <w:szCs w:val="21"/>
                      <w:highlight w:val="none"/>
                      <w14:textFill>
                        <w14:solidFill>
                          <w14:schemeClr w14:val="tx1"/>
                        </w14:solidFill>
                      </w14:textFill>
                    </w:rPr>
                    <w:t>收集，</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收集效率达95%</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45" w:type="pct"/>
                  <w:vAlign w:val="center"/>
                </w:tcPr>
                <w:p w14:paraId="6A1A45BC">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08607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7656D6DA">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41ADC28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699" w:type="pct"/>
                  <w:gridSpan w:val="2"/>
                  <w:vAlign w:val="center"/>
                </w:tcPr>
                <w:p w14:paraId="2BFF0BD4">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涉VOCs产排企业应建设适宜、合理、高效的治污设施，VOCs废气总净化效率不应低于90%。由于技术可行性等因素，确实达不到90%的，需在环评报告中充分论述并确定处理效率要求。</w:t>
                  </w:r>
                </w:p>
              </w:tc>
              <w:tc>
                <w:tcPr>
                  <w:tcW w:w="1078" w:type="pct"/>
                  <w:vAlign w:val="center"/>
                </w:tcPr>
                <w:p w14:paraId="72D03E11">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项目的</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挤出</w:t>
                  </w:r>
                  <w:r>
                    <w:rPr>
                      <w:rFonts w:ascii="Times New Roman" w:hAnsi="Times New Roman" w:eastAsia="宋体" w:cs="Times New Roman"/>
                      <w:color w:val="000000" w:themeColor="text1"/>
                      <w:sz w:val="21"/>
                      <w:szCs w:val="21"/>
                      <w:highlight w:val="none"/>
                      <w14:textFill>
                        <w14:solidFill>
                          <w14:schemeClr w14:val="tx1"/>
                        </w14:solidFill>
                      </w14:textFill>
                    </w:rPr>
                    <w:t>工序采用二级活性炭吸附的治理技术，属于塑料行业排污技术规范中的可行性技术，由于本项目的VOCs的产生浓度不高，因此处理效率以</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8</w:t>
                  </w:r>
                  <w:r>
                    <w:rPr>
                      <w:rFonts w:ascii="Times New Roman" w:hAnsi="Times New Roman" w:eastAsia="宋体" w:cs="Times New Roman"/>
                      <w:color w:val="000000" w:themeColor="text1"/>
                      <w:sz w:val="21"/>
                      <w:szCs w:val="21"/>
                      <w:highlight w:val="none"/>
                      <w14:textFill>
                        <w14:solidFill>
                          <w14:schemeClr w14:val="tx1"/>
                        </w14:solidFill>
                      </w14:textFill>
                    </w:rPr>
                    <w:t>0%计算</w:t>
                  </w:r>
                </w:p>
              </w:tc>
              <w:tc>
                <w:tcPr>
                  <w:tcW w:w="245" w:type="pct"/>
                  <w:vAlign w:val="center"/>
                </w:tcPr>
                <w:p w14:paraId="3D50AB44">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485B1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44" w:type="pct"/>
                  <w:vMerge w:val="restart"/>
                  <w:vAlign w:val="center"/>
                </w:tcPr>
                <w:p w14:paraId="79125156">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w:t>
                  </w:r>
                </w:p>
              </w:tc>
              <w:tc>
                <w:tcPr>
                  <w:tcW w:w="732" w:type="pct"/>
                  <w:vMerge w:val="restart"/>
                  <w:vAlign w:val="center"/>
                </w:tcPr>
                <w:p w14:paraId="0D9F635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中山市人民政府关于印发中山市“三线一单”</w:t>
                  </w:r>
                </w:p>
                <w:p w14:paraId="231DA34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生态环境分区管控方案（2024年版）的通知</w:t>
                  </w:r>
                </w:p>
                <w:p w14:paraId="5A287BAD">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（中府〔2024〕52 号）（本项目所在地属于</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西区街道</w:t>
                  </w:r>
                  <w:r>
                    <w:rPr>
                      <w:rFonts w:hint="default" w:ascii="Times New Roman" w:hAnsi="Times New Roman" w:cs="Times New Roman"/>
                      <w:color w:val="000000" w:themeColor="text1"/>
                      <w:sz w:val="21"/>
                      <w:szCs w:val="21"/>
                      <w:highlight w:val="none"/>
                      <w14:textFill>
                        <w14:solidFill>
                          <w14:schemeClr w14:val="tx1"/>
                        </w14:solidFill>
                      </w14:textFill>
                    </w:rPr>
                    <w:t>重点管控单元</w:t>
                  </w:r>
                  <w:r>
                    <w:rPr>
                      <w:rFonts w:hint="default" w:ascii="Times New Roman" w:hAnsi="Times New Roman" w:eastAsia="宋体" w:cs="Times New Roman"/>
                      <w:color w:val="000000" w:themeColor="text1"/>
                      <w:sz w:val="21"/>
                      <w:szCs w:val="21"/>
                      <w:highlight w:val="none"/>
                      <w14:textFill>
                        <w14:solidFill>
                          <w14:schemeClr w14:val="tx1"/>
                        </w14:solidFill>
                      </w14:textFill>
                    </w:rPr>
                    <w:t>（环境管控单元编码：ZH442000200</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03</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92" w:type="pct"/>
                  <w:vMerge w:val="restart"/>
                  <w:vAlign w:val="center"/>
                </w:tcPr>
                <w:p w14:paraId="1B598072">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区域布局管控</w:t>
                  </w:r>
                </w:p>
              </w:tc>
              <w:tc>
                <w:tcPr>
                  <w:tcW w:w="1907" w:type="pct"/>
                  <w:vAlign w:val="center"/>
                </w:tcPr>
                <w:p w14:paraId="3E8A27BD">
                  <w:pPr>
                    <w:widowControl/>
                    <w:jc w:val="left"/>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1-1. 【产业/鼓励引导类】鼓励发展无污染或轻污染的现代服务业、先进制造业和战略性新兴产业。</w:t>
                  </w:r>
                </w:p>
              </w:tc>
              <w:tc>
                <w:tcPr>
                  <w:tcW w:w="1078" w:type="pct"/>
                  <w:vAlign w:val="center"/>
                </w:tcPr>
                <w:p w14:paraId="1611A0B5">
                  <w:pPr>
                    <w:widowControl/>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本项目不属于</w:t>
                  </w:r>
                  <w:r>
                    <w:rPr>
                      <w:rFonts w:hint="default" w:ascii="Times New Roman" w:hAnsi="Times New Roman" w:eastAsia="宋体" w:cs="Times New Roman"/>
                      <w:color w:val="000000" w:themeColor="text1"/>
                      <w:sz w:val="21"/>
                      <w:szCs w:val="21"/>
                      <w:highlight w:val="none"/>
                      <w14:textFill>
                        <w14:solidFill>
                          <w14:schemeClr w14:val="tx1"/>
                        </w14:solidFill>
                      </w14:textFill>
                    </w:rPr>
                    <w:t>现代服务业、先进制造业和战略性新兴产业</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c>
                <w:tcPr>
                  <w:tcW w:w="245" w:type="pct"/>
                  <w:vMerge w:val="restart"/>
                  <w:vAlign w:val="center"/>
                </w:tcPr>
                <w:p w14:paraId="6E27531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75D33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44" w:type="pct"/>
                  <w:vMerge w:val="continue"/>
                  <w:vAlign w:val="center"/>
                </w:tcPr>
                <w:p w14:paraId="1EF384E7">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29C8947F">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continue"/>
                  <w:vAlign w:val="center"/>
                </w:tcPr>
                <w:p w14:paraId="28BBA45F">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907" w:type="pct"/>
                  <w:vAlign w:val="center"/>
                </w:tcPr>
                <w:p w14:paraId="3D078050">
                  <w:pPr>
                    <w:widowControl/>
                    <w:jc w:val="left"/>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1-2. 【产业/禁止类】禁止新建、扩建水泥、平板玻璃、化学制浆、生皮制革以及国家规划外的钢铁、原油加工等项目。</w:t>
                  </w:r>
                </w:p>
              </w:tc>
              <w:tc>
                <w:tcPr>
                  <w:tcW w:w="1078" w:type="pct"/>
                  <w:vAlign w:val="center"/>
                </w:tcPr>
                <w:p w14:paraId="3C39CA4C">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本项目不属于</w:t>
                  </w:r>
                  <w:r>
                    <w:rPr>
                      <w:rFonts w:hint="default" w:ascii="Times New Roman" w:hAnsi="Times New Roman" w:eastAsia="宋体" w:cs="Times New Roman"/>
                      <w:color w:val="000000" w:themeColor="text1"/>
                      <w:sz w:val="21"/>
                      <w:szCs w:val="21"/>
                      <w:highlight w:val="none"/>
                      <w14:textFill>
                        <w14:solidFill>
                          <w14:schemeClr w14:val="tx1"/>
                        </w14:solidFill>
                      </w14:textFill>
                    </w:rPr>
                    <w:t>水泥、平板玻璃、化学制浆、生皮制革以及国家规划外的钢铁、原油加工等项目</w:t>
                  </w: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w:t>
                  </w:r>
                </w:p>
              </w:tc>
              <w:tc>
                <w:tcPr>
                  <w:tcW w:w="245" w:type="pct"/>
                  <w:vMerge w:val="continue"/>
                  <w:vAlign w:val="center"/>
                </w:tcPr>
                <w:p w14:paraId="5DD549C6">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31B39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44" w:type="pct"/>
                  <w:vMerge w:val="continue"/>
                  <w:vAlign w:val="center"/>
                </w:tcPr>
                <w:p w14:paraId="4D434DD2">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32" w:type="pct"/>
                  <w:vMerge w:val="continue"/>
                  <w:vAlign w:val="center"/>
                </w:tcPr>
                <w:p w14:paraId="01544A09">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92" w:type="pct"/>
                  <w:vMerge w:val="continue"/>
                  <w:vAlign w:val="center"/>
                </w:tcPr>
                <w:p w14:paraId="7DC4ACE6">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75A13DE9">
                  <w:pPr>
                    <w:widowControl/>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1-3. 【产业/限制类】印染、牛仔洗水、电镀、鞣革等污染行业须按要求集聚发展、集中治污，新建、扩建“两高”化工项目应在依法合规设立并经规划环评的产业园区内布设，禁止在化工园区外新建、扩建</w:t>
                  </w:r>
                </w:p>
                <w:p w14:paraId="761CD113">
                  <w:pPr>
                    <w:widowControl/>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危险化学品建设项目（运输工具加油站、加气站、加氢站及其合建站、制氢加氢一体站，港口（铁路、航空）危险化学品建设项目，危险化学品输送管道以及危险化学品使用单位的配套项目，国家、省、市</w:t>
                  </w:r>
                </w:p>
                <w:p w14:paraId="288EAE9A">
                  <w:pPr>
                    <w:widowControl/>
                    <w:jc w:val="left"/>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重点项目配套项目、氢能源重大科技创新平台除外）。</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 xml:space="preserve"> </w:t>
                  </w:r>
                </w:p>
              </w:tc>
              <w:tc>
                <w:tcPr>
                  <w:tcW w:w="1078" w:type="pct"/>
                  <w:vAlign w:val="center"/>
                </w:tcPr>
                <w:p w14:paraId="12C3CAC6">
                  <w:pPr>
                    <w:widowControl/>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本项目</w:t>
                  </w: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不属于</w:t>
                  </w:r>
                  <w:r>
                    <w:rPr>
                      <w:rFonts w:hint="default" w:ascii="Times New Roman" w:hAnsi="Times New Roman" w:eastAsia="宋体" w:cs="Times New Roman"/>
                      <w:color w:val="000000" w:themeColor="text1"/>
                      <w:sz w:val="21"/>
                      <w:szCs w:val="21"/>
                      <w:highlight w:val="none"/>
                      <w14:textFill>
                        <w14:solidFill>
                          <w14:schemeClr w14:val="tx1"/>
                        </w14:solidFill>
                      </w14:textFill>
                    </w:rPr>
                    <w:t>印染、牛仔洗水、电镀、鞣革等污染行业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不属于</w:t>
                  </w:r>
                  <w:r>
                    <w:rPr>
                      <w:rFonts w:hint="default" w:ascii="Times New Roman" w:hAnsi="Times New Roman" w:eastAsia="宋体" w:cs="Times New Roman"/>
                      <w:color w:val="000000" w:themeColor="text1"/>
                      <w:sz w:val="21"/>
                      <w:szCs w:val="21"/>
                      <w:highlight w:val="none"/>
                      <w14:textFill>
                        <w14:solidFill>
                          <w14:schemeClr w14:val="tx1"/>
                        </w14:solidFill>
                      </w14:textFill>
                    </w:rPr>
                    <w:t>“两高”化工项目</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不属于</w:t>
                  </w:r>
                  <w:r>
                    <w:rPr>
                      <w:rFonts w:hint="default" w:ascii="Times New Roman" w:hAnsi="Times New Roman" w:eastAsia="宋体" w:cs="Times New Roman"/>
                      <w:color w:val="000000" w:themeColor="text1"/>
                      <w:sz w:val="21"/>
                      <w:szCs w:val="21"/>
                      <w:highlight w:val="none"/>
                      <w14:textFill>
                        <w14:solidFill>
                          <w14:schemeClr w14:val="tx1"/>
                        </w14:solidFill>
                      </w14:textFill>
                    </w:rPr>
                    <w:t>危险化学品建设项目（运输工具加油站、加气站、加氢站及其合建站、制氢加氢一体站，港口（铁路、航空）危险化学品建设项目，危险化学品输送管道以及危险化学品使用单位的配套项目，国家、省、市</w:t>
                  </w:r>
                </w:p>
                <w:p w14:paraId="6E26F7FD">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重点项目配套项目、氢能源重大科技创新平台除外）</w:t>
                  </w: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w:t>
                  </w:r>
                </w:p>
              </w:tc>
              <w:tc>
                <w:tcPr>
                  <w:tcW w:w="245" w:type="pct"/>
                  <w:vMerge w:val="continue"/>
                  <w:vAlign w:val="center"/>
                </w:tcPr>
                <w:p w14:paraId="2E34B480">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35AD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44" w:type="pct"/>
                  <w:vMerge w:val="continue"/>
                  <w:vAlign w:val="center"/>
                </w:tcPr>
                <w:p w14:paraId="2D990319">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32" w:type="pct"/>
                  <w:vMerge w:val="continue"/>
                  <w:vAlign w:val="center"/>
                </w:tcPr>
                <w:p w14:paraId="2D8EEC32">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92" w:type="pct"/>
                  <w:vMerge w:val="continue"/>
                  <w:vAlign w:val="center"/>
                </w:tcPr>
                <w:p w14:paraId="58E2F87B">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7D18EB93">
                  <w:pPr>
                    <w:widowControl/>
                    <w:jc w:val="left"/>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1-4. 【水/禁止类】岐江河流域依法关停无法达到污染物排放标准又拒不进入定点园区的重污染企业。</w:t>
                  </w:r>
                </w:p>
              </w:tc>
              <w:tc>
                <w:tcPr>
                  <w:tcW w:w="1078" w:type="pct"/>
                  <w:vAlign w:val="center"/>
                </w:tcPr>
                <w:p w14:paraId="7A44898E">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本项目</w:t>
                  </w: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生活污水排入中山市中嘉污水处理厂处理，生产废水委托有废水处理能力单位转移处理，不外排废水</w:t>
                  </w: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w:t>
                  </w:r>
                </w:p>
              </w:tc>
              <w:tc>
                <w:tcPr>
                  <w:tcW w:w="245" w:type="pct"/>
                  <w:vMerge w:val="continue"/>
                  <w:vAlign w:val="center"/>
                </w:tcPr>
                <w:p w14:paraId="636E59E5">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502F5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44" w:type="pct"/>
                  <w:vMerge w:val="continue"/>
                  <w:vAlign w:val="center"/>
                </w:tcPr>
                <w:p w14:paraId="1CFB1931">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32" w:type="pct"/>
                  <w:vMerge w:val="continue"/>
                  <w:vAlign w:val="center"/>
                </w:tcPr>
                <w:p w14:paraId="796A7019">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92" w:type="pct"/>
                  <w:vMerge w:val="continue"/>
                  <w:vAlign w:val="center"/>
                </w:tcPr>
                <w:p w14:paraId="6BA03EAC">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3A07BAFF">
                  <w:pPr>
                    <w:widowControl/>
                    <w:jc w:val="left"/>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 【大气/限制类】原则上不再审批或备案新建、扩建涉VOCs产排的工业类项目，相关豁免情形除外。</w:t>
                  </w:r>
                </w:p>
              </w:tc>
              <w:tc>
                <w:tcPr>
                  <w:tcW w:w="1078" w:type="pct"/>
                  <w:vAlign w:val="center"/>
                </w:tcPr>
                <w:p w14:paraId="4E78BA5F">
                  <w:pPr>
                    <w:pStyle w:val="18"/>
                    <w:widowControl/>
                    <w:wordWrap w:val="0"/>
                    <w:snapToGrid w:val="0"/>
                    <w:spacing w:line="260"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项目选址位于</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西区</w:t>
                  </w:r>
                  <w:r>
                    <w:rPr>
                      <w:rFonts w:hint="default" w:ascii="Times New Roman" w:hAnsi="Times New Roman" w:eastAsia="宋体" w:cs="Times New Roman"/>
                      <w:color w:val="000000" w:themeColor="text1"/>
                      <w:sz w:val="21"/>
                      <w:szCs w:val="21"/>
                      <w:highlight w:val="none"/>
                      <w14:textFill>
                        <w14:solidFill>
                          <w14:schemeClr w14:val="tx1"/>
                        </w14:solidFill>
                      </w14:textFill>
                    </w:rPr>
                    <w:t>，选址区域属于二类大气环境功能区，不在一类环境功能区内</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根据企业提供附件3可知，本建设单位属于</w:t>
                  </w:r>
                  <w:r>
                    <w:rPr>
                      <w:rFonts w:hint="eastAsia" w:ascii="Times New Roman" w:hAnsi="Times New Roman" w:eastAsia="宋体" w:cs="Times New Roman"/>
                      <w:color w:val="000000" w:themeColor="text1"/>
                      <w:sz w:val="21"/>
                      <w:szCs w:val="21"/>
                      <w:highlight w:val="none"/>
                      <w14:textFill>
                        <w14:solidFill>
                          <w14:schemeClr w14:val="tx1"/>
                        </w14:solidFill>
                      </w14:textFill>
                    </w:rPr>
                    <w:t>由科技主管部门授予的省级以上“高新技术企业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14:textFill>
                        <w14:solidFill>
                          <w14:schemeClr w14:val="tx1"/>
                        </w14:solidFill>
                      </w14:textFill>
                    </w:rPr>
                    <w:t>称号企业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即本项目属于</w:t>
                  </w:r>
                  <w:r>
                    <w:rPr>
                      <w:rFonts w:hint="eastAsia" w:ascii="Times New Roman" w:hAnsi="Times New Roman" w:eastAsia="宋体" w:cs="Times New Roman"/>
                      <w:color w:val="000000" w:themeColor="text1"/>
                      <w:sz w:val="21"/>
                      <w:szCs w:val="21"/>
                      <w:highlight w:val="none"/>
                      <w14:textFill>
                        <w14:solidFill>
                          <w14:schemeClr w14:val="tx1"/>
                        </w14:solidFill>
                      </w14:textFill>
                    </w:rPr>
                    <w:t>市级或以上重点项目</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可免于</w:t>
                  </w:r>
                  <w:r>
                    <w:rPr>
                      <w:rFonts w:hint="eastAsia" w:ascii="Times New Roman" w:hAnsi="Times New Roman" w:eastAsia="宋体" w:cs="Times New Roman"/>
                      <w:color w:val="000000" w:themeColor="text1"/>
                      <w:sz w:val="21"/>
                      <w:szCs w:val="21"/>
                      <w:highlight w:val="none"/>
                      <w14:textFill>
                        <w14:solidFill>
                          <w14:schemeClr w14:val="tx1"/>
                        </w14:solidFill>
                      </w14:textFill>
                    </w:rPr>
                    <w:t>执行第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四</w:t>
                  </w:r>
                  <w:r>
                    <w:rPr>
                      <w:rFonts w:hint="eastAsia" w:ascii="Times New Roman" w:hAnsi="Times New Roman" w:eastAsia="宋体" w:cs="Times New Roman"/>
                      <w:color w:val="000000" w:themeColor="text1"/>
                      <w:sz w:val="21"/>
                      <w:szCs w:val="21"/>
                      <w:highlight w:val="none"/>
                      <w14:textFill>
                        <w14:solidFill>
                          <w14:schemeClr w14:val="tx1"/>
                        </w14:solidFill>
                      </w14:textFill>
                    </w:rPr>
                    <w:t>条、第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五</w:t>
                  </w:r>
                  <w:r>
                    <w:rPr>
                      <w:rFonts w:hint="eastAsia" w:ascii="Times New Roman" w:hAnsi="Times New Roman" w:eastAsia="宋体" w:cs="Times New Roman"/>
                      <w:color w:val="000000" w:themeColor="text1"/>
                      <w:sz w:val="21"/>
                      <w:szCs w:val="21"/>
                      <w:highlight w:val="none"/>
                      <w14:textFill>
                        <w14:solidFill>
                          <w14:schemeClr w14:val="tx1"/>
                        </w14:solidFill>
                      </w14:textFill>
                    </w:rPr>
                    <w:t>条、第</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六</w:t>
                  </w:r>
                  <w:r>
                    <w:rPr>
                      <w:rFonts w:hint="eastAsia" w:ascii="Times New Roman" w:hAnsi="Times New Roman" w:eastAsia="宋体" w:cs="Times New Roman"/>
                      <w:color w:val="000000" w:themeColor="text1"/>
                      <w:sz w:val="21"/>
                      <w:szCs w:val="21"/>
                      <w:highlight w:val="none"/>
                      <w14:textFill>
                        <w14:solidFill>
                          <w14:schemeClr w14:val="tx1"/>
                        </w14:solidFill>
                      </w14:textFill>
                    </w:rPr>
                    <w:t>条之相关规定</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p>
              </w:tc>
              <w:tc>
                <w:tcPr>
                  <w:tcW w:w="245" w:type="pct"/>
                  <w:vMerge w:val="continue"/>
                  <w:vAlign w:val="center"/>
                </w:tcPr>
                <w:p w14:paraId="01D3189A">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4C046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44" w:type="pct"/>
                  <w:vMerge w:val="continue"/>
                  <w:vAlign w:val="center"/>
                </w:tcPr>
                <w:p w14:paraId="6FC24EDD">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32" w:type="pct"/>
                  <w:vMerge w:val="continue"/>
                  <w:vAlign w:val="center"/>
                </w:tcPr>
                <w:p w14:paraId="0C99D6D0">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92" w:type="pct"/>
                  <w:vMerge w:val="continue"/>
                  <w:vAlign w:val="center"/>
                </w:tcPr>
                <w:p w14:paraId="620B383F">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58AB502F">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1-6. 【土壤/限制类】建设用地地块用途变更为住宅、公共管理与公共服务用地时，变更前应当按照规定进行土壤污染状况调查。</w:t>
                  </w:r>
                </w:p>
              </w:tc>
              <w:tc>
                <w:tcPr>
                  <w:tcW w:w="1078" w:type="pct"/>
                  <w:vAlign w:val="center"/>
                </w:tcPr>
                <w:p w14:paraId="709658B6">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不涉及</w:t>
                  </w: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w:t>
                  </w:r>
                </w:p>
              </w:tc>
              <w:tc>
                <w:tcPr>
                  <w:tcW w:w="245" w:type="pct"/>
                  <w:vMerge w:val="continue"/>
                  <w:vAlign w:val="center"/>
                </w:tcPr>
                <w:p w14:paraId="18D90317">
                  <w:pPr>
                    <w:pStyle w:val="18"/>
                    <w:widowControl/>
                    <w:snapToGrid w:val="0"/>
                    <w:spacing w:line="259" w:lineRule="auto"/>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333A8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244" w:type="pct"/>
                  <w:vMerge w:val="continue"/>
                  <w:vAlign w:val="center"/>
                </w:tcPr>
                <w:p w14:paraId="1635DAA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086F851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restart"/>
                  <w:vAlign w:val="center"/>
                </w:tcPr>
                <w:p w14:paraId="24DBF294">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能源资源利用要求</w:t>
                  </w:r>
                </w:p>
              </w:tc>
              <w:tc>
                <w:tcPr>
                  <w:tcW w:w="1907" w:type="pct"/>
                  <w:vAlign w:val="center"/>
                </w:tcPr>
                <w:p w14:paraId="483A58AC">
                  <w:pP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2-1. 【能源/鼓励引导类】加快新能源汽车及其配套设施建设，鼓励利用现有加油（气）站，增加充电设施。</w:t>
                  </w:r>
                </w:p>
              </w:tc>
              <w:tc>
                <w:tcPr>
                  <w:tcW w:w="1078" w:type="pct"/>
                  <w:vMerge w:val="restart"/>
                  <w:vAlign w:val="center"/>
                </w:tcPr>
                <w:p w14:paraId="7C57BE18">
                  <w:pPr>
                    <w:pStyle w:val="18"/>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本项目设备耗能均为电能，符合相关要求</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245" w:type="pct"/>
                  <w:vMerge w:val="continue"/>
                  <w:vAlign w:val="center"/>
                </w:tcPr>
                <w:p w14:paraId="50C41E4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0EFFD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244" w:type="pct"/>
                  <w:vMerge w:val="continue"/>
                  <w:vAlign w:val="center"/>
                </w:tcPr>
                <w:p w14:paraId="162F5146">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7B157064">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continue"/>
                  <w:vAlign w:val="center"/>
                </w:tcPr>
                <w:p w14:paraId="434673EA">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907" w:type="pct"/>
                  <w:vAlign w:val="center"/>
                </w:tcPr>
                <w:p w14:paraId="2459C787">
                  <w:pP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2-2. 【能源/限制类】①提高资源能源利用效率，推行清洁生产，对于国家已颁布清洁生产标准及清洁生产评价指标体系的行业，新建、改建、扩建项目均要达到行业清洁生产先进水平。②新建锅炉、炉窑只允许使用天然气、液化石油气、电及其它可再生能源。燃用生物质成型燃料的锅炉、炉窑须配套专用燃烧设备。</w:t>
                  </w:r>
                </w:p>
              </w:tc>
              <w:tc>
                <w:tcPr>
                  <w:tcW w:w="1078" w:type="pct"/>
                  <w:vMerge w:val="continue"/>
                  <w:vAlign w:val="center"/>
                </w:tcPr>
                <w:p w14:paraId="676E6EA3">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45" w:type="pct"/>
                  <w:vMerge w:val="continue"/>
                  <w:vAlign w:val="center"/>
                </w:tcPr>
                <w:p w14:paraId="0CB518B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72741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244" w:type="pct"/>
                  <w:vMerge w:val="continue"/>
                  <w:vAlign w:val="center"/>
                </w:tcPr>
                <w:p w14:paraId="7C7EBE01">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054D6A3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continue"/>
                  <w:vAlign w:val="center"/>
                </w:tcPr>
                <w:p w14:paraId="15D8FCA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907" w:type="pct"/>
                  <w:vAlign w:val="center"/>
                </w:tcPr>
                <w:p w14:paraId="7DA6F70B">
                  <w:pP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2-3. 【水/鼓励引导类】鼓励研发、应用节水技术与设施，提高水资源利用效率，推行节约用水，以节水促减污。鼓励企业采用先进技术、工艺和设备，增加工业水循环利用。鼓励促进工业生产、城市绿化、</w:t>
                  </w:r>
                </w:p>
                <w:p w14:paraId="364EE524">
                  <w:pP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道路清扫、车辆冲洗、建筑施工和生态景观等优先使用再生水。</w:t>
                  </w:r>
                </w:p>
              </w:tc>
              <w:tc>
                <w:tcPr>
                  <w:tcW w:w="1078" w:type="pct"/>
                  <w:vMerge w:val="continue"/>
                  <w:vAlign w:val="center"/>
                </w:tcPr>
                <w:p w14:paraId="72B30780">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45" w:type="pct"/>
                  <w:vMerge w:val="continue"/>
                  <w:vAlign w:val="center"/>
                </w:tcPr>
                <w:p w14:paraId="053F83B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731E9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244" w:type="pct"/>
                  <w:vMerge w:val="continue"/>
                  <w:vAlign w:val="center"/>
                </w:tcPr>
                <w:p w14:paraId="1AF35EB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72C2AB4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continue"/>
                  <w:vAlign w:val="center"/>
                </w:tcPr>
                <w:p w14:paraId="47F6BA86">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907" w:type="pct"/>
                  <w:vAlign w:val="center"/>
                </w:tcPr>
                <w:p w14:paraId="795DFDBE">
                  <w:pP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2-4. 【土地资源/鼓励引导类】鼓励对用地面积不小于 6.67 公顷（折 100 亩）的连片街区内的旧厂房、旧村庄、旧城镇实施拆除重建、综合整治、局部拆建、局部加建、复垦修复、历史文化保护利用等活动</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1078" w:type="pct"/>
                  <w:vMerge w:val="continue"/>
                  <w:vAlign w:val="center"/>
                </w:tcPr>
                <w:p w14:paraId="3C50434D">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45" w:type="pct"/>
                  <w:vMerge w:val="continue"/>
                  <w:vAlign w:val="center"/>
                </w:tcPr>
                <w:p w14:paraId="56BC9A11">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238D4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244" w:type="pct"/>
                  <w:vMerge w:val="continue"/>
                  <w:vAlign w:val="center"/>
                </w:tcPr>
                <w:p w14:paraId="75764C4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18113B4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restart"/>
                  <w:vAlign w:val="center"/>
                </w:tcPr>
                <w:p w14:paraId="31DD3B3E">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污染物排放管控要求</w:t>
                  </w:r>
                </w:p>
              </w:tc>
              <w:tc>
                <w:tcPr>
                  <w:tcW w:w="1907" w:type="pct"/>
                  <w:vAlign w:val="center"/>
                </w:tcPr>
                <w:p w14:paraId="2D5B5DB8">
                  <w:pPr>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3-1. 【水/鼓励引导类】①全力推进中山市中心组团黑臭（未达标）水体整治提升工程。②建设项目、新区建设和旧城区改造，应当同步规划建设污水、雨水收集管网，实行雨污分流。</w:t>
                  </w:r>
                </w:p>
              </w:tc>
              <w:tc>
                <w:tcPr>
                  <w:tcW w:w="1078" w:type="pct"/>
                  <w:vMerge w:val="restart"/>
                  <w:vAlign w:val="center"/>
                </w:tcPr>
                <w:p w14:paraId="1233D371">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本项目不涉及废水直接排放，</w:t>
                  </w:r>
                  <w: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本</w:t>
                  </w: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项目生活污水排入</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中山市</w:t>
                  </w:r>
                  <w:r>
                    <w:rPr>
                      <w:rFonts w:hint="eastAsia"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中嘉污水处理厂</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，生产废水定期交由</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有废水处理能力机构</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转移处理</w:t>
                  </w:r>
                  <w:r>
                    <w:rPr>
                      <w:rFonts w:hint="eastAsia" w:ascii="Times New Roman" w:hAnsi="Times New Roman" w:eastAsia="宋体" w:cs="Times New Roman"/>
                      <w:color w:val="000000" w:themeColor="text1"/>
                      <w:spacing w:val="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本项目不新增氮氧化物，</w:t>
                  </w:r>
                  <w:r>
                    <w:rPr>
                      <w:rFonts w:ascii="Times New Roman" w:hAnsi="Times New Roman" w:eastAsia="宋体" w:cs="Times New Roman"/>
                      <w:color w:val="000000" w:themeColor="text1"/>
                      <w:sz w:val="21"/>
                      <w:szCs w:val="21"/>
                      <w:highlight w:val="none"/>
                      <w14:textFill>
                        <w14:solidFill>
                          <w14:schemeClr w14:val="tx1"/>
                        </w14:solidFill>
                      </w14:textFill>
                    </w:rPr>
                    <w:t>VOCs排放量已按2024年的总量管理办法进行总量申请</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245" w:type="pct"/>
                  <w:vMerge w:val="restart"/>
                  <w:vAlign w:val="center"/>
                </w:tcPr>
                <w:p w14:paraId="2BABA86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1D9F9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244" w:type="pct"/>
                  <w:vMerge w:val="continue"/>
                  <w:vAlign w:val="center"/>
                </w:tcPr>
                <w:p w14:paraId="7C22330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2BD70BAA">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continue"/>
                  <w:vAlign w:val="center"/>
                </w:tcPr>
                <w:p w14:paraId="714DC4D3">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2A53D930">
                  <w:pP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3-2. 【水/限制类】涉新增化学需氧量、氨氮排放的项目，原则上实行等量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替</w:t>
                  </w:r>
                  <w:r>
                    <w:rPr>
                      <w:rFonts w:hint="default" w:ascii="Times New Roman" w:hAnsi="Times New Roman" w:eastAsia="宋体" w:cs="Times New Roman"/>
                      <w:color w:val="000000" w:themeColor="text1"/>
                      <w:sz w:val="21"/>
                      <w:szCs w:val="21"/>
                      <w:highlight w:val="none"/>
                      <w14:textFill>
                        <w14:solidFill>
                          <w14:schemeClr w14:val="tx1"/>
                        </w14:solidFill>
                      </w14:textFill>
                    </w:rPr>
                    <w:t>代，若上一年度水环境质量未达到要求，须实行两倍削减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替</w:t>
                  </w:r>
                  <w:r>
                    <w:rPr>
                      <w:rFonts w:hint="default" w:ascii="Times New Roman" w:hAnsi="Times New Roman" w:eastAsia="宋体" w:cs="Times New Roman"/>
                      <w:color w:val="000000" w:themeColor="text1"/>
                      <w:sz w:val="21"/>
                      <w:szCs w:val="21"/>
                      <w:highlight w:val="none"/>
                      <w14:textFill>
                        <w14:solidFill>
                          <w14:schemeClr w14:val="tx1"/>
                        </w14:solidFill>
                      </w14:textFill>
                    </w:rPr>
                    <w:t>代。</w:t>
                  </w:r>
                </w:p>
              </w:tc>
              <w:tc>
                <w:tcPr>
                  <w:tcW w:w="1078" w:type="pct"/>
                  <w:vMerge w:val="continue"/>
                  <w:vAlign w:val="center"/>
                </w:tcPr>
                <w:p w14:paraId="4C75EF70">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245" w:type="pct"/>
                  <w:vMerge w:val="continue"/>
                  <w:vAlign w:val="center"/>
                </w:tcPr>
                <w:p w14:paraId="72282572">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1097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244" w:type="pct"/>
                  <w:vMerge w:val="continue"/>
                  <w:vAlign w:val="center"/>
                </w:tcPr>
                <w:p w14:paraId="7E69ED3E">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32" w:type="pct"/>
                  <w:vMerge w:val="continue"/>
                  <w:vAlign w:val="center"/>
                </w:tcPr>
                <w:p w14:paraId="0C6006E4">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792" w:type="pct"/>
                  <w:vMerge w:val="continue"/>
                  <w:vAlign w:val="center"/>
                </w:tcPr>
                <w:p w14:paraId="2C913131">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28038395">
                  <w:pP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3-3. 【大气/限制类】涉新增氮氧化物排放的项目实行等量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替</w:t>
                  </w:r>
                  <w:r>
                    <w:rPr>
                      <w:rFonts w:hint="default" w:ascii="Times New Roman" w:hAnsi="Times New Roman" w:eastAsia="宋体" w:cs="Times New Roman"/>
                      <w:color w:val="000000" w:themeColor="text1"/>
                      <w:sz w:val="21"/>
                      <w:szCs w:val="21"/>
                      <w:highlight w:val="none"/>
                      <w14:textFill>
                        <w14:solidFill>
                          <w14:schemeClr w14:val="tx1"/>
                        </w14:solidFill>
                      </w14:textFill>
                    </w:rPr>
                    <w:t>代，涉新增挥发性有机物排放的项目实行两倍削减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替</w:t>
                  </w:r>
                  <w:r>
                    <w:rPr>
                      <w:rFonts w:hint="default" w:ascii="Times New Roman" w:hAnsi="Times New Roman" w:eastAsia="宋体" w:cs="Times New Roman"/>
                      <w:color w:val="000000" w:themeColor="text1"/>
                      <w:sz w:val="21"/>
                      <w:szCs w:val="21"/>
                      <w:highlight w:val="none"/>
                      <w14:textFill>
                        <w14:solidFill>
                          <w14:schemeClr w14:val="tx1"/>
                        </w14:solidFill>
                      </w14:textFill>
                    </w:rPr>
                    <w:t>代。</w:t>
                  </w:r>
                </w:p>
              </w:tc>
              <w:tc>
                <w:tcPr>
                  <w:tcW w:w="1078" w:type="pct"/>
                  <w:vMerge w:val="continue"/>
                  <w:vAlign w:val="center"/>
                </w:tcPr>
                <w:p w14:paraId="44CB7BD3">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245" w:type="pct"/>
                  <w:vMerge w:val="continue"/>
                  <w:vAlign w:val="center"/>
                </w:tcPr>
                <w:p w14:paraId="18521708">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6515B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5" w:hRule="atLeast"/>
                <w:jc w:val="center"/>
              </w:trPr>
              <w:tc>
                <w:tcPr>
                  <w:tcW w:w="244" w:type="pct"/>
                  <w:vMerge w:val="continue"/>
                  <w:vAlign w:val="center"/>
                </w:tcPr>
                <w:p w14:paraId="085AC390">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5541D180">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restart"/>
                  <w:vAlign w:val="center"/>
                </w:tcPr>
                <w:p w14:paraId="2579665E">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环境风险防控要求</w:t>
                  </w:r>
                </w:p>
              </w:tc>
              <w:tc>
                <w:tcPr>
                  <w:tcW w:w="1907" w:type="pct"/>
                  <w:vAlign w:val="center"/>
                </w:tcPr>
                <w:p w14:paraId="2C181A12">
                  <w:pP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4-1. 【土壤/综合类】加强用地土壤和地下水环境保护监督管理，防治用地土壤和地下水污染。</w:t>
                  </w:r>
                </w:p>
              </w:tc>
              <w:tc>
                <w:tcPr>
                  <w:tcW w:w="1078" w:type="pct"/>
                  <w:vMerge w:val="restart"/>
                  <w:vAlign w:val="center"/>
                </w:tcPr>
                <w:p w14:paraId="2AF30D81">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ar"/>
                      <w14:textFill>
                        <w14:solidFill>
                          <w14:schemeClr w14:val="tx1"/>
                        </w14:solidFill>
                      </w14:textFill>
                    </w:rPr>
                    <w:t>生产、使用、储存过程中存在涉及环境风险的物料，应编制突发环境事件应急预案，设计、建设有效防止泄漏化学物质、消防废水、污染雨水等扩散至外环境的拦截、收集设施，相关设施符合防渗、防漏要求</w:t>
                  </w:r>
                </w:p>
              </w:tc>
              <w:tc>
                <w:tcPr>
                  <w:tcW w:w="245" w:type="pct"/>
                  <w:vMerge w:val="restart"/>
                  <w:vAlign w:val="center"/>
                </w:tcPr>
                <w:p w14:paraId="716E7123">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540C8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5" w:hRule="atLeast"/>
                <w:jc w:val="center"/>
              </w:trPr>
              <w:tc>
                <w:tcPr>
                  <w:tcW w:w="244" w:type="pct"/>
                  <w:vMerge w:val="continue"/>
                  <w:vAlign w:val="center"/>
                </w:tcPr>
                <w:p w14:paraId="731BA73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0754EA8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92" w:type="pct"/>
                  <w:vMerge w:val="continue"/>
                  <w:vAlign w:val="center"/>
                </w:tcPr>
                <w:p w14:paraId="6A9B6715">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907" w:type="pct"/>
                  <w:vAlign w:val="center"/>
                </w:tcPr>
                <w:p w14:paraId="5306D680">
                  <w:pP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4-2. 【其他/综合类】生产、使用、储存危险物质或涉及危险工艺系统的项目应配套有效的风险防范措施，涉及省生态环境厅发布《突发环境事件应急预案备案行业名录（指导性意见）》所属行业类型的企</w:t>
                  </w:r>
                </w:p>
                <w:p w14:paraId="0204AD41">
                  <w:pP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业，应按规定编制突发环境事件应急预案，防止因渗漏污染地下水、土壤，以及因事故废水直排污染地表水体。</w:t>
                  </w:r>
                </w:p>
              </w:tc>
              <w:tc>
                <w:tcPr>
                  <w:tcW w:w="1078" w:type="pct"/>
                  <w:vMerge w:val="continue"/>
                  <w:vAlign w:val="center"/>
                </w:tcPr>
                <w:p w14:paraId="01E0BB4D">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245" w:type="pct"/>
                  <w:vMerge w:val="continue"/>
                  <w:vAlign w:val="center"/>
                </w:tcPr>
                <w:p w14:paraId="228AC60D">
                  <w:pPr>
                    <w:pStyle w:val="18"/>
                    <w:jc w:val="cente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r>
            <w:tr w14:paraId="3BD22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restart"/>
                  <w:vAlign w:val="center"/>
                </w:tcPr>
                <w:p w14:paraId="146F0820">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w:t>
                  </w:r>
                </w:p>
              </w:tc>
              <w:tc>
                <w:tcPr>
                  <w:tcW w:w="732" w:type="pct"/>
                  <w:vMerge w:val="restart"/>
                  <w:vAlign w:val="center"/>
                </w:tcPr>
                <w:p w14:paraId="2079D1B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广东省地方标准《固定污染源挥发性有机物综合排放标准》（DB44/2367—2022）</w:t>
                  </w:r>
                </w:p>
              </w:tc>
              <w:tc>
                <w:tcPr>
                  <w:tcW w:w="2699" w:type="pct"/>
                  <w:gridSpan w:val="2"/>
                  <w:vAlign w:val="center"/>
                </w:tcPr>
                <w:p w14:paraId="37F4700D">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VOCs物料应储存于密闭的容器、包装袋、储罐、储库、料仓中。盛装VOCs物料的容器或包装袋应存放于室内，或存于设置有雨棚、遮阳和防渗设施的专用场地。盛装VOCs物料的容器或包装袋在非取用状态时应加盖、封口，保持密闭。</w:t>
                  </w:r>
                </w:p>
              </w:tc>
              <w:tc>
                <w:tcPr>
                  <w:tcW w:w="1078" w:type="pct"/>
                  <w:vAlign w:val="center"/>
                </w:tcPr>
                <w:p w14:paraId="3989639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项目VOCs物料采用密闭的包装袋、含VOCs危险废物采用密闭桶存放，存放在设置有遮阳和防渗设施的专用场地。</w:t>
                  </w:r>
                </w:p>
              </w:tc>
              <w:tc>
                <w:tcPr>
                  <w:tcW w:w="245" w:type="pct"/>
                  <w:vMerge w:val="restart"/>
                  <w:vAlign w:val="center"/>
                </w:tcPr>
                <w:p w14:paraId="2B60B73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06F6A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1D0C8553">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67D1E1A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699" w:type="pct"/>
                  <w:gridSpan w:val="2"/>
                  <w:vAlign w:val="center"/>
                </w:tcPr>
                <w:p w14:paraId="576E106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VOCs物料转移和输送无组织排放控制要求：①液态VOCs物料应采用密闭管道输送。采用非管道输送方式转移液态VOCs物料时应采用密闭容器、罐车。②粉状、粒状VOCs物料应采用气力输送设备、管状带式输送机、螺旋输送机等密闭输送方式，或者采用密闭的包装袋、容器或罐车进行物料转移。</w:t>
                  </w:r>
                </w:p>
              </w:tc>
              <w:tc>
                <w:tcPr>
                  <w:tcW w:w="1078" w:type="pct"/>
                  <w:vAlign w:val="center"/>
                </w:tcPr>
                <w:p w14:paraId="11FD9F6E">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项目VOCs物料、含VOCs危险废物、采用密闭的包装袋、容器进行物料转移</w:t>
                  </w:r>
                </w:p>
              </w:tc>
              <w:tc>
                <w:tcPr>
                  <w:tcW w:w="245" w:type="pct"/>
                  <w:vMerge w:val="continue"/>
                  <w:vAlign w:val="center"/>
                </w:tcPr>
                <w:p w14:paraId="6F1FB78C">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3EE47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79226C71">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28CA6293">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699" w:type="pct"/>
                  <w:gridSpan w:val="2"/>
                  <w:vAlign w:val="center"/>
                </w:tcPr>
                <w:p w14:paraId="6C447B9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废气收集系统排风罩（集气罩）的设置应符合GB/T16758 的规定。采用外部排风罩的，应按GB/T16758、AQ/T4274-2016规定的方法测量控制风速，测量点应选取在距排风罩开口面最远处的VOCs无组织排放位置，控制风速不应低于0.3m/s（行业相关规范有具体规定的，按相关规定执行）。</w:t>
                  </w:r>
                </w:p>
              </w:tc>
              <w:tc>
                <w:tcPr>
                  <w:tcW w:w="1078" w:type="pct"/>
                  <w:vMerge w:val="restart"/>
                  <w:vAlign w:val="center"/>
                </w:tcPr>
                <w:p w14:paraId="0D88A376">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项目拟对</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挤出</w:t>
                  </w:r>
                  <w:r>
                    <w:rPr>
                      <w:rFonts w:hint="default" w:ascii="Times New Roman" w:hAnsi="Times New Roman" w:eastAsia="宋体" w:cs="Times New Roman"/>
                      <w:color w:val="000000" w:themeColor="text1"/>
                      <w:sz w:val="21"/>
                      <w:szCs w:val="21"/>
                      <w:highlight w:val="none"/>
                      <w14:textFill>
                        <w14:solidFill>
                          <w14:schemeClr w14:val="tx1"/>
                        </w14:solidFill>
                      </w14:textFill>
                    </w:rPr>
                    <w:t>工序废气经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管道</w:t>
                  </w:r>
                  <w:r>
                    <w:rPr>
                      <w:rFonts w:hint="default" w:ascii="Times New Roman" w:hAnsi="Times New Roman" w:eastAsia="宋体" w:cs="Times New Roman"/>
                      <w:color w:val="000000" w:themeColor="text1"/>
                      <w:sz w:val="21"/>
                      <w:szCs w:val="21"/>
                      <w:highlight w:val="none"/>
                      <w14:textFill>
                        <w14:solidFill>
                          <w14:schemeClr w14:val="tx1"/>
                        </w14:solidFill>
                      </w14:textFill>
                    </w:rPr>
                    <w:t>收集后一起经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二级活性炭装置</w:t>
                  </w:r>
                  <w:r>
                    <w:rPr>
                      <w:rFonts w:hint="default" w:ascii="Times New Roman" w:hAnsi="Times New Roman" w:eastAsia="宋体" w:cs="Times New Roman"/>
                      <w:color w:val="000000" w:themeColor="text1"/>
                      <w:sz w:val="21"/>
                      <w:szCs w:val="21"/>
                      <w:highlight w:val="none"/>
                      <w14:textFill>
                        <w14:solidFill>
                          <w14:schemeClr w14:val="tx1"/>
                        </w14:solidFill>
                      </w14:textFill>
                    </w:rPr>
                    <w:t>处理后经离地</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1"/>
                      <w:szCs w:val="21"/>
                      <w:highlight w:val="none"/>
                      <w14:textFill>
                        <w14:solidFill>
                          <w14:schemeClr w14:val="tx1"/>
                        </w14:solidFill>
                      </w14:textFill>
                    </w:rPr>
                    <w:t>m高排气筒（G</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）高空排放，废气收集效率取</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95</w:t>
                  </w:r>
                  <w:r>
                    <w:rPr>
                      <w:rFonts w:hint="default" w:ascii="Times New Roman" w:hAnsi="Times New Roman" w:eastAsia="宋体" w:cs="Times New Roman"/>
                      <w:color w:val="000000" w:themeColor="text1"/>
                      <w:sz w:val="21"/>
                      <w:szCs w:val="21"/>
                      <w:highlight w:val="none"/>
                      <w14:textFill>
                        <w14:solidFill>
                          <w14:schemeClr w14:val="tx1"/>
                        </w14:solidFill>
                      </w14:textFill>
                    </w:rPr>
                    <w:t>%，有机废气治理效率为</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80</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iCs/>
                      <w:color w:val="000000" w:themeColor="text1"/>
                      <w:sz w:val="21"/>
                      <w:szCs w:val="21"/>
                      <w:highlight w:val="none"/>
                      <w14:textFill>
                        <w14:solidFill>
                          <w14:schemeClr w14:val="tx1"/>
                        </w14:solidFill>
                      </w14:textFill>
                    </w:rPr>
                    <w:t>。</w:t>
                  </w:r>
                </w:p>
              </w:tc>
              <w:tc>
                <w:tcPr>
                  <w:tcW w:w="245" w:type="pct"/>
                  <w:vMerge w:val="continue"/>
                  <w:vAlign w:val="center"/>
                </w:tcPr>
                <w:p w14:paraId="7502BB95">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0166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Merge w:val="continue"/>
                  <w:vAlign w:val="center"/>
                </w:tcPr>
                <w:p w14:paraId="5085E929">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32" w:type="pct"/>
                  <w:vMerge w:val="continue"/>
                  <w:vAlign w:val="center"/>
                </w:tcPr>
                <w:p w14:paraId="1C9B955D">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699" w:type="pct"/>
                  <w:gridSpan w:val="2"/>
                  <w:vAlign w:val="center"/>
                </w:tcPr>
                <w:p w14:paraId="08929207">
                  <w:pPr>
                    <w:pStyle w:val="8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有机聚合物产品用于制品生产的过程，在混合/混炼、塑料/塑化/熔化、加工成型（挤出、注射、压制、压延、发泡、纺丝）等作业中应用密闭设备或在密闭空间内操作，废气应排放至VOCs废气收集系统；无法密闭的，应采取局部气体收集措施，废气应排放至VOCs废气收集处理系统。</w:t>
                  </w:r>
                </w:p>
              </w:tc>
              <w:tc>
                <w:tcPr>
                  <w:tcW w:w="1078" w:type="pct"/>
                  <w:vMerge w:val="continue"/>
                  <w:vAlign w:val="center"/>
                </w:tcPr>
                <w:p w14:paraId="3D6AC66F">
                  <w:pPr>
                    <w:pStyle w:val="84"/>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245" w:type="pct"/>
                  <w:vMerge w:val="continue"/>
                  <w:vAlign w:val="center"/>
                </w:tcPr>
                <w:p w14:paraId="330C487C">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5BF21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Align w:val="center"/>
                </w:tcPr>
                <w:p w14:paraId="78BE6EBD">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5</w:t>
                  </w:r>
                </w:p>
              </w:tc>
              <w:tc>
                <w:tcPr>
                  <w:tcW w:w="732" w:type="pct"/>
                  <w:vAlign w:val="center"/>
                </w:tcPr>
                <w:p w14:paraId="346C63B8">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选址合理性</w:t>
                  </w:r>
                </w:p>
              </w:tc>
              <w:tc>
                <w:tcPr>
                  <w:tcW w:w="2699" w:type="pct"/>
                  <w:gridSpan w:val="2"/>
                  <w:vAlign w:val="center"/>
                </w:tcPr>
                <w:p w14:paraId="4E03B000">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1078" w:type="pct"/>
                  <w:vAlign w:val="center"/>
                </w:tcPr>
                <w:p w14:paraId="465760E1">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根据中山市自然资源一图通，本项目位于</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一</w:t>
                  </w:r>
                  <w:r>
                    <w:rPr>
                      <w:rFonts w:hint="default" w:ascii="Times New Roman" w:hAnsi="Times New Roman" w:eastAsia="宋体" w:cs="Times New Roman"/>
                      <w:color w:val="000000" w:themeColor="text1"/>
                      <w:sz w:val="21"/>
                      <w:szCs w:val="21"/>
                      <w:highlight w:val="none"/>
                      <w14:textFill>
                        <w14:solidFill>
                          <w14:schemeClr w14:val="tx1"/>
                        </w14:solidFill>
                      </w14:textFill>
                    </w:rPr>
                    <w:t>类工业区</w:t>
                  </w:r>
                </w:p>
              </w:tc>
              <w:tc>
                <w:tcPr>
                  <w:tcW w:w="245" w:type="pct"/>
                  <w:vAlign w:val="center"/>
                </w:tcPr>
                <w:p w14:paraId="3596CFF7">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452C4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44" w:type="pct"/>
                  <w:vAlign w:val="center"/>
                </w:tcPr>
                <w:p w14:paraId="76581F63">
                  <w:pPr>
                    <w:pStyle w:val="18"/>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w:t>
                  </w:r>
                </w:p>
              </w:tc>
              <w:tc>
                <w:tcPr>
                  <w:tcW w:w="732" w:type="pct"/>
                  <w:vAlign w:val="center"/>
                </w:tcPr>
                <w:p w14:paraId="6BA9896F">
                  <w:pPr>
                    <w:pStyle w:val="18"/>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kern w:val="2"/>
                      <w:sz w:val="21"/>
                      <w:szCs w:val="21"/>
                      <w:highlight w:val="none"/>
                      <w:lang w:eastAsia="zh-CN"/>
                      <w14:textFill>
                        <w14:solidFill>
                          <w14:schemeClr w14:val="tx1"/>
                        </w14:solidFill>
                      </w14:textFill>
                    </w:rPr>
                    <w:t>《中山市地下水污染防治重点区划定方案》的</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相符性分析</w:t>
                  </w:r>
                </w:p>
              </w:tc>
              <w:tc>
                <w:tcPr>
                  <w:tcW w:w="2699" w:type="pct"/>
                  <w:gridSpan w:val="2"/>
                  <w:vAlign w:val="center"/>
                </w:tcPr>
                <w:p w14:paraId="1F543F97">
                  <w:pPr>
                    <w:pStyle w:val="18"/>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划分结果</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中山市地下水污染防治重点区划分结果包括保护类区域和管控类区域两种，重点区面积总计47.448km</w:t>
                  </w:r>
                  <w:r>
                    <w:rPr>
                      <w:rFonts w:hint="default" w:ascii="Times New Roman" w:hAnsi="Times New Roman" w:cs="Times New Roman"/>
                      <w:color w:val="000000" w:themeColor="text1"/>
                      <w:kern w:val="2"/>
                      <w:sz w:val="21"/>
                      <w:szCs w:val="21"/>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，占中山市总面积的2.65%。</w:t>
                  </w:r>
                </w:p>
                <w:p w14:paraId="1494DB71">
                  <w:pPr>
                    <w:pStyle w:val="18"/>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（一）保护类区域：</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中山市地下水污染防治保护类区域面积共计6.843km</w:t>
                  </w:r>
                  <w:r>
                    <w:rPr>
                      <w:rFonts w:hint="default" w:ascii="Times New Roman" w:hAnsi="Times New Roman" w:cs="Times New Roman"/>
                      <w:color w:val="000000" w:themeColor="text1"/>
                      <w:kern w:val="2"/>
                      <w:sz w:val="21"/>
                      <w:szCs w:val="21"/>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，占全市面积的0.38%，分布于南区街道、五桂山街道、南朗街道、三乡镇</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w:t>
                  </w:r>
                </w:p>
                <w:p w14:paraId="4DD280CD">
                  <w:pPr>
                    <w:pStyle w:val="18"/>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（二）管控类区域</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中山市地下水污染防治管控类区域面积约40.605km</w:t>
                  </w:r>
                  <w:r>
                    <w:rPr>
                      <w:rFonts w:hint="default" w:ascii="Times New Roman" w:hAnsi="Times New Roman" w:cs="Times New Roman"/>
                      <w:color w:val="000000" w:themeColor="text1"/>
                      <w:kern w:val="2"/>
                      <w:sz w:val="21"/>
                      <w:szCs w:val="21"/>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，占全市总面积的2.27%，均为二级管控区，分布于五桂山街道、南区街道、东区街道和三乡镇</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w:t>
                  </w:r>
                </w:p>
                <w:p w14:paraId="0A2628EB">
                  <w:pPr>
                    <w:pStyle w:val="18"/>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（三）一般区</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一般区为保护类区域和管控类区域以外的区域。</w:t>
                  </w:r>
                </w:p>
                <w:p w14:paraId="4A5C60CC">
                  <w:pPr>
                    <w:pStyle w:val="18"/>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管控要求：</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一般区管控要求</w:t>
                  </w:r>
                  <w:r>
                    <w:rPr>
                      <w:rFonts w:hint="eastAsia" w:ascii="Times New Roman" w:hAnsi="Times New Roman" w:cs="Times New Roman"/>
                      <w:color w:val="000000" w:themeColor="text1"/>
                      <w:kern w:val="2"/>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按照相关法律法规、管理办法等开展常态化管理。</w:t>
                  </w:r>
                </w:p>
              </w:tc>
              <w:tc>
                <w:tcPr>
                  <w:tcW w:w="1078" w:type="pct"/>
                  <w:vAlign w:val="center"/>
                </w:tcPr>
                <w:p w14:paraId="7D7E037C">
                  <w:pPr>
                    <w:pStyle w:val="18"/>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根据附图</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12</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中山市地下水污染防治重点区划定分区图可知，项目所在地属于一般区，按照相关法律法规、管理办法等开展常态化管理即可</w:t>
                  </w:r>
                </w:p>
              </w:tc>
              <w:tc>
                <w:tcPr>
                  <w:tcW w:w="245" w:type="pct"/>
                  <w:vAlign w:val="center"/>
                </w:tcPr>
                <w:p w14:paraId="4BE90F4B">
                  <w:pPr>
                    <w:pStyle w:val="18"/>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bl>
          <w:p w14:paraId="0AF28E8A">
            <w:pPr>
              <w:widowControl/>
              <w:spacing w:line="360" w:lineRule="auto"/>
              <w:ind w:firstLine="420" w:firstLineChars="200"/>
              <w:jc w:val="left"/>
              <w:rPr>
                <w:rFonts w:hint="default" w:ascii="Times New Roman" w:hAnsi="Times New Roman" w:eastAsia="宋体" w:cs="Times New Roman"/>
                <w:b/>
                <w:bCs/>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二</w:t>
            </w:r>
            <w:r>
              <w:rPr>
                <w:rFonts w:hint="default" w:ascii="Times New Roman" w:hAnsi="Times New Roman" w:eastAsia="宋体" w:cs="Times New Roman"/>
                <w:b/>
                <w:bCs/>
                <w:color w:val="000000" w:themeColor="text1"/>
                <w:kern w:val="0"/>
                <w:sz w:val="24"/>
                <w:highlight w:val="none"/>
                <w14:textFill>
                  <w14:solidFill>
                    <w14:schemeClr w14:val="tx1"/>
                  </w14:solidFill>
                </w14:textFill>
              </w:rPr>
              <w:t>、与《中山市环保共性产业园规划》（2023年3月）相符性分析</w:t>
            </w:r>
          </w:p>
          <w:p w14:paraId="7D7E3095">
            <w:pPr>
              <w:widowControl w:val="0"/>
              <w:spacing w:line="360" w:lineRule="auto"/>
              <w:ind w:firstLine="480" w:firstLineChars="200"/>
              <w:jc w:val="both"/>
              <w:rPr>
                <w:rFonts w:hint="eastAsia" w:ascii="Times New Roman" w:hAnsi="Times New Roman" w:eastAsia="宋体" w:cs="Times New Roman"/>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4"/>
                <w:szCs w:val="24"/>
                <w:highlight w:val="none"/>
                <w:lang w:val="en-US" w:eastAsia="zh-CN" w:bidi="ar-SA"/>
                <w14:textFill>
                  <w14:solidFill>
                    <w14:schemeClr w14:val="tx1"/>
                  </w14:solidFill>
                </w14:textFill>
              </w:rPr>
              <w:t>根据文件10.2，本规划实施后，按重点项目计划推进环保共性产业园、共性工厂建设，镇内其他区域原则上不再审批或备案环保共性产业园核心区、共性工厂涉及的共性工序的规模以下建设项目，规模以下建设项目是指产值小于2千万元/年的项目；对于符合镇街产业布局等相关规划、环保手续齐全、清洁生产达到国内或国际先进水平的规模以下技改、扩建、搬迁建设项目，经镇街政府同意后，方可向生态环境部门报批或备案项目建设。</w:t>
            </w:r>
          </w:p>
          <w:p w14:paraId="29881B08">
            <w:pPr>
              <w:pStyle w:val="22"/>
              <w:spacing w:line="360" w:lineRule="auto"/>
              <w:ind w:firstLine="48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本项目位于</w:t>
            </w:r>
            <w:r>
              <w:rPr>
                <w:rFonts w:hint="default" w:ascii="Times New Roman" w:hAnsi="Times New Roman" w:eastAsia="宋体" w:cs="Times New Roman"/>
                <w:color w:val="000000" w:themeColor="text1"/>
                <w:sz w:val="24"/>
                <w:szCs w:val="24"/>
                <w:highlight w:val="none"/>
                <w14:textFill>
                  <w14:solidFill>
                    <w14:schemeClr w14:val="tx1"/>
                  </w14:solidFill>
                </w14:textFill>
              </w:rPr>
              <w:t>中山市</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西区金昌工业路35号，项目</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所在地西区没有规划环保共性产业园，故</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无需</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在园区内建设</w:t>
            </w:r>
            <w:r>
              <w:rPr>
                <w:rFonts w:hint="eastAsia" w:ascii="Times New Roman" w:hAnsi="Times New Roman" w:eastAsia="宋体" w:cs="Times New Roman"/>
                <w:bCs/>
                <w:color w:val="000000" w:themeColor="text1"/>
                <w:kern w:val="2"/>
                <w:sz w:val="24"/>
                <w:szCs w:val="24"/>
                <w:highlight w:val="none"/>
                <w:lang w:val="en-US" w:eastAsia="zh-CN" w:bidi="ar-SA"/>
                <w14:textFill>
                  <w14:solidFill>
                    <w14:schemeClr w14:val="tx1"/>
                  </w14:solidFill>
                </w14:textFill>
              </w:rPr>
              <w:t>。</w:t>
            </w:r>
          </w:p>
        </w:tc>
      </w:tr>
    </w:tbl>
    <w:p w14:paraId="26B3D62B">
      <w:pPr>
        <w:pStyle w:val="2"/>
        <w:numPr>
          <w:ilvl w:val="0"/>
          <w:numId w:val="5"/>
        </w:numPr>
        <w:spacing w:before="0"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sectPr>
          <w:footerReference r:id="rId4" w:type="default"/>
          <w:pgSz w:w="11906" w:h="16838"/>
          <w:pgMar w:top="1440" w:right="1531" w:bottom="1440" w:left="1531" w:header="851" w:footer="992" w:gutter="0"/>
          <w:pgNumType w:start="1"/>
          <w:cols w:space="425" w:num="1"/>
          <w:docGrid w:type="lines" w:linePitch="312" w:charSpace="0"/>
        </w:sectPr>
      </w:pPr>
    </w:p>
    <w:p w14:paraId="52D075E0">
      <w:pPr>
        <w:pStyle w:val="2"/>
        <w:spacing w:before="0" w:after="0"/>
        <w:jc w:val="center"/>
        <w:rPr>
          <w:rFonts w:hint="default" w:ascii="Times New Roman" w:hAnsi="Times New Roman" w:eastAsia="宋体" w:cs="Times New Roman"/>
          <w:color w:val="000000" w:themeColor="text1"/>
          <w:sz w:val="24"/>
          <w:highlight w:val="none"/>
          <w14:textFill>
            <w14:solidFill>
              <w14:schemeClr w14:val="tx1"/>
            </w14:solidFill>
          </w14:textFill>
        </w:rPr>
      </w:pPr>
      <w:bookmarkStart w:id="3" w:name="_Toc12469"/>
      <w:bookmarkStart w:id="4" w:name="_Toc19483"/>
      <w:r>
        <w:rPr>
          <w:rFonts w:hint="default" w:ascii="Times New Roman" w:hAnsi="Times New Roman" w:eastAsia="宋体" w:cs="Times New Roman"/>
          <w:color w:val="000000" w:themeColor="text1"/>
          <w:sz w:val="24"/>
          <w:highlight w:val="none"/>
          <w14:textFill>
            <w14:solidFill>
              <w14:schemeClr w14:val="tx1"/>
            </w14:solidFill>
          </w14:textFill>
        </w:rPr>
        <w:t>二、建设项目工程分析</w:t>
      </w:r>
      <w:bookmarkEnd w:id="3"/>
      <w:bookmarkEnd w:id="4"/>
    </w:p>
    <w:tbl>
      <w:tblPr>
        <w:tblStyle w:val="33"/>
        <w:tblpPr w:leftFromText="180" w:rightFromText="180" w:vertAnchor="text" w:tblpXSpec="right" w:tblpY="1"/>
        <w:tblOverlap w:val="never"/>
        <w:tblW w:w="497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8485"/>
      </w:tblGrid>
      <w:tr w14:paraId="6BE0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9" w:hRule="atLeast"/>
        </w:trPr>
        <w:tc>
          <w:tcPr>
            <w:tcW w:w="289" w:type="pct"/>
            <w:vAlign w:val="center"/>
          </w:tcPr>
          <w:p w14:paraId="05660864">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建设内容</w:t>
            </w:r>
          </w:p>
        </w:tc>
        <w:tc>
          <w:tcPr>
            <w:tcW w:w="4710" w:type="pct"/>
          </w:tcPr>
          <w:p w14:paraId="000CCF1D">
            <w:pPr>
              <w:spacing w:line="480" w:lineRule="exact"/>
              <w:ind w:firstLine="422" w:firstLine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一、环评类别判定说明</w:t>
            </w:r>
          </w:p>
          <w:p w14:paraId="2AF14A33">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环评类别判定表</w:t>
            </w:r>
          </w:p>
          <w:tbl>
            <w:tblPr>
              <w:tblStyle w:val="32"/>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3"/>
              <w:gridCol w:w="1301"/>
              <w:gridCol w:w="1692"/>
              <w:gridCol w:w="1198"/>
              <w:gridCol w:w="2229"/>
              <w:gridCol w:w="676"/>
              <w:gridCol w:w="727"/>
            </w:tblGrid>
            <w:tr w14:paraId="1F6AA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262" w:type="pct"/>
                  <w:shd w:val="clear" w:color="auto" w:fill="D7D7D7"/>
                  <w:vAlign w:val="center"/>
                </w:tcPr>
                <w:p w14:paraId="7B524D92">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序号</w:t>
                  </w:r>
                </w:p>
              </w:tc>
              <w:tc>
                <w:tcPr>
                  <w:tcW w:w="787" w:type="pct"/>
                  <w:shd w:val="clear" w:color="auto" w:fill="D7D7D7"/>
                  <w:vAlign w:val="center"/>
                </w:tcPr>
                <w:p w14:paraId="0468B983">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国民经济行业类别</w:t>
                  </w:r>
                </w:p>
              </w:tc>
              <w:tc>
                <w:tcPr>
                  <w:tcW w:w="1024" w:type="pct"/>
                  <w:shd w:val="clear" w:color="auto" w:fill="D7D7D7"/>
                  <w:vAlign w:val="center"/>
                </w:tcPr>
                <w:p w14:paraId="7F759C1E">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产品产能</w:t>
                  </w:r>
                </w:p>
              </w:tc>
              <w:tc>
                <w:tcPr>
                  <w:tcW w:w="725" w:type="pct"/>
                  <w:shd w:val="clear" w:color="auto" w:fill="D7D7D7"/>
                  <w:vAlign w:val="center"/>
                </w:tcPr>
                <w:p w14:paraId="3C2D5FDC">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工艺</w:t>
                  </w:r>
                </w:p>
              </w:tc>
              <w:tc>
                <w:tcPr>
                  <w:tcW w:w="1349" w:type="pct"/>
                  <w:shd w:val="clear" w:color="auto" w:fill="D7D7D7"/>
                  <w:vAlign w:val="center"/>
                </w:tcPr>
                <w:p w14:paraId="09E98F91">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对应名录的条款</w:t>
                  </w:r>
                </w:p>
              </w:tc>
              <w:tc>
                <w:tcPr>
                  <w:tcW w:w="409" w:type="pct"/>
                  <w:shd w:val="clear" w:color="auto" w:fill="D7D7D7"/>
                  <w:vAlign w:val="center"/>
                </w:tcPr>
                <w:p w14:paraId="3941DE98">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敏感区</w:t>
                  </w:r>
                </w:p>
              </w:tc>
              <w:tc>
                <w:tcPr>
                  <w:tcW w:w="440" w:type="pct"/>
                  <w:shd w:val="clear" w:color="auto" w:fill="D7D7D7"/>
                  <w:vAlign w:val="center"/>
                </w:tcPr>
                <w:p w14:paraId="25FE50E5">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类别</w:t>
                  </w:r>
                </w:p>
              </w:tc>
            </w:tr>
            <w:tr w14:paraId="293DE5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262" w:type="pct"/>
                  <w:vAlign w:val="center"/>
                </w:tcPr>
                <w:p w14:paraId="300B4917">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1</w:t>
                  </w:r>
                </w:p>
              </w:tc>
              <w:tc>
                <w:tcPr>
                  <w:tcW w:w="787" w:type="pct"/>
                  <w:vAlign w:val="center"/>
                </w:tcPr>
                <w:p w14:paraId="6138D43E">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C2929塑料零件及其他塑料制品制造</w:t>
                  </w:r>
                </w:p>
              </w:tc>
              <w:tc>
                <w:tcPr>
                  <w:tcW w:w="1024" w:type="pct"/>
                  <w:vAlign w:val="center"/>
                </w:tcPr>
                <w:p w14:paraId="2429412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TPE</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000吨</w:t>
                  </w:r>
                </w:p>
              </w:tc>
              <w:tc>
                <w:tcPr>
                  <w:tcW w:w="725" w:type="pct"/>
                  <w:vAlign w:val="center"/>
                </w:tcPr>
                <w:p w14:paraId="44953219">
                  <w:pPr>
                    <w:jc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投料、挤出、冷却、切粒、分选</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、破碎</w:t>
                  </w: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、注塑打样、测试</w:t>
                  </w:r>
                </w:p>
              </w:tc>
              <w:tc>
                <w:tcPr>
                  <w:tcW w:w="1349" w:type="pct"/>
                  <w:vAlign w:val="center"/>
                </w:tcPr>
                <w:p w14:paraId="2309E739">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ascii="Times New Roman" w:hAnsi="Times New Roman" w:eastAsia="宋体" w:cs="Times New Roman"/>
                      <w:color w:val="000000" w:themeColor="text1"/>
                      <w:sz w:val="21"/>
                      <w:szCs w:val="21"/>
                      <w:highlight w:val="none"/>
                      <w14:textFill>
                        <w14:solidFill>
                          <w14:schemeClr w14:val="tx1"/>
                        </w14:solidFill>
                      </w14:textFill>
                    </w:rPr>
                    <w:t>二十六、橡胶和塑料制品业29--53、塑料制品业 292 －其他（年用非溶剂型低VOCs含量涂料10吨以下的除外）</w:t>
                  </w:r>
                </w:p>
              </w:tc>
              <w:tc>
                <w:tcPr>
                  <w:tcW w:w="409" w:type="pct"/>
                  <w:vAlign w:val="center"/>
                </w:tcPr>
                <w:p w14:paraId="6D46DB9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无</w:t>
                  </w:r>
                </w:p>
              </w:tc>
              <w:tc>
                <w:tcPr>
                  <w:tcW w:w="440" w:type="pct"/>
                  <w:vAlign w:val="center"/>
                </w:tcPr>
                <w:p w14:paraId="47D1EE6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环境影响</w:t>
                  </w:r>
                  <w:r>
                    <w:rPr>
                      <w:rFonts w:hint="default" w:ascii="Times New Roman" w:hAnsi="Times New Roman" w:eastAsia="宋体" w:cs="Times New Roman"/>
                      <w:bCs/>
                      <w:color w:val="000000" w:themeColor="text1"/>
                      <w:sz w:val="21"/>
                      <w:szCs w:val="21"/>
                      <w:highlight w:val="none"/>
                      <w14:textFill>
                        <w14:solidFill>
                          <w14:schemeClr w14:val="tx1"/>
                        </w14:solidFill>
                      </w14:textFill>
                    </w:rPr>
                    <w:t>报告表</w:t>
                  </w:r>
                </w:p>
              </w:tc>
            </w:tr>
          </w:tbl>
          <w:p w14:paraId="2BDA986D">
            <w:pPr>
              <w:spacing w:line="480" w:lineRule="exact"/>
              <w:ind w:firstLine="422" w:firstLine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二、编制依据</w:t>
            </w:r>
          </w:p>
          <w:p w14:paraId="134D72A1">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（1）《中华人民共和国环境保护法》（2015年1月1日起施行）；</w:t>
            </w:r>
          </w:p>
          <w:p w14:paraId="2EC302DF">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（2）《中华人民共和国环境影响评价法（2018年修正）》；</w:t>
            </w:r>
          </w:p>
          <w:p w14:paraId="233D72D4">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（3）《中华人民共和国水污染防治法》（2018年1月1日起施行）；</w:t>
            </w:r>
          </w:p>
          <w:p w14:paraId="38F37A1A">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（4）《中华人民共和国大气污染防治法》（2018年10月26日修订）；</w:t>
            </w:r>
          </w:p>
          <w:p w14:paraId="0BEDA96E">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（5）《中华人民共和国噪声污染防治法》（2022年6月5日起施行）；</w:t>
            </w:r>
          </w:p>
          <w:p w14:paraId="45B79680">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（6）《建设项目环境保护管理条例》（2017年7月16日修订）；</w:t>
            </w:r>
          </w:p>
          <w:p w14:paraId="72158406">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（7）《建设项目环境影响评价分类管理名录》（2021版）；</w:t>
            </w:r>
          </w:p>
          <w:p w14:paraId="5ED59836">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（8）《产业结构调整指导目录（2024年本）》；</w:t>
            </w:r>
          </w:p>
          <w:p w14:paraId="3FC32773">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（9）《市场准入负面清单（202</w:t>
            </w:r>
            <w:r>
              <w:rPr>
                <w:rFonts w:hint="eastAsia" w:ascii="Times New Roman" w:hAnsi="Times New Roman" w:eastAsia="宋体" w:cs="Times New Roman"/>
                <w:bCs/>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bCs/>
                <w:color w:val="000000" w:themeColor="text1"/>
                <w:sz w:val="24"/>
                <w:highlight w:val="none"/>
                <w14:textFill>
                  <w14:solidFill>
                    <w14:schemeClr w14:val="tx1"/>
                  </w14:solidFill>
                </w14:textFill>
              </w:rPr>
              <w:t>年版）》；</w:t>
            </w:r>
          </w:p>
          <w:p w14:paraId="5043AF73">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（10）中山市生态环境局关于印发《中山市涉挥发性有机物项目环保管理规定的通知》（中环规字〔2021〕1号）；</w:t>
            </w:r>
          </w:p>
          <w:p w14:paraId="6866DDA3">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（11）《建设项目环境影响报告表编制技术指南（污染影响类）（试行）》。</w:t>
            </w:r>
          </w:p>
          <w:p w14:paraId="0856008D">
            <w:pPr>
              <w:spacing w:line="360" w:lineRule="auto"/>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（12）中山市人民政府关于印发中山市“三线一单”生态环境分区管控方案(2024年版) 的通知（中府〔2024〕52号）；</w:t>
            </w:r>
          </w:p>
          <w:p w14:paraId="60661D54">
            <w:pPr>
              <w:spacing w:line="360" w:lineRule="auto"/>
              <w:ind w:firstLine="480" w:firstLineChars="200"/>
              <w:rPr>
                <w:rFonts w:hint="eastAsia" w:ascii="Times New Roman" w:hAnsi="Times New Roman" w:eastAsia="宋体" w:cs="Times New Roman"/>
                <w:bCs/>
                <w:color w:val="000000" w:themeColor="text1"/>
                <w:sz w:val="24"/>
                <w:highlight w:val="none"/>
                <w:lang w:eastAsia="zh-CN"/>
                <w14:textFill>
                  <w14:solidFill>
                    <w14:schemeClr w14:val="tx1"/>
                  </w14:solidFill>
                </w14:textFill>
              </w:rPr>
            </w:pPr>
            <w:r>
              <w:rPr>
                <w:rFonts w:hint="eastAsia" w:ascii="Times New Roman" w:hAnsi="Times New Roman" w:eastAsia="宋体" w:cs="Times New Roman"/>
                <w:bCs/>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bCs/>
                <w:color w:val="000000" w:themeColor="text1"/>
                <w:sz w:val="24"/>
                <w:highlight w:val="none"/>
                <w:lang w:val="en-US" w:eastAsia="zh-CN"/>
                <w14:textFill>
                  <w14:solidFill>
                    <w14:schemeClr w14:val="tx1"/>
                  </w14:solidFill>
                </w14:textFill>
              </w:rPr>
              <w:t>13</w:t>
            </w:r>
            <w:r>
              <w:rPr>
                <w:rFonts w:hint="eastAsia" w:ascii="Times New Roman" w:hAnsi="Times New Roman" w:eastAsia="宋体" w:cs="Times New Roman"/>
                <w:bCs/>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bCs/>
                <w:color w:val="000000" w:themeColor="text1"/>
                <w:sz w:val="24"/>
                <w:highlight w:val="none"/>
                <w:lang w:val="en-US" w:eastAsia="zh-CN"/>
                <w14:textFill>
                  <w14:solidFill>
                    <w14:schemeClr w14:val="tx1"/>
                  </w14:solidFill>
                </w14:textFill>
              </w:rPr>
              <w:t>中山市塑料制品建设项目环境影响报告表编制技术指南》。</w:t>
            </w:r>
          </w:p>
          <w:p w14:paraId="645F7850">
            <w:pPr>
              <w:spacing w:line="360" w:lineRule="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三、项目建设内容</w:t>
            </w:r>
          </w:p>
          <w:p w14:paraId="15B7EC46">
            <w:pPr>
              <w:spacing w:line="360" w:lineRule="auto"/>
              <w:ind w:firstLine="482"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1、基本信息</w:t>
            </w:r>
          </w:p>
          <w:p w14:paraId="7C30EA05">
            <w:pPr>
              <w:spacing w:line="480" w:lineRule="exact"/>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中山</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高美合成新材料</w:t>
            </w:r>
            <w:r>
              <w:rPr>
                <w:rFonts w:hint="default" w:ascii="Times New Roman" w:hAnsi="Times New Roman" w:eastAsia="宋体" w:cs="Times New Roman"/>
                <w:color w:val="000000" w:themeColor="text1"/>
                <w:sz w:val="24"/>
                <w:highlight w:val="none"/>
                <w14:textFill>
                  <w14:solidFill>
                    <w14:schemeClr w14:val="tx1"/>
                  </w14:solidFill>
                </w14:textFill>
              </w:rPr>
              <w:t>有限公司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于</w:t>
            </w:r>
            <w:r>
              <w:rPr>
                <w:rFonts w:hint="eastAsia" w:ascii="Times New Roman" w:hAnsi="Times New Roman" w:eastAsia="宋体" w:cs="Times New Roman"/>
                <w:color w:val="000000" w:themeColor="text1"/>
                <w:sz w:val="24"/>
                <w:szCs w:val="24"/>
                <w:highlight w:val="none"/>
                <w14:textFill>
                  <w14:solidFill>
                    <w14:schemeClr w14:val="tx1"/>
                  </w14:solidFill>
                </w14:textFill>
              </w:rPr>
              <w:t>20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04</w:t>
            </w:r>
            <w:r>
              <w:rPr>
                <w:rFonts w:hint="eastAsia"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highlight w:val="none"/>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17</w:t>
            </w:r>
            <w:r>
              <w:rPr>
                <w:rFonts w:hint="eastAsia" w:ascii="Times New Roman" w:hAnsi="Times New Roman" w:eastAsia="宋体" w:cs="Times New Roman"/>
                <w:color w:val="000000" w:themeColor="text1"/>
                <w:sz w:val="24"/>
                <w:szCs w:val="24"/>
                <w:highlight w:val="none"/>
                <w14:textFill>
                  <w14:solidFill>
                    <w14:schemeClr w14:val="tx1"/>
                  </w14:solidFill>
                </w14:textFill>
              </w:rPr>
              <w:t>日已取得</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中山</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高美合成新材料</w:t>
            </w:r>
            <w:r>
              <w:rPr>
                <w:rFonts w:hint="default" w:ascii="Times New Roman" w:hAnsi="Times New Roman" w:eastAsia="宋体" w:cs="Times New Roman"/>
                <w:color w:val="000000" w:themeColor="text1"/>
                <w:sz w:val="24"/>
                <w:highlight w:val="none"/>
                <w14:textFill>
                  <w14:solidFill>
                    <w14:schemeClr w14:val="tx1"/>
                  </w14:solidFill>
                </w14:textFill>
              </w:rPr>
              <w:t>有限公司</w:t>
            </w:r>
            <w:r>
              <w:rPr>
                <w:rFonts w:hint="eastAsia" w:ascii="Times New Roman" w:hAnsi="Times New Roman" w:cs="Times New Roman"/>
                <w:color w:val="000000" w:themeColor="text1"/>
                <w:sz w:val="24"/>
                <w:szCs w:val="24"/>
                <w:highlight w:val="none"/>
                <w14:textFill>
                  <w14:solidFill>
                    <w14:schemeClr w14:val="tx1"/>
                  </w14:solidFill>
                </w14:textFill>
              </w:rPr>
              <w:t>环境影响</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登记</w:t>
            </w:r>
            <w:r>
              <w:rPr>
                <w:rFonts w:hint="eastAsia" w:ascii="Times New Roman" w:hAnsi="Times New Roman" w:cs="Times New Roman"/>
                <w:color w:val="000000" w:themeColor="text1"/>
                <w:sz w:val="24"/>
                <w:szCs w:val="24"/>
                <w:highlight w:val="none"/>
                <w14:textFill>
                  <w14:solidFill>
                    <w14:schemeClr w14:val="tx1"/>
                  </w14:solidFill>
                </w14:textFill>
              </w:rPr>
              <w:t>表》（</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批准编号</w:t>
            </w:r>
            <w:r>
              <w:rPr>
                <w:rFonts w:hint="eastAsia" w:ascii="Times New Roman" w:hAnsi="Times New Roman" w:cs="Times New Roman"/>
                <w:color w:val="000000" w:themeColor="text1"/>
                <w:sz w:val="24"/>
                <w:szCs w:val="24"/>
                <w:highlight w:val="none"/>
                <w14:textFill>
                  <w14:solidFill>
                    <w14:schemeClr w14:val="tx1"/>
                  </w14:solidFill>
                </w14:textFill>
              </w:rPr>
              <w:t>：中</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环建登</w:t>
            </w:r>
            <w:r>
              <w:rPr>
                <w:rFonts w:hint="eastAsia" w:ascii="Times New Roman" w:hAnsi="Times New Roman" w:cs="Times New Roman"/>
                <w:color w:val="000000" w:themeColor="text1"/>
                <w:sz w:val="24"/>
                <w:szCs w:val="24"/>
                <w:highlight w:val="none"/>
                <w14:textFill>
                  <w14:solidFill>
                    <w14:schemeClr w14:val="tx1"/>
                  </w14:solidFill>
                </w14:textFill>
              </w:rPr>
              <w:t>[20</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04</w:t>
            </w:r>
            <w:r>
              <w:rPr>
                <w:rFonts w:hint="eastAsia" w:ascii="Times New Roman" w:hAnsi="Times New Roman" w:cs="Times New Roman"/>
                <w:color w:val="000000" w:themeColor="text1"/>
                <w:sz w:val="24"/>
                <w:szCs w:val="24"/>
                <w:highlight w:val="none"/>
                <w14:textFill>
                  <w14:solidFill>
                    <w14:schemeClr w14:val="tx1"/>
                  </w14:solidFill>
                </w14:textFill>
              </w:rPr>
              <w:t>]0</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5464</w:t>
            </w:r>
            <w:r>
              <w:rPr>
                <w:rFonts w:hint="eastAsia" w:ascii="Times New Roman" w:hAnsi="Times New Roman" w:cs="Times New Roman"/>
                <w:color w:val="000000" w:themeColor="text1"/>
                <w:sz w:val="24"/>
                <w:szCs w:val="24"/>
                <w:highlight w:val="none"/>
                <w14:textFill>
                  <w14:solidFill>
                    <w14:schemeClr w14:val="tx1"/>
                  </w14:solidFill>
                </w14:textFill>
              </w:rPr>
              <w:t>号）</w:t>
            </w:r>
            <w:r>
              <w:rPr>
                <w:rFonts w:hint="eastAsia" w:ascii="Times New Roman" w:hAnsi="Times New Roman" w:cs="Times New Roman"/>
                <w:color w:val="000000" w:themeColor="text1"/>
                <w:sz w:val="24"/>
                <w:szCs w:val="24"/>
                <w:highlight w:val="none"/>
                <w:lang w:eastAsia="zh-CN"/>
                <w14:textFill>
                  <w14:solidFill>
                    <w14:schemeClr w14:val="tx1"/>
                  </w14:solidFill>
                </w14:textFill>
              </w:rPr>
              <w:t>并取得排污许可</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登记回执</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该项目位于</w:t>
            </w:r>
            <w:r>
              <w:rPr>
                <w:rFonts w:hint="eastAsia"/>
                <w:color w:val="000000" w:themeColor="text1"/>
                <w:sz w:val="24"/>
                <w:szCs w:val="24"/>
                <w:highlight w:val="none"/>
                <w14:textFill>
                  <w14:solidFill>
                    <w14:schemeClr w14:val="tx1"/>
                  </w14:solidFill>
                </w14:textFill>
              </w:rPr>
              <w:t>中山市</w:t>
            </w:r>
            <w:r>
              <w:rPr>
                <w:rFonts w:hint="eastAsia"/>
                <w:color w:val="000000" w:themeColor="text1"/>
                <w:sz w:val="24"/>
                <w:szCs w:val="24"/>
                <w:highlight w:val="none"/>
                <w:lang w:val="en-US" w:eastAsia="zh-CN"/>
                <w14:textFill>
                  <w14:solidFill>
                    <w14:schemeClr w14:val="tx1"/>
                  </w14:solidFill>
                </w14:textFill>
              </w:rPr>
              <w:t>小榄镇开发区龙山工业园内</w:t>
            </w:r>
            <w:r>
              <w:rPr>
                <w:rFonts w:ascii="Times New Roman" w:hAnsi="Times New Roman" w:cs="Times New Roman"/>
                <w:color w:val="000000" w:themeColor="text1"/>
                <w:sz w:val="24"/>
                <w:szCs w:val="24"/>
                <w:highlight w:val="none"/>
                <w14:textFill>
                  <w14:solidFill>
                    <w14:schemeClr w14:val="tx1"/>
                  </w14:solidFill>
                </w14:textFill>
              </w:rPr>
              <w:t>（项目中心位置：113°</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15</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54.040</w:t>
            </w:r>
            <w:r>
              <w:rPr>
                <w:rFonts w:ascii="Times New Roman" w:hAnsi="Times New Roman" w:cs="Times New Roman"/>
                <w:color w:val="000000" w:themeColor="text1"/>
                <w:sz w:val="24"/>
                <w:szCs w:val="24"/>
                <w:highlight w:val="none"/>
                <w14:textFill>
                  <w14:solidFill>
                    <w14:schemeClr w14:val="tx1"/>
                  </w14:solidFill>
                </w14:textFill>
              </w:rPr>
              <w:t>"E，22°</w:t>
            </w:r>
            <w:r>
              <w:rPr>
                <w:rFonts w:hint="eastAsia" w:ascii="Times New Roman" w:hAnsi="Times New Roman" w:cs="Times New Roman"/>
                <w:color w:val="000000" w:themeColor="text1"/>
                <w:sz w:val="24"/>
                <w:szCs w:val="24"/>
                <w:highlight w:val="none"/>
                <w14:textFill>
                  <w14:solidFill>
                    <w14:schemeClr w14:val="tx1"/>
                  </w14:solidFill>
                </w14:textFill>
              </w:rPr>
              <w:t>3</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4</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59.254</w:t>
            </w:r>
            <w:r>
              <w:rPr>
                <w:rFonts w:ascii="Times New Roman" w:hAnsi="Times New Roman" w:cs="Times New Roman"/>
                <w:color w:val="000000" w:themeColor="text1"/>
                <w:sz w:val="24"/>
                <w:szCs w:val="24"/>
                <w:highlight w:val="none"/>
                <w14:textFill>
                  <w14:solidFill>
                    <w14:schemeClr w14:val="tx1"/>
                  </w14:solidFill>
                </w14:textFill>
              </w:rPr>
              <w:t>"N）</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项目总投资</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2400</w:t>
            </w:r>
            <w:r>
              <w:rPr>
                <w:rFonts w:ascii="Times New Roman" w:hAnsi="Times New Roman" w:cs="Times New Roman"/>
                <w:color w:val="000000" w:themeColor="text1"/>
                <w:sz w:val="24"/>
                <w:szCs w:val="24"/>
                <w:highlight w:val="none"/>
                <w14:textFill>
                  <w14:solidFill>
                    <w14:schemeClr w14:val="tx1"/>
                  </w14:solidFill>
                </w14:textFill>
              </w:rPr>
              <w:t>万元，环保投资10万元，用地面积</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30</w:t>
            </w:r>
            <w:r>
              <w:rPr>
                <w:rFonts w:ascii="Times New Roman" w:hAnsi="Times New Roman" w:cs="Times New Roman"/>
                <w:color w:val="000000" w:themeColor="text1"/>
                <w:sz w:val="24"/>
                <w:szCs w:val="24"/>
                <w:highlight w:val="none"/>
                <w14:textFill>
                  <w14:solidFill>
                    <w14:schemeClr w14:val="tx1"/>
                  </w14:solidFill>
                </w14:textFill>
              </w:rPr>
              <w:t>00m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，建筑面积</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30</w:t>
            </w:r>
            <w:r>
              <w:rPr>
                <w:rFonts w:ascii="Times New Roman" w:hAnsi="Times New Roman" w:cs="Times New Roman"/>
                <w:color w:val="000000" w:themeColor="text1"/>
                <w:sz w:val="24"/>
                <w:szCs w:val="24"/>
                <w:highlight w:val="none"/>
                <w14:textFill>
                  <w14:solidFill>
                    <w14:schemeClr w14:val="tx1"/>
                  </w14:solidFill>
                </w14:textFill>
              </w:rPr>
              <w:t>00m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，主要从事生产、加工、销售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热塑性塑胶</w:t>
            </w:r>
            <w:r>
              <w:rPr>
                <w:rFonts w:ascii="Times New Roman" w:hAnsi="Times New Roman" w:cs="Times New Roman"/>
                <w:color w:val="000000" w:themeColor="text1"/>
                <w:sz w:val="24"/>
                <w:szCs w:val="24"/>
                <w:highlight w:val="none"/>
                <w14:textFill>
                  <w14:solidFill>
                    <w14:schemeClr w14:val="tx1"/>
                  </w14:solidFill>
                </w14:textFill>
              </w:rPr>
              <w:t>，年产</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热塑性塑胶4800吨</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p>
          <w:p w14:paraId="054E187E">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eastAsia" w:ascii="Times New Roman" w:hAnsi="Times New Roman" w:eastAsia="宋体" w:cs="Times New Roman"/>
                <w:b/>
                <w:color w:val="000000" w:themeColor="text1"/>
                <w:sz w:val="21"/>
                <w:highlight w:val="none"/>
                <w:lang w:val="zh-CN"/>
                <w14:textFill>
                  <w14:solidFill>
                    <w14:schemeClr w14:val="tx1"/>
                  </w14:solidFill>
                </w14:textFill>
              </w:rPr>
              <w:t>历史环评</w:t>
            </w:r>
            <w:r>
              <w:rPr>
                <w:rFonts w:hint="eastAsia" w:ascii="Times New Roman" w:hAnsi="Times New Roman" w:eastAsia="宋体" w:cs="Times New Roman"/>
                <w:b/>
                <w:color w:val="000000" w:themeColor="text1"/>
                <w:sz w:val="21"/>
                <w:highlight w:val="none"/>
                <w:lang w:val="zh-CN" w:eastAsia="zh-CN"/>
                <w14:textFill>
                  <w14:solidFill>
                    <w14:schemeClr w14:val="tx1"/>
                  </w14:solidFill>
                </w14:textFill>
              </w:rPr>
              <w:t>、排污证、环保验收</w:t>
            </w:r>
            <w:r>
              <w:rPr>
                <w:rFonts w:hint="eastAsia" w:ascii="Times New Roman" w:hAnsi="Times New Roman" w:eastAsia="宋体" w:cs="Times New Roman"/>
                <w:b/>
                <w:color w:val="000000" w:themeColor="text1"/>
                <w:sz w:val="21"/>
                <w:highlight w:val="none"/>
                <w:lang w:val="zh-CN"/>
                <w14:textFill>
                  <w14:solidFill>
                    <w14:schemeClr w14:val="tx1"/>
                  </w14:solidFill>
                </w14:textFill>
              </w:rPr>
              <w:t>情况一览表</w:t>
            </w:r>
          </w:p>
          <w:tbl>
            <w:tblPr>
              <w:tblStyle w:val="33"/>
              <w:tblW w:w="7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5"/>
              <w:gridCol w:w="1135"/>
              <w:gridCol w:w="1135"/>
              <w:gridCol w:w="1135"/>
              <w:gridCol w:w="1135"/>
              <w:gridCol w:w="1135"/>
            </w:tblGrid>
            <w:tr w14:paraId="5D506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noWrap w:val="0"/>
                  <w:vAlign w:val="top"/>
                </w:tcPr>
                <w:p w14:paraId="050F96F4">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序号</w:t>
                  </w:r>
                </w:p>
              </w:tc>
              <w:tc>
                <w:tcPr>
                  <w:tcW w:w="1135" w:type="dxa"/>
                  <w:noWrap w:val="0"/>
                  <w:vAlign w:val="top"/>
                </w:tcPr>
                <w:p w14:paraId="6B2D958C">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项目名称</w:t>
                  </w:r>
                </w:p>
              </w:tc>
              <w:tc>
                <w:tcPr>
                  <w:tcW w:w="1135" w:type="dxa"/>
                  <w:noWrap w:val="0"/>
                  <w:vAlign w:val="top"/>
                </w:tcPr>
                <w:p w14:paraId="02D0CA09">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性质</w:t>
                  </w:r>
                </w:p>
              </w:tc>
              <w:tc>
                <w:tcPr>
                  <w:tcW w:w="1135" w:type="dxa"/>
                  <w:noWrap w:val="0"/>
                  <w:vAlign w:val="top"/>
                </w:tcPr>
                <w:p w14:paraId="0F9D534A">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批准文号</w:t>
                  </w:r>
                </w:p>
              </w:tc>
              <w:tc>
                <w:tcPr>
                  <w:tcW w:w="1135" w:type="dxa"/>
                  <w:noWrap w:val="0"/>
                  <w:vAlign w:val="top"/>
                </w:tcPr>
                <w:p w14:paraId="48686D45">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批准时间</w:t>
                  </w:r>
                </w:p>
              </w:tc>
              <w:tc>
                <w:tcPr>
                  <w:tcW w:w="1135" w:type="dxa"/>
                  <w:noWrap w:val="0"/>
                  <w:vAlign w:val="top"/>
                </w:tcPr>
                <w:p w14:paraId="101B7F65">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验收情况</w:t>
                  </w:r>
                </w:p>
              </w:tc>
              <w:tc>
                <w:tcPr>
                  <w:tcW w:w="1135" w:type="dxa"/>
                  <w:noWrap w:val="0"/>
                  <w:vAlign w:val="top"/>
                </w:tcPr>
                <w:p w14:paraId="7EDEBF41">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b/>
                      <w:bCs/>
                      <w:color w:val="000000" w:themeColor="text1"/>
                      <w:sz w:val="21"/>
                      <w:szCs w:val="21"/>
                      <w:highlight w:val="none"/>
                      <w14:textFill>
                        <w14:solidFill>
                          <w14:schemeClr w14:val="tx1"/>
                        </w14:solidFill>
                      </w14:textFill>
                    </w:rPr>
                    <w:t>排污许可证</w:t>
                  </w:r>
                </w:p>
              </w:tc>
            </w:tr>
            <w:tr w14:paraId="0DA5E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noWrap w:val="0"/>
                  <w:vAlign w:val="top"/>
                </w:tcPr>
                <w:p w14:paraId="1E8496B5">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1</w:t>
                  </w:r>
                </w:p>
              </w:tc>
              <w:tc>
                <w:tcPr>
                  <w:tcW w:w="1135" w:type="dxa"/>
                  <w:noWrap w:val="0"/>
                  <w:vAlign w:val="top"/>
                </w:tcPr>
                <w:p w14:paraId="3D1A0D15">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中山</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高美合成</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新</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材料</w:t>
                  </w:r>
                  <w:r>
                    <w:rPr>
                      <w:rFonts w:hint="default" w:ascii="Times New Roman" w:hAnsi="Times New Roman" w:eastAsia="宋体" w:cs="Times New Roman"/>
                      <w:color w:val="000000" w:themeColor="text1"/>
                      <w:sz w:val="21"/>
                      <w:szCs w:val="21"/>
                      <w:highlight w:val="none"/>
                      <w14:textFill>
                        <w14:solidFill>
                          <w14:schemeClr w14:val="tx1"/>
                        </w14:solidFill>
                      </w14:textFill>
                    </w:rPr>
                    <w:t>有限公司</w:t>
                  </w:r>
                </w:p>
              </w:tc>
              <w:tc>
                <w:tcPr>
                  <w:tcW w:w="1135" w:type="dxa"/>
                  <w:noWrap w:val="0"/>
                  <w:vAlign w:val="top"/>
                </w:tcPr>
                <w:p w14:paraId="192F83B2">
                  <w:pPr>
                    <w:pStyle w:val="45"/>
                    <w:wordWrap w:val="0"/>
                    <w:spacing w:line="360" w:lineRule="auto"/>
                    <w:jc w:val="center"/>
                    <w:rPr>
                      <w:rFonts w:hint="eastAsia"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变更</w:t>
                  </w:r>
                </w:p>
              </w:tc>
              <w:tc>
                <w:tcPr>
                  <w:tcW w:w="1135" w:type="dxa"/>
                  <w:noWrap w:val="0"/>
                  <w:vAlign w:val="top"/>
                </w:tcPr>
                <w:p w14:paraId="69EA531C">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中</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环建登</w:t>
                  </w:r>
                  <w:r>
                    <w:rPr>
                      <w:rFonts w:hint="eastAsia" w:ascii="Times New Roman" w:hAnsi="Times New Roman" w:cs="Times New Roman"/>
                      <w:color w:val="000000" w:themeColor="text1"/>
                      <w:sz w:val="21"/>
                      <w:szCs w:val="21"/>
                      <w:highlight w:val="none"/>
                      <w14:textFill>
                        <w14:solidFill>
                          <w14:schemeClr w14:val="tx1"/>
                        </w14:solidFill>
                      </w14:textFill>
                    </w:rPr>
                    <w:t>[20</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04</w:t>
                  </w:r>
                  <w:r>
                    <w:rPr>
                      <w:rFonts w:hint="eastAsia" w:ascii="Times New Roman" w:hAnsi="Times New Roman" w:cs="Times New Roman"/>
                      <w:color w:val="000000" w:themeColor="text1"/>
                      <w:sz w:val="21"/>
                      <w:szCs w:val="21"/>
                      <w:highlight w:val="none"/>
                      <w14:textFill>
                        <w14:solidFill>
                          <w14:schemeClr w14:val="tx1"/>
                        </w14:solidFill>
                      </w14:textFill>
                    </w:rPr>
                    <w:t>]0</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5464</w:t>
                  </w:r>
                  <w:r>
                    <w:rPr>
                      <w:rFonts w:hint="eastAsia" w:ascii="Times New Roman" w:hAnsi="Times New Roman" w:cs="Times New Roman"/>
                      <w:color w:val="000000" w:themeColor="text1"/>
                      <w:sz w:val="21"/>
                      <w:szCs w:val="21"/>
                      <w:highlight w:val="none"/>
                      <w14:textFill>
                        <w14:solidFill>
                          <w14:schemeClr w14:val="tx1"/>
                        </w14:solidFill>
                      </w14:textFill>
                    </w:rPr>
                    <w:t>号</w:t>
                  </w:r>
                </w:p>
              </w:tc>
              <w:tc>
                <w:tcPr>
                  <w:tcW w:w="1135" w:type="dxa"/>
                  <w:noWrap w:val="0"/>
                  <w:vAlign w:val="top"/>
                </w:tcPr>
                <w:p w14:paraId="1868E7A2">
                  <w:pPr>
                    <w:pStyle w:val="45"/>
                    <w:wordWrap w:val="0"/>
                    <w:spacing w:line="360" w:lineRule="auto"/>
                    <w:jc w:val="center"/>
                    <w:rPr>
                      <w:rFonts w:ascii="Times New Roman" w:hAnsi="Times New Roman" w:cs="Times New Roman"/>
                      <w:color w:val="000000" w:themeColor="text1"/>
                      <w:sz w:val="21"/>
                      <w:szCs w:val="21"/>
                      <w:highlight w:val="none"/>
                      <w:vertAlign w:val="baseline"/>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20</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04</w:t>
                  </w:r>
                  <w:r>
                    <w:rPr>
                      <w:rFonts w:hint="eastAsia" w:ascii="Times New Roman" w:hAnsi="Times New Roman" w:eastAsia="宋体" w:cs="Times New Roman"/>
                      <w:color w:val="000000" w:themeColor="text1"/>
                      <w:sz w:val="21"/>
                      <w:szCs w:val="21"/>
                      <w:highlight w:val="none"/>
                      <w14:textFill>
                        <w14:solidFill>
                          <w14:schemeClr w14:val="tx1"/>
                        </w14:solidFill>
                      </w14:textFill>
                    </w:rPr>
                    <w:t>年</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1"/>
                      <w:szCs w:val="21"/>
                      <w:highlight w:val="none"/>
                      <w14:textFill>
                        <w14:solidFill>
                          <w14:schemeClr w14:val="tx1"/>
                        </w14:solidFill>
                      </w14:textFill>
                    </w:rPr>
                    <w:t>月</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17</w:t>
                  </w:r>
                  <w:r>
                    <w:rPr>
                      <w:rFonts w:hint="eastAsia" w:ascii="Times New Roman" w:hAnsi="Times New Roman" w:eastAsia="宋体" w:cs="Times New Roman"/>
                      <w:color w:val="000000" w:themeColor="text1"/>
                      <w:sz w:val="21"/>
                      <w:szCs w:val="21"/>
                      <w:highlight w:val="none"/>
                      <w14:textFill>
                        <w14:solidFill>
                          <w14:schemeClr w14:val="tx1"/>
                        </w14:solidFill>
                      </w14:textFill>
                    </w:rPr>
                    <w:t>日</w:t>
                  </w:r>
                </w:p>
              </w:tc>
              <w:tc>
                <w:tcPr>
                  <w:tcW w:w="1135" w:type="dxa"/>
                  <w:noWrap w:val="0"/>
                  <w:vAlign w:val="top"/>
                </w:tcPr>
                <w:p w14:paraId="12D98528">
                  <w:pPr>
                    <w:pStyle w:val="106"/>
                    <w:spacing w:before="0" w:beforeAutospacing="0" w:after="0" w:afterAutospacing="0" w:line="360" w:lineRule="auto"/>
                    <w:jc w:val="center"/>
                    <w:outlineLvl w:val="0"/>
                    <w:rPr>
                      <w:rFonts w:hint="eastAsia"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bookmarkStart w:id="5" w:name="_Toc27826"/>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bookmarkEnd w:id="5"/>
                </w:p>
              </w:tc>
              <w:tc>
                <w:tcPr>
                  <w:tcW w:w="1135" w:type="dxa"/>
                  <w:noWrap w:val="0"/>
                  <w:vAlign w:val="top"/>
                </w:tcPr>
                <w:p w14:paraId="2A83F566">
                  <w:pPr>
                    <w:pStyle w:val="45"/>
                    <w:wordWrap w:val="0"/>
                    <w:spacing w:line="360" w:lineRule="auto"/>
                    <w:jc w:val="center"/>
                    <w:rPr>
                      <w:rFonts w:hint="eastAsia"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于202</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0</w:t>
                  </w:r>
                  <w:r>
                    <w:rPr>
                      <w:rFonts w:hint="eastAsia" w:ascii="Times New Roman" w:hAnsi="Times New Roman" w:cs="Times New Roman"/>
                      <w:color w:val="000000" w:themeColor="text1"/>
                      <w:sz w:val="21"/>
                      <w:szCs w:val="21"/>
                      <w:highlight w:val="none"/>
                      <w14:textFill>
                        <w14:solidFill>
                          <w14:schemeClr w14:val="tx1"/>
                        </w14:solidFill>
                      </w14:textFill>
                    </w:rPr>
                    <w:t>年</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7</w:t>
                  </w:r>
                  <w:r>
                    <w:rPr>
                      <w:rFonts w:hint="eastAsia" w:ascii="Times New Roman" w:hAnsi="Times New Roman" w:cs="Times New Roman"/>
                      <w:color w:val="000000" w:themeColor="text1"/>
                      <w:sz w:val="21"/>
                      <w:szCs w:val="21"/>
                      <w:highlight w:val="none"/>
                      <w14:textFill>
                        <w14:solidFill>
                          <w14:schemeClr w14:val="tx1"/>
                        </w14:solidFill>
                      </w14:textFill>
                    </w:rPr>
                    <w:t>月</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10</w:t>
                  </w:r>
                  <w:r>
                    <w:rPr>
                      <w:rFonts w:hint="eastAsia" w:ascii="Times New Roman" w:hAnsi="Times New Roman" w:cs="Times New Roman"/>
                      <w:color w:val="000000" w:themeColor="text1"/>
                      <w:sz w:val="21"/>
                      <w:szCs w:val="21"/>
                      <w:highlight w:val="none"/>
                      <w14:textFill>
                        <w14:solidFill>
                          <w14:schemeClr w14:val="tx1"/>
                        </w14:solidFill>
                      </w14:textFill>
                    </w:rPr>
                    <w:t>日</w:t>
                  </w:r>
                  <w:r>
                    <w:rPr>
                      <w:rFonts w:hint="eastAsia" w:ascii="Times New Roman" w:hAnsi="Times New Roman" w:cs="Times New Roman"/>
                      <w:color w:val="000000" w:themeColor="text1"/>
                      <w:sz w:val="21"/>
                      <w:szCs w:val="21"/>
                      <w:highlight w:val="none"/>
                      <w:lang w:eastAsia="zh-CN"/>
                      <w14:textFill>
                        <w14:solidFill>
                          <w14:schemeClr w14:val="tx1"/>
                        </w14:solidFill>
                      </w14:textFill>
                    </w:rPr>
                    <w:t>取得排污许可</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登记回执（登记编号:914420007436681756001X）</w:t>
                  </w:r>
                </w:p>
              </w:tc>
            </w:tr>
          </w:tbl>
          <w:p w14:paraId="534AF4BC">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现因市场需求，</w:t>
            </w:r>
            <w:r>
              <w:rPr>
                <w:rFonts w:hint="default" w:ascii="Times New Roman" w:hAnsi="Times New Roman" w:eastAsia="宋体" w:cs="Times New Roman"/>
                <w:color w:val="000000" w:themeColor="text1"/>
                <w:sz w:val="24"/>
                <w:highlight w:val="none"/>
                <w14:textFill>
                  <w14:solidFill>
                    <w14:schemeClr w14:val="tx1"/>
                  </w14:solidFill>
                </w14:textFill>
              </w:rPr>
              <w:t>中山</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高美合成新材料</w:t>
            </w:r>
            <w:r>
              <w:rPr>
                <w:rFonts w:hint="default" w:ascii="Times New Roman" w:hAnsi="Times New Roman" w:eastAsia="宋体" w:cs="Times New Roman"/>
                <w:color w:val="000000" w:themeColor="text1"/>
                <w:sz w:val="24"/>
                <w:highlight w:val="none"/>
                <w14:textFill>
                  <w14:solidFill>
                    <w14:schemeClr w14:val="tx1"/>
                  </w14:solidFill>
                </w14:textFill>
              </w:rPr>
              <w:t>有限公司</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异址新建项目拟建设于</w:t>
            </w:r>
            <w:r>
              <w:rPr>
                <w:rFonts w:hint="default" w:ascii="Times New Roman" w:hAnsi="Times New Roman" w:eastAsia="宋体" w:cs="Times New Roman"/>
                <w:color w:val="000000" w:themeColor="text1"/>
                <w:sz w:val="24"/>
                <w:highlight w:val="none"/>
                <w14:textFill>
                  <w14:solidFill>
                    <w14:schemeClr w14:val="tx1"/>
                  </w14:solidFill>
                </w14:textFill>
              </w:rPr>
              <w:t>中山市</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西区金昌工业路35号</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中心位置：东经113°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43.871</w:t>
            </w:r>
            <w:r>
              <w:rPr>
                <w:rFonts w:hint="default" w:ascii="Times New Roman" w:hAnsi="Times New Roman" w:eastAsia="宋体" w:cs="Times New Roman"/>
                <w:color w:val="000000" w:themeColor="text1"/>
                <w:sz w:val="24"/>
                <w:szCs w:val="24"/>
                <w:highlight w:val="none"/>
                <w14:textFill>
                  <w14:solidFill>
                    <w14:schemeClr w14:val="tx1"/>
                  </w14:solidFill>
                </w14:textFill>
              </w:rPr>
              <w:t>"，北纬22°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4.295</w:t>
            </w:r>
            <w:r>
              <w:rPr>
                <w:rFonts w:hint="default" w:ascii="Times New Roman" w:hAnsi="Times New Roman" w:eastAsia="宋体" w:cs="Times New Roman"/>
                <w:color w:val="000000" w:themeColor="text1"/>
                <w:sz w:val="24"/>
                <w:szCs w:val="24"/>
                <w:highlight w:val="none"/>
                <w14:textFill>
                  <w14:solidFill>
                    <w14:schemeClr w14:val="tx1"/>
                  </w14:solidFill>
                </w14:textFill>
              </w:rPr>
              <w:t>"）。项目总投资为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2900</w:t>
            </w:r>
            <w:r>
              <w:rPr>
                <w:rFonts w:hint="default" w:ascii="Times New Roman" w:hAnsi="Times New Roman" w:eastAsia="宋体" w:cs="Times New Roman"/>
                <w:color w:val="000000" w:themeColor="text1"/>
                <w:sz w:val="24"/>
                <w:szCs w:val="24"/>
                <w:highlight w:val="none"/>
                <w14:textFill>
                  <w14:solidFill>
                    <w14:schemeClr w14:val="tx1"/>
                  </w14:solidFill>
                </w14:textFill>
              </w:rPr>
              <w:t>万元，环保投资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highlight w:val="none"/>
                <w14:textFill>
                  <w14:solidFill>
                    <w14:schemeClr w14:val="tx1"/>
                  </w14:solidFill>
                </w14:textFill>
              </w:rPr>
              <w:t>万元，用地面积</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8370</w:t>
            </w:r>
            <w:r>
              <w:rPr>
                <w:rFonts w:hint="default" w:ascii="Times New Roman" w:hAnsi="Times New Roman" w:eastAsia="宋体" w:cs="Times New Roman"/>
                <w:color w:val="000000" w:themeColor="text1"/>
                <w:sz w:val="24"/>
                <w:szCs w:val="24"/>
                <w:highlight w:val="none"/>
                <w14:textFill>
                  <w14:solidFill>
                    <w14:schemeClr w14:val="tx1"/>
                  </w14:solidFill>
                </w14:textFill>
              </w:rPr>
              <w:t>平方米，建筑面积为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5528.07</w:t>
            </w:r>
            <w:r>
              <w:rPr>
                <w:rFonts w:hint="default" w:ascii="Times New Roman" w:hAnsi="Times New Roman" w:eastAsia="宋体" w:cs="Times New Roman"/>
                <w:color w:val="000000" w:themeColor="text1"/>
                <w:sz w:val="24"/>
                <w:szCs w:val="24"/>
                <w:highlight w:val="none"/>
                <w14:textFill>
                  <w14:solidFill>
                    <w14:schemeClr w14:val="tx1"/>
                  </w14:solidFill>
                </w14:textFill>
              </w:rPr>
              <w:t>平方米。项目主要从事</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TPE颗粒</w:t>
            </w:r>
            <w:r>
              <w:rPr>
                <w:rFonts w:hint="default" w:ascii="Times New Roman" w:hAnsi="Times New Roman" w:eastAsia="宋体" w:cs="Times New Roman"/>
                <w:color w:val="000000" w:themeColor="text1"/>
                <w:sz w:val="24"/>
                <w:szCs w:val="24"/>
                <w:highlight w:val="none"/>
                <w14:textFill>
                  <w14:solidFill>
                    <w14:schemeClr w14:val="tx1"/>
                  </w14:solidFill>
                </w14:textFill>
              </w:rPr>
              <w:t>的制造，年产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TPE颗粒1000吨</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建设单位原项目不因本项目建设而发生变动，两者无生产依托关系，两者距离约为6443m，不作为同一个项目建设。</w:t>
            </w:r>
          </w:p>
          <w:p w14:paraId="6A4603A4">
            <w:pPr>
              <w:spacing w:line="480" w:lineRule="exact"/>
              <w:ind w:firstLine="482" w:firstLineChars="200"/>
              <w:rPr>
                <w:rFonts w:hint="default" w:ascii="Times New Roman" w:hAnsi="Times New Roman" w:eastAsia="宋体" w:cs="Times New Roman"/>
                <w:color w:val="000000" w:themeColor="text1"/>
                <w:sz w:val="24"/>
                <w:highlight w:val="none"/>
                <w14:textFill>
                  <w14:solidFill>
                    <w14:schemeClr w14:val="tx1"/>
                  </w14:solidFill>
                </w14:textFill>
              </w:rPr>
            </w:pPr>
            <w:bookmarkStart w:id="6" w:name="_Toc256601452"/>
            <w:r>
              <w:rPr>
                <w:rFonts w:hint="default" w:ascii="Times New Roman" w:hAnsi="Times New Roman" w:eastAsia="宋体" w:cs="Times New Roman"/>
                <w:b/>
                <w:color w:val="000000" w:themeColor="text1"/>
                <w:sz w:val="24"/>
                <w:highlight w:val="none"/>
                <w14:textFill>
                  <w14:solidFill>
                    <w14:schemeClr w14:val="tx1"/>
                  </w14:solidFill>
                </w14:textFill>
              </w:rPr>
              <w:t>2、工程组成一览表</w:t>
            </w:r>
          </w:p>
          <w:p w14:paraId="4A8EA7F3">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项目工程组成一览表</w:t>
            </w:r>
          </w:p>
          <w:tbl>
            <w:tblPr>
              <w:tblStyle w:val="32"/>
              <w:tblW w:w="49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150"/>
              <w:gridCol w:w="2695"/>
              <w:gridCol w:w="3581"/>
            </w:tblGrid>
            <w:tr w14:paraId="707A2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432" w:type="pct"/>
                  <w:shd w:val="clear" w:color="auto" w:fill="D9D9D9"/>
                  <w:vAlign w:val="center"/>
                </w:tcPr>
                <w:p w14:paraId="08959C9E">
                  <w:pPr>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bookmarkStart w:id="7" w:name="_Hlk73607775"/>
                  <w:r>
                    <w:rPr>
                      <w:rFonts w:hint="default" w:ascii="Times New Roman" w:hAnsi="Times New Roman" w:eastAsia="宋体" w:cs="Times New Roman"/>
                      <w:b/>
                      <w:bCs/>
                      <w:color w:val="000000" w:themeColor="text1"/>
                      <w:szCs w:val="21"/>
                      <w:highlight w:val="none"/>
                      <w14:textFill>
                        <w14:solidFill>
                          <w14:schemeClr w14:val="tx1"/>
                        </w14:solidFill>
                      </w14:textFill>
                    </w:rPr>
                    <w:t>工程类别</w:t>
                  </w:r>
                </w:p>
              </w:tc>
              <w:tc>
                <w:tcPr>
                  <w:tcW w:w="707" w:type="pct"/>
                  <w:shd w:val="clear" w:color="auto" w:fill="D9D9D9"/>
                  <w:vAlign w:val="center"/>
                </w:tcPr>
                <w:p w14:paraId="78FA64E8">
                  <w:pPr>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建设内容</w:t>
                  </w:r>
                </w:p>
              </w:tc>
              <w:tc>
                <w:tcPr>
                  <w:tcW w:w="1657" w:type="pct"/>
                  <w:shd w:val="clear" w:color="auto" w:fill="D9D9D9"/>
                  <w:vAlign w:val="center"/>
                </w:tcPr>
                <w:p w14:paraId="6BFE1206">
                  <w:pPr>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工程内容</w:t>
                  </w:r>
                </w:p>
              </w:tc>
              <w:tc>
                <w:tcPr>
                  <w:tcW w:w="2202" w:type="pct"/>
                  <w:shd w:val="clear" w:color="auto" w:fill="D9D9D9"/>
                  <w:vAlign w:val="center"/>
                </w:tcPr>
                <w:p w14:paraId="27554983">
                  <w:pPr>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工程规模</w:t>
                  </w:r>
                </w:p>
              </w:tc>
            </w:tr>
            <w:tr w14:paraId="7BADD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432" w:type="pct"/>
                  <w:vAlign w:val="center"/>
                </w:tcPr>
                <w:p w14:paraId="105BCF82">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主体工程</w:t>
                  </w:r>
                </w:p>
              </w:tc>
              <w:tc>
                <w:tcPr>
                  <w:tcW w:w="707" w:type="pct"/>
                  <w:vAlign w:val="center"/>
                </w:tcPr>
                <w:p w14:paraId="0BE42DF8">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生产车间</w:t>
                  </w:r>
                </w:p>
              </w:tc>
              <w:tc>
                <w:tcPr>
                  <w:tcW w:w="1657" w:type="pct"/>
                  <w:vAlign w:val="center"/>
                </w:tcPr>
                <w:p w14:paraId="55AE26C6">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设有</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投料、挤出、冷却、切粒、分选</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、破碎</w:t>
                  </w:r>
                  <w:r>
                    <w:rPr>
                      <w:rFonts w:hint="default" w:ascii="Times New Roman" w:hAnsi="Times New Roman" w:eastAsia="宋体" w:cs="Times New Roman"/>
                      <w:color w:val="000000" w:themeColor="text1"/>
                      <w:szCs w:val="21"/>
                      <w:highlight w:val="none"/>
                      <w14:textFill>
                        <w14:solidFill>
                          <w14:schemeClr w14:val="tx1"/>
                        </w14:solidFill>
                      </w14:textFill>
                    </w:rPr>
                    <w:t>等工序</w:t>
                  </w:r>
                </w:p>
              </w:tc>
              <w:tc>
                <w:tcPr>
                  <w:tcW w:w="2202" w:type="pct"/>
                  <w:vAlign w:val="center"/>
                </w:tcPr>
                <w:p w14:paraId="2E8CB2DA">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项目租用一栋</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一</w:t>
                  </w:r>
                  <w:r>
                    <w:rPr>
                      <w:rFonts w:hint="default" w:ascii="Times New Roman" w:hAnsi="Times New Roman" w:eastAsia="宋体" w:cs="Times New Roman"/>
                      <w:color w:val="000000" w:themeColor="text1"/>
                      <w:szCs w:val="21"/>
                      <w:highlight w:val="none"/>
                      <w14:textFill>
                        <w14:solidFill>
                          <w14:schemeClr w14:val="tx1"/>
                        </w14:solidFill>
                      </w14:textFill>
                    </w:rPr>
                    <w:t>层高的</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锌铁棚</w:t>
                  </w:r>
                  <w:r>
                    <w:rPr>
                      <w:rFonts w:hint="default" w:ascii="Times New Roman" w:hAnsi="Times New Roman" w:eastAsia="宋体" w:cs="Times New Roman"/>
                      <w:color w:val="000000" w:themeColor="text1"/>
                      <w:szCs w:val="21"/>
                      <w:highlight w:val="none"/>
                      <w14:textFill>
                        <w14:solidFill>
                          <w14:schemeClr w14:val="tx1"/>
                        </w14:solidFill>
                      </w14:textFill>
                    </w:rPr>
                    <w:t>混凝土结构厂房，层高为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Cs w:val="21"/>
                      <w:highlight w:val="none"/>
                      <w14:textFill>
                        <w14:solidFill>
                          <w14:schemeClr w14:val="tx1"/>
                        </w14:solidFill>
                      </w14:textFill>
                    </w:rPr>
                    <w:t>m，用地面积为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873.477</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，建筑面积</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873.477</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lang w:val="en-US" w:eastAsia="zh-CN"/>
                      <w14:textFill>
                        <w14:solidFill>
                          <w14:schemeClr w14:val="tx1"/>
                        </w14:solidFill>
                      </w14:textFill>
                    </w:rPr>
                    <w:t>2</w:t>
                  </w:r>
                </w:p>
              </w:tc>
            </w:tr>
            <w:tr w14:paraId="716A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32" w:type="pct"/>
                  <w:vMerge w:val="restart"/>
                  <w:vAlign w:val="center"/>
                </w:tcPr>
                <w:p w14:paraId="1542515C">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辅助工程</w:t>
                  </w:r>
                </w:p>
              </w:tc>
              <w:tc>
                <w:tcPr>
                  <w:tcW w:w="707" w:type="pct"/>
                  <w:vAlign w:val="center"/>
                </w:tcPr>
                <w:p w14:paraId="6173F30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注塑打样</w:t>
                  </w:r>
                </w:p>
              </w:tc>
              <w:tc>
                <w:tcPr>
                  <w:tcW w:w="1657" w:type="pct"/>
                  <w:vAlign w:val="center"/>
                </w:tcPr>
                <w:p w14:paraId="5AA15F10">
                  <w:pPr>
                    <w:jc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设有注塑打样工序</w:t>
                  </w:r>
                </w:p>
              </w:tc>
              <w:tc>
                <w:tcPr>
                  <w:tcW w:w="2202" w:type="pct"/>
                  <w:vMerge w:val="restart"/>
                  <w:vAlign w:val="center"/>
                </w:tcPr>
                <w:p w14:paraId="6F383EB5">
                  <w:pPr>
                    <w:jc w:val="center"/>
                    <w:rPr>
                      <w:rFonts w:hint="default" w:ascii="Times New Roman" w:hAnsi="Times New Roman" w:eastAsia="宋体" w:cs="Times New Roman"/>
                      <w:color w:val="000000" w:themeColor="text1"/>
                      <w:szCs w:val="21"/>
                      <w:highlight w:val="none"/>
                      <w:vertAlign w:val="baseline"/>
                      <w:lang w:val="en-US"/>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项目租用一栋</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五</w:t>
                  </w:r>
                  <w:r>
                    <w:rPr>
                      <w:rFonts w:hint="default" w:ascii="Times New Roman" w:hAnsi="Times New Roman" w:eastAsia="宋体" w:cs="Times New Roman"/>
                      <w:color w:val="000000" w:themeColor="text1"/>
                      <w:szCs w:val="21"/>
                      <w:highlight w:val="none"/>
                      <w14:textFill>
                        <w14:solidFill>
                          <w14:schemeClr w14:val="tx1"/>
                        </w14:solidFill>
                      </w14:textFill>
                    </w:rPr>
                    <w:t>层高的</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钢筋</w:t>
                  </w:r>
                  <w:r>
                    <w:rPr>
                      <w:rFonts w:hint="default" w:ascii="Times New Roman" w:hAnsi="Times New Roman" w:eastAsia="宋体" w:cs="Times New Roman"/>
                      <w:color w:val="000000" w:themeColor="text1"/>
                      <w:szCs w:val="21"/>
                      <w:highlight w:val="none"/>
                      <w14:textFill>
                        <w14:solidFill>
                          <w14:schemeClr w14:val="tx1"/>
                        </w14:solidFill>
                      </w14:textFill>
                    </w:rPr>
                    <w:t>混凝土结构厂房，</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一</w:t>
                  </w:r>
                  <w:r>
                    <w:rPr>
                      <w:rFonts w:hint="default" w:ascii="Times New Roman" w:hAnsi="Times New Roman" w:eastAsia="宋体" w:cs="Times New Roman"/>
                      <w:color w:val="000000" w:themeColor="text1"/>
                      <w:szCs w:val="21"/>
                      <w:highlight w:val="none"/>
                      <w14:textFill>
                        <w14:solidFill>
                          <w14:schemeClr w14:val="tx1"/>
                        </w14:solidFill>
                      </w14:textFill>
                    </w:rPr>
                    <w:t>层高为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Cs w:val="21"/>
                      <w:highlight w:val="none"/>
                      <w14:textFill>
                        <w14:solidFill>
                          <w14:schemeClr w14:val="tx1"/>
                        </w14:solidFill>
                      </w14:textFill>
                    </w:rPr>
                    <w:t>m，</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其余楼层高度为3.5m，</w:t>
                  </w:r>
                  <w:r>
                    <w:rPr>
                      <w:rFonts w:hint="default" w:ascii="Times New Roman" w:hAnsi="Times New Roman" w:eastAsia="宋体" w:cs="Times New Roman"/>
                      <w:color w:val="000000" w:themeColor="text1"/>
                      <w:szCs w:val="21"/>
                      <w:highlight w:val="none"/>
                      <w14:textFill>
                        <w14:solidFill>
                          <w14:schemeClr w14:val="tx1"/>
                        </w14:solidFill>
                      </w14:textFill>
                    </w:rPr>
                    <w:t>用地面积为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552.87</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，建筑面积</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2764.35</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Cs w:val="21"/>
                      <w:highlight w:val="none"/>
                      <w:vertAlign w:val="baseline"/>
                      <w:lang w:val="en-US" w:eastAsia="zh-CN"/>
                      <w14:textFill>
                        <w14:solidFill>
                          <w14:schemeClr w14:val="tx1"/>
                        </w14:solidFill>
                      </w14:textFill>
                    </w:rPr>
                    <w:t>。其中一层部分用于注塑打样、实验检测，其余区域均为办公区。</w:t>
                  </w:r>
                </w:p>
              </w:tc>
            </w:tr>
            <w:tr w14:paraId="6BA6F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32" w:type="pct"/>
                  <w:vMerge w:val="continue"/>
                  <w:vAlign w:val="center"/>
                </w:tcPr>
                <w:p w14:paraId="6017D5C4">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Align w:val="center"/>
                </w:tcPr>
                <w:p w14:paraId="6A8DA1C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实验检测</w:t>
                  </w:r>
                </w:p>
              </w:tc>
              <w:tc>
                <w:tcPr>
                  <w:tcW w:w="1657" w:type="pct"/>
                  <w:vAlign w:val="center"/>
                </w:tcPr>
                <w:p w14:paraId="7EDF4F73">
                  <w:pPr>
                    <w:jc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设有检测工序</w:t>
                  </w:r>
                </w:p>
              </w:tc>
              <w:tc>
                <w:tcPr>
                  <w:tcW w:w="2202" w:type="pct"/>
                  <w:vMerge w:val="continue"/>
                  <w:vAlign w:val="center"/>
                </w:tcPr>
                <w:p w14:paraId="37F7EC37">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078CC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32" w:type="pct"/>
                  <w:vMerge w:val="continue"/>
                  <w:vAlign w:val="center"/>
                </w:tcPr>
                <w:p w14:paraId="16B25147">
                  <w:pPr>
                    <w:jc w:val="center"/>
                    <w:rPr>
                      <w:color w:val="000000" w:themeColor="text1"/>
                      <w:highlight w:val="none"/>
                      <w14:textFill>
                        <w14:solidFill>
                          <w14:schemeClr w14:val="tx1"/>
                        </w14:solidFill>
                      </w14:textFill>
                    </w:rPr>
                  </w:pPr>
                </w:p>
              </w:tc>
              <w:tc>
                <w:tcPr>
                  <w:tcW w:w="707" w:type="pct"/>
                  <w:shd w:val="clear" w:color="auto" w:fill="auto"/>
                  <w:vAlign w:val="center"/>
                </w:tcPr>
                <w:p w14:paraId="38022C3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办公室</w:t>
                  </w:r>
                </w:p>
              </w:tc>
              <w:tc>
                <w:tcPr>
                  <w:tcW w:w="1657" w:type="pct"/>
                  <w:shd w:val="clear" w:color="auto" w:fill="auto"/>
                  <w:vAlign w:val="center"/>
                </w:tcPr>
                <w:p w14:paraId="178C089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员工办公区</w:t>
                  </w:r>
                </w:p>
              </w:tc>
              <w:tc>
                <w:tcPr>
                  <w:tcW w:w="2202" w:type="pct"/>
                  <w:vMerge w:val="continue"/>
                  <w:vAlign w:val="center"/>
                </w:tcPr>
                <w:p w14:paraId="6F013080">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08D48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432" w:type="pct"/>
                  <w:vMerge w:val="continue"/>
                  <w:vAlign w:val="center"/>
                </w:tcPr>
                <w:p w14:paraId="6C454D82">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Align w:val="center"/>
                </w:tcPr>
                <w:p w14:paraId="045C6A8D">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仓库</w:t>
                  </w:r>
                </w:p>
              </w:tc>
              <w:tc>
                <w:tcPr>
                  <w:tcW w:w="1657" w:type="pct"/>
                  <w:vAlign w:val="center"/>
                </w:tcPr>
                <w:p w14:paraId="76E18BE5">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原辅材料存放、成品存放区</w:t>
                  </w:r>
                </w:p>
              </w:tc>
              <w:tc>
                <w:tcPr>
                  <w:tcW w:w="2202" w:type="pct"/>
                  <w:vAlign w:val="center"/>
                </w:tcPr>
                <w:p w14:paraId="5BAC1864">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项目租用</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两</w:t>
                  </w:r>
                  <w:r>
                    <w:rPr>
                      <w:rFonts w:hint="default" w:ascii="Times New Roman" w:hAnsi="Times New Roman" w:eastAsia="宋体" w:cs="Times New Roman"/>
                      <w:color w:val="000000" w:themeColor="text1"/>
                      <w:szCs w:val="21"/>
                      <w:highlight w:val="none"/>
                      <w14:textFill>
                        <w14:solidFill>
                          <w14:schemeClr w14:val="tx1"/>
                        </w14:solidFill>
                      </w14:textFill>
                    </w:rPr>
                    <w:t>栋</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一</w:t>
                  </w:r>
                  <w:r>
                    <w:rPr>
                      <w:rFonts w:hint="default" w:ascii="Times New Roman" w:hAnsi="Times New Roman" w:eastAsia="宋体" w:cs="Times New Roman"/>
                      <w:color w:val="000000" w:themeColor="text1"/>
                      <w:szCs w:val="21"/>
                      <w:highlight w:val="none"/>
                      <w14:textFill>
                        <w14:solidFill>
                          <w14:schemeClr w14:val="tx1"/>
                        </w14:solidFill>
                      </w14:textFill>
                    </w:rPr>
                    <w:t>层高的</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锌铁棚</w:t>
                  </w:r>
                  <w:r>
                    <w:rPr>
                      <w:rFonts w:hint="default" w:ascii="Times New Roman" w:hAnsi="Times New Roman" w:eastAsia="宋体" w:cs="Times New Roman"/>
                      <w:color w:val="000000" w:themeColor="text1"/>
                      <w:szCs w:val="21"/>
                      <w:highlight w:val="none"/>
                      <w14:textFill>
                        <w14:solidFill>
                          <w14:schemeClr w14:val="tx1"/>
                        </w14:solidFill>
                      </w14:textFill>
                    </w:rPr>
                    <w:t>混凝土结构厂房，层高为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Cs w:val="21"/>
                      <w:highlight w:val="none"/>
                      <w14:textFill>
                        <w14:solidFill>
                          <w14:schemeClr w14:val="tx1"/>
                        </w14:solidFill>
                      </w14:textFill>
                    </w:rPr>
                    <w:t>m，</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每栋厂房</w:t>
                  </w:r>
                  <w:r>
                    <w:rPr>
                      <w:rFonts w:hint="default" w:ascii="Times New Roman" w:hAnsi="Times New Roman" w:eastAsia="宋体" w:cs="Times New Roman"/>
                      <w:color w:val="000000" w:themeColor="text1"/>
                      <w:szCs w:val="21"/>
                      <w:highlight w:val="none"/>
                      <w14:textFill>
                        <w14:solidFill>
                          <w14:schemeClr w14:val="tx1"/>
                        </w14:solidFill>
                      </w14:textFill>
                    </w:rPr>
                    <w:t>用地面积为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873.477</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，建筑面积</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873.477</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lang w:val="en-US" w:eastAsia="zh-CN"/>
                      <w14:textFill>
                        <w14:solidFill>
                          <w14:schemeClr w14:val="tx1"/>
                        </w14:solidFill>
                      </w14:textFill>
                    </w:rPr>
                    <w:t>2</w:t>
                  </w:r>
                </w:p>
              </w:tc>
            </w:tr>
            <w:tr w14:paraId="02B6D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32" w:type="pct"/>
                  <w:vMerge w:val="restart"/>
                  <w:vAlign w:val="center"/>
                </w:tcPr>
                <w:p w14:paraId="4238FE6B">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公用工程</w:t>
                  </w:r>
                </w:p>
              </w:tc>
              <w:tc>
                <w:tcPr>
                  <w:tcW w:w="707" w:type="pct"/>
                  <w:vAlign w:val="center"/>
                </w:tcPr>
                <w:p w14:paraId="54EA8829">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供水系统</w:t>
                  </w:r>
                </w:p>
              </w:tc>
              <w:tc>
                <w:tcPr>
                  <w:tcW w:w="3860" w:type="pct"/>
                  <w:gridSpan w:val="2"/>
                  <w:vAlign w:val="center"/>
                </w:tcPr>
                <w:p w14:paraId="0D9CD70D">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由市政管网供给</w:t>
                  </w:r>
                </w:p>
              </w:tc>
            </w:tr>
            <w:tr w14:paraId="522A4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432" w:type="pct"/>
                  <w:vMerge w:val="continue"/>
                  <w:vAlign w:val="center"/>
                </w:tcPr>
                <w:p w14:paraId="0B75D6BA">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Align w:val="center"/>
                </w:tcPr>
                <w:p w14:paraId="7FFDC794">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供电系统</w:t>
                  </w:r>
                </w:p>
              </w:tc>
              <w:tc>
                <w:tcPr>
                  <w:tcW w:w="3860" w:type="pct"/>
                  <w:gridSpan w:val="2"/>
                  <w:vAlign w:val="center"/>
                </w:tcPr>
                <w:p w14:paraId="0E213865">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由市政电网供给</w:t>
                  </w:r>
                </w:p>
              </w:tc>
            </w:tr>
            <w:tr w14:paraId="4982A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32" w:type="pct"/>
                  <w:vMerge w:val="restart"/>
                  <w:vAlign w:val="center"/>
                </w:tcPr>
                <w:p w14:paraId="126A8BC7">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环保工程</w:t>
                  </w:r>
                </w:p>
              </w:tc>
              <w:tc>
                <w:tcPr>
                  <w:tcW w:w="707" w:type="pct"/>
                  <w:vMerge w:val="restart"/>
                  <w:vAlign w:val="center"/>
                </w:tcPr>
                <w:p w14:paraId="51A6B089">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废气处理措施</w:t>
                  </w:r>
                </w:p>
              </w:tc>
              <w:tc>
                <w:tcPr>
                  <w:tcW w:w="3860" w:type="pct"/>
                  <w:gridSpan w:val="2"/>
                  <w:vAlign w:val="center"/>
                </w:tcPr>
                <w:p w14:paraId="2F81593A">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①</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投料</w:t>
                  </w:r>
                  <w:r>
                    <w:rPr>
                      <w:rFonts w:hint="default" w:ascii="Times New Roman" w:hAnsi="Times New Roman" w:eastAsia="宋体" w:cs="Times New Roman"/>
                      <w:color w:val="000000" w:themeColor="text1"/>
                      <w:szCs w:val="21"/>
                      <w:highlight w:val="none"/>
                      <w14:textFill>
                        <w14:solidFill>
                          <w14:schemeClr w14:val="tx1"/>
                        </w14:solidFill>
                      </w14:textFill>
                    </w:rPr>
                    <w:t>工序废气：拟对</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投料</w:t>
                  </w:r>
                  <w:r>
                    <w:rPr>
                      <w:rFonts w:hint="default" w:ascii="Times New Roman" w:hAnsi="Times New Roman" w:eastAsia="宋体" w:cs="Times New Roman"/>
                      <w:color w:val="000000" w:themeColor="text1"/>
                      <w:szCs w:val="21"/>
                      <w:highlight w:val="none"/>
                      <w14:textFill>
                        <w14:solidFill>
                          <w14:schemeClr w14:val="tx1"/>
                        </w14:solidFill>
                      </w14:textFill>
                    </w:rPr>
                    <w:t>废气经集气罩收集后经</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滤芯除尘装置</w:t>
                  </w:r>
                  <w:r>
                    <w:rPr>
                      <w:rFonts w:hint="default" w:ascii="Times New Roman" w:hAnsi="Times New Roman" w:eastAsia="宋体" w:cs="Times New Roman"/>
                      <w:color w:val="000000" w:themeColor="text1"/>
                      <w:szCs w:val="21"/>
                      <w:highlight w:val="none"/>
                      <w14:textFill>
                        <w14:solidFill>
                          <w14:schemeClr w14:val="tx1"/>
                        </w14:solidFill>
                      </w14:textFill>
                    </w:rPr>
                    <w:t>处理后经1根</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Cs w:val="21"/>
                      <w:highlight w:val="none"/>
                      <w14:textFill>
                        <w14:solidFill>
                          <w14:schemeClr w14:val="tx1"/>
                        </w14:solidFill>
                      </w14:textFill>
                    </w:rPr>
                    <w:t>m高排气筒（G1）高空排放。</w:t>
                  </w:r>
                </w:p>
              </w:tc>
            </w:tr>
            <w:tr w14:paraId="492B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32" w:type="pct"/>
                  <w:vMerge w:val="continue"/>
                  <w:vAlign w:val="center"/>
                </w:tcPr>
                <w:p w14:paraId="2BFFB9B6">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Merge w:val="continue"/>
                  <w:vAlign w:val="center"/>
                </w:tcPr>
                <w:p w14:paraId="73CC8E4A">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860" w:type="pct"/>
                  <w:gridSpan w:val="2"/>
                  <w:vAlign w:val="center"/>
                </w:tcPr>
                <w:p w14:paraId="644EE148">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②</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挤出</w:t>
                  </w:r>
                  <w:r>
                    <w:rPr>
                      <w:rFonts w:hint="default" w:ascii="Times New Roman" w:hAnsi="Times New Roman" w:eastAsia="宋体" w:cs="Times New Roman"/>
                      <w:color w:val="000000" w:themeColor="text1"/>
                      <w:szCs w:val="21"/>
                      <w:highlight w:val="none"/>
                      <w14:textFill>
                        <w14:solidFill>
                          <w14:schemeClr w14:val="tx1"/>
                        </w14:solidFill>
                      </w14:textFill>
                    </w:rPr>
                    <w:t>工序废气：</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挤出</w:t>
                  </w:r>
                  <w:r>
                    <w:rPr>
                      <w:rFonts w:hint="default" w:ascii="Times New Roman" w:hAnsi="Times New Roman" w:eastAsia="宋体" w:cs="Times New Roman"/>
                      <w:color w:val="000000" w:themeColor="text1"/>
                      <w:sz w:val="21"/>
                      <w:szCs w:val="21"/>
                      <w:highlight w:val="none"/>
                      <w14:textFill>
                        <w14:solidFill>
                          <w14:schemeClr w14:val="tx1"/>
                        </w14:solidFill>
                      </w14:textFill>
                    </w:rPr>
                    <w:t>废气经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集气罩</w:t>
                  </w:r>
                  <w:r>
                    <w:rPr>
                      <w:rFonts w:hint="default" w:ascii="Times New Roman" w:hAnsi="Times New Roman" w:eastAsia="宋体" w:cs="Times New Roman"/>
                      <w:color w:val="000000" w:themeColor="text1"/>
                      <w:sz w:val="21"/>
                      <w:szCs w:val="21"/>
                      <w:highlight w:val="none"/>
                      <w14:textFill>
                        <w14:solidFill>
                          <w14:schemeClr w14:val="tx1"/>
                        </w14:solidFill>
                      </w14:textFill>
                    </w:rPr>
                    <w:t>收集后经</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二级活性炭装置</w:t>
                  </w:r>
                  <w:r>
                    <w:rPr>
                      <w:rFonts w:hint="default" w:ascii="Times New Roman" w:hAnsi="Times New Roman" w:eastAsia="宋体" w:cs="Times New Roman"/>
                      <w:color w:val="000000" w:themeColor="text1"/>
                      <w:sz w:val="21"/>
                      <w:szCs w:val="21"/>
                      <w:highlight w:val="none"/>
                      <w14:textFill>
                        <w14:solidFill>
                          <w14:schemeClr w14:val="tx1"/>
                        </w14:solidFill>
                      </w14:textFill>
                    </w:rPr>
                    <w:t>处理后</w:t>
                  </w:r>
                  <w:r>
                    <w:rPr>
                      <w:rFonts w:hint="default" w:ascii="Times New Roman" w:hAnsi="Times New Roman" w:eastAsia="宋体" w:cs="Times New Roman"/>
                      <w:color w:val="000000" w:themeColor="text1"/>
                      <w:szCs w:val="21"/>
                      <w:highlight w:val="none"/>
                      <w14:textFill>
                        <w14:solidFill>
                          <w14:schemeClr w14:val="tx1"/>
                        </w14:solidFill>
                      </w14:textFill>
                    </w:rPr>
                    <w:t>经1根</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Cs w:val="21"/>
                      <w:highlight w:val="none"/>
                      <w14:textFill>
                        <w14:solidFill>
                          <w14:schemeClr w14:val="tx1"/>
                        </w14:solidFill>
                      </w14:textFill>
                    </w:rPr>
                    <w:t>m高排气筒（G</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）高空排放</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r>
            <w:tr w14:paraId="35423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32" w:type="pct"/>
                  <w:vMerge w:val="continue"/>
                  <w:vAlign w:val="center"/>
                </w:tcPr>
                <w:p w14:paraId="4225A447">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Merge w:val="continue"/>
                  <w:vAlign w:val="center"/>
                </w:tcPr>
                <w:p w14:paraId="78459DD4">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860" w:type="pct"/>
                  <w:gridSpan w:val="2"/>
                  <w:vAlign w:val="center"/>
                </w:tcPr>
                <w:p w14:paraId="34323CBE">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③</w:t>
                  </w:r>
                  <w:r>
                    <w:rPr>
                      <w:rFonts w:hint="eastAsia" w:ascii="宋体" w:hAnsi="宋体" w:eastAsia="宋体" w:cs="宋体"/>
                      <w:color w:val="000000" w:themeColor="text1"/>
                      <w:szCs w:val="21"/>
                      <w:highlight w:val="none"/>
                      <w:lang w:val="en-US" w:eastAsia="zh-CN"/>
                      <w14:textFill>
                        <w14:solidFill>
                          <w14:schemeClr w14:val="tx1"/>
                        </w14:solidFill>
                      </w14:textFill>
                    </w:rPr>
                    <w:t>注塑打样废气：废气无组织排放。</w:t>
                  </w:r>
                </w:p>
              </w:tc>
            </w:tr>
            <w:tr w14:paraId="4B220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32" w:type="pct"/>
                  <w:vMerge w:val="continue"/>
                  <w:vAlign w:val="center"/>
                </w:tcPr>
                <w:p w14:paraId="5865A0DE">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Merge w:val="continue"/>
                  <w:vAlign w:val="center"/>
                </w:tcPr>
                <w:p w14:paraId="57D105E6">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860" w:type="pct"/>
                  <w:gridSpan w:val="2"/>
                  <w:vAlign w:val="center"/>
                </w:tcPr>
                <w:p w14:paraId="50F6E01A">
                  <w:pPr>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④</w:t>
                  </w:r>
                  <w:r>
                    <w:rPr>
                      <w:rFonts w:hint="eastAsia" w:ascii="宋体" w:hAnsi="宋体" w:eastAsia="宋体" w:cs="宋体"/>
                      <w:color w:val="000000" w:themeColor="text1"/>
                      <w:szCs w:val="21"/>
                      <w:highlight w:val="none"/>
                      <w:lang w:val="en-US" w:eastAsia="zh-CN"/>
                      <w14:textFill>
                        <w14:solidFill>
                          <w14:schemeClr w14:val="tx1"/>
                        </w14:solidFill>
                      </w14:textFill>
                    </w:rPr>
                    <w:t>检测废气：废气无组织排放。</w:t>
                  </w:r>
                </w:p>
              </w:tc>
            </w:tr>
            <w:tr w14:paraId="671BF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432" w:type="pct"/>
                  <w:vMerge w:val="continue"/>
                  <w:vAlign w:val="center"/>
                </w:tcPr>
                <w:p w14:paraId="0BD3CECF">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Align w:val="center"/>
                </w:tcPr>
                <w:p w14:paraId="6924E911">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废水处理措施</w:t>
                  </w:r>
                </w:p>
              </w:tc>
              <w:tc>
                <w:tcPr>
                  <w:tcW w:w="3860" w:type="pct"/>
                  <w:gridSpan w:val="2"/>
                  <w:vAlign w:val="center"/>
                </w:tcPr>
                <w:p w14:paraId="7746AA95">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①生活污水经三级化粪池处理后排入市政污水管网进入</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szCs w:val="21"/>
                      <w:highlight w:val="none"/>
                      <w14:textFill>
                        <w14:solidFill>
                          <w14:schemeClr w14:val="tx1"/>
                        </w14:solidFill>
                      </w14:textFill>
                    </w:rPr>
                    <w:t>处理达标后排放；</w:t>
                  </w:r>
                </w:p>
                <w:p w14:paraId="4AD022EE">
                  <w:pPr>
                    <w:pStyle w:val="4"/>
                    <w:numPr>
                      <w:ilvl w:val="0"/>
                      <w:numId w:val="0"/>
                    </w:numP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8" w:name="_Toc21081"/>
                  <w:bookmarkStart w:id="9" w:name="_Toc11621"/>
                  <w:bookmarkStart w:id="10" w:name="_Toc32099"/>
                  <w:bookmarkStart w:id="11" w:name="_Toc16853"/>
                  <w:bookmarkStart w:id="12" w:name="_Toc17805"/>
                  <w:bookmarkStart w:id="13" w:name="_Toc23751"/>
                  <w:bookmarkStart w:id="14" w:name="_Toc18826"/>
                  <w:bookmarkStart w:id="15" w:name="_Toc11112"/>
                  <w:r>
                    <w:rPr>
                      <w:rFonts w:hint="default" w:ascii="Times New Roman" w:hAnsi="Times New Roman" w:eastAsia="宋体" w:cs="Times New Roman"/>
                      <w:b w:val="0"/>
                      <w:bCs w:val="0"/>
                      <w:color w:val="000000" w:themeColor="text1"/>
                      <w:szCs w:val="21"/>
                      <w:highlight w:val="none"/>
                      <w14:textFill>
                        <w14:solidFill>
                          <w14:schemeClr w14:val="tx1"/>
                        </w14:solidFill>
                      </w14:textFill>
                    </w:rPr>
                    <w:t>②生产废水：收集后委托给</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有处理能力的废水处理机构处理</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w:t>
                  </w:r>
                  <w:bookmarkEnd w:id="8"/>
                  <w:bookmarkEnd w:id="9"/>
                  <w:bookmarkEnd w:id="10"/>
                  <w:bookmarkEnd w:id="11"/>
                  <w:bookmarkEnd w:id="12"/>
                  <w:bookmarkEnd w:id="13"/>
                  <w:bookmarkEnd w:id="14"/>
                  <w:bookmarkEnd w:id="15"/>
                </w:p>
              </w:tc>
            </w:tr>
            <w:tr w14:paraId="7E0C1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432" w:type="pct"/>
                  <w:vMerge w:val="continue"/>
                  <w:vAlign w:val="center"/>
                </w:tcPr>
                <w:p w14:paraId="1CA5836D">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Align w:val="center"/>
                </w:tcPr>
                <w:p w14:paraId="2FC4ADA7">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固废处理措施</w:t>
                  </w:r>
                </w:p>
              </w:tc>
              <w:tc>
                <w:tcPr>
                  <w:tcW w:w="3860" w:type="pct"/>
                  <w:gridSpan w:val="2"/>
                  <w:vAlign w:val="center"/>
                </w:tcPr>
                <w:p w14:paraId="29670CE6">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设置生活垃圾、一般固体废物和危险废物的临时贮存区。</w:t>
                  </w:r>
                </w:p>
                <w:p w14:paraId="384131EC">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①生活垃圾交由环卫部门处理；</w:t>
                  </w:r>
                </w:p>
                <w:p w14:paraId="13ABCDC6">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②一般固废收集后交由具有一般固废处理能力的单位处理；</w:t>
                  </w:r>
                </w:p>
                <w:p w14:paraId="7B3CF6C2">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③危险废物交由具有相关危险废物经营许可证的单位处理。</w:t>
                  </w:r>
                </w:p>
              </w:tc>
            </w:tr>
            <w:tr w14:paraId="66599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432" w:type="pct"/>
                  <w:vMerge w:val="continue"/>
                  <w:vAlign w:val="center"/>
                </w:tcPr>
                <w:p w14:paraId="10E7967D">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7" w:type="pct"/>
                  <w:vAlign w:val="center"/>
                </w:tcPr>
                <w:p w14:paraId="2EA94FA2">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噪声处理措施</w:t>
                  </w:r>
                </w:p>
              </w:tc>
              <w:tc>
                <w:tcPr>
                  <w:tcW w:w="3860" w:type="pct"/>
                  <w:gridSpan w:val="2"/>
                  <w:vAlign w:val="center"/>
                </w:tcPr>
                <w:p w14:paraId="7CAF2B43">
                  <w:pP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项目建筑采用隔音效果良好的门窗，设备增加减振垫，高噪声设备尽可能放置在厂房中央，增加距离衰减。</w:t>
                  </w:r>
                </w:p>
              </w:tc>
            </w:tr>
            <w:bookmarkEnd w:id="7"/>
          </w:tbl>
          <w:p w14:paraId="1584982D">
            <w:pPr>
              <w:spacing w:line="480" w:lineRule="exact"/>
              <w:ind w:firstLine="422" w:firstLine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3、产品及产量情况</w:t>
            </w:r>
          </w:p>
          <w:p w14:paraId="4D6DF4B9">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产品产量一览表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3964"/>
              <w:gridCol w:w="2587"/>
            </w:tblGrid>
            <w:tr w14:paraId="6B7EF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2"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736E9CE">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2400"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265359F">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产品名称</w:t>
                  </w:r>
                </w:p>
              </w:tc>
              <w:tc>
                <w:tcPr>
                  <w:tcW w:w="1566" w:type="pct"/>
                  <w:tcBorders>
                    <w:top w:val="single" w:color="auto" w:sz="4" w:space="0"/>
                    <w:left w:val="single" w:color="auto" w:sz="4" w:space="0"/>
                    <w:right w:val="single" w:color="auto" w:sz="4" w:space="0"/>
                  </w:tcBorders>
                  <w:shd w:val="clear" w:color="auto" w:fill="D7D7D7" w:themeFill="background1" w:themeFillShade="D8"/>
                  <w:vAlign w:val="center"/>
                </w:tcPr>
                <w:p w14:paraId="14B1384B">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年产量（</w:t>
                  </w: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吨</w:t>
                  </w:r>
                  <w:r>
                    <w:rPr>
                      <w:rFonts w:hint="default" w:ascii="Times New Roman" w:hAnsi="Times New Roman" w:eastAsia="宋体" w:cs="Times New Roman"/>
                      <w:b/>
                      <w:color w:val="000000" w:themeColor="text1"/>
                      <w:sz w:val="21"/>
                      <w:szCs w:val="21"/>
                      <w:highlight w:val="none"/>
                      <w14:textFill>
                        <w14:solidFill>
                          <w14:schemeClr w14:val="tx1"/>
                        </w14:solidFill>
                      </w14:textFill>
                    </w:rPr>
                    <w:t>/年）</w:t>
                  </w:r>
                </w:p>
              </w:tc>
            </w:tr>
            <w:tr w14:paraId="31057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32" w:type="pct"/>
                  <w:tcBorders>
                    <w:top w:val="single" w:color="auto" w:sz="4" w:space="0"/>
                    <w:left w:val="single" w:color="auto" w:sz="4" w:space="0"/>
                    <w:right w:val="single" w:color="auto" w:sz="4" w:space="0"/>
                  </w:tcBorders>
                  <w:vAlign w:val="center"/>
                </w:tcPr>
                <w:p w14:paraId="752CB800">
                  <w:pPr>
                    <w:numPr>
                      <w:ilvl w:val="0"/>
                      <w:numId w:val="6"/>
                    </w:numPr>
                    <w:ind w:left="425" w:leftChars="0" w:hanging="425"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2400" w:type="pct"/>
                  <w:tcBorders>
                    <w:top w:val="single" w:color="auto" w:sz="4" w:space="0"/>
                    <w:left w:val="single" w:color="auto" w:sz="4" w:space="0"/>
                    <w:right w:val="single" w:color="auto" w:sz="4" w:space="0"/>
                  </w:tcBorders>
                  <w:vAlign w:val="center"/>
                </w:tcPr>
                <w:p w14:paraId="30EBC14A">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TPE颗粒</w:t>
                  </w:r>
                </w:p>
              </w:tc>
              <w:tc>
                <w:tcPr>
                  <w:tcW w:w="1566" w:type="pct"/>
                  <w:tcBorders>
                    <w:top w:val="single" w:color="auto" w:sz="4" w:space="0"/>
                    <w:left w:val="single" w:color="auto" w:sz="4" w:space="0"/>
                    <w:bottom w:val="single" w:color="auto" w:sz="4" w:space="0"/>
                    <w:right w:val="single" w:color="auto" w:sz="4" w:space="0"/>
                  </w:tcBorders>
                  <w:vAlign w:val="center"/>
                </w:tcPr>
                <w:p w14:paraId="454E21F9">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1000</w:t>
                  </w:r>
                </w:p>
              </w:tc>
            </w:tr>
          </w:tbl>
          <w:p w14:paraId="5798B0C3">
            <w:pPr>
              <w:spacing w:line="480" w:lineRule="exact"/>
              <w:ind w:firstLine="422" w:firstLine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4、主要原辅材料</w:t>
            </w:r>
          </w:p>
          <w:p w14:paraId="61257F09">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主要原辅材料消耗一览表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243"/>
              <w:gridCol w:w="1072"/>
              <w:gridCol w:w="1052"/>
              <w:gridCol w:w="844"/>
              <w:gridCol w:w="844"/>
              <w:gridCol w:w="527"/>
              <w:gridCol w:w="847"/>
              <w:gridCol w:w="694"/>
              <w:gridCol w:w="652"/>
            </w:tblGrid>
            <w:tr w14:paraId="251BD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91"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D7FE519">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752"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4F92DD08">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名称</w:t>
                  </w:r>
                </w:p>
              </w:tc>
              <w:tc>
                <w:tcPr>
                  <w:tcW w:w="649"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52B6F705">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物理状态</w:t>
                  </w:r>
                </w:p>
              </w:tc>
              <w:tc>
                <w:tcPr>
                  <w:tcW w:w="637" w:type="pct"/>
                  <w:tcBorders>
                    <w:top w:val="single" w:color="auto" w:sz="4" w:space="0"/>
                    <w:left w:val="single" w:color="auto" w:sz="4" w:space="0"/>
                    <w:right w:val="single" w:color="auto" w:sz="4" w:space="0"/>
                  </w:tcBorders>
                  <w:shd w:val="clear" w:color="auto" w:fill="D7D7D7" w:themeFill="background1" w:themeFillShade="D8"/>
                  <w:vAlign w:val="center"/>
                </w:tcPr>
                <w:p w14:paraId="6C4B4BDD">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包装规格</w:t>
                  </w:r>
                </w:p>
              </w:tc>
              <w:tc>
                <w:tcPr>
                  <w:tcW w:w="511" w:type="pct"/>
                  <w:tcBorders>
                    <w:top w:val="single" w:color="auto" w:sz="4" w:space="0"/>
                    <w:left w:val="single" w:color="auto" w:sz="4" w:space="0"/>
                    <w:right w:val="single" w:color="auto" w:sz="4" w:space="0"/>
                  </w:tcBorders>
                  <w:shd w:val="clear" w:color="auto" w:fill="D7D7D7" w:themeFill="background1" w:themeFillShade="D8"/>
                  <w:vAlign w:val="center"/>
                </w:tcPr>
                <w:p w14:paraId="02D84F43">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年使用量（t）</w:t>
                  </w:r>
                </w:p>
              </w:tc>
              <w:tc>
                <w:tcPr>
                  <w:tcW w:w="511" w:type="pct"/>
                  <w:tcBorders>
                    <w:top w:val="single" w:color="auto" w:sz="4" w:space="0"/>
                    <w:left w:val="single" w:color="auto" w:sz="4" w:space="0"/>
                    <w:right w:val="single" w:color="auto" w:sz="4" w:space="0"/>
                  </w:tcBorders>
                  <w:shd w:val="clear" w:color="auto" w:fill="D7D7D7" w:themeFill="background1" w:themeFillShade="D8"/>
                  <w:vAlign w:val="center"/>
                </w:tcPr>
                <w:p w14:paraId="632BBF2A">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最大储存量（t）</w:t>
                  </w:r>
                </w:p>
              </w:tc>
              <w:tc>
                <w:tcPr>
                  <w:tcW w:w="319" w:type="pct"/>
                  <w:tcBorders>
                    <w:top w:val="single" w:color="auto" w:sz="4" w:space="0"/>
                    <w:left w:val="single" w:color="auto" w:sz="4" w:space="0"/>
                    <w:right w:val="single" w:color="auto" w:sz="4" w:space="0"/>
                  </w:tcBorders>
                  <w:shd w:val="clear" w:color="auto" w:fill="D7D7D7" w:themeFill="background1" w:themeFillShade="D8"/>
                  <w:vAlign w:val="center"/>
                </w:tcPr>
                <w:p w14:paraId="3664E835">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所在工序</w:t>
                  </w:r>
                </w:p>
              </w:tc>
              <w:tc>
                <w:tcPr>
                  <w:tcW w:w="512" w:type="pct"/>
                  <w:tcBorders>
                    <w:top w:val="single" w:color="auto" w:sz="4" w:space="0"/>
                    <w:left w:val="single" w:color="auto" w:sz="4" w:space="0"/>
                    <w:right w:val="single" w:color="auto" w:sz="4" w:space="0"/>
                  </w:tcBorders>
                  <w:shd w:val="clear" w:color="auto" w:fill="D7D7D7" w:themeFill="background1" w:themeFillShade="D8"/>
                  <w:vAlign w:val="center"/>
                </w:tcPr>
                <w:p w14:paraId="3E30AD54">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是否属于危险化学品</w:t>
                  </w:r>
                </w:p>
              </w:tc>
              <w:tc>
                <w:tcPr>
                  <w:tcW w:w="420" w:type="pct"/>
                  <w:tcBorders>
                    <w:top w:val="single" w:color="auto" w:sz="4" w:space="0"/>
                    <w:left w:val="single" w:color="auto" w:sz="4" w:space="0"/>
                    <w:right w:val="single" w:color="auto" w:sz="4" w:space="0"/>
                  </w:tcBorders>
                  <w:shd w:val="clear" w:color="auto" w:fill="D7D7D7" w:themeFill="background1" w:themeFillShade="D8"/>
                  <w:vAlign w:val="center"/>
                </w:tcPr>
                <w:p w14:paraId="7962114B">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是否属于环境风险物质</w:t>
                  </w:r>
                </w:p>
              </w:tc>
              <w:tc>
                <w:tcPr>
                  <w:tcW w:w="394" w:type="pct"/>
                  <w:tcBorders>
                    <w:top w:val="single" w:color="auto" w:sz="4" w:space="0"/>
                    <w:left w:val="single" w:color="auto" w:sz="4" w:space="0"/>
                    <w:right w:val="single" w:color="auto" w:sz="4" w:space="0"/>
                  </w:tcBorders>
                  <w:shd w:val="clear" w:color="auto" w:fill="D7D7D7" w:themeFill="background1" w:themeFillShade="D8"/>
                  <w:vAlign w:val="center"/>
                </w:tcPr>
                <w:p w14:paraId="1DC84401">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临界量（t）</w:t>
                  </w:r>
                </w:p>
              </w:tc>
            </w:tr>
            <w:tr w14:paraId="12CE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14:paraId="34B20BC9">
                  <w:pPr>
                    <w:pStyle w:val="79"/>
                    <w:numPr>
                      <w:ilvl w:val="0"/>
                      <w:numId w:val="7"/>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752" w:type="pct"/>
                  <w:tcBorders>
                    <w:top w:val="single" w:color="auto" w:sz="4" w:space="0"/>
                    <w:left w:val="single" w:color="auto" w:sz="4" w:space="0"/>
                    <w:bottom w:val="single" w:color="auto" w:sz="4" w:space="0"/>
                    <w:right w:val="single" w:color="auto" w:sz="4" w:space="0"/>
                  </w:tcBorders>
                  <w:vAlign w:val="center"/>
                </w:tcPr>
                <w:p w14:paraId="15F811F7">
                  <w:pPr>
                    <w:jc w:val="center"/>
                    <w:outlineLvl w:val="0"/>
                    <w:rPr>
                      <w:rFonts w:hint="eastAsia" w:ascii="Times New Roman" w:hAnsi="Times New Roman" w:cs="Times New Roman" w:eastAsiaTheme="minorEastAsia"/>
                      <w:bCs/>
                      <w:color w:val="000000" w:themeColor="text1"/>
                      <w:sz w:val="21"/>
                      <w:szCs w:val="21"/>
                      <w:highlight w:val="none"/>
                      <w:lang w:eastAsia="zh-CN"/>
                      <w14:textFill>
                        <w14:solidFill>
                          <w14:schemeClr w14:val="tx1"/>
                        </w14:solidFill>
                      </w14:textFill>
                    </w:rPr>
                  </w:pPr>
                  <w:bookmarkStart w:id="16" w:name="_Toc31"/>
                  <w:bookmarkStart w:id="17" w:name="_Toc15397"/>
                  <w:r>
                    <w:rPr>
                      <w:rFonts w:hint="eastAsia"/>
                      <w:color w:val="000000" w:themeColor="text1"/>
                      <w:highlight w:val="none"/>
                      <w14:textFill>
                        <w14:solidFill>
                          <w14:schemeClr w14:val="tx1"/>
                        </w14:solidFill>
                      </w14:textFill>
                    </w:rPr>
                    <w:t>苯乙烯-丁二烯-苯乙烯共聚合物</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SBS</w:t>
                  </w:r>
                  <w:r>
                    <w:rPr>
                      <w:rFonts w:hint="eastAsia"/>
                      <w:color w:val="000000" w:themeColor="text1"/>
                      <w:highlight w:val="none"/>
                      <w:lang w:eastAsia="zh-CN"/>
                      <w14:textFill>
                        <w14:solidFill>
                          <w14:schemeClr w14:val="tx1"/>
                        </w14:solidFill>
                      </w14:textFill>
                    </w:rPr>
                    <w:t>）</w:t>
                  </w:r>
                  <w:bookmarkEnd w:id="16"/>
                  <w:bookmarkEnd w:id="17"/>
                </w:p>
              </w:tc>
              <w:tc>
                <w:tcPr>
                  <w:tcW w:w="649" w:type="pct"/>
                  <w:tcBorders>
                    <w:top w:val="single" w:color="auto" w:sz="4" w:space="0"/>
                    <w:left w:val="single" w:color="auto" w:sz="4" w:space="0"/>
                    <w:bottom w:val="single" w:color="auto" w:sz="4" w:space="0"/>
                    <w:right w:val="single" w:color="auto" w:sz="4" w:space="0"/>
                  </w:tcBorders>
                  <w:vAlign w:val="center"/>
                </w:tcPr>
                <w:p w14:paraId="55D9BEC0">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粒状</w:t>
                  </w:r>
                </w:p>
              </w:tc>
              <w:tc>
                <w:tcPr>
                  <w:tcW w:w="637" w:type="pct"/>
                  <w:tcBorders>
                    <w:top w:val="single" w:color="auto" w:sz="4" w:space="0"/>
                    <w:left w:val="single" w:color="auto" w:sz="4" w:space="0"/>
                    <w:right w:val="single" w:color="auto" w:sz="4" w:space="0"/>
                  </w:tcBorders>
                  <w:vAlign w:val="center"/>
                </w:tcPr>
                <w:p w14:paraId="6999BC8C">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25kg/袋</w:t>
                  </w:r>
                </w:p>
              </w:tc>
              <w:tc>
                <w:tcPr>
                  <w:tcW w:w="844" w:type="dxa"/>
                  <w:tcBorders>
                    <w:top w:val="single" w:color="auto" w:sz="4" w:space="0"/>
                    <w:left w:val="single" w:color="auto" w:sz="4" w:space="0"/>
                    <w:bottom w:val="single" w:color="auto" w:sz="4" w:space="0"/>
                    <w:right w:val="single" w:color="auto" w:sz="4" w:space="0"/>
                  </w:tcBorders>
                  <w:vAlign w:val="center"/>
                </w:tcPr>
                <w:p w14:paraId="71FC9FFC">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800</w:t>
                  </w:r>
                </w:p>
              </w:tc>
              <w:tc>
                <w:tcPr>
                  <w:tcW w:w="844" w:type="dxa"/>
                  <w:tcBorders>
                    <w:top w:val="single" w:color="auto" w:sz="4" w:space="0"/>
                    <w:left w:val="single" w:color="auto" w:sz="4" w:space="0"/>
                    <w:bottom w:val="single" w:color="auto" w:sz="4" w:space="0"/>
                    <w:right w:val="single" w:color="auto" w:sz="4" w:space="0"/>
                  </w:tcBorders>
                  <w:vAlign w:val="center"/>
                </w:tcPr>
                <w:p w14:paraId="6F41AA91">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w:t>
                  </w:r>
                </w:p>
              </w:tc>
              <w:tc>
                <w:tcPr>
                  <w:tcW w:w="319" w:type="pct"/>
                  <w:tcBorders>
                    <w:top w:val="single" w:color="auto" w:sz="4" w:space="0"/>
                    <w:left w:val="single" w:color="auto" w:sz="4" w:space="0"/>
                    <w:right w:val="single" w:color="auto" w:sz="4" w:space="0"/>
                  </w:tcBorders>
                  <w:vAlign w:val="center"/>
                </w:tcPr>
                <w:p w14:paraId="7A695CF5">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原材料</w:t>
                  </w:r>
                </w:p>
              </w:tc>
              <w:tc>
                <w:tcPr>
                  <w:tcW w:w="512" w:type="pct"/>
                  <w:tcBorders>
                    <w:top w:val="single" w:color="auto" w:sz="4" w:space="0"/>
                    <w:left w:val="single" w:color="auto" w:sz="4" w:space="0"/>
                    <w:right w:val="single" w:color="auto" w:sz="4" w:space="0"/>
                  </w:tcBorders>
                  <w:vAlign w:val="center"/>
                </w:tcPr>
                <w:p w14:paraId="1C6EF2A8">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否</w:t>
                  </w:r>
                </w:p>
              </w:tc>
              <w:tc>
                <w:tcPr>
                  <w:tcW w:w="420" w:type="pct"/>
                  <w:tcBorders>
                    <w:top w:val="single" w:color="auto" w:sz="4" w:space="0"/>
                    <w:left w:val="single" w:color="auto" w:sz="4" w:space="0"/>
                    <w:right w:val="single" w:color="auto" w:sz="4" w:space="0"/>
                  </w:tcBorders>
                  <w:vAlign w:val="center"/>
                </w:tcPr>
                <w:p w14:paraId="5271B9C9">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否</w:t>
                  </w:r>
                </w:p>
              </w:tc>
              <w:tc>
                <w:tcPr>
                  <w:tcW w:w="394" w:type="pct"/>
                  <w:tcBorders>
                    <w:top w:val="single" w:color="auto" w:sz="4" w:space="0"/>
                    <w:left w:val="single" w:color="auto" w:sz="4" w:space="0"/>
                    <w:right w:val="single" w:color="auto" w:sz="4" w:space="0"/>
                  </w:tcBorders>
                  <w:vAlign w:val="center"/>
                </w:tcPr>
                <w:p w14:paraId="032E0B08">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r>
            <w:tr w14:paraId="6DB1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14:paraId="01FECEF3">
                  <w:pPr>
                    <w:pStyle w:val="79"/>
                    <w:numPr>
                      <w:ilvl w:val="0"/>
                      <w:numId w:val="7"/>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752" w:type="pct"/>
                  <w:tcBorders>
                    <w:top w:val="single" w:color="auto" w:sz="4" w:space="0"/>
                    <w:left w:val="single" w:color="auto" w:sz="4" w:space="0"/>
                    <w:bottom w:val="single" w:color="auto" w:sz="4" w:space="0"/>
                    <w:right w:val="single" w:color="auto" w:sz="4" w:space="0"/>
                  </w:tcBorders>
                  <w:vAlign w:val="center"/>
                </w:tcPr>
                <w:p w14:paraId="3CED0F73">
                  <w:pPr>
                    <w:jc w:val="center"/>
                    <w:outlineLvl w:val="0"/>
                    <w:rPr>
                      <w:rFonts w:hint="default" w:ascii="Times New Roman" w:hAnsi="Times New Roman" w:eastAsia="宋体" w:cs="Times New Roman"/>
                      <w:bCs/>
                      <w:color w:val="000000" w:themeColor="text1"/>
                      <w:sz w:val="21"/>
                      <w:szCs w:val="21"/>
                      <w:highlight w:val="none"/>
                      <w14:textFill>
                        <w14:solidFill>
                          <w14:schemeClr w14:val="tx1"/>
                        </w14:solidFill>
                      </w14:textFill>
                    </w:rPr>
                  </w:pPr>
                  <w:bookmarkStart w:id="18" w:name="_Toc5304"/>
                  <w:bookmarkStart w:id="19" w:name="_Toc29931"/>
                  <w:r>
                    <w:rPr>
                      <w:rFonts w:hint="eastAsia"/>
                      <w:color w:val="000000" w:themeColor="text1"/>
                      <w:highlight w:val="none"/>
                      <w14:textFill>
                        <w14:solidFill>
                          <w14:schemeClr w14:val="tx1"/>
                        </w14:solidFill>
                      </w14:textFill>
                    </w:rPr>
                    <w:t>环烷基橡胶油</w:t>
                  </w:r>
                  <w:bookmarkEnd w:id="18"/>
                  <w:bookmarkEnd w:id="19"/>
                </w:p>
              </w:tc>
              <w:tc>
                <w:tcPr>
                  <w:tcW w:w="649" w:type="pct"/>
                  <w:tcBorders>
                    <w:top w:val="single" w:color="auto" w:sz="4" w:space="0"/>
                    <w:left w:val="single" w:color="auto" w:sz="4" w:space="0"/>
                    <w:bottom w:val="single" w:color="auto" w:sz="4" w:space="0"/>
                    <w:right w:val="single" w:color="auto" w:sz="4" w:space="0"/>
                  </w:tcBorders>
                  <w:vAlign w:val="center"/>
                </w:tcPr>
                <w:p w14:paraId="73CED2FA">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液态</w:t>
                  </w:r>
                </w:p>
              </w:tc>
              <w:tc>
                <w:tcPr>
                  <w:tcW w:w="637" w:type="pct"/>
                  <w:tcBorders>
                    <w:left w:val="single" w:color="auto" w:sz="4" w:space="0"/>
                    <w:right w:val="single" w:color="auto" w:sz="4" w:space="0"/>
                  </w:tcBorders>
                  <w:vAlign w:val="center"/>
                </w:tcPr>
                <w:p w14:paraId="7BB87FAC">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50T/储罐</w:t>
                  </w:r>
                </w:p>
              </w:tc>
              <w:tc>
                <w:tcPr>
                  <w:tcW w:w="844" w:type="dxa"/>
                  <w:tcBorders>
                    <w:top w:val="single" w:color="auto" w:sz="4" w:space="0"/>
                    <w:left w:val="single" w:color="auto" w:sz="4" w:space="0"/>
                    <w:bottom w:val="single" w:color="auto" w:sz="4" w:space="0"/>
                    <w:right w:val="single" w:color="auto" w:sz="4" w:space="0"/>
                  </w:tcBorders>
                  <w:vAlign w:val="center"/>
                </w:tcPr>
                <w:p w14:paraId="14D1A80B">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w:t>
                  </w:r>
                </w:p>
              </w:tc>
              <w:tc>
                <w:tcPr>
                  <w:tcW w:w="844" w:type="dxa"/>
                  <w:tcBorders>
                    <w:top w:val="single" w:color="auto" w:sz="4" w:space="0"/>
                    <w:left w:val="single" w:color="auto" w:sz="4" w:space="0"/>
                    <w:bottom w:val="single" w:color="auto" w:sz="4" w:space="0"/>
                    <w:right w:val="single" w:color="auto" w:sz="4" w:space="0"/>
                  </w:tcBorders>
                  <w:vAlign w:val="center"/>
                </w:tcPr>
                <w:p w14:paraId="584A1414">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80</w:t>
                  </w:r>
                </w:p>
              </w:tc>
              <w:tc>
                <w:tcPr>
                  <w:tcW w:w="319" w:type="pct"/>
                  <w:tcBorders>
                    <w:left w:val="single" w:color="auto" w:sz="4" w:space="0"/>
                    <w:bottom w:val="single" w:color="auto" w:sz="4" w:space="0"/>
                    <w:right w:val="single" w:color="auto" w:sz="4" w:space="0"/>
                  </w:tcBorders>
                  <w:vAlign w:val="center"/>
                </w:tcPr>
                <w:p w14:paraId="3D1293E1">
                  <w:pPr>
                    <w:widowControl/>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原材料</w:t>
                  </w:r>
                </w:p>
              </w:tc>
              <w:tc>
                <w:tcPr>
                  <w:tcW w:w="512" w:type="pct"/>
                  <w:tcBorders>
                    <w:left w:val="single" w:color="auto" w:sz="4" w:space="0"/>
                    <w:bottom w:val="single" w:color="auto" w:sz="4" w:space="0"/>
                    <w:right w:val="single" w:color="auto" w:sz="4" w:space="0"/>
                  </w:tcBorders>
                  <w:vAlign w:val="center"/>
                </w:tcPr>
                <w:p w14:paraId="2C39E8CB">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否</w:t>
                  </w:r>
                </w:p>
              </w:tc>
              <w:tc>
                <w:tcPr>
                  <w:tcW w:w="420" w:type="pct"/>
                  <w:tcBorders>
                    <w:left w:val="single" w:color="auto" w:sz="4" w:space="0"/>
                    <w:right w:val="single" w:color="auto" w:sz="4" w:space="0"/>
                  </w:tcBorders>
                  <w:vAlign w:val="center"/>
                </w:tcPr>
                <w:p w14:paraId="5C21C2F0">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是</w:t>
                  </w:r>
                </w:p>
              </w:tc>
              <w:tc>
                <w:tcPr>
                  <w:tcW w:w="394" w:type="pct"/>
                  <w:tcBorders>
                    <w:left w:val="single" w:color="auto" w:sz="4" w:space="0"/>
                    <w:right w:val="single" w:color="auto" w:sz="4" w:space="0"/>
                  </w:tcBorders>
                  <w:vAlign w:val="center"/>
                </w:tcPr>
                <w:p w14:paraId="6AAE31A0">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2500</w:t>
                  </w:r>
                </w:p>
              </w:tc>
            </w:tr>
            <w:tr w14:paraId="0F1E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14:paraId="63CD26EF">
                  <w:pPr>
                    <w:pStyle w:val="79"/>
                    <w:numPr>
                      <w:ilvl w:val="0"/>
                      <w:numId w:val="7"/>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752" w:type="pct"/>
                  <w:tcBorders>
                    <w:top w:val="single" w:color="auto" w:sz="4" w:space="0"/>
                    <w:left w:val="single" w:color="auto" w:sz="4" w:space="0"/>
                    <w:bottom w:val="single" w:color="auto" w:sz="4" w:space="0"/>
                    <w:right w:val="single" w:color="auto" w:sz="4" w:space="0"/>
                  </w:tcBorders>
                  <w:vAlign w:val="center"/>
                </w:tcPr>
                <w:p w14:paraId="3D4BA511">
                  <w:pPr>
                    <w:jc w:val="center"/>
                    <w:outlineLvl w:val="0"/>
                    <w:rPr>
                      <w:rFonts w:hint="default" w:ascii="Times New Roman" w:hAnsi="Times New Roman" w:eastAsia="宋体" w:cs="Times New Roman"/>
                      <w:bCs/>
                      <w:color w:val="000000" w:themeColor="text1"/>
                      <w:sz w:val="21"/>
                      <w:szCs w:val="21"/>
                      <w:highlight w:val="none"/>
                      <w14:textFill>
                        <w14:solidFill>
                          <w14:schemeClr w14:val="tx1"/>
                        </w14:solidFill>
                      </w14:textFill>
                    </w:rPr>
                  </w:pPr>
                  <w:bookmarkStart w:id="20" w:name="_Toc3385"/>
                  <w:bookmarkStart w:id="21" w:name="_Toc8809"/>
                  <w:r>
                    <w:rPr>
                      <w:rFonts w:hint="eastAsia" w:ascii="宋体" w:hAnsi="宋体"/>
                      <w:bCs/>
                      <w:color w:val="000000" w:themeColor="text1"/>
                      <w:szCs w:val="21"/>
                      <w:highlight w:val="none"/>
                      <w14:textFill>
                        <w14:solidFill>
                          <w14:schemeClr w14:val="tx1"/>
                        </w14:solidFill>
                      </w14:textFill>
                    </w:rPr>
                    <w:t>碳酸钙</w:t>
                  </w:r>
                  <w:bookmarkEnd w:id="20"/>
                  <w:bookmarkEnd w:id="21"/>
                </w:p>
              </w:tc>
              <w:tc>
                <w:tcPr>
                  <w:tcW w:w="649" w:type="pct"/>
                  <w:tcBorders>
                    <w:top w:val="single" w:color="auto" w:sz="4" w:space="0"/>
                    <w:left w:val="single" w:color="auto" w:sz="4" w:space="0"/>
                    <w:bottom w:val="single" w:color="auto" w:sz="4" w:space="0"/>
                    <w:right w:val="single" w:color="auto" w:sz="4" w:space="0"/>
                  </w:tcBorders>
                  <w:vAlign w:val="center"/>
                </w:tcPr>
                <w:p w14:paraId="2CF865B7">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粉状</w:t>
                  </w:r>
                </w:p>
              </w:tc>
              <w:tc>
                <w:tcPr>
                  <w:tcW w:w="637" w:type="pct"/>
                  <w:tcBorders>
                    <w:left w:val="single" w:color="auto" w:sz="4" w:space="0"/>
                    <w:bottom w:val="single" w:color="auto" w:sz="4" w:space="0"/>
                    <w:right w:val="single" w:color="auto" w:sz="4" w:space="0"/>
                  </w:tcBorders>
                  <w:vAlign w:val="center"/>
                </w:tcPr>
                <w:p w14:paraId="38A5E698">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25kg/袋</w:t>
                  </w:r>
                </w:p>
              </w:tc>
              <w:tc>
                <w:tcPr>
                  <w:tcW w:w="844" w:type="dxa"/>
                  <w:tcBorders>
                    <w:top w:val="single" w:color="auto" w:sz="4" w:space="0"/>
                    <w:left w:val="single" w:color="auto" w:sz="4" w:space="0"/>
                    <w:bottom w:val="single" w:color="auto" w:sz="4" w:space="0"/>
                    <w:right w:val="single" w:color="auto" w:sz="4" w:space="0"/>
                  </w:tcBorders>
                  <w:vAlign w:val="center"/>
                </w:tcPr>
                <w:p w14:paraId="7A4342EA">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844" w:type="dxa"/>
                  <w:tcBorders>
                    <w:top w:val="single" w:color="auto" w:sz="4" w:space="0"/>
                    <w:left w:val="single" w:color="auto" w:sz="4" w:space="0"/>
                    <w:bottom w:val="single" w:color="auto" w:sz="4" w:space="0"/>
                    <w:right w:val="single" w:color="auto" w:sz="4" w:space="0"/>
                  </w:tcBorders>
                  <w:vAlign w:val="center"/>
                </w:tcPr>
                <w:p w14:paraId="3697D5C2">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20</w:t>
                  </w:r>
                </w:p>
              </w:tc>
              <w:tc>
                <w:tcPr>
                  <w:tcW w:w="319" w:type="pct"/>
                  <w:tcBorders>
                    <w:top w:val="single" w:color="auto" w:sz="4" w:space="0"/>
                    <w:left w:val="single" w:color="auto" w:sz="4" w:space="0"/>
                    <w:right w:val="single" w:color="auto" w:sz="4" w:space="0"/>
                  </w:tcBorders>
                  <w:vAlign w:val="center"/>
                </w:tcPr>
                <w:p w14:paraId="02029452">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原材料</w:t>
                  </w:r>
                </w:p>
              </w:tc>
              <w:tc>
                <w:tcPr>
                  <w:tcW w:w="512" w:type="pct"/>
                  <w:tcBorders>
                    <w:top w:val="single" w:color="auto" w:sz="4" w:space="0"/>
                    <w:left w:val="single" w:color="auto" w:sz="4" w:space="0"/>
                    <w:right w:val="single" w:color="auto" w:sz="4" w:space="0"/>
                  </w:tcBorders>
                  <w:vAlign w:val="center"/>
                </w:tcPr>
                <w:p w14:paraId="6352E321">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否</w:t>
                  </w:r>
                </w:p>
              </w:tc>
              <w:tc>
                <w:tcPr>
                  <w:tcW w:w="420" w:type="pct"/>
                  <w:tcBorders>
                    <w:left w:val="single" w:color="auto" w:sz="4" w:space="0"/>
                    <w:bottom w:val="single" w:color="auto" w:sz="4" w:space="0"/>
                    <w:right w:val="single" w:color="auto" w:sz="4" w:space="0"/>
                  </w:tcBorders>
                  <w:vAlign w:val="center"/>
                </w:tcPr>
                <w:p w14:paraId="16B4D306">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否</w:t>
                  </w:r>
                </w:p>
              </w:tc>
              <w:tc>
                <w:tcPr>
                  <w:tcW w:w="394" w:type="pct"/>
                  <w:tcBorders>
                    <w:left w:val="single" w:color="auto" w:sz="4" w:space="0"/>
                    <w:bottom w:val="single" w:color="auto" w:sz="4" w:space="0"/>
                    <w:right w:val="single" w:color="auto" w:sz="4" w:space="0"/>
                  </w:tcBorders>
                  <w:vAlign w:val="center"/>
                </w:tcPr>
                <w:p w14:paraId="4821DA77">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r>
            <w:tr w14:paraId="53BAE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14:paraId="2A316B30">
                  <w:pPr>
                    <w:pStyle w:val="79"/>
                    <w:numPr>
                      <w:ilvl w:val="0"/>
                      <w:numId w:val="7"/>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752" w:type="pct"/>
                  <w:tcBorders>
                    <w:top w:val="single" w:color="auto" w:sz="4" w:space="0"/>
                    <w:left w:val="single" w:color="auto" w:sz="4" w:space="0"/>
                    <w:bottom w:val="single" w:color="auto" w:sz="4" w:space="0"/>
                    <w:right w:val="single" w:color="auto" w:sz="4" w:space="0"/>
                  </w:tcBorders>
                  <w:vAlign w:val="center"/>
                </w:tcPr>
                <w:p w14:paraId="309A019A">
                  <w:pPr>
                    <w:jc w:val="center"/>
                    <w:outlineLvl w:val="0"/>
                    <w:rPr>
                      <w:rFonts w:hint="eastAsia" w:ascii="Times New Roman" w:hAnsi="Times New Roman" w:cs="Times New Roman" w:eastAsiaTheme="minorEastAsia"/>
                      <w:bCs/>
                      <w:color w:val="000000" w:themeColor="text1"/>
                      <w:sz w:val="21"/>
                      <w:szCs w:val="21"/>
                      <w:highlight w:val="none"/>
                      <w:lang w:eastAsia="zh-CN"/>
                      <w14:textFill>
                        <w14:solidFill>
                          <w14:schemeClr w14:val="tx1"/>
                        </w14:solidFill>
                      </w14:textFill>
                    </w:rPr>
                  </w:pPr>
                  <w:bookmarkStart w:id="22" w:name="_Toc22316"/>
                  <w:bookmarkStart w:id="23" w:name="_Toc10574"/>
                  <w:r>
                    <w:rPr>
                      <w:rFonts w:hint="eastAsia"/>
                      <w:color w:val="000000" w:themeColor="text1"/>
                      <w:highlight w:val="none"/>
                      <w14:textFill>
                        <w14:solidFill>
                          <w14:schemeClr w14:val="tx1"/>
                        </w14:solidFill>
                      </w14:textFill>
                    </w:rPr>
                    <w:t>聚苯乙烯</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PS</w:t>
                  </w:r>
                  <w:r>
                    <w:rPr>
                      <w:rFonts w:hint="eastAsia"/>
                      <w:color w:val="000000" w:themeColor="text1"/>
                      <w:highlight w:val="none"/>
                      <w:lang w:eastAsia="zh-CN"/>
                      <w14:textFill>
                        <w14:solidFill>
                          <w14:schemeClr w14:val="tx1"/>
                        </w14:solidFill>
                      </w14:textFill>
                    </w:rPr>
                    <w:t>）</w:t>
                  </w:r>
                  <w:bookmarkEnd w:id="22"/>
                  <w:bookmarkEnd w:id="23"/>
                </w:p>
              </w:tc>
              <w:tc>
                <w:tcPr>
                  <w:tcW w:w="649" w:type="pct"/>
                  <w:tcBorders>
                    <w:top w:val="single" w:color="auto" w:sz="4" w:space="0"/>
                    <w:left w:val="single" w:color="auto" w:sz="4" w:space="0"/>
                    <w:bottom w:val="single" w:color="auto" w:sz="4" w:space="0"/>
                    <w:right w:val="single" w:color="auto" w:sz="4" w:space="0"/>
                  </w:tcBorders>
                  <w:vAlign w:val="center"/>
                </w:tcPr>
                <w:p w14:paraId="527008A0">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粉状</w:t>
                  </w:r>
                </w:p>
              </w:tc>
              <w:tc>
                <w:tcPr>
                  <w:tcW w:w="637" w:type="pct"/>
                  <w:tcBorders>
                    <w:top w:val="single" w:color="auto" w:sz="4" w:space="0"/>
                    <w:left w:val="single" w:color="auto" w:sz="4" w:space="0"/>
                    <w:bottom w:val="single" w:color="auto" w:sz="4" w:space="0"/>
                    <w:right w:val="single" w:color="auto" w:sz="4" w:space="0"/>
                  </w:tcBorders>
                  <w:vAlign w:val="center"/>
                </w:tcPr>
                <w:p w14:paraId="50E5EE43">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25kg/袋</w:t>
                  </w:r>
                </w:p>
              </w:tc>
              <w:tc>
                <w:tcPr>
                  <w:tcW w:w="844" w:type="dxa"/>
                  <w:tcBorders>
                    <w:top w:val="single" w:color="auto" w:sz="4" w:space="0"/>
                    <w:left w:val="single" w:color="auto" w:sz="4" w:space="0"/>
                    <w:bottom w:val="single" w:color="auto" w:sz="4" w:space="0"/>
                    <w:right w:val="single" w:color="auto" w:sz="4" w:space="0"/>
                  </w:tcBorders>
                  <w:vAlign w:val="center"/>
                </w:tcPr>
                <w:p w14:paraId="4A908442">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w:t>
                  </w:r>
                </w:p>
              </w:tc>
              <w:tc>
                <w:tcPr>
                  <w:tcW w:w="844" w:type="dxa"/>
                  <w:tcBorders>
                    <w:top w:val="single" w:color="auto" w:sz="4" w:space="0"/>
                    <w:left w:val="single" w:color="auto" w:sz="4" w:space="0"/>
                    <w:bottom w:val="single" w:color="auto" w:sz="4" w:space="0"/>
                    <w:right w:val="single" w:color="auto" w:sz="4" w:space="0"/>
                  </w:tcBorders>
                  <w:vAlign w:val="center"/>
                </w:tcPr>
                <w:p w14:paraId="6D7F1ACA">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p>
              </w:tc>
              <w:tc>
                <w:tcPr>
                  <w:tcW w:w="319" w:type="pct"/>
                  <w:tcBorders>
                    <w:left w:val="single" w:color="auto" w:sz="4" w:space="0"/>
                    <w:right w:val="single" w:color="auto" w:sz="4" w:space="0"/>
                  </w:tcBorders>
                  <w:vAlign w:val="center"/>
                </w:tcPr>
                <w:p w14:paraId="6B63A795">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原材料</w:t>
                  </w:r>
                </w:p>
              </w:tc>
              <w:tc>
                <w:tcPr>
                  <w:tcW w:w="512" w:type="pct"/>
                  <w:tcBorders>
                    <w:left w:val="single" w:color="auto" w:sz="4" w:space="0"/>
                    <w:right w:val="single" w:color="auto" w:sz="4" w:space="0"/>
                  </w:tcBorders>
                  <w:vAlign w:val="center"/>
                </w:tcPr>
                <w:p w14:paraId="1F9D5298">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否</w:t>
                  </w:r>
                </w:p>
              </w:tc>
              <w:tc>
                <w:tcPr>
                  <w:tcW w:w="420" w:type="pct"/>
                  <w:tcBorders>
                    <w:top w:val="single" w:color="auto" w:sz="4" w:space="0"/>
                    <w:left w:val="single" w:color="auto" w:sz="4" w:space="0"/>
                    <w:bottom w:val="single" w:color="auto" w:sz="4" w:space="0"/>
                    <w:right w:val="single" w:color="auto" w:sz="4" w:space="0"/>
                  </w:tcBorders>
                  <w:vAlign w:val="center"/>
                </w:tcPr>
                <w:p w14:paraId="7BD47495">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否</w:t>
                  </w:r>
                </w:p>
              </w:tc>
              <w:tc>
                <w:tcPr>
                  <w:tcW w:w="394" w:type="pct"/>
                  <w:tcBorders>
                    <w:top w:val="single" w:color="auto" w:sz="4" w:space="0"/>
                    <w:left w:val="single" w:color="auto" w:sz="4" w:space="0"/>
                    <w:bottom w:val="single" w:color="auto" w:sz="4" w:space="0"/>
                    <w:right w:val="single" w:color="auto" w:sz="4" w:space="0"/>
                  </w:tcBorders>
                  <w:vAlign w:val="center"/>
                </w:tcPr>
                <w:p w14:paraId="732E8198">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r>
            <w:tr w14:paraId="48814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14:paraId="55580B66">
                  <w:pPr>
                    <w:pStyle w:val="79"/>
                    <w:numPr>
                      <w:ilvl w:val="0"/>
                      <w:numId w:val="7"/>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752" w:type="pct"/>
                  <w:tcBorders>
                    <w:top w:val="single" w:color="auto" w:sz="4" w:space="0"/>
                    <w:left w:val="single" w:color="auto" w:sz="4" w:space="0"/>
                    <w:bottom w:val="single" w:color="auto" w:sz="4" w:space="0"/>
                    <w:right w:val="single" w:color="auto" w:sz="4" w:space="0"/>
                  </w:tcBorders>
                  <w:vAlign w:val="center"/>
                </w:tcPr>
                <w:p w14:paraId="5D8729E0">
                  <w:pPr>
                    <w:jc w:val="center"/>
                    <w:outlineLvl w:val="0"/>
                    <w:rPr>
                      <w:rFonts w:hint="eastAsia" w:eastAsiaTheme="minor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模具（外购）</w:t>
                  </w:r>
                </w:p>
              </w:tc>
              <w:tc>
                <w:tcPr>
                  <w:tcW w:w="649" w:type="pct"/>
                  <w:tcBorders>
                    <w:top w:val="single" w:color="auto" w:sz="4" w:space="0"/>
                    <w:left w:val="single" w:color="auto" w:sz="4" w:space="0"/>
                    <w:bottom w:val="single" w:color="auto" w:sz="4" w:space="0"/>
                    <w:right w:val="single" w:color="auto" w:sz="4" w:space="0"/>
                  </w:tcBorders>
                  <w:vAlign w:val="center"/>
                </w:tcPr>
                <w:p w14:paraId="003B0EE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固态</w:t>
                  </w:r>
                </w:p>
              </w:tc>
              <w:tc>
                <w:tcPr>
                  <w:tcW w:w="637" w:type="pct"/>
                  <w:tcBorders>
                    <w:top w:val="single" w:color="auto" w:sz="4" w:space="0"/>
                    <w:left w:val="single" w:color="auto" w:sz="4" w:space="0"/>
                    <w:bottom w:val="single" w:color="auto" w:sz="4" w:space="0"/>
                    <w:right w:val="single" w:color="auto" w:sz="4" w:space="0"/>
                  </w:tcBorders>
                  <w:vAlign w:val="center"/>
                </w:tcPr>
                <w:p w14:paraId="41B0500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844" w:type="dxa"/>
                  <w:tcBorders>
                    <w:top w:val="single" w:color="auto" w:sz="4" w:space="0"/>
                    <w:left w:val="single" w:color="auto" w:sz="4" w:space="0"/>
                    <w:bottom w:val="single" w:color="auto" w:sz="4" w:space="0"/>
                    <w:right w:val="single" w:color="auto" w:sz="4" w:space="0"/>
                  </w:tcBorders>
                  <w:vAlign w:val="center"/>
                </w:tcPr>
                <w:p w14:paraId="3C97503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50套</w:t>
                  </w:r>
                </w:p>
              </w:tc>
              <w:tc>
                <w:tcPr>
                  <w:tcW w:w="844" w:type="dxa"/>
                  <w:tcBorders>
                    <w:top w:val="single" w:color="auto" w:sz="4" w:space="0"/>
                    <w:left w:val="single" w:color="auto" w:sz="4" w:space="0"/>
                    <w:bottom w:val="single" w:color="auto" w:sz="4" w:space="0"/>
                    <w:right w:val="single" w:color="auto" w:sz="4" w:space="0"/>
                  </w:tcBorders>
                  <w:vAlign w:val="center"/>
                </w:tcPr>
                <w:p w14:paraId="0611818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10套</w:t>
                  </w:r>
                </w:p>
              </w:tc>
              <w:tc>
                <w:tcPr>
                  <w:tcW w:w="319" w:type="pct"/>
                  <w:tcBorders>
                    <w:left w:val="single" w:color="auto" w:sz="4" w:space="0"/>
                    <w:right w:val="single" w:color="auto" w:sz="4" w:space="0"/>
                  </w:tcBorders>
                  <w:vAlign w:val="center"/>
                </w:tcPr>
                <w:p w14:paraId="2CDD4414">
                  <w:pPr>
                    <w:widowControl/>
                    <w:jc w:val="center"/>
                    <w:textAlignment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挤出</w:t>
                  </w:r>
                </w:p>
              </w:tc>
              <w:tc>
                <w:tcPr>
                  <w:tcW w:w="847" w:type="dxa"/>
                  <w:tcBorders>
                    <w:left w:val="single" w:color="auto" w:sz="4" w:space="0"/>
                    <w:right w:val="single" w:color="auto" w:sz="4" w:space="0"/>
                  </w:tcBorders>
                  <w:vAlign w:val="center"/>
                </w:tcPr>
                <w:p w14:paraId="680F2C92">
                  <w:pPr>
                    <w:widowControl/>
                    <w:jc w:val="center"/>
                    <w:textAlignment w:val="cente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否</w:t>
                  </w:r>
                </w:p>
              </w:tc>
              <w:tc>
                <w:tcPr>
                  <w:tcW w:w="694" w:type="dxa"/>
                  <w:tcBorders>
                    <w:top w:val="single" w:color="auto" w:sz="4" w:space="0"/>
                    <w:left w:val="single" w:color="auto" w:sz="4" w:space="0"/>
                    <w:bottom w:val="single" w:color="auto" w:sz="4" w:space="0"/>
                    <w:right w:val="single" w:color="auto" w:sz="4" w:space="0"/>
                  </w:tcBorders>
                  <w:vAlign w:val="center"/>
                </w:tcPr>
                <w:p w14:paraId="4AF4A4C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否</w:t>
                  </w:r>
                </w:p>
              </w:tc>
              <w:tc>
                <w:tcPr>
                  <w:tcW w:w="652" w:type="dxa"/>
                  <w:tcBorders>
                    <w:top w:val="single" w:color="auto" w:sz="4" w:space="0"/>
                    <w:left w:val="single" w:color="auto" w:sz="4" w:space="0"/>
                    <w:bottom w:val="single" w:color="auto" w:sz="4" w:space="0"/>
                    <w:right w:val="single" w:color="auto" w:sz="4" w:space="0"/>
                  </w:tcBorders>
                  <w:vAlign w:val="center"/>
                </w:tcPr>
                <w:p w14:paraId="58F0FA6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r>
            <w:tr w14:paraId="2D084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91" w:type="pct"/>
                  <w:tcBorders>
                    <w:top w:val="single" w:color="auto" w:sz="4" w:space="0"/>
                    <w:left w:val="single" w:color="auto" w:sz="4" w:space="0"/>
                    <w:bottom w:val="single" w:color="auto" w:sz="4" w:space="0"/>
                    <w:right w:val="single" w:color="auto" w:sz="4" w:space="0"/>
                  </w:tcBorders>
                  <w:vAlign w:val="center"/>
                </w:tcPr>
                <w:p w14:paraId="483917D6">
                  <w:pPr>
                    <w:pStyle w:val="79"/>
                    <w:numPr>
                      <w:ilvl w:val="0"/>
                      <w:numId w:val="7"/>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752" w:type="pct"/>
                  <w:tcBorders>
                    <w:top w:val="single" w:color="auto" w:sz="4" w:space="0"/>
                    <w:left w:val="single" w:color="auto" w:sz="4" w:space="0"/>
                    <w:bottom w:val="single" w:color="auto" w:sz="4" w:space="0"/>
                    <w:right w:val="single" w:color="auto" w:sz="4" w:space="0"/>
                  </w:tcBorders>
                  <w:vAlign w:val="center"/>
                </w:tcPr>
                <w:p w14:paraId="111FC53D">
                  <w:pPr>
                    <w:jc w:val="center"/>
                    <w:outlineLvl w:val="0"/>
                    <w:rPr>
                      <w:rFonts w:hint="eastAsia" w:eastAsiaTheme="minor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机油</w:t>
                  </w:r>
                </w:p>
              </w:tc>
              <w:tc>
                <w:tcPr>
                  <w:tcW w:w="649" w:type="pct"/>
                  <w:tcBorders>
                    <w:top w:val="single" w:color="auto" w:sz="4" w:space="0"/>
                    <w:left w:val="single" w:color="auto" w:sz="4" w:space="0"/>
                    <w:bottom w:val="single" w:color="auto" w:sz="4" w:space="0"/>
                    <w:right w:val="single" w:color="auto" w:sz="4" w:space="0"/>
                  </w:tcBorders>
                  <w:vAlign w:val="center"/>
                </w:tcPr>
                <w:p w14:paraId="793A192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液态</w:t>
                  </w:r>
                </w:p>
              </w:tc>
              <w:tc>
                <w:tcPr>
                  <w:tcW w:w="1052" w:type="dxa"/>
                  <w:tcBorders>
                    <w:top w:val="single" w:color="auto" w:sz="4" w:space="0"/>
                    <w:left w:val="single" w:color="auto" w:sz="4" w:space="0"/>
                    <w:bottom w:val="single" w:color="auto" w:sz="4" w:space="0"/>
                    <w:right w:val="single" w:color="auto" w:sz="4" w:space="0"/>
                  </w:tcBorders>
                  <w:vAlign w:val="center"/>
                </w:tcPr>
                <w:p w14:paraId="0E048926">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100kg/桶</w:t>
                  </w:r>
                </w:p>
              </w:tc>
              <w:tc>
                <w:tcPr>
                  <w:tcW w:w="844" w:type="dxa"/>
                  <w:tcBorders>
                    <w:top w:val="single" w:color="auto" w:sz="4" w:space="0"/>
                    <w:left w:val="single" w:color="auto" w:sz="4" w:space="0"/>
                    <w:bottom w:val="single" w:color="auto" w:sz="4" w:space="0"/>
                    <w:right w:val="single" w:color="auto" w:sz="4" w:space="0"/>
                  </w:tcBorders>
                  <w:vAlign w:val="center"/>
                </w:tcPr>
                <w:p w14:paraId="583D141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w:t>
                  </w:r>
                </w:p>
              </w:tc>
              <w:tc>
                <w:tcPr>
                  <w:tcW w:w="844" w:type="dxa"/>
                  <w:tcBorders>
                    <w:top w:val="single" w:color="auto" w:sz="4" w:space="0"/>
                    <w:left w:val="single" w:color="auto" w:sz="4" w:space="0"/>
                    <w:bottom w:val="single" w:color="auto" w:sz="4" w:space="0"/>
                    <w:right w:val="single" w:color="auto" w:sz="4" w:space="0"/>
                  </w:tcBorders>
                  <w:vAlign w:val="center"/>
                </w:tcPr>
                <w:p w14:paraId="2E8192A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w:t>
                  </w:r>
                </w:p>
              </w:tc>
              <w:tc>
                <w:tcPr>
                  <w:tcW w:w="527" w:type="dxa"/>
                  <w:tcBorders>
                    <w:left w:val="single" w:color="auto" w:sz="4" w:space="0"/>
                    <w:right w:val="single" w:color="auto" w:sz="4" w:space="0"/>
                  </w:tcBorders>
                  <w:vAlign w:val="center"/>
                </w:tcPr>
                <w:p w14:paraId="02D7E4D4">
                  <w:pPr>
                    <w:widowControl/>
                    <w:jc w:val="center"/>
                    <w:textAlignment w:val="cente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辅助</w:t>
                  </w:r>
                </w:p>
              </w:tc>
              <w:tc>
                <w:tcPr>
                  <w:tcW w:w="847" w:type="dxa"/>
                  <w:tcBorders>
                    <w:left w:val="single" w:color="auto" w:sz="4" w:space="0"/>
                    <w:right w:val="single" w:color="auto" w:sz="4" w:space="0"/>
                  </w:tcBorders>
                  <w:vAlign w:val="center"/>
                </w:tcPr>
                <w:p w14:paraId="6CC1F42D">
                  <w:pPr>
                    <w:keepNext w:val="0"/>
                    <w:keepLines w:val="0"/>
                    <w:widowControl/>
                    <w:suppressLineNumbers w:val="0"/>
                    <w:jc w:val="center"/>
                    <w:textAlignment w:val="cente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否</w:t>
                  </w:r>
                </w:p>
              </w:tc>
              <w:tc>
                <w:tcPr>
                  <w:tcW w:w="694" w:type="dxa"/>
                  <w:tcBorders>
                    <w:top w:val="single" w:color="auto" w:sz="4" w:space="0"/>
                    <w:left w:val="single" w:color="auto" w:sz="4" w:space="0"/>
                    <w:bottom w:val="single" w:color="auto" w:sz="4" w:space="0"/>
                    <w:right w:val="single" w:color="auto" w:sz="4" w:space="0"/>
                  </w:tcBorders>
                  <w:vAlign w:val="center"/>
                </w:tcPr>
                <w:p w14:paraId="384B02E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是</w:t>
                  </w:r>
                </w:p>
              </w:tc>
              <w:tc>
                <w:tcPr>
                  <w:tcW w:w="652" w:type="dxa"/>
                  <w:tcBorders>
                    <w:top w:val="single" w:color="auto" w:sz="4" w:space="0"/>
                    <w:left w:val="single" w:color="auto" w:sz="4" w:space="0"/>
                    <w:bottom w:val="single" w:color="auto" w:sz="4" w:space="0"/>
                    <w:right w:val="single" w:color="auto" w:sz="4" w:space="0"/>
                  </w:tcBorders>
                  <w:vAlign w:val="center"/>
                </w:tcPr>
                <w:p w14:paraId="09076F1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2500</w:t>
                  </w:r>
                </w:p>
              </w:tc>
            </w:tr>
          </w:tbl>
          <w:p w14:paraId="23F5F4E9">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主要原辅材料理化性质一览表</w:t>
            </w:r>
          </w:p>
          <w:tbl>
            <w:tblPr>
              <w:tblStyle w:val="3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8"/>
              <w:gridCol w:w="1325"/>
              <w:gridCol w:w="6496"/>
            </w:tblGrid>
            <w:tr w14:paraId="7A967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trPr>
              <w:tc>
                <w:tcPr>
                  <w:tcW w:w="265" w:type="pct"/>
                  <w:vAlign w:val="center"/>
                </w:tcPr>
                <w:p w14:paraId="63B56B78">
                  <w:pPr>
                    <w:spacing w:line="36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802" w:type="pct"/>
                  <w:tcBorders>
                    <w:right w:val="single" w:color="auto" w:sz="4" w:space="0"/>
                  </w:tcBorders>
                  <w:vAlign w:val="center"/>
                </w:tcPr>
                <w:p w14:paraId="249970EE">
                  <w:pPr>
                    <w:spacing w:line="360" w:lineRule="exact"/>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名称</w:t>
                  </w:r>
                </w:p>
              </w:tc>
              <w:tc>
                <w:tcPr>
                  <w:tcW w:w="3932" w:type="pct"/>
                  <w:tcBorders>
                    <w:right w:val="single" w:color="auto" w:sz="4" w:space="0"/>
                  </w:tcBorders>
                  <w:vAlign w:val="center"/>
                </w:tcPr>
                <w:p w14:paraId="1C2D1446">
                  <w:pPr>
                    <w:spacing w:line="360" w:lineRule="exact"/>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理化性质</w:t>
                  </w:r>
                </w:p>
              </w:tc>
            </w:tr>
            <w:tr w14:paraId="43442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65" w:type="pct"/>
                  <w:vAlign w:val="center"/>
                </w:tcPr>
                <w:p w14:paraId="3205BB20">
                  <w:pPr>
                    <w:pStyle w:val="59"/>
                    <w:widowControl/>
                    <w:numPr>
                      <w:ilvl w:val="0"/>
                      <w:numId w:val="8"/>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02" w:type="pct"/>
                  <w:vAlign w:val="center"/>
                </w:tcPr>
                <w:p w14:paraId="58B78A7C">
                  <w:pPr>
                    <w:keepNext w:val="0"/>
                    <w:keepLines w:val="0"/>
                    <w:widowControl/>
                    <w:suppressLineNumbers w:val="0"/>
                    <w:jc w:val="center"/>
                    <w:textAlignment w:val="center"/>
                    <w:rPr>
                      <w:rFonts w:hint="eastAsia" w:ascii="Times New Roman" w:hAnsi="Times New Roman" w:cs="Times New Roman" w:eastAsiaTheme="minorEastAsia"/>
                      <w:color w:val="000000" w:themeColor="text1"/>
                      <w:sz w:val="21"/>
                      <w:szCs w:val="2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苯乙烯-丁二烯-苯乙烯共聚合物</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SBS</w:t>
                  </w:r>
                  <w:r>
                    <w:rPr>
                      <w:rFonts w:hint="eastAsia"/>
                      <w:color w:val="000000" w:themeColor="text1"/>
                      <w:highlight w:val="none"/>
                      <w:lang w:eastAsia="zh-CN"/>
                      <w14:textFill>
                        <w14:solidFill>
                          <w14:schemeClr w14:val="tx1"/>
                        </w14:solidFill>
                      </w14:textFill>
                    </w:rPr>
                    <w:t>）</w:t>
                  </w:r>
                </w:p>
              </w:tc>
              <w:tc>
                <w:tcPr>
                  <w:tcW w:w="3932" w:type="pct"/>
                  <w:tcBorders>
                    <w:right w:val="single" w:color="auto" w:sz="4" w:space="0"/>
                  </w:tcBorders>
                  <w:vAlign w:val="center"/>
                </w:tcPr>
                <w:p w14:paraId="48D8B6C1">
                  <w:pPr>
                    <w:keepNext w:val="0"/>
                    <w:keepLines w:val="0"/>
                    <w:widowControl/>
                    <w:suppressLineNumbers w:val="0"/>
                    <w:jc w:val="center"/>
                    <w:textAlignment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苯乙</w:t>
                  </w:r>
                  <w:r>
                    <w:rPr>
                      <w:rFonts w:hint="default" w:ascii="Times New Roman" w:hAnsi="Times New Roman" w:cs="Times New Roman"/>
                      <w:color w:val="000000" w:themeColor="text1"/>
                      <w:highlight w:val="none"/>
                      <w14:textFill>
                        <w14:solidFill>
                          <w14:schemeClr w14:val="tx1"/>
                        </w14:solidFill>
                      </w14:textFill>
                    </w:rPr>
                    <w:t>烯-丁二烯-苯乙烯共聚合物</w:t>
                  </w:r>
                  <w:r>
                    <w:rPr>
                      <w:rFonts w:hint="default" w:ascii="Times New Roman" w:hAnsi="Times New Roman" w:cs="Times New Roman"/>
                      <w:color w:val="000000" w:themeColor="text1"/>
                      <w:highlight w:val="none"/>
                      <w:lang w:val="en-US" w:eastAsia="zh-CN"/>
                      <w14:textFill>
                        <w14:solidFill>
                          <w14:schemeClr w14:val="tx1"/>
                        </w14:solidFill>
                      </w14:textFill>
                    </w:rPr>
                    <w:t>是一种热塑性弹性体，简称为</w:t>
                  </w:r>
                  <w:r>
                    <w:rPr>
                      <w:rFonts w:hint="eastAsia" w:ascii="Times New Roman" w:hAnsi="Times New Roman" w:cs="Times New Roman"/>
                      <w:color w:val="000000" w:themeColor="text1"/>
                      <w:highlight w:val="none"/>
                      <w:lang w:val="en-US" w:eastAsia="zh-CN"/>
                      <w14:textFill>
                        <w14:solidFill>
                          <w14:schemeClr w14:val="tx1"/>
                        </w14:solidFill>
                      </w14:textFill>
                    </w:rPr>
                    <w:t>SBS</w:t>
                  </w:r>
                  <w:r>
                    <w:rPr>
                      <w:rFonts w:hint="default" w:ascii="Times New Roman" w:hAnsi="Times New Roman" w:cs="Times New Roman"/>
                      <w:color w:val="000000" w:themeColor="text1"/>
                      <w:highlight w:val="none"/>
                      <w:lang w:val="en-US" w:eastAsia="zh-CN"/>
                      <w14:textFill>
                        <w14:solidFill>
                          <w14:schemeClr w14:val="tx1"/>
                        </w14:solidFill>
                      </w14:textFill>
                    </w:rPr>
                    <w:t>，属于苯乙烯系热塑性弹性体（又称为</w:t>
                  </w:r>
                  <w:r>
                    <w:rPr>
                      <w:rFonts w:hint="default" w:ascii="Times New Roman" w:hAnsi="Times New Roman" w:eastAsia="Helvetica" w:cs="Times New Roman"/>
                      <w:i w:val="0"/>
                      <w:iCs w:val="0"/>
                      <w:caps w:val="0"/>
                      <w:color w:val="000000" w:themeColor="text1"/>
                      <w:spacing w:val="0"/>
                      <w:sz w:val="21"/>
                      <w:szCs w:val="21"/>
                      <w:highlight w:val="none"/>
                      <w:shd w:val="clear" w:fill="FFFFFF"/>
                      <w14:textFill>
                        <w14:solidFill>
                          <w14:schemeClr w14:val="tx1"/>
                        </w14:solidFill>
                      </w14:textFill>
                    </w:rPr>
                    <w:t>苯乙烯系嵌段共聚物</w:t>
                  </w:r>
                  <w:r>
                    <w:rPr>
                      <w:rFonts w:hint="default" w:ascii="Times New Roman" w:hAnsi="Times New Roman" w:cs="Times New Roman"/>
                      <w:color w:val="000000" w:themeColor="text1"/>
                      <w:highlight w:val="none"/>
                      <w:lang w:val="en-US" w:eastAsia="zh-CN"/>
                      <w14:textFill>
                        <w14:solidFill>
                          <w14:schemeClr w14:val="tx1"/>
                        </w14:solidFill>
                      </w14:textFill>
                    </w:rPr>
                    <w:t>），外观为无色透明至半透明固体，密度约为0.91g/cm</w:t>
                  </w:r>
                  <w:r>
                    <w:rPr>
                      <w:rFonts w:hint="default" w:ascii="Times New Roman" w:hAnsi="Times New Roman" w:cs="Times New Roman"/>
                      <w:color w:val="000000" w:themeColor="text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highlight w:val="none"/>
                      <w:lang w:val="en-US" w:eastAsia="zh-CN"/>
                      <w14:textFill>
                        <w14:solidFill>
                          <w14:schemeClr w14:val="tx1"/>
                        </w14:solidFill>
                      </w14:textFill>
                    </w:rPr>
                    <w:t>，沸点145.2℃，</w:t>
                  </w:r>
                  <w:r>
                    <w:rPr>
                      <w:rFonts w:hint="eastAsia" w:ascii="Times New Roman" w:hAnsi="Times New Roman" w:cs="Times New Roman"/>
                      <w:color w:val="000000" w:themeColor="text1"/>
                      <w:highlight w:val="none"/>
                      <w:lang w:val="en-US" w:eastAsia="zh-CN"/>
                      <w14:textFill>
                        <w14:solidFill>
                          <w14:schemeClr w14:val="tx1"/>
                        </w14:solidFill>
                      </w14:textFill>
                    </w:rPr>
                    <w:t>颗粒粒径约为0.3cm，</w:t>
                  </w:r>
                  <w:r>
                    <w:rPr>
                      <w:rFonts w:hint="default" w:ascii="Times New Roman" w:hAnsi="Times New Roman" w:cs="Times New Roman"/>
                      <w:color w:val="000000" w:themeColor="text1"/>
                      <w:highlight w:val="none"/>
                      <w:lang w:val="en-US" w:eastAsia="zh-CN"/>
                      <w14:textFill>
                        <w14:solidFill>
                          <w14:schemeClr w14:val="tx1"/>
                        </w14:solidFill>
                      </w14:textFill>
                    </w:rPr>
                    <w:t>闪点为31.1℃，</w:t>
                  </w:r>
                  <w:r>
                    <w:rPr>
                      <w:rFonts w:hint="eastAsia" w:ascii="Times New Roman" w:hAnsi="Times New Roman" w:cs="Times New Roman"/>
                      <w:color w:val="000000" w:themeColor="text1"/>
                      <w:highlight w:val="none"/>
                      <w:lang w:val="en-US" w:eastAsia="zh-CN"/>
                      <w14:textFill>
                        <w14:solidFill>
                          <w14:schemeClr w14:val="tx1"/>
                        </w14:solidFill>
                      </w14:textFill>
                    </w:rPr>
                    <w:t>分解温度为220℃。</w:t>
                  </w:r>
                  <w:r>
                    <w:rPr>
                      <w:rFonts w:hint="default" w:ascii="Times New Roman" w:hAnsi="Times New Roman" w:eastAsia="Helvetica" w:cs="Times New Roman"/>
                      <w:i w:val="0"/>
                      <w:iCs w:val="0"/>
                      <w:caps w:val="0"/>
                      <w:color w:val="000000" w:themeColor="text1"/>
                      <w:spacing w:val="0"/>
                      <w:sz w:val="21"/>
                      <w:szCs w:val="21"/>
                      <w:highlight w:val="none"/>
                      <w:shd w:val="clear" w:fill="FFFFFF"/>
                      <w14:textFill>
                        <w14:solidFill>
                          <w14:schemeClr w14:val="tx1"/>
                        </w14:solidFill>
                      </w14:textFill>
                    </w:rPr>
                    <w:t>兼有塑料和橡胶的特性，可以和水、弱酸、碱等接触，具有优良的拉伸强度，表面摩擦系数大，低温性能好，电性能优良，加工性能好等特性</w:t>
                  </w:r>
                  <w:r>
                    <w:rPr>
                      <w:rFonts w:hint="default" w:ascii="Times New Roman" w:hAnsi="Times New Roman" w:eastAsia="宋体" w:cs="Times New Roman"/>
                      <w:i w:val="0"/>
                      <w:iCs w:val="0"/>
                      <w:caps w:val="0"/>
                      <w:color w:val="000000" w:themeColor="text1"/>
                      <w:spacing w:val="0"/>
                      <w:sz w:val="21"/>
                      <w:szCs w:val="21"/>
                      <w:highlight w:val="none"/>
                      <w:shd w:val="clear" w:fill="FFFFFF"/>
                      <w:lang w:eastAsia="zh-CN"/>
                      <w14:textFill>
                        <w14:solidFill>
                          <w14:schemeClr w14:val="tx1"/>
                        </w14:solidFill>
                      </w14:textFill>
                    </w:rPr>
                    <w:t>。</w:t>
                  </w:r>
                </w:p>
              </w:tc>
            </w:tr>
            <w:tr w14:paraId="7D43C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65" w:type="pct"/>
                  <w:vAlign w:val="center"/>
                </w:tcPr>
                <w:p w14:paraId="61A3AA3E">
                  <w:pPr>
                    <w:pStyle w:val="59"/>
                    <w:widowControl/>
                    <w:numPr>
                      <w:ilvl w:val="0"/>
                      <w:numId w:val="8"/>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02" w:type="pct"/>
                  <w:vAlign w:val="center"/>
                </w:tcPr>
                <w:p w14:paraId="4A4C8FF0">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环烷基橡胶油</w:t>
                  </w:r>
                </w:p>
              </w:tc>
              <w:tc>
                <w:tcPr>
                  <w:tcW w:w="3932" w:type="pct"/>
                  <w:tcBorders>
                    <w:right w:val="single" w:color="auto" w:sz="4" w:space="0"/>
                  </w:tcBorders>
                  <w:vAlign w:val="center"/>
                </w:tcPr>
                <w:p w14:paraId="03184EF2">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主要成分为加氢处理环烷基馏分油，外观为无色无味液体，初馏点为330℃，密度约为0.905</w:t>
                  </w:r>
                  <w:r>
                    <w:rPr>
                      <w:rFonts w:hint="default" w:ascii="Times New Roman" w:hAnsi="Times New Roman" w:cs="Times New Roman"/>
                      <w:color w:val="000000" w:themeColor="text1"/>
                      <w:highlight w:val="none"/>
                      <w:lang w:val="en-US" w:eastAsia="zh-CN"/>
                      <w14:textFill>
                        <w14:solidFill>
                          <w14:schemeClr w14:val="tx1"/>
                        </w14:solidFill>
                      </w14:textFill>
                    </w:rPr>
                    <w:t>g/cm</w:t>
                  </w:r>
                  <w:r>
                    <w:rPr>
                      <w:rFonts w:hint="default" w:ascii="Times New Roman" w:hAnsi="Times New Roman" w:cs="Times New Roman"/>
                      <w:color w:val="000000" w:themeColor="text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闪点为210℃，分解温度为350℃。主要作为橡胶、塑料工业的增塑剂。</w:t>
                  </w:r>
                </w:p>
              </w:tc>
            </w:tr>
            <w:tr w14:paraId="43844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65" w:type="pct"/>
                  <w:vAlign w:val="center"/>
                </w:tcPr>
                <w:p w14:paraId="44500630">
                  <w:pPr>
                    <w:pStyle w:val="59"/>
                    <w:widowControl/>
                    <w:numPr>
                      <w:ilvl w:val="0"/>
                      <w:numId w:val="8"/>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02" w:type="pct"/>
                  <w:vAlign w:val="center"/>
                </w:tcPr>
                <w:p w14:paraId="4B74B37B">
                  <w:pPr>
                    <w:keepNext w:val="0"/>
                    <w:keepLines w:val="0"/>
                    <w:widowControl/>
                    <w:suppressLineNumbers w:val="0"/>
                    <w:jc w:val="center"/>
                    <w:textAlignment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eastAsia" w:ascii="宋体" w:hAnsi="宋体"/>
                      <w:bCs/>
                      <w:color w:val="000000" w:themeColor="text1"/>
                      <w:sz w:val="21"/>
                      <w:szCs w:val="21"/>
                      <w:highlight w:val="none"/>
                      <w14:textFill>
                        <w14:solidFill>
                          <w14:schemeClr w14:val="tx1"/>
                        </w14:solidFill>
                      </w14:textFill>
                    </w:rPr>
                    <w:t>碳酸钙</w:t>
                  </w:r>
                </w:p>
              </w:tc>
              <w:tc>
                <w:tcPr>
                  <w:tcW w:w="3932" w:type="pct"/>
                  <w:tcBorders>
                    <w:right w:val="single" w:color="auto" w:sz="4" w:space="0"/>
                  </w:tcBorders>
                  <w:vAlign w:val="center"/>
                </w:tcPr>
                <w:p w14:paraId="79A86D1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lang w:val="en-US" w:eastAsia="zh-CN"/>
                      <w14:textFill>
                        <w14:solidFill>
                          <w14:schemeClr w14:val="tx1"/>
                        </w14:solidFill>
                      </w14:textFill>
                    </w:rPr>
                    <w:t>化学式为</w:t>
                  </w:r>
                  <w:r>
                    <w:rPr>
                      <w:rFonts w:hint="default" w:ascii="Times New Roman" w:hAnsi="Times New Roman" w:cs="Times New Roman"/>
                      <w:b w:val="0"/>
                      <w:bCs w:val="0"/>
                      <w:i w:val="0"/>
                      <w:iCs w:val="0"/>
                      <w:caps w:val="0"/>
                      <w:color w:val="000000" w:themeColor="text1"/>
                      <w:spacing w:val="0"/>
                      <w:sz w:val="21"/>
                      <w:szCs w:val="21"/>
                      <w:highlight w:val="none"/>
                      <w:shd w:val="clear" w:color="auto" w:fill="FFFFFF"/>
                      <w:lang w:val="en-US" w:eastAsia="zh-CN"/>
                      <w14:textFill>
                        <w14:solidFill>
                          <w14:schemeClr w14:val="tx1"/>
                        </w14:solidFill>
                      </w14:textFill>
                    </w:rPr>
                    <w:t>CaCO₃</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vertAlign w:val="baseline"/>
                      <w:lang w:val="en-US" w:eastAsia="zh-CN"/>
                      <w14:textFill>
                        <w14:solidFill>
                          <w14:schemeClr w14:val="tx1"/>
                        </w14:solidFill>
                      </w14:textFill>
                    </w:rPr>
                    <w:t>，</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lang w:val="en-US" w:eastAsia="zh-CN"/>
                      <w14:textFill>
                        <w14:solidFill>
                          <w14:schemeClr w14:val="tx1"/>
                        </w14:solidFill>
                      </w14:textFill>
                    </w:rPr>
                    <w:t>白色微细结晶，无臭无味。密度:2.6-2.7g/cm</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vertAlign w:val="superscript"/>
                      <w:lang w:val="en-US" w:eastAsia="zh-CN"/>
                      <w14:textFill>
                        <w14:solidFill>
                          <w14:schemeClr w14:val="tx1"/>
                        </w14:solidFill>
                      </w14:textFill>
                    </w:rPr>
                    <w:t>3</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lang w:val="en-US" w:eastAsia="zh-CN"/>
                      <w14:textFill>
                        <w14:solidFill>
                          <w14:schemeClr w14:val="tx1"/>
                        </w14:solidFill>
                      </w14:textFill>
                    </w:rPr>
                    <w:t>，熔点1339℃。作为产品的填充剂和补强剂填充剂，碳酸钙能够增大产品的体积，降低制品的成本，改善加工工艺性能，而又不明显影响制品性能。作为补强剂的碳酸钙可以使硫化胶的耐磨性、抗撕裂强度、拉伸强度、模量、抗溶胀性等性能获得较大提高。</w:t>
                  </w:r>
                </w:p>
              </w:tc>
            </w:tr>
            <w:tr w14:paraId="3ABDE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65" w:type="pct"/>
                  <w:vAlign w:val="center"/>
                </w:tcPr>
                <w:p w14:paraId="645F7485">
                  <w:pPr>
                    <w:pStyle w:val="59"/>
                    <w:widowControl/>
                    <w:numPr>
                      <w:ilvl w:val="0"/>
                      <w:numId w:val="8"/>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02" w:type="pct"/>
                  <w:vAlign w:val="center"/>
                </w:tcPr>
                <w:p w14:paraId="1AB8D675">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聚苯乙烯（PS）</w:t>
                  </w:r>
                </w:p>
              </w:tc>
              <w:tc>
                <w:tcPr>
                  <w:tcW w:w="3932" w:type="pct"/>
                  <w:tcBorders>
                    <w:right w:val="single" w:color="auto" w:sz="4" w:space="0"/>
                  </w:tcBorders>
                  <w:vAlign w:val="center"/>
                </w:tcPr>
                <w:p w14:paraId="4A01BABA">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分子式为（C</w:t>
                  </w:r>
                  <w:r>
                    <w:rPr>
                      <w:rFonts w:hint="eastAsia" w:ascii="Times New Roman" w:hAnsi="Times New Roman" w:eastAsia="宋体" w:cs="Times New Roman"/>
                      <w:i w:val="0"/>
                      <w:iCs w:val="0"/>
                      <w:color w:val="000000" w:themeColor="text1"/>
                      <w:kern w:val="0"/>
                      <w:sz w:val="21"/>
                      <w:szCs w:val="21"/>
                      <w:highlight w:val="none"/>
                      <w:u w:val="none"/>
                      <w:vertAlign w:val="subscript"/>
                      <w:lang w:val="en-US" w:eastAsia="zh-CN" w:bidi="ar"/>
                      <w14:textFill>
                        <w14:solidFill>
                          <w14:schemeClr w14:val="tx1"/>
                        </w14:solidFill>
                      </w14:textFill>
                    </w:rPr>
                    <w:t>8</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H</w:t>
                  </w:r>
                  <w:r>
                    <w:rPr>
                      <w:rFonts w:hint="eastAsia" w:ascii="Times New Roman" w:hAnsi="Times New Roman" w:eastAsia="宋体" w:cs="Times New Roman"/>
                      <w:i w:val="0"/>
                      <w:iCs w:val="0"/>
                      <w:color w:val="000000" w:themeColor="text1"/>
                      <w:kern w:val="0"/>
                      <w:sz w:val="21"/>
                      <w:szCs w:val="21"/>
                      <w:highlight w:val="none"/>
                      <w:u w:val="none"/>
                      <w:vertAlign w:val="subscript"/>
                      <w:lang w:val="en-US" w:eastAsia="zh-CN" w:bidi="ar"/>
                      <w14:textFill>
                        <w14:solidFill>
                          <w14:schemeClr w14:val="tx1"/>
                        </w14:solidFill>
                      </w14:textFill>
                    </w:rPr>
                    <w:t>8</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21"/>
                      <w:szCs w:val="21"/>
                      <w:highlight w:val="none"/>
                      <w:u w:val="none"/>
                      <w:vertAlign w:val="subscript"/>
                      <w:lang w:val="en-US" w:eastAsia="zh-CN" w:bidi="ar"/>
                      <w14:textFill>
                        <w14:solidFill>
                          <w14:schemeClr w14:val="tx1"/>
                        </w14:solidFill>
                      </w14:textFill>
                    </w:rPr>
                    <w:t>n</w:t>
                  </w:r>
                  <w:r>
                    <w:rPr>
                      <w:rFonts w:hint="eastAsia" w:ascii="Times New Roman" w:hAnsi="Times New Roman" w:eastAsia="宋体" w:cs="Times New Roman"/>
                      <w:i w:val="0"/>
                      <w:iCs w:val="0"/>
                      <w:color w:val="000000" w:themeColor="text1"/>
                      <w:kern w:val="0"/>
                      <w:sz w:val="21"/>
                      <w:szCs w:val="21"/>
                      <w:highlight w:val="none"/>
                      <w:u w:val="none"/>
                      <w:vertAlign w:val="baseli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无色无味、透明有光泽的固体，密度约为1.06</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lang w:val="en-US" w:eastAsia="zh-CN"/>
                      <w14:textFill>
                        <w14:solidFill>
                          <w14:schemeClr w14:val="tx1"/>
                        </w14:solidFill>
                      </w14:textFill>
                    </w:rPr>
                    <w:t>g/cm</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vertAlign w:val="superscript"/>
                      <w:lang w:val="en-US" w:eastAsia="zh-CN"/>
                      <w14:textFill>
                        <w14:solidFill>
                          <w14:schemeClr w14:val="tx1"/>
                        </w14:solidFill>
                      </w14:textFill>
                    </w:rPr>
                    <w:t>3</w:t>
                  </w:r>
                  <w:r>
                    <w:rPr>
                      <w:rFonts w:hint="eastAsia" w:ascii="Times New Roman" w:hAnsi="Times New Roman" w:cs="Times New Roman"/>
                      <w:b w:val="0"/>
                      <w:bCs w:val="0"/>
                      <w:i w:val="0"/>
                      <w:iCs w:val="0"/>
                      <w:caps w:val="0"/>
                      <w:color w:val="000000" w:themeColor="text1"/>
                      <w:spacing w:val="0"/>
                      <w:sz w:val="21"/>
                      <w:szCs w:val="21"/>
                      <w:highlight w:val="none"/>
                      <w:shd w:val="clear" w:color="auto" w:fill="FFFFFF"/>
                      <w:lang w:val="en-US" w:eastAsia="zh-CN"/>
                      <w14:textFill>
                        <w14:solidFill>
                          <w14:schemeClr w14:val="tx1"/>
                        </w14:solidFill>
                      </w14:textFill>
                    </w:rPr>
                    <w:t>，熔点为212℃，闪点为156.3±11.8℃。分解温度为300℃。它是一种无色透明的热塑性塑料，具有高于100 ℃的玻璃转化温度，具有优良的绝热、绝缘和透明性，广泛应用于有机玻璃、ABS树脂、电子电器和其他工程塑料等领域。</w:t>
                  </w:r>
                </w:p>
              </w:tc>
            </w:tr>
            <w:tr w14:paraId="43828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65" w:type="pct"/>
                  <w:vAlign w:val="center"/>
                </w:tcPr>
                <w:p w14:paraId="2435D324">
                  <w:pPr>
                    <w:pStyle w:val="59"/>
                    <w:widowControl/>
                    <w:numPr>
                      <w:ilvl w:val="0"/>
                      <w:numId w:val="8"/>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325" w:type="dxa"/>
                  <w:vAlign w:val="center"/>
                </w:tcPr>
                <w:p w14:paraId="7503AEFA">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机油</w:t>
                  </w:r>
                </w:p>
              </w:tc>
              <w:tc>
                <w:tcPr>
                  <w:tcW w:w="6496" w:type="dxa"/>
                  <w:tcBorders>
                    <w:right w:val="single" w:color="auto" w:sz="4" w:space="0"/>
                  </w:tcBorders>
                  <w:vAlign w:val="center"/>
                </w:tcPr>
                <w:p w14:paraId="78A22BB2">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由基础油和添加剂两部分组成。基础油是润滑油的主要成分，决定着润滑油的基本性质，添加剂则可弥补和改善基础油性能方面的不足，赋予某些新的性能，是润滑油的重要组成部分</w:t>
                  </w:r>
                </w:p>
              </w:tc>
            </w:tr>
          </w:tbl>
          <w:p w14:paraId="735512B0">
            <w:pPr>
              <w:pStyle w:val="5"/>
              <w:numPr>
                <w:ilvl w:val="0"/>
                <w:numId w:val="0"/>
              </w:numPr>
              <w:spacing w:before="0" w:after="0" w:line="240" w:lineRule="auto"/>
              <w:ind w:left="124" w:leftChars="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1271CAE0">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w:t>
            </w: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物料平衡</w:t>
            </w:r>
            <w:r>
              <w:rPr>
                <w:rFonts w:hint="default" w:ascii="Times New Roman" w:hAnsi="Times New Roman" w:eastAsia="宋体" w:cs="Times New Roman"/>
                <w:b/>
                <w:color w:val="000000" w:themeColor="text1"/>
                <w:sz w:val="21"/>
                <w:highlight w:val="none"/>
                <w:lang w:val="zh-CN"/>
                <w14:textFill>
                  <w14:solidFill>
                    <w14:schemeClr w14:val="tx1"/>
                  </w14:solidFill>
                </w14:textFill>
              </w:rPr>
              <w:t>一览表</w:t>
            </w:r>
          </w:p>
          <w:tbl>
            <w:tblPr>
              <w:tblStyle w:val="33"/>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747"/>
              <w:gridCol w:w="1327"/>
              <w:gridCol w:w="2075"/>
            </w:tblGrid>
            <w:tr w14:paraId="59188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14:paraId="7285F35C">
                  <w:pPr>
                    <w:keepNext w:val="0"/>
                    <w:keepLines w:val="0"/>
                    <w:pageBreakBefore w:val="0"/>
                    <w:widowControl w:val="0"/>
                    <w:tabs>
                      <w:tab w:val="center" w:pos="4817"/>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sz w:val="2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投入</w:t>
                  </w:r>
                </w:p>
              </w:tc>
              <w:tc>
                <w:tcPr>
                  <w:tcW w:w="4149" w:type="dxa"/>
                  <w:gridSpan w:val="3"/>
                  <w:vAlign w:val="center"/>
                </w:tcPr>
                <w:p w14:paraId="177DBCC6">
                  <w:pPr>
                    <w:keepNext w:val="0"/>
                    <w:keepLines w:val="0"/>
                    <w:pageBreakBefore w:val="0"/>
                    <w:widowControl w:val="0"/>
                    <w:tabs>
                      <w:tab w:val="center" w:pos="4817"/>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产出</w:t>
                  </w:r>
                </w:p>
              </w:tc>
            </w:tr>
            <w:tr w14:paraId="5567D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A6805D">
                  <w:pPr>
                    <w:keepNext w:val="0"/>
                    <w:keepLines w:val="0"/>
                    <w:pageBreakBefore w:val="0"/>
                    <w:widowControl w:val="0"/>
                    <w:tabs>
                      <w:tab w:val="center" w:pos="4817"/>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名称</w:t>
                  </w:r>
                </w:p>
              </w:tc>
              <w:tc>
                <w:tcPr>
                  <w:tcW w:w="2074" w:type="dxa"/>
                  <w:vAlign w:val="center"/>
                </w:tcPr>
                <w:p w14:paraId="3DBDEB71">
                  <w:pPr>
                    <w:keepNext w:val="0"/>
                    <w:keepLines w:val="0"/>
                    <w:pageBreakBefore w:val="0"/>
                    <w:widowControl w:val="0"/>
                    <w:tabs>
                      <w:tab w:val="center" w:pos="4817"/>
                    </w:tabs>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数量（t）</w:t>
                  </w:r>
                </w:p>
              </w:tc>
              <w:tc>
                <w:tcPr>
                  <w:tcW w:w="2074" w:type="dxa"/>
                  <w:gridSpan w:val="2"/>
                  <w:vAlign w:val="center"/>
                </w:tcPr>
                <w:p w14:paraId="44506550">
                  <w:pPr>
                    <w:keepNext w:val="0"/>
                    <w:keepLines w:val="0"/>
                    <w:pageBreakBefore w:val="0"/>
                    <w:widowControl w:val="0"/>
                    <w:tabs>
                      <w:tab w:val="center" w:pos="4817"/>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sz w:val="2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名称</w:t>
                  </w:r>
                </w:p>
              </w:tc>
              <w:tc>
                <w:tcPr>
                  <w:tcW w:w="2075" w:type="dxa"/>
                  <w:vAlign w:val="center"/>
                </w:tcPr>
                <w:p w14:paraId="7464EB04">
                  <w:pPr>
                    <w:keepNext w:val="0"/>
                    <w:keepLines w:val="0"/>
                    <w:pageBreakBefore w:val="0"/>
                    <w:widowControl w:val="0"/>
                    <w:tabs>
                      <w:tab w:val="center" w:pos="4817"/>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sz w:val="21"/>
                      <w:szCs w:val="21"/>
                      <w:highlight w:val="none"/>
                      <w:vertAlign w:val="baseline"/>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数量（t）</w:t>
                  </w:r>
                </w:p>
              </w:tc>
            </w:tr>
            <w:tr w14:paraId="096FA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074" w:type="dxa"/>
                  <w:vAlign w:val="center"/>
                </w:tcPr>
                <w:p w14:paraId="7F57EE21">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苯乙烯-丁二烯-苯乙烯共聚合物</w:t>
                  </w:r>
                </w:p>
              </w:tc>
              <w:tc>
                <w:tcPr>
                  <w:tcW w:w="2074" w:type="dxa"/>
                  <w:vAlign w:val="center"/>
                </w:tcPr>
                <w:p w14:paraId="3694DE53">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800</w:t>
                  </w:r>
                </w:p>
              </w:tc>
              <w:tc>
                <w:tcPr>
                  <w:tcW w:w="747" w:type="dxa"/>
                  <w:vAlign w:val="center"/>
                </w:tcPr>
                <w:p w14:paraId="220B6C7C">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产品</w:t>
                  </w:r>
                </w:p>
              </w:tc>
              <w:tc>
                <w:tcPr>
                  <w:tcW w:w="1327" w:type="dxa"/>
                  <w:vAlign w:val="center"/>
                </w:tcPr>
                <w:p w14:paraId="7F03D692">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TPE</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颗粒</w:t>
                  </w:r>
                </w:p>
              </w:tc>
              <w:tc>
                <w:tcPr>
                  <w:tcW w:w="2075" w:type="dxa"/>
                  <w:vAlign w:val="center"/>
                </w:tcPr>
                <w:p w14:paraId="4E0479E7">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1000</w:t>
                  </w:r>
                </w:p>
              </w:tc>
            </w:tr>
            <w:tr w14:paraId="6555A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8475C69">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环烷基橡胶油</w:t>
                  </w:r>
                </w:p>
              </w:tc>
              <w:tc>
                <w:tcPr>
                  <w:tcW w:w="2074" w:type="dxa"/>
                  <w:vAlign w:val="center"/>
                </w:tcPr>
                <w:p w14:paraId="2F026434">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w:t>
                  </w:r>
                </w:p>
              </w:tc>
              <w:tc>
                <w:tcPr>
                  <w:tcW w:w="747" w:type="dxa"/>
                  <w:vMerge w:val="restart"/>
                  <w:vAlign w:val="center"/>
                </w:tcPr>
                <w:p w14:paraId="120E7544">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挤出</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废气</w:t>
                  </w:r>
                </w:p>
              </w:tc>
              <w:tc>
                <w:tcPr>
                  <w:tcW w:w="1327" w:type="dxa"/>
                  <w:vMerge w:val="restart"/>
                  <w:vAlign w:val="center"/>
                </w:tcPr>
                <w:p w14:paraId="353AF6C8">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2075" w:type="dxa"/>
                  <w:vMerge w:val="restart"/>
                  <w:vAlign w:val="center"/>
                </w:tcPr>
                <w:p w14:paraId="3596EE78">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4.6</w:t>
                  </w:r>
                </w:p>
              </w:tc>
            </w:tr>
            <w:tr w14:paraId="5DD4A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EC48664">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碳酸钙</w:t>
                  </w:r>
                </w:p>
              </w:tc>
              <w:tc>
                <w:tcPr>
                  <w:tcW w:w="2074" w:type="dxa"/>
                  <w:vAlign w:val="center"/>
                </w:tcPr>
                <w:p w14:paraId="7F6336A9">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60</w:t>
                  </w:r>
                </w:p>
              </w:tc>
              <w:tc>
                <w:tcPr>
                  <w:tcW w:w="747" w:type="dxa"/>
                  <w:vMerge w:val="continue"/>
                  <w:vAlign w:val="center"/>
                </w:tcPr>
                <w:p w14:paraId="03AB0509">
                  <w:pPr>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27" w:type="dxa"/>
                  <w:vMerge w:val="continue"/>
                  <w:vAlign w:val="center"/>
                </w:tcPr>
                <w:p w14:paraId="5516D76F">
                  <w:pPr>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2075" w:type="dxa"/>
                  <w:vMerge w:val="continue"/>
                  <w:vAlign w:val="center"/>
                </w:tcPr>
                <w:p w14:paraId="0AAAD2F9">
                  <w:pPr>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r>
            <w:tr w14:paraId="3EFA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81B4A8B">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聚苯乙烯</w:t>
                  </w:r>
                </w:p>
              </w:tc>
              <w:tc>
                <w:tcPr>
                  <w:tcW w:w="2074" w:type="dxa"/>
                  <w:vAlign w:val="center"/>
                </w:tcPr>
                <w:p w14:paraId="1405156D">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Calibri" w:hAnsi="Calibri" w:eastAsia="宋体" w:cs="Calibri"/>
                      <w:i w:val="0"/>
                      <w:iCs w:val="0"/>
                      <w:color w:val="000000" w:themeColor="text1"/>
                      <w:kern w:val="0"/>
                      <w:sz w:val="21"/>
                      <w:szCs w:val="21"/>
                      <w:highlight w:val="none"/>
                      <w:u w:val="none"/>
                      <w:lang w:val="en-US" w:eastAsia="zh-CN" w:bidi="ar"/>
                      <w14:textFill>
                        <w14:solidFill>
                          <w14:schemeClr w14:val="tx1"/>
                        </w14:solidFill>
                      </w14:textFill>
                    </w:rPr>
                    <w:t>46</w:t>
                  </w:r>
                </w:p>
              </w:tc>
              <w:tc>
                <w:tcPr>
                  <w:tcW w:w="747" w:type="dxa"/>
                  <w:vAlign w:val="center"/>
                </w:tcPr>
                <w:p w14:paraId="669886D0">
                  <w:pPr>
                    <w:jc w:val="center"/>
                    <w:rPr>
                      <w:rFonts w:hint="default" w:ascii="Times New Roman" w:hAnsi="Times New Roman" w:cs="Times New Roman" w:eastAsiaTheme="minorEastAsia"/>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投料废气</w:t>
                  </w:r>
                </w:p>
              </w:tc>
              <w:tc>
                <w:tcPr>
                  <w:tcW w:w="1327" w:type="dxa"/>
                  <w:vAlign w:val="top"/>
                </w:tcPr>
                <w:p w14:paraId="1737B96B">
                  <w:pPr>
                    <w:keepNext w:val="0"/>
                    <w:keepLines w:val="0"/>
                    <w:widowControl/>
                    <w:suppressLineNumbers w:val="0"/>
                    <w:jc w:val="center"/>
                    <w:textAlignment w:val="top"/>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颗粒物</w:t>
                  </w:r>
                </w:p>
              </w:tc>
              <w:tc>
                <w:tcPr>
                  <w:tcW w:w="2075" w:type="dxa"/>
                  <w:vAlign w:val="top"/>
                </w:tcPr>
                <w:p w14:paraId="7BF7D8CB">
                  <w:pPr>
                    <w:keepNext w:val="0"/>
                    <w:keepLines w:val="0"/>
                    <w:widowControl/>
                    <w:suppressLineNumbers w:val="0"/>
                    <w:jc w:val="center"/>
                    <w:textAlignment w:val="top"/>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1.06</w:t>
                  </w:r>
                </w:p>
              </w:tc>
            </w:tr>
            <w:tr w14:paraId="5F83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14:paraId="1B0F79C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2074" w:type="dxa"/>
                  <w:vMerge w:val="restart"/>
                  <w:vAlign w:val="center"/>
                </w:tcPr>
                <w:p w14:paraId="2E2705E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747" w:type="dxa"/>
                  <w:vMerge w:val="restart"/>
                  <w:vAlign w:val="center"/>
                </w:tcPr>
                <w:p w14:paraId="6BE0564E">
                  <w:pPr>
                    <w:jc w:val="center"/>
                    <w:rPr>
                      <w:rFonts w:hint="default" w:ascii="Times New Roman" w:hAnsi="Times New Roman" w:cs="Times New Roman" w:eastAsiaTheme="minorEastAsia"/>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注塑打样废气</w:t>
                  </w:r>
                </w:p>
              </w:tc>
              <w:tc>
                <w:tcPr>
                  <w:tcW w:w="1327" w:type="dxa"/>
                  <w:vAlign w:val="top"/>
                </w:tcPr>
                <w:p w14:paraId="54B7B2F8">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2075" w:type="dxa"/>
                  <w:vAlign w:val="top"/>
                </w:tcPr>
                <w:p w14:paraId="1ECBB19A">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03279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5A10844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2074" w:type="dxa"/>
                  <w:vMerge w:val="continue"/>
                  <w:vAlign w:val="center"/>
                </w:tcPr>
                <w:p w14:paraId="27F1257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747" w:type="dxa"/>
                  <w:vMerge w:val="continue"/>
                  <w:vAlign w:val="center"/>
                </w:tcPr>
                <w:p w14:paraId="4D6C0A24">
                  <w:pPr>
                    <w:jc w:val="center"/>
                    <w:rPr>
                      <w:rFonts w:hint="default" w:ascii="Times New Roman" w:hAnsi="Times New Roman" w:cs="Times New Roman"/>
                      <w:b w:val="0"/>
                      <w:bCs w:val="0"/>
                      <w:color w:val="000000" w:themeColor="text1"/>
                      <w:sz w:val="21"/>
                      <w:szCs w:val="21"/>
                      <w:highlight w:val="none"/>
                      <w:vertAlign w:val="baseline"/>
                      <w14:textFill>
                        <w14:solidFill>
                          <w14:schemeClr w14:val="tx1"/>
                        </w14:solidFill>
                      </w14:textFill>
                    </w:rPr>
                  </w:pPr>
                </w:p>
              </w:tc>
              <w:tc>
                <w:tcPr>
                  <w:tcW w:w="1327" w:type="dxa"/>
                  <w:vAlign w:val="top"/>
                </w:tcPr>
                <w:p w14:paraId="634DA2AC">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颗粒物</w:t>
                  </w:r>
                </w:p>
              </w:tc>
              <w:tc>
                <w:tcPr>
                  <w:tcW w:w="2075" w:type="dxa"/>
                  <w:vAlign w:val="top"/>
                </w:tcPr>
                <w:p w14:paraId="3BB4CBCB">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062CD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44E439C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2074" w:type="dxa"/>
                  <w:vMerge w:val="continue"/>
                  <w:vAlign w:val="center"/>
                </w:tcPr>
                <w:p w14:paraId="7423356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747" w:type="dxa"/>
                  <w:vAlign w:val="center"/>
                </w:tcPr>
                <w:p w14:paraId="6D87C84C">
                  <w:pPr>
                    <w:jc w:val="center"/>
                    <w:rPr>
                      <w:rFonts w:hint="default" w:ascii="Times New Roman" w:hAnsi="Times New Roman" w:cs="Times New Roman" w:eastAsiaTheme="minorEastAsia"/>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检测废气</w:t>
                  </w:r>
                </w:p>
              </w:tc>
              <w:tc>
                <w:tcPr>
                  <w:tcW w:w="1327" w:type="dxa"/>
                  <w:vAlign w:val="top"/>
                </w:tcPr>
                <w:p w14:paraId="7500E8D3">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2075" w:type="dxa"/>
                  <w:vAlign w:val="top"/>
                </w:tcPr>
                <w:p w14:paraId="6DB3BE8D">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3B589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14:paraId="6CCCFF1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2074" w:type="dxa"/>
                  <w:vMerge w:val="continue"/>
                  <w:vAlign w:val="center"/>
                </w:tcPr>
                <w:p w14:paraId="7790975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747" w:type="dxa"/>
                  <w:vAlign w:val="center"/>
                </w:tcPr>
                <w:p w14:paraId="0DAE7824">
                  <w:pPr>
                    <w:jc w:val="center"/>
                    <w:rPr>
                      <w:rFonts w:hint="eastAsia" w:ascii="Times New Roman" w:hAnsi="Times New Roman" w:cs="Times New Roman" w:eastAsiaTheme="minorEastAsia"/>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固废</w:t>
                  </w:r>
                </w:p>
              </w:tc>
              <w:tc>
                <w:tcPr>
                  <w:tcW w:w="1327" w:type="dxa"/>
                  <w:vAlign w:val="top"/>
                </w:tcPr>
                <w:p w14:paraId="48C6936B">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打样废品</w:t>
                  </w:r>
                </w:p>
              </w:tc>
              <w:tc>
                <w:tcPr>
                  <w:tcW w:w="2075" w:type="dxa"/>
                  <w:vAlign w:val="top"/>
                </w:tcPr>
                <w:p w14:paraId="03BA31BC">
                  <w:pPr>
                    <w:keepNext w:val="0"/>
                    <w:keepLines w:val="0"/>
                    <w:widowControl/>
                    <w:suppressLineNumbers w:val="0"/>
                    <w:jc w:val="center"/>
                    <w:textAlignment w:val="top"/>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05</w:t>
                  </w:r>
                </w:p>
              </w:tc>
            </w:tr>
            <w:tr w14:paraId="5A47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C28198F">
                  <w:pPr>
                    <w:keepNext w:val="0"/>
                    <w:keepLines w:val="0"/>
                    <w:widowControl/>
                    <w:suppressLineNumbers w:val="0"/>
                    <w:jc w:val="center"/>
                    <w:textAlignment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投入合计</w:t>
                  </w:r>
                </w:p>
              </w:tc>
              <w:tc>
                <w:tcPr>
                  <w:tcW w:w="2074" w:type="dxa"/>
                  <w:vAlign w:val="top"/>
                </w:tcPr>
                <w:p w14:paraId="18C09B13">
                  <w:pPr>
                    <w:keepNext w:val="0"/>
                    <w:keepLines w:val="0"/>
                    <w:widowControl/>
                    <w:suppressLineNumbers w:val="0"/>
                    <w:jc w:val="center"/>
                    <w:textAlignment w:val="top"/>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w:t>
                  </w:r>
                </w:p>
              </w:tc>
              <w:tc>
                <w:tcPr>
                  <w:tcW w:w="2074" w:type="dxa"/>
                  <w:gridSpan w:val="2"/>
                  <w:vAlign w:val="top"/>
                </w:tcPr>
                <w:p w14:paraId="3A74026A">
                  <w:pPr>
                    <w:keepNext w:val="0"/>
                    <w:keepLines w:val="0"/>
                    <w:widowControl/>
                    <w:suppressLineNumbers w:val="0"/>
                    <w:jc w:val="center"/>
                    <w:textAlignment w:val="top"/>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产出总计</w:t>
                  </w:r>
                </w:p>
              </w:tc>
              <w:tc>
                <w:tcPr>
                  <w:tcW w:w="2075" w:type="dxa"/>
                  <w:vAlign w:val="top"/>
                </w:tcPr>
                <w:p w14:paraId="01E3025B">
                  <w:pPr>
                    <w:keepNext w:val="0"/>
                    <w:keepLines w:val="0"/>
                    <w:widowControl/>
                    <w:suppressLineNumbers w:val="0"/>
                    <w:jc w:val="center"/>
                    <w:textAlignment w:val="top"/>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1006 </w:t>
                  </w:r>
                </w:p>
              </w:tc>
            </w:tr>
          </w:tbl>
          <w:p w14:paraId="575120EB">
            <w:pPr>
              <w:pStyle w:val="5"/>
              <w:numPr>
                <w:ilvl w:val="0"/>
                <w:numId w:val="0"/>
              </w:numPr>
              <w:spacing w:before="0" w:after="0" w:line="240" w:lineRule="auto"/>
              <w:ind w:left="124" w:leftChars="0"/>
              <w:jc w:val="center"/>
              <w:rPr>
                <w:rFonts w:hint="default" w:ascii="Times New Roman" w:hAnsi="Times New Roman" w:eastAsia="宋体" w:cs="Times New Roman"/>
                <w:b/>
                <w:color w:val="000000" w:themeColor="text1"/>
                <w:szCs w:val="21"/>
                <w:highlight w:val="none"/>
                <w14:textFill>
                  <w14:solidFill>
                    <w14:schemeClr w14:val="tx1"/>
                  </w14:solidFill>
                </w14:textFill>
              </w:rPr>
            </w:pPr>
          </w:p>
          <w:p w14:paraId="20C22D4D">
            <w:pPr>
              <w:pStyle w:val="5"/>
              <w:numPr>
                <w:ilvl w:val="0"/>
                <w:numId w:val="0"/>
              </w:numPr>
              <w:spacing w:before="0" w:after="0" w:line="240" w:lineRule="auto"/>
              <w:ind w:left="124" w:leftChars="0"/>
              <w:jc w:val="both"/>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5、主要生产设备清单</w:t>
            </w:r>
            <w:bookmarkEnd w:id="6"/>
          </w:p>
          <w:p w14:paraId="54FD4305">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主要生产设备一览表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1800"/>
              <w:gridCol w:w="3183"/>
              <w:gridCol w:w="1093"/>
              <w:gridCol w:w="843"/>
              <w:gridCol w:w="853"/>
            </w:tblGrid>
            <w:tr w14:paraId="71209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0A230409">
                  <w:pPr>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序号</w:t>
                  </w:r>
                </w:p>
              </w:tc>
              <w:tc>
                <w:tcPr>
                  <w:tcW w:w="1090"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3984BD51">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生产设备</w:t>
                  </w:r>
                </w:p>
              </w:tc>
              <w:tc>
                <w:tcPr>
                  <w:tcW w:w="1927" w:type="pct"/>
                  <w:tcBorders>
                    <w:top w:val="single" w:color="auto" w:sz="4" w:space="0"/>
                    <w:left w:val="single" w:color="auto" w:sz="4" w:space="0"/>
                    <w:right w:val="single" w:color="auto" w:sz="4" w:space="0"/>
                  </w:tcBorders>
                  <w:shd w:val="clear" w:color="auto" w:fill="D7D7D7" w:themeFill="background1" w:themeFillShade="D8"/>
                  <w:vAlign w:val="center"/>
                </w:tcPr>
                <w:p w14:paraId="451FCFF8">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型号</w:t>
                  </w:r>
                </w:p>
              </w:tc>
              <w:tc>
                <w:tcPr>
                  <w:tcW w:w="661" w:type="pct"/>
                  <w:tcBorders>
                    <w:top w:val="single" w:color="auto" w:sz="4" w:space="0"/>
                    <w:left w:val="single" w:color="auto" w:sz="4" w:space="0"/>
                    <w:right w:val="single" w:color="auto" w:sz="4" w:space="0"/>
                  </w:tcBorders>
                  <w:shd w:val="clear" w:color="auto" w:fill="D7D7D7" w:themeFill="background1" w:themeFillShade="D8"/>
                  <w:vAlign w:val="center"/>
                </w:tcPr>
                <w:p w14:paraId="459C7C24">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设备数量（台）</w:t>
                  </w:r>
                </w:p>
              </w:tc>
              <w:tc>
                <w:tcPr>
                  <w:tcW w:w="510" w:type="pct"/>
                  <w:tcBorders>
                    <w:top w:val="single" w:color="auto" w:sz="4" w:space="0"/>
                    <w:left w:val="single" w:color="auto" w:sz="4" w:space="0"/>
                    <w:right w:val="single" w:color="auto" w:sz="4" w:space="0"/>
                  </w:tcBorders>
                  <w:shd w:val="clear" w:color="auto" w:fill="D7D7D7" w:themeFill="background1" w:themeFillShade="D8"/>
                  <w:vAlign w:val="center"/>
                </w:tcPr>
                <w:p w14:paraId="4D089977">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所在工序</w:t>
                  </w:r>
                </w:p>
              </w:tc>
              <w:tc>
                <w:tcPr>
                  <w:tcW w:w="516" w:type="pct"/>
                  <w:tcBorders>
                    <w:top w:val="single" w:color="auto" w:sz="4" w:space="0"/>
                    <w:left w:val="single" w:color="auto" w:sz="4" w:space="0"/>
                    <w:right w:val="single" w:color="auto" w:sz="4" w:space="0"/>
                  </w:tcBorders>
                  <w:shd w:val="clear" w:color="auto" w:fill="D7D7D7" w:themeFill="background1" w:themeFillShade="D8"/>
                  <w:vAlign w:val="center"/>
                </w:tcPr>
                <w:p w14:paraId="5AD46F3B">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所用能源</w:t>
                  </w:r>
                </w:p>
              </w:tc>
            </w:tr>
            <w:tr w14:paraId="6B911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93" w:type="pct"/>
                  <w:tcBorders>
                    <w:top w:val="single" w:color="auto" w:sz="4" w:space="0"/>
                    <w:left w:val="single" w:color="auto" w:sz="4" w:space="0"/>
                    <w:right w:val="single" w:color="auto" w:sz="4" w:space="0"/>
                  </w:tcBorders>
                  <w:shd w:val="clear" w:color="auto" w:fill="auto"/>
                  <w:vAlign w:val="center"/>
                </w:tcPr>
                <w:p w14:paraId="4F6C8623">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right w:val="single" w:color="auto" w:sz="4" w:space="0"/>
                  </w:tcBorders>
                  <w:shd w:val="clear" w:color="auto" w:fill="auto"/>
                  <w:vAlign w:val="center"/>
                </w:tcPr>
                <w:p w14:paraId="4B3C2584">
                  <w:pPr>
                    <w:widowControl/>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挤出生产线</w:t>
                  </w:r>
                </w:p>
              </w:tc>
              <w:tc>
                <w:tcPr>
                  <w:tcW w:w="1927" w:type="pct"/>
                  <w:tcBorders>
                    <w:top w:val="single" w:color="auto" w:sz="4" w:space="0"/>
                    <w:left w:val="single" w:color="auto" w:sz="4" w:space="0"/>
                    <w:right w:val="single" w:color="auto" w:sz="4" w:space="0"/>
                  </w:tcBorders>
                  <w:shd w:val="clear" w:color="auto" w:fill="auto"/>
                  <w:vAlign w:val="center"/>
                </w:tcPr>
                <w:p w14:paraId="6B3F386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非标设备，设有投料、挤出、冷却、切粒、分选一体机，水槽尺寸均为1m</w:t>
                  </w:r>
                  <w:r>
                    <w:rPr>
                      <w:rFonts w:hint="default" w:ascii="Arial" w:hAnsi="Arial" w:eastAsia="宋体" w:cs="Arial"/>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0.8m</w:t>
                  </w:r>
                  <w:r>
                    <w:rPr>
                      <w:rFonts w:hint="default" w:ascii="Arial" w:hAnsi="Arial" w:eastAsia="宋体" w:cs="Arial"/>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0.6m</w:t>
                  </w:r>
                </w:p>
              </w:tc>
              <w:tc>
                <w:tcPr>
                  <w:tcW w:w="661" w:type="pct"/>
                  <w:tcBorders>
                    <w:top w:val="single" w:color="auto" w:sz="4" w:space="0"/>
                    <w:left w:val="single" w:color="auto" w:sz="4" w:space="0"/>
                    <w:right w:val="single" w:color="auto" w:sz="4" w:space="0"/>
                  </w:tcBorders>
                  <w:shd w:val="clear" w:color="auto" w:fill="auto"/>
                  <w:vAlign w:val="center"/>
                </w:tcPr>
                <w:p w14:paraId="7024BB62">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w:t>
                  </w:r>
                </w:p>
              </w:tc>
              <w:tc>
                <w:tcPr>
                  <w:tcW w:w="510" w:type="pct"/>
                  <w:tcBorders>
                    <w:top w:val="single" w:color="auto" w:sz="4" w:space="0"/>
                    <w:left w:val="single" w:color="auto" w:sz="4" w:space="0"/>
                    <w:right w:val="single" w:color="auto" w:sz="4" w:space="0"/>
                  </w:tcBorders>
                  <w:vAlign w:val="center"/>
                </w:tcPr>
                <w:p w14:paraId="33E5B696">
                  <w:pPr>
                    <w:widowControl/>
                    <w:jc w:val="center"/>
                    <w:textAlignment w:val="bottom"/>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投料、挤出、冷却、切粒、分选</w:t>
                  </w:r>
                </w:p>
              </w:tc>
              <w:tc>
                <w:tcPr>
                  <w:tcW w:w="516" w:type="pct"/>
                  <w:tcBorders>
                    <w:top w:val="single" w:color="auto" w:sz="4" w:space="0"/>
                    <w:left w:val="single" w:color="auto" w:sz="4" w:space="0"/>
                    <w:right w:val="single" w:color="auto" w:sz="4" w:space="0"/>
                  </w:tcBorders>
                  <w:vAlign w:val="center"/>
                </w:tcPr>
                <w:p w14:paraId="12774C67">
                  <w:pPr>
                    <w:widowControl/>
                    <w:jc w:val="center"/>
                    <w:textAlignment w:val="bottom"/>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43005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right w:val="single" w:color="auto" w:sz="4" w:space="0"/>
                  </w:tcBorders>
                  <w:shd w:val="clear" w:color="auto" w:fill="auto"/>
                  <w:vAlign w:val="center"/>
                </w:tcPr>
                <w:p w14:paraId="1C6A6627">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right w:val="single" w:color="auto" w:sz="4" w:space="0"/>
                  </w:tcBorders>
                  <w:shd w:val="clear" w:color="auto" w:fill="auto"/>
                  <w:vAlign w:val="center"/>
                </w:tcPr>
                <w:p w14:paraId="7BBABAF0">
                  <w:pPr>
                    <w:widowControl/>
                    <w:jc w:val="center"/>
                    <w:textAlignment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破碎机</w:t>
                  </w:r>
                </w:p>
              </w:tc>
              <w:tc>
                <w:tcPr>
                  <w:tcW w:w="1927" w:type="pct"/>
                  <w:tcBorders>
                    <w:top w:val="single" w:color="auto" w:sz="4" w:space="0"/>
                    <w:left w:val="single" w:color="auto" w:sz="4" w:space="0"/>
                    <w:right w:val="single" w:color="auto" w:sz="4" w:space="0"/>
                  </w:tcBorders>
                  <w:shd w:val="clear" w:color="auto" w:fill="auto"/>
                  <w:vAlign w:val="center"/>
                </w:tcPr>
                <w:p w14:paraId="0009E12E">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661" w:type="pct"/>
                  <w:tcBorders>
                    <w:top w:val="single" w:color="auto" w:sz="4" w:space="0"/>
                    <w:left w:val="single" w:color="auto" w:sz="4" w:space="0"/>
                    <w:right w:val="single" w:color="auto" w:sz="4" w:space="0"/>
                  </w:tcBorders>
                  <w:shd w:val="clear" w:color="auto" w:fill="auto"/>
                  <w:vAlign w:val="center"/>
                </w:tcPr>
                <w:p w14:paraId="0BEA6747">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tcBorders>
                    <w:left w:val="single" w:color="auto" w:sz="4" w:space="0"/>
                    <w:right w:val="single" w:color="auto" w:sz="4" w:space="0"/>
                  </w:tcBorders>
                  <w:vAlign w:val="center"/>
                </w:tcPr>
                <w:p w14:paraId="67DC4712">
                  <w:pPr>
                    <w:widowControl/>
                    <w:jc w:val="center"/>
                    <w:textAlignment w:val="bottom"/>
                    <w:rPr>
                      <w:rFonts w:hint="eastAsia" w:ascii="Times New Roman" w:hAnsi="Times New Roman" w:eastAsia="宋体" w:cs="Times New Roman"/>
                      <w:color w:val="000000" w:themeColor="text1"/>
                      <w:kern w:val="0"/>
                      <w:sz w:val="21"/>
                      <w:szCs w:val="21"/>
                      <w:highlight w:val="none"/>
                      <w:lang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破碎</w:t>
                  </w:r>
                </w:p>
              </w:tc>
              <w:tc>
                <w:tcPr>
                  <w:tcW w:w="516" w:type="pct"/>
                  <w:tcBorders>
                    <w:top w:val="single" w:color="auto" w:sz="4" w:space="0"/>
                    <w:left w:val="single" w:color="auto" w:sz="4" w:space="0"/>
                    <w:right w:val="single" w:color="auto" w:sz="4" w:space="0"/>
                  </w:tcBorders>
                  <w:vAlign w:val="center"/>
                </w:tcPr>
                <w:p w14:paraId="72D5A588">
                  <w:pPr>
                    <w:widowControl/>
                    <w:jc w:val="center"/>
                    <w:textAlignment w:val="bottom"/>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59F93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3CD5B705">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5DD83634">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冷却水塔</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55C6BA5E">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1.6T</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4A4BDE37">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tcBorders>
                    <w:top w:val="single" w:color="auto" w:sz="4" w:space="0"/>
                    <w:left w:val="single" w:color="auto" w:sz="4" w:space="0"/>
                    <w:bottom w:val="single" w:color="auto" w:sz="4" w:space="0"/>
                    <w:right w:val="single" w:color="auto" w:sz="4" w:space="0"/>
                  </w:tcBorders>
                  <w:vAlign w:val="center"/>
                </w:tcPr>
                <w:p w14:paraId="68E42F8A">
                  <w:pPr>
                    <w:widowControl/>
                    <w:jc w:val="center"/>
                    <w:textAlignment w:val="bottom"/>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冷却</w:t>
                  </w:r>
                </w:p>
              </w:tc>
              <w:tc>
                <w:tcPr>
                  <w:tcW w:w="516" w:type="pct"/>
                  <w:tcBorders>
                    <w:top w:val="single" w:color="auto" w:sz="4" w:space="0"/>
                    <w:left w:val="single" w:color="auto" w:sz="4" w:space="0"/>
                    <w:bottom w:val="single" w:color="auto" w:sz="4" w:space="0"/>
                    <w:right w:val="single" w:color="auto" w:sz="4" w:space="0"/>
                  </w:tcBorders>
                  <w:vAlign w:val="center"/>
                </w:tcPr>
                <w:p w14:paraId="3624639C">
                  <w:pPr>
                    <w:widowControl/>
                    <w:jc w:val="center"/>
                    <w:textAlignment w:val="bottom"/>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415B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677B5BC1">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bookmarkStart w:id="24" w:name="_Toc256601453"/>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11556C9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成品罐</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66FE2CA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659A181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12个</w:t>
                  </w:r>
                </w:p>
              </w:tc>
              <w:tc>
                <w:tcPr>
                  <w:tcW w:w="510" w:type="pct"/>
                  <w:tcBorders>
                    <w:top w:val="single" w:color="auto" w:sz="4" w:space="0"/>
                    <w:left w:val="single" w:color="auto" w:sz="4" w:space="0"/>
                    <w:bottom w:val="single" w:color="auto" w:sz="4" w:space="0"/>
                    <w:right w:val="single" w:color="auto" w:sz="4" w:space="0"/>
                  </w:tcBorders>
                  <w:vAlign w:val="center"/>
                </w:tcPr>
                <w:p w14:paraId="27F4ED50">
                  <w:pPr>
                    <w:widowControl/>
                    <w:jc w:val="center"/>
                    <w:textAlignment w:val="bottom"/>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储存成品</w:t>
                  </w:r>
                </w:p>
              </w:tc>
              <w:tc>
                <w:tcPr>
                  <w:tcW w:w="516" w:type="pct"/>
                  <w:tcBorders>
                    <w:top w:val="single" w:color="auto" w:sz="4" w:space="0"/>
                    <w:left w:val="single" w:color="auto" w:sz="4" w:space="0"/>
                    <w:bottom w:val="single" w:color="auto" w:sz="4" w:space="0"/>
                    <w:right w:val="single" w:color="auto" w:sz="4" w:space="0"/>
                  </w:tcBorders>
                  <w:vAlign w:val="center"/>
                </w:tcPr>
                <w:p w14:paraId="1C03232A">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w:t>
                  </w:r>
                </w:p>
              </w:tc>
            </w:tr>
            <w:tr w14:paraId="3E232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56A7CF4D">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7E99CD8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储罐</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52EC952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50T</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50B64A1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2个</w:t>
                  </w:r>
                </w:p>
              </w:tc>
              <w:tc>
                <w:tcPr>
                  <w:tcW w:w="510" w:type="pct"/>
                  <w:tcBorders>
                    <w:top w:val="single" w:color="auto" w:sz="4" w:space="0"/>
                    <w:left w:val="single" w:color="auto" w:sz="4" w:space="0"/>
                    <w:bottom w:val="single" w:color="auto" w:sz="4" w:space="0"/>
                    <w:right w:val="single" w:color="auto" w:sz="4" w:space="0"/>
                  </w:tcBorders>
                  <w:vAlign w:val="center"/>
                </w:tcPr>
                <w:p w14:paraId="2CC2455C">
                  <w:pPr>
                    <w:widowControl/>
                    <w:jc w:val="center"/>
                    <w:textAlignment w:val="bottom"/>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储存原料</w:t>
                  </w:r>
                </w:p>
              </w:tc>
              <w:tc>
                <w:tcPr>
                  <w:tcW w:w="516" w:type="pct"/>
                  <w:tcBorders>
                    <w:top w:val="single" w:color="auto" w:sz="4" w:space="0"/>
                    <w:left w:val="single" w:color="auto" w:sz="4" w:space="0"/>
                    <w:bottom w:val="single" w:color="auto" w:sz="4" w:space="0"/>
                    <w:right w:val="single" w:color="auto" w:sz="4" w:space="0"/>
                  </w:tcBorders>
                  <w:vAlign w:val="center"/>
                </w:tcPr>
                <w:p w14:paraId="6C15FB45">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w:t>
                  </w:r>
                </w:p>
              </w:tc>
            </w:tr>
            <w:tr w14:paraId="0258E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5941E56D">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2809181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注塑打样机</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4C43D6E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2BC78DC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w:t>
                  </w:r>
                </w:p>
              </w:tc>
              <w:tc>
                <w:tcPr>
                  <w:tcW w:w="510" w:type="pct"/>
                  <w:tcBorders>
                    <w:top w:val="single" w:color="auto" w:sz="4" w:space="0"/>
                    <w:left w:val="single" w:color="auto" w:sz="4" w:space="0"/>
                    <w:bottom w:val="single" w:color="auto" w:sz="4" w:space="0"/>
                    <w:right w:val="single" w:color="auto" w:sz="4" w:space="0"/>
                  </w:tcBorders>
                  <w:vAlign w:val="center"/>
                </w:tcPr>
                <w:p w14:paraId="2C0EDB73">
                  <w:pPr>
                    <w:widowControl/>
                    <w:jc w:val="center"/>
                    <w:textAlignment w:val="bottom"/>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注塑打样</w:t>
                  </w:r>
                </w:p>
              </w:tc>
              <w:tc>
                <w:tcPr>
                  <w:tcW w:w="516" w:type="pct"/>
                  <w:tcBorders>
                    <w:top w:val="single" w:color="auto" w:sz="4" w:space="0"/>
                    <w:left w:val="single" w:color="auto" w:sz="4" w:space="0"/>
                    <w:bottom w:val="single" w:color="auto" w:sz="4" w:space="0"/>
                    <w:right w:val="single" w:color="auto" w:sz="4" w:space="0"/>
                  </w:tcBorders>
                  <w:vAlign w:val="center"/>
                </w:tcPr>
                <w:p w14:paraId="6EF6E227">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72898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5CF3541F">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2C4F7493">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精密称重仪</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7F6B16B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PRIMCZ001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04701130">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w:t>
                  </w:r>
                </w:p>
              </w:tc>
              <w:tc>
                <w:tcPr>
                  <w:tcW w:w="510" w:type="pct"/>
                  <w:vMerge w:val="restart"/>
                  <w:tcBorders>
                    <w:top w:val="single" w:color="auto" w:sz="4" w:space="0"/>
                    <w:left w:val="single" w:color="auto" w:sz="4" w:space="0"/>
                    <w:right w:val="single" w:color="auto" w:sz="4" w:space="0"/>
                  </w:tcBorders>
                  <w:vAlign w:val="center"/>
                </w:tcPr>
                <w:p w14:paraId="77FD3119">
                  <w:pPr>
                    <w:widowControl/>
                    <w:jc w:val="center"/>
                    <w:textAlignment w:val="bottom"/>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测试</w:t>
                  </w:r>
                </w:p>
              </w:tc>
              <w:tc>
                <w:tcPr>
                  <w:tcW w:w="516" w:type="pct"/>
                  <w:tcBorders>
                    <w:top w:val="single" w:color="auto" w:sz="4" w:space="0"/>
                    <w:left w:val="single" w:color="auto" w:sz="4" w:space="0"/>
                    <w:bottom w:val="single" w:color="auto" w:sz="4" w:space="0"/>
                    <w:right w:val="single" w:color="auto" w:sz="4" w:space="0"/>
                  </w:tcBorders>
                  <w:vAlign w:val="center"/>
                </w:tcPr>
                <w:p w14:paraId="65945CA3">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635BF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7BA7F38A">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3F3A8770">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拉伸测试仪</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18F0735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TCDMCS001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472612F5">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708DB957">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210281E4">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00563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09234DE9">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244C9611">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磨损测试仪</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51C3A2E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PRIMCS002</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3A8064ED">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w:t>
                  </w:r>
                </w:p>
              </w:tc>
              <w:tc>
                <w:tcPr>
                  <w:tcW w:w="510" w:type="pct"/>
                  <w:vMerge w:val="continue"/>
                  <w:tcBorders>
                    <w:left w:val="single" w:color="auto" w:sz="4" w:space="0"/>
                    <w:right w:val="single" w:color="auto" w:sz="4" w:space="0"/>
                  </w:tcBorders>
                  <w:vAlign w:val="center"/>
                </w:tcPr>
                <w:p w14:paraId="5C42452D">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4BFF5455">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0C98D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626C84B6">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5DFEE42E">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热熔化测试仪</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0E758E0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PRIMCS003</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139CB000">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7B55863E">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2F9F6A16">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07B47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65307A31">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778F908F">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硬化测量仪</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27B22B6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PRIMCL001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4660713D">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58D4D166">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53953E7E">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6E41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1AE44713">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7B344D7D">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鞋底曲折机</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0487B2E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PRDMQZJ001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29ADBD61">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7B3C1D3E">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6BB7C839">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268E5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2E528901">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736CEF34">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UV耐黄变试验机</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58DAF25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TCDMLHBJ001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5CACA9C6">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3A99B9D6">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49BBD740">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1073C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23399B48">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138A7BCA">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台式钻床</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center"/>
                </w:tcPr>
                <w:p w14:paraId="081590E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PACMCS001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36CA89EA">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w:t>
                  </w:r>
                </w:p>
              </w:tc>
              <w:tc>
                <w:tcPr>
                  <w:tcW w:w="510" w:type="pct"/>
                  <w:vMerge w:val="continue"/>
                  <w:tcBorders>
                    <w:left w:val="single" w:color="auto" w:sz="4" w:space="0"/>
                    <w:right w:val="single" w:color="auto" w:sz="4" w:space="0"/>
                  </w:tcBorders>
                  <w:vAlign w:val="center"/>
                </w:tcPr>
                <w:p w14:paraId="4682481D">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081B497A">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301C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620CD3FF">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0BB59C9A">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灯光箱</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bottom"/>
                </w:tcPr>
                <w:p w14:paraId="6B1F68FD">
                  <w:pPr>
                    <w:keepNext w:val="0"/>
                    <w:keepLines w:val="0"/>
                    <w:widowControl/>
                    <w:suppressLineNumbers w:val="0"/>
                    <w:jc w:val="center"/>
                    <w:textAlignment w:val="bottom"/>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PRIMCS001-0002</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5F57CCE1">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4EBD86BB">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13E3B46B">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r w14:paraId="2C396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trPr>
              <w:tc>
                <w:tcPr>
                  <w:tcW w:w="293" w:type="pct"/>
                  <w:tcBorders>
                    <w:top w:val="single" w:color="auto" w:sz="4" w:space="0"/>
                    <w:left w:val="single" w:color="auto" w:sz="4" w:space="0"/>
                    <w:bottom w:val="single" w:color="auto" w:sz="4" w:space="0"/>
                    <w:right w:val="single" w:color="auto" w:sz="4" w:space="0"/>
                  </w:tcBorders>
                  <w:shd w:val="clear" w:color="auto" w:fill="auto"/>
                  <w:vAlign w:val="center"/>
                </w:tcPr>
                <w:p w14:paraId="386D8E08">
                  <w:pPr>
                    <w:pStyle w:val="79"/>
                    <w:numPr>
                      <w:ilvl w:val="0"/>
                      <w:numId w:val="9"/>
                    </w:numPr>
                    <w:ind w:firstLineChars="0"/>
                    <w:jc w:val="center"/>
                    <w:rPr>
                      <w:rFonts w:hint="default" w:ascii="Times New Roman" w:hAnsi="Times New Roman" w:eastAsia="宋体" w:cs="Times New Roman"/>
                      <w:bCs/>
                      <w:color w:val="000000" w:themeColor="text1"/>
                      <w:sz w:val="21"/>
                      <w:szCs w:val="21"/>
                      <w:highlight w:val="none"/>
                      <w14:textFill>
                        <w14:solidFill>
                          <w14:schemeClr w14:val="tx1"/>
                        </w14:solidFill>
                      </w14:textFill>
                    </w:rPr>
                  </w:pPr>
                </w:p>
              </w:tc>
              <w:tc>
                <w:tcPr>
                  <w:tcW w:w="1090" w:type="pct"/>
                  <w:tcBorders>
                    <w:top w:val="single" w:color="auto" w:sz="4" w:space="0"/>
                    <w:left w:val="single" w:color="auto" w:sz="4" w:space="0"/>
                    <w:bottom w:val="single" w:color="auto" w:sz="4" w:space="0"/>
                    <w:right w:val="single" w:color="auto" w:sz="4" w:space="0"/>
                  </w:tcBorders>
                  <w:shd w:val="clear" w:color="auto" w:fill="auto"/>
                  <w:vAlign w:val="center"/>
                </w:tcPr>
                <w:p w14:paraId="0CE58E27">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烤箱</w:t>
                  </w:r>
                </w:p>
              </w:tc>
              <w:tc>
                <w:tcPr>
                  <w:tcW w:w="1927" w:type="pct"/>
                  <w:tcBorders>
                    <w:top w:val="single" w:color="auto" w:sz="4" w:space="0"/>
                    <w:left w:val="single" w:color="auto" w:sz="4" w:space="0"/>
                    <w:bottom w:val="single" w:color="auto" w:sz="4" w:space="0"/>
                    <w:right w:val="single" w:color="auto" w:sz="4" w:space="0"/>
                  </w:tcBorders>
                  <w:shd w:val="clear" w:color="auto" w:fill="auto"/>
                  <w:vAlign w:val="bottom"/>
                </w:tcPr>
                <w:p w14:paraId="3728CBBF">
                  <w:pPr>
                    <w:keepNext w:val="0"/>
                    <w:keepLines w:val="0"/>
                    <w:widowControl/>
                    <w:suppressLineNumbers w:val="0"/>
                    <w:jc w:val="center"/>
                    <w:textAlignment w:val="bottom"/>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PRIMCS001</w:t>
                  </w:r>
                </w:p>
              </w:tc>
              <w:tc>
                <w:tcPr>
                  <w:tcW w:w="661" w:type="pct"/>
                  <w:tcBorders>
                    <w:top w:val="single" w:color="auto" w:sz="4" w:space="0"/>
                    <w:left w:val="single" w:color="auto" w:sz="4" w:space="0"/>
                    <w:bottom w:val="single" w:color="auto" w:sz="4" w:space="0"/>
                    <w:right w:val="single" w:color="auto" w:sz="4" w:space="0"/>
                  </w:tcBorders>
                  <w:shd w:val="clear" w:color="auto" w:fill="auto"/>
                  <w:vAlign w:val="center"/>
                </w:tcPr>
                <w:p w14:paraId="4E712E0A">
                  <w:pPr>
                    <w:keepNext w:val="0"/>
                    <w:keepLines w:val="0"/>
                    <w:widowControl/>
                    <w:suppressLineNumbers w:val="0"/>
                    <w:jc w:val="center"/>
                    <w:textAlignment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510" w:type="pct"/>
                  <w:vMerge w:val="continue"/>
                  <w:tcBorders>
                    <w:left w:val="single" w:color="auto" w:sz="4" w:space="0"/>
                    <w:right w:val="single" w:color="auto" w:sz="4" w:space="0"/>
                  </w:tcBorders>
                  <w:vAlign w:val="center"/>
                </w:tcPr>
                <w:p w14:paraId="5EF51761">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7A372487">
                  <w:pPr>
                    <w:widowControl/>
                    <w:jc w:val="center"/>
                    <w:textAlignment w:val="bottom"/>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电能</w:t>
                  </w:r>
                </w:p>
              </w:tc>
            </w:tr>
          </w:tbl>
          <w:p w14:paraId="1C2AE576">
            <w:pPr>
              <w:spacing w:line="360" w:lineRule="auto"/>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注：项目设备均不在《产业结构调整指导目录（2024年本）》中的淘汰和限制类范围。</w:t>
            </w:r>
          </w:p>
          <w:p w14:paraId="7529A408">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挤出生产线</w:t>
            </w:r>
            <w:r>
              <w:rPr>
                <w:rFonts w:hint="default" w:ascii="Times New Roman" w:hAnsi="Times New Roman" w:eastAsia="宋体" w:cs="Times New Roman"/>
                <w:b/>
                <w:color w:val="000000" w:themeColor="text1"/>
                <w:sz w:val="21"/>
                <w:highlight w:val="none"/>
                <w:lang w:val="zh-CN"/>
                <w14:textFill>
                  <w14:solidFill>
                    <w14:schemeClr w14:val="tx1"/>
                  </w14:solidFill>
                </w14:textFill>
              </w:rPr>
              <w:t>产能核算情况一览表</w:t>
            </w:r>
          </w:p>
          <w:tbl>
            <w:tblPr>
              <w:tblStyle w:val="32"/>
              <w:tblW w:w="8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9"/>
              <w:gridCol w:w="1350"/>
              <w:gridCol w:w="1850"/>
              <w:gridCol w:w="1637"/>
              <w:gridCol w:w="1281"/>
            </w:tblGrid>
            <w:tr w14:paraId="5CDE2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319" w:type="dxa"/>
                  <w:vAlign w:val="center"/>
                </w:tcPr>
                <w:p w14:paraId="5DD0E4A2">
                  <w:pPr>
                    <w:pStyle w:val="64"/>
                    <w:spacing w:beforeLines="0"/>
                    <w:rPr>
                      <w:rFonts w:ascii="Times New Roman" w:hAnsi="Times New Roman" w:eastAsia="宋体" w:cs="Times New Roman"/>
                      <w:b/>
                      <w:bCs/>
                      <w:color w:val="000000" w:themeColor="text1"/>
                      <w:szCs w:val="21"/>
                      <w:highlight w:val="none"/>
                      <w14:textFill>
                        <w14:solidFill>
                          <w14:schemeClr w14:val="tx1"/>
                        </w14:solidFill>
                      </w14:textFill>
                    </w:rPr>
                  </w:pPr>
                  <w:r>
                    <w:rPr>
                      <w:rFonts w:ascii="Times New Roman" w:hAnsi="Times New Roman" w:eastAsia="宋体" w:cs="Times New Roman"/>
                      <w:b/>
                      <w:color w:val="000000" w:themeColor="text1"/>
                      <w:kern w:val="2"/>
                      <w:sz w:val="21"/>
                      <w:highlight w:val="none"/>
                      <w14:textFill>
                        <w14:solidFill>
                          <w14:schemeClr w14:val="tx1"/>
                        </w14:solidFill>
                      </w14:textFill>
                    </w:rPr>
                    <w:t>设备</w:t>
                  </w:r>
                </w:p>
              </w:tc>
              <w:tc>
                <w:tcPr>
                  <w:tcW w:w="1350" w:type="dxa"/>
                  <w:vAlign w:val="center"/>
                </w:tcPr>
                <w:p w14:paraId="163B84BD">
                  <w:pPr>
                    <w:pStyle w:val="64"/>
                    <w:spacing w:beforeLines="0"/>
                    <w:rPr>
                      <w:rFonts w:ascii="Times New Roman" w:hAnsi="Times New Roman" w:eastAsia="宋体" w:cs="Times New Roman"/>
                      <w:b/>
                      <w:bCs/>
                      <w:color w:val="000000" w:themeColor="text1"/>
                      <w:szCs w:val="21"/>
                      <w:highlight w:val="none"/>
                      <w14:textFill>
                        <w14:solidFill>
                          <w14:schemeClr w14:val="tx1"/>
                        </w14:solidFill>
                      </w14:textFill>
                    </w:rPr>
                  </w:pPr>
                  <w:r>
                    <w:rPr>
                      <w:rFonts w:ascii="Times New Roman" w:hAnsi="Times New Roman" w:eastAsia="宋体" w:cs="Times New Roman"/>
                      <w:b/>
                      <w:color w:val="000000" w:themeColor="text1"/>
                      <w:kern w:val="2"/>
                      <w:sz w:val="21"/>
                      <w:highlight w:val="none"/>
                      <w14:textFill>
                        <w14:solidFill>
                          <w14:schemeClr w14:val="tx1"/>
                        </w14:solidFill>
                      </w14:textFill>
                    </w:rPr>
                    <w:t>数量</w:t>
                  </w:r>
                </w:p>
              </w:tc>
              <w:tc>
                <w:tcPr>
                  <w:tcW w:w="1850" w:type="dxa"/>
                  <w:vAlign w:val="center"/>
                </w:tcPr>
                <w:p w14:paraId="78353133">
                  <w:pPr>
                    <w:pStyle w:val="64"/>
                    <w:spacing w:beforeLines="0"/>
                    <w:rPr>
                      <w:rFonts w:ascii="Times New Roman" w:hAnsi="Times New Roman" w:eastAsia="宋体" w:cs="Times New Roman"/>
                      <w:b/>
                      <w:bCs/>
                      <w:color w:val="000000" w:themeColor="text1"/>
                      <w:szCs w:val="21"/>
                      <w:highlight w:val="none"/>
                      <w14:textFill>
                        <w14:solidFill>
                          <w14:schemeClr w14:val="tx1"/>
                        </w14:solidFill>
                      </w14:textFill>
                    </w:rPr>
                  </w:pPr>
                  <w:r>
                    <w:rPr>
                      <w:rFonts w:ascii="Times New Roman" w:hAnsi="Times New Roman" w:eastAsia="宋体" w:cs="Times New Roman"/>
                      <w:b/>
                      <w:color w:val="000000" w:themeColor="text1"/>
                      <w:kern w:val="2"/>
                      <w:sz w:val="21"/>
                      <w:highlight w:val="none"/>
                      <w14:textFill>
                        <w14:solidFill>
                          <w14:schemeClr w14:val="tx1"/>
                        </w14:solidFill>
                      </w14:textFill>
                    </w:rPr>
                    <w:t>单台设备每小时挤出量（kg</w:t>
                  </w:r>
                  <w:r>
                    <w:rPr>
                      <w:rFonts w:hint="eastAsia" w:ascii="Times New Roman" w:hAnsi="Times New Roman" w:eastAsia="宋体" w:cs="Times New Roman"/>
                      <w:b/>
                      <w:color w:val="000000" w:themeColor="text1"/>
                      <w:kern w:val="2"/>
                      <w:sz w:val="21"/>
                      <w:highlight w:val="none"/>
                      <w:lang w:val="en-US" w:eastAsia="zh-CN"/>
                      <w14:textFill>
                        <w14:solidFill>
                          <w14:schemeClr w14:val="tx1"/>
                        </w14:solidFill>
                      </w14:textFill>
                    </w:rPr>
                    <w:t>/h</w:t>
                  </w:r>
                  <w:r>
                    <w:rPr>
                      <w:rFonts w:ascii="Times New Roman" w:hAnsi="Times New Roman" w:eastAsia="宋体" w:cs="Times New Roman"/>
                      <w:b/>
                      <w:color w:val="000000" w:themeColor="text1"/>
                      <w:kern w:val="2"/>
                      <w:sz w:val="21"/>
                      <w:highlight w:val="none"/>
                      <w14:textFill>
                        <w14:solidFill>
                          <w14:schemeClr w14:val="tx1"/>
                        </w14:solidFill>
                      </w14:textFill>
                    </w:rPr>
                    <w:t>）</w:t>
                  </w:r>
                </w:p>
              </w:tc>
              <w:tc>
                <w:tcPr>
                  <w:tcW w:w="1637" w:type="dxa"/>
                  <w:vAlign w:val="center"/>
                </w:tcPr>
                <w:p w14:paraId="529C961C">
                  <w:pPr>
                    <w:pStyle w:val="64"/>
                    <w:spacing w:beforeLines="0"/>
                    <w:rPr>
                      <w:rFonts w:ascii="Times New Roman" w:hAnsi="Times New Roman" w:eastAsia="宋体" w:cs="Times New Roman"/>
                      <w:b/>
                      <w:bCs/>
                      <w:color w:val="000000" w:themeColor="text1"/>
                      <w:sz w:val="21"/>
                      <w:szCs w:val="21"/>
                      <w:highlight w:val="none"/>
                      <w:lang w:bidi="ar"/>
                      <w14:textFill>
                        <w14:solidFill>
                          <w14:schemeClr w14:val="tx1"/>
                        </w14:solidFill>
                      </w14:textFill>
                    </w:rPr>
                  </w:pPr>
                  <w:r>
                    <w:rPr>
                      <w:rFonts w:ascii="Times New Roman" w:hAnsi="Times New Roman" w:eastAsia="宋体" w:cs="Times New Roman"/>
                      <w:b/>
                      <w:color w:val="000000" w:themeColor="text1"/>
                      <w:kern w:val="2"/>
                      <w:sz w:val="21"/>
                      <w:highlight w:val="none"/>
                      <w14:textFill>
                        <w14:solidFill>
                          <w14:schemeClr w14:val="tx1"/>
                        </w14:solidFill>
                      </w14:textFill>
                    </w:rPr>
                    <w:t>年工作时间（h）</w:t>
                  </w:r>
                </w:p>
              </w:tc>
              <w:tc>
                <w:tcPr>
                  <w:tcW w:w="1281" w:type="dxa"/>
                  <w:vAlign w:val="center"/>
                </w:tcPr>
                <w:p w14:paraId="4C5C5AF3">
                  <w:pPr>
                    <w:pStyle w:val="64"/>
                    <w:spacing w:beforeLines="0"/>
                    <w:rPr>
                      <w:rFonts w:ascii="Times New Roman" w:hAnsi="Times New Roman" w:eastAsia="宋体" w:cs="Times New Roman"/>
                      <w:b/>
                      <w:color w:val="000000" w:themeColor="text1"/>
                      <w:szCs w:val="21"/>
                      <w:highlight w:val="none"/>
                      <w:lang w:bidi="ar"/>
                      <w14:textFill>
                        <w14:solidFill>
                          <w14:schemeClr w14:val="tx1"/>
                        </w14:solidFill>
                      </w14:textFill>
                    </w:rPr>
                  </w:pPr>
                  <w:r>
                    <w:rPr>
                      <w:rFonts w:ascii="Times New Roman" w:hAnsi="Times New Roman" w:eastAsia="宋体" w:cs="Times New Roman"/>
                      <w:b/>
                      <w:color w:val="000000" w:themeColor="text1"/>
                      <w:kern w:val="2"/>
                      <w:sz w:val="21"/>
                      <w:highlight w:val="none"/>
                      <w14:textFill>
                        <w14:solidFill>
                          <w14:schemeClr w14:val="tx1"/>
                        </w14:solidFill>
                      </w14:textFill>
                    </w:rPr>
                    <w:t>年产量（t）</w:t>
                  </w:r>
                </w:p>
              </w:tc>
            </w:tr>
            <w:tr w14:paraId="71A5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319" w:type="dxa"/>
                  <w:vAlign w:val="center"/>
                </w:tcPr>
                <w:p w14:paraId="210CBD1D">
                  <w:pPr>
                    <w:keepNext w:val="0"/>
                    <w:keepLines w:val="0"/>
                    <w:widowControl/>
                    <w:suppressLineNumbers w:val="0"/>
                    <w:jc w:val="center"/>
                    <w:textAlignment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挤出生产线</w:t>
                  </w:r>
                </w:p>
              </w:tc>
              <w:tc>
                <w:tcPr>
                  <w:tcW w:w="1350" w:type="dxa"/>
                  <w:vAlign w:val="center"/>
                </w:tcPr>
                <w:p w14:paraId="7F0B414A">
                  <w:pPr>
                    <w:keepNext w:val="0"/>
                    <w:keepLines w:val="0"/>
                    <w:widowControl/>
                    <w:suppressLineNumbers w:val="0"/>
                    <w:jc w:val="center"/>
                    <w:textAlignment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w:t>
                  </w:r>
                </w:p>
              </w:tc>
              <w:tc>
                <w:tcPr>
                  <w:tcW w:w="1850" w:type="dxa"/>
                  <w:vAlign w:val="center"/>
                </w:tcPr>
                <w:p w14:paraId="2CC059E7">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75</w:t>
                  </w:r>
                </w:p>
              </w:tc>
              <w:tc>
                <w:tcPr>
                  <w:tcW w:w="1637" w:type="dxa"/>
                  <w:vAlign w:val="center"/>
                </w:tcPr>
                <w:p w14:paraId="468BC4F8">
                  <w:pPr>
                    <w:keepNext w:val="0"/>
                    <w:keepLines w:val="0"/>
                    <w:widowControl/>
                    <w:suppressLineNumbers w:val="0"/>
                    <w:jc w:val="center"/>
                    <w:textAlignment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2400</w:t>
                  </w:r>
                </w:p>
              </w:tc>
              <w:tc>
                <w:tcPr>
                  <w:tcW w:w="1281" w:type="dxa"/>
                  <w:vAlign w:val="center"/>
                </w:tcPr>
                <w:p w14:paraId="2F52F29C">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1080</w:t>
                  </w:r>
                </w:p>
              </w:tc>
            </w:tr>
            <w:tr w14:paraId="1B2BA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437" w:type="dxa"/>
                  <w:gridSpan w:val="5"/>
                  <w:vAlign w:val="center"/>
                </w:tcPr>
                <w:p w14:paraId="275001A9">
                  <w:pPr>
                    <w:widowControl/>
                    <w:jc w:val="center"/>
                    <w:textAlignment w:val="center"/>
                    <w:rPr>
                      <w:rFonts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注：项目挤出生产线</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生产产品量约1000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t/a，约占理论年产量的</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92.59</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%，基本相匹配。</w:t>
                  </w:r>
                </w:p>
              </w:tc>
            </w:tr>
          </w:tbl>
          <w:p w14:paraId="78043E7B">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6、人员及生产制度</w:t>
            </w:r>
          </w:p>
          <w:p w14:paraId="011949A0">
            <w:pPr>
              <w:spacing w:line="480" w:lineRule="exact"/>
              <w:ind w:firstLine="480"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项目共设员</w:t>
            </w:r>
            <w:r>
              <w:rPr>
                <w:rFonts w:hint="default" w:ascii="Times New Roman" w:hAnsi="Times New Roman" w:eastAsia="宋体" w:cs="Times New Roman"/>
                <w:color w:val="000000" w:themeColor="text1"/>
                <w:sz w:val="24"/>
                <w:szCs w:val="24"/>
                <w:highlight w:val="none"/>
                <w14:textFill>
                  <w14:solidFill>
                    <w14:schemeClr w14:val="tx1"/>
                  </w14:solidFill>
                </w14:textFill>
              </w:rPr>
              <w:t>工</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51</w:t>
            </w:r>
            <w:r>
              <w:rPr>
                <w:rFonts w:hint="default" w:ascii="Times New Roman" w:hAnsi="Times New Roman" w:eastAsia="宋体" w:cs="Times New Roman"/>
                <w:color w:val="000000" w:themeColor="text1"/>
                <w:sz w:val="24"/>
                <w:szCs w:val="24"/>
                <w:highlight w:val="none"/>
                <w14:textFill>
                  <w14:solidFill>
                    <w14:schemeClr w14:val="tx1"/>
                  </w14:solidFill>
                </w14:textFill>
              </w:rPr>
              <w:t>人，</w:t>
            </w:r>
            <w:r>
              <w:rPr>
                <w:rFonts w:hint="default" w:ascii="Times New Roman" w:hAnsi="Times New Roman" w:cs="Times New Roman"/>
                <w:color w:val="000000" w:themeColor="text1"/>
                <w:sz w:val="24"/>
                <w:szCs w:val="24"/>
                <w:highlight w:val="none"/>
                <w14:textFill>
                  <w14:solidFill>
                    <w14:schemeClr w14:val="tx1"/>
                  </w14:solidFill>
                </w14:textFill>
              </w:rPr>
              <w:t>正常工作时间为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8</w:t>
            </w:r>
            <w:r>
              <w:rPr>
                <w:rFonts w:hint="default" w:ascii="Times New Roman" w:hAnsi="Times New Roman" w:cs="Times New Roman"/>
                <w:color w:val="000000" w:themeColor="text1"/>
                <w:sz w:val="24"/>
                <w:szCs w:val="24"/>
                <w:highlight w:val="none"/>
                <w14:textFill>
                  <w14:solidFill>
                    <w14:schemeClr w14:val="tx1"/>
                  </w14:solidFill>
                </w14:textFill>
              </w:rPr>
              <w:t>小时</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8</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:00-12:00,1</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:00-18：00</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，其年工作时间为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300</w:t>
            </w:r>
            <w:r>
              <w:rPr>
                <w:rFonts w:hint="default" w:ascii="Times New Roman" w:hAnsi="Times New Roman" w:cs="Times New Roman"/>
                <w:color w:val="000000" w:themeColor="text1"/>
                <w:sz w:val="24"/>
                <w:szCs w:val="24"/>
                <w:highlight w:val="none"/>
                <w14:textFill>
                  <w14:solidFill>
                    <w14:schemeClr w14:val="tx1"/>
                  </w14:solidFill>
                </w14:textFill>
              </w:rPr>
              <w:t>天，无夜间生产，厂内不设食宿</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26E08D10">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7、给排水工程</w:t>
            </w:r>
            <w:bookmarkEnd w:id="24"/>
          </w:p>
          <w:p w14:paraId="69947DB8">
            <w:pPr>
              <w:spacing w:line="480" w:lineRule="exact"/>
              <w:ind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①生活用排水：本项目用水由市政自来水管网供给。员工</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51</w:t>
            </w:r>
            <w:r>
              <w:rPr>
                <w:rFonts w:hint="default" w:ascii="Times New Roman" w:hAnsi="Times New Roman" w:eastAsia="宋体" w:cs="Times New Roman"/>
                <w:color w:val="000000" w:themeColor="text1"/>
                <w:sz w:val="24"/>
                <w:highlight w:val="none"/>
                <w14:textFill>
                  <w14:solidFill>
                    <w14:schemeClr w14:val="tx1"/>
                  </w14:solidFill>
                </w14:textFill>
              </w:rPr>
              <w:t>人，根据《广东省用水定额》（DB44/T 1461.3-2021）表A.1服务业用水定额表，员工不在厂内食宿，按照先进值10m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highlight w:val="none"/>
                <w14:textFill>
                  <w14:solidFill>
                    <w14:schemeClr w14:val="tx1"/>
                  </w14:solidFill>
                </w14:textFill>
              </w:rPr>
              <w:t>/人.a计，生活用水量约为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510</w:t>
            </w:r>
            <w:r>
              <w:rPr>
                <w:rFonts w:hint="default" w:ascii="Times New Roman" w:hAnsi="Times New Roman" w:eastAsia="宋体" w:cs="Times New Roman"/>
                <w:color w:val="000000" w:themeColor="text1"/>
                <w:sz w:val="24"/>
                <w:highlight w:val="none"/>
                <w14:textFill>
                  <w14:solidFill>
                    <w14:schemeClr w14:val="tx1"/>
                  </w14:solidFill>
                </w14:textFill>
              </w:rPr>
              <w:t>吨/年，生活污水产生率按90%计，其污水产生排放量约为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459</w:t>
            </w:r>
            <w:r>
              <w:rPr>
                <w:rFonts w:hint="default" w:ascii="Times New Roman" w:hAnsi="Times New Roman" w:eastAsia="宋体" w:cs="Times New Roman"/>
                <w:color w:val="000000" w:themeColor="text1"/>
                <w:sz w:val="24"/>
                <w:highlight w:val="none"/>
                <w14:textFill>
                  <w14:solidFill>
                    <w14:schemeClr w14:val="tx1"/>
                  </w14:solidFill>
                </w14:textFill>
              </w:rPr>
              <w:t>吨/年。生活污水经三级化粪池预处理后</w:t>
            </w:r>
            <w:r>
              <w:rPr>
                <w:rFonts w:hint="default" w:ascii="Times New Roman" w:hAnsi="Times New Roman" w:eastAsia="宋体" w:cs="Times New Roman"/>
                <w:color w:val="000000" w:themeColor="text1"/>
                <w:spacing w:val="1"/>
                <w:sz w:val="24"/>
                <w:highlight w:val="none"/>
                <w14:textFill>
                  <w14:solidFill>
                    <w14:schemeClr w14:val="tx1"/>
                  </w14:solidFill>
                </w14:textFill>
              </w:rPr>
              <w:t>，排入</w:t>
            </w:r>
            <w:r>
              <w:rPr>
                <w:rFonts w:hint="default" w:ascii="Times New Roman" w:hAnsi="Times New Roman" w:eastAsia="宋体" w:cs="Times New Roman"/>
                <w:color w:val="000000" w:themeColor="text1"/>
                <w:spacing w:val="1"/>
                <w:sz w:val="24"/>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pacing w:val="1"/>
                <w:sz w:val="24"/>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pacing w:val="1"/>
                <w:sz w:val="24"/>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spacing w:val="1"/>
                <w:sz w:val="24"/>
                <w:highlight w:val="none"/>
                <w14:textFill>
                  <w14:solidFill>
                    <w14:schemeClr w14:val="tx1"/>
                  </w14:solidFill>
                </w14:textFill>
              </w:rPr>
              <w:t>处理后排入</w:t>
            </w:r>
            <w:r>
              <w:rPr>
                <w:rFonts w:hint="eastAsia" w:ascii="Times New Roman" w:hAnsi="Times New Roman" w:eastAsia="宋体" w:cs="Times New Roman"/>
                <w:color w:val="000000" w:themeColor="text1"/>
                <w:spacing w:val="1"/>
                <w:sz w:val="24"/>
                <w:highlight w:val="none"/>
                <w:lang w:val="en-US" w:eastAsia="zh-CN"/>
                <w14:textFill>
                  <w14:solidFill>
                    <w14:schemeClr w14:val="tx1"/>
                  </w14:solidFill>
                </w14:textFill>
              </w:rPr>
              <w:t>石岐河</w: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6FB84DB3">
            <w:pPr>
              <w:pStyle w:val="48"/>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②冷却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塔</w:t>
            </w:r>
            <w:r>
              <w:rPr>
                <w:rFonts w:hint="default" w:ascii="Times New Roman" w:hAnsi="Times New Roman" w:eastAsia="宋体" w:cs="Times New Roman"/>
                <w:color w:val="000000" w:themeColor="text1"/>
                <w:sz w:val="24"/>
                <w:highlight w:val="none"/>
                <w14:textFill>
                  <w14:solidFill>
                    <w14:schemeClr w14:val="tx1"/>
                  </w14:solidFill>
                </w14:textFill>
              </w:rPr>
              <w:t>用排水：项目冷却塔用水由市政自来水厂供给，属于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挤出工序的</w:t>
            </w:r>
            <w:r>
              <w:rPr>
                <w:rFonts w:hint="default" w:ascii="Times New Roman" w:hAnsi="Times New Roman" w:eastAsia="宋体" w:cs="Times New Roman"/>
                <w:color w:val="000000" w:themeColor="text1"/>
                <w:sz w:val="24"/>
                <w:highlight w:val="none"/>
                <w14:textFill>
                  <w14:solidFill>
                    <w14:schemeClr w14:val="tx1"/>
                  </w14:solidFill>
                </w14:textFill>
              </w:rPr>
              <w:t>间接冷却用水，冷却塔用水循环使用，不外排。项目</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设有1台冷却塔，</w:t>
            </w:r>
            <w:r>
              <w:rPr>
                <w:rFonts w:hint="default" w:ascii="Times New Roman" w:hAnsi="Times New Roman" w:eastAsia="宋体" w:cs="Times New Roman"/>
                <w:color w:val="000000" w:themeColor="text1"/>
                <w:sz w:val="24"/>
                <w:highlight w:val="none"/>
                <w14:textFill>
                  <w14:solidFill>
                    <w14:schemeClr w14:val="tx1"/>
                  </w14:solidFill>
                </w14:textFill>
              </w:rPr>
              <w:t>冷却用水循环使用，冷却塔水池的尺寸为长2m×宽1m×高1m，水深0.8m。循环水池水量1.6m³，每小时循环约6次，则冷却用水循环水量为9.6m³/h，冷却塔每天工作</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4"/>
                <w:highlight w:val="none"/>
                <w14:textFill>
                  <w14:solidFill>
                    <w14:schemeClr w14:val="tx1"/>
                  </w14:solidFill>
                </w14:textFill>
              </w:rPr>
              <w:t>h，故冷却用水循环水量为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76.8</w:t>
            </w:r>
            <w:r>
              <w:rPr>
                <w:rFonts w:hint="default" w:ascii="Times New Roman" w:hAnsi="Times New Roman" w:eastAsia="宋体" w:cs="Times New Roman"/>
                <w:color w:val="000000" w:themeColor="text1"/>
                <w:sz w:val="24"/>
                <w:highlight w:val="none"/>
                <w14:textFill>
                  <w14:solidFill>
                    <w14:schemeClr w14:val="tx1"/>
                  </w14:solidFill>
                </w14:textFill>
              </w:rPr>
              <w:t>m³/d。循环使用过程中水会产生损耗，根据《建筑给水排水设计规范》(GB50015-2009)，循环水损耗量按2%循环量估算，则冷却塔补充用水为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1.536</w:t>
            </w:r>
            <w:r>
              <w:rPr>
                <w:rFonts w:hint="default" w:ascii="Times New Roman" w:hAnsi="Times New Roman" w:eastAsia="宋体" w:cs="Times New Roman"/>
                <w:color w:val="000000" w:themeColor="text1"/>
                <w:sz w:val="24"/>
                <w:highlight w:val="none"/>
                <w14:textFill>
                  <w14:solidFill>
                    <w14:schemeClr w14:val="tx1"/>
                  </w14:solidFill>
                </w14:textFill>
              </w:rPr>
              <w:t>t/d(即</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460.8</w:t>
            </w:r>
            <w:r>
              <w:rPr>
                <w:rFonts w:hint="default" w:ascii="Times New Roman" w:hAnsi="Times New Roman" w:eastAsia="宋体" w:cs="Times New Roman"/>
                <w:color w:val="000000" w:themeColor="text1"/>
                <w:sz w:val="24"/>
                <w:highlight w:val="none"/>
                <w14:textFill>
                  <w14:solidFill>
                    <w14:schemeClr w14:val="tx1"/>
                  </w14:solidFill>
                </w14:textFill>
              </w:rPr>
              <w:t>t/a)。</w:t>
            </w:r>
          </w:p>
          <w:p w14:paraId="0A832AD0">
            <w:pPr>
              <w:pStyle w:val="48"/>
              <w:wordWrap w:val="0"/>
              <w:spacing w:line="360" w:lineRule="auto"/>
              <w:ind w:firstLine="480" w:firstLineChars="200"/>
              <w:rPr>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③</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切粒</w:t>
            </w:r>
            <w:r>
              <w:rPr>
                <w:rFonts w:ascii="Times New Roman" w:hAnsi="Times New Roman" w:eastAsia="宋体" w:cs="Times New Roman"/>
                <w:color w:val="000000" w:themeColor="text1"/>
                <w:sz w:val="24"/>
                <w:highlight w:val="none"/>
                <w14:textFill>
                  <w14:solidFill>
                    <w14:schemeClr w14:val="tx1"/>
                  </w14:solidFill>
                </w14:textFill>
              </w:rPr>
              <w:t>用排水：</w:t>
            </w:r>
            <w:r>
              <w:rPr>
                <w:rFonts w:hint="eastAsia" w:ascii="Times New Roman" w:hAnsi="Times New Roman" w:eastAsia="宋体" w:cs="Times New Roman"/>
                <w:color w:val="000000" w:themeColor="text1"/>
                <w:sz w:val="24"/>
                <w:highlight w:val="none"/>
                <w14:textFill>
                  <w14:solidFill>
                    <w14:schemeClr w14:val="tx1"/>
                  </w14:solidFill>
                </w14:textFill>
              </w:rPr>
              <w:t>项目</w:t>
            </w:r>
            <w:r>
              <w:rPr>
                <w:rFonts w:ascii="Times New Roman" w:hAnsi="Times New Roman" w:eastAsia="宋体" w:cs="Times New Roman"/>
                <w:color w:val="000000" w:themeColor="text1"/>
                <w:sz w:val="24"/>
                <w:highlight w:val="none"/>
                <w14:textFill>
                  <w14:solidFill>
                    <w14:schemeClr w14:val="tx1"/>
                  </w14:solidFill>
                </w14:textFill>
              </w:rPr>
              <w:t>有</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6条挤出生产线，每个生产线配有1</w:t>
            </w:r>
            <w:r>
              <w:rPr>
                <w:rFonts w:ascii="Times New Roman" w:hAnsi="Times New Roman" w:eastAsia="宋体" w:cs="Times New Roman"/>
                <w:color w:val="000000" w:themeColor="text1"/>
                <w:sz w:val="24"/>
                <w:highlight w:val="none"/>
                <w14:textFill>
                  <w14:solidFill>
                    <w14:schemeClr w14:val="tx1"/>
                  </w14:solidFill>
                </w14:textFill>
              </w:rPr>
              <w:t>个水槽</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用于水下切粒，直接接触产品</w:t>
            </w:r>
            <w:r>
              <w:rPr>
                <w:rFonts w:ascii="Times New Roman" w:hAnsi="Times New Roman" w:eastAsia="宋体" w:cs="Times New Roman"/>
                <w:color w:val="000000" w:themeColor="text1"/>
                <w:sz w:val="24"/>
                <w:highlight w:val="none"/>
                <w14:textFill>
                  <w14:solidFill>
                    <w14:schemeClr w14:val="tx1"/>
                  </w14:solidFill>
                </w14:textFill>
              </w:rPr>
              <w:t>，根据厂家提供资料每个水槽</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尺寸约</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为</w:t>
            </w: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1m</w:t>
            </w:r>
            <w:r>
              <w:rPr>
                <w:rFonts w:hint="default" w:ascii="Arial" w:hAnsi="Arial" w:eastAsia="宋体" w:cs="Arial"/>
                <w:i w:val="0"/>
                <w:iCs w:val="0"/>
                <w:color w:val="000000" w:themeColor="text1"/>
                <w:kern w:val="0"/>
                <w:sz w:val="24"/>
                <w:szCs w:val="24"/>
                <w:highlight w:val="none"/>
                <w:u w:val="no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0.8m</w:t>
            </w:r>
            <w:r>
              <w:rPr>
                <w:rFonts w:hint="default" w:ascii="Arial" w:hAnsi="Arial" w:eastAsia="宋体" w:cs="Arial"/>
                <w:i w:val="0"/>
                <w:iCs w:val="0"/>
                <w:color w:val="000000" w:themeColor="text1"/>
                <w:kern w:val="0"/>
                <w:sz w:val="24"/>
                <w:szCs w:val="24"/>
                <w:highlight w:val="none"/>
                <w:u w:val="no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0.6m</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有效高度约为0.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，故有效容积约为0.16m</w:t>
            </w:r>
            <w:r>
              <w:rPr>
                <w:rFonts w:hint="eastAsia" w:ascii="Times New Roman" w:hAnsi="Times New Roman" w:eastAsia="宋体" w:cs="Times New Roman"/>
                <w:color w:val="000000" w:themeColor="text1"/>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ascii="Times New Roman" w:hAnsi="Times New Roman" w:eastAsia="宋体" w:cs="Times New Roman"/>
                <w:color w:val="000000" w:themeColor="text1"/>
                <w:sz w:val="24"/>
                <w:highlight w:val="none"/>
                <w14:textFill>
                  <w14:solidFill>
                    <w14:schemeClr w14:val="tx1"/>
                  </w14:solidFill>
                </w14:textFill>
              </w:rPr>
              <w:t>装水量为0.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32</w:t>
            </w:r>
            <w:r>
              <w:rPr>
                <w:rFonts w:ascii="Times New Roman" w:hAnsi="Times New Roman" w:eastAsia="宋体" w:cs="Times New Roman"/>
                <w:color w:val="000000" w:themeColor="text1"/>
                <w:sz w:val="24"/>
                <w:highlight w:val="none"/>
                <w14:textFill>
                  <w14:solidFill>
                    <w14:schemeClr w14:val="tx1"/>
                  </w14:solidFill>
                </w14:textFill>
              </w:rPr>
              <w:t>t/台，</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切粒用</w:t>
            </w:r>
            <w:r>
              <w:rPr>
                <w:rFonts w:ascii="Times New Roman" w:hAnsi="Times New Roman" w:eastAsia="宋体" w:cs="Times New Roman"/>
                <w:color w:val="000000" w:themeColor="text1"/>
                <w:sz w:val="24"/>
                <w:highlight w:val="none"/>
                <w14:textFill>
                  <w14:solidFill>
                    <w14:schemeClr w14:val="tx1"/>
                  </w14:solidFill>
                </w14:textFill>
              </w:rPr>
              <w:t>水循环使用，则</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每个</w:t>
            </w:r>
            <w:r>
              <w:rPr>
                <w:rFonts w:ascii="Times New Roman" w:hAnsi="Times New Roman" w:eastAsia="宋体" w:cs="Times New Roman"/>
                <w:color w:val="000000" w:themeColor="text1"/>
                <w:sz w:val="24"/>
                <w:highlight w:val="none"/>
                <w14:textFill>
                  <w14:solidFill>
                    <w14:schemeClr w14:val="tx1"/>
                  </w14:solidFill>
                </w14:textFill>
              </w:rPr>
              <w:t>水槽首次加水量为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0.32</w:t>
            </w:r>
            <w:r>
              <w:rPr>
                <w:rFonts w:ascii="Times New Roman" w:hAnsi="Times New Roman" w:eastAsia="宋体" w:cs="Times New Roman"/>
                <w:color w:val="000000" w:themeColor="text1"/>
                <w:sz w:val="24"/>
                <w:highlight w:val="none"/>
                <w14:textFill>
                  <w14:solidFill>
                    <w14:schemeClr w14:val="tx1"/>
                  </w14:solidFill>
                </w14:textFill>
              </w:rPr>
              <w:t>t，用水循环使用两个月后更换，则</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6个水槽产生的切粒</w:t>
            </w:r>
            <w:r>
              <w:rPr>
                <w:rFonts w:ascii="Times New Roman" w:hAnsi="Times New Roman" w:eastAsia="宋体" w:cs="Times New Roman"/>
                <w:color w:val="000000" w:themeColor="text1"/>
                <w:sz w:val="24"/>
                <w:highlight w:val="none"/>
                <w14:textFill>
                  <w14:solidFill>
                    <w14:schemeClr w14:val="tx1"/>
                  </w14:solidFill>
                </w14:textFill>
              </w:rPr>
              <w:t>废水水量为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11.52</w:t>
            </w:r>
            <w:r>
              <w:rPr>
                <w:rFonts w:ascii="Times New Roman" w:hAnsi="Times New Roman" w:eastAsia="宋体"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0.32</w:t>
            </w:r>
            <w:r>
              <w:rPr>
                <w:rFonts w:ascii="Times New Roman" w:hAnsi="Times New Roman" w:eastAsia="宋体" w:cs="Times New Roman"/>
                <w:color w:val="000000" w:themeColor="text1"/>
                <w:sz w:val="24"/>
                <w:highlight w:val="none"/>
                <w14:textFill>
                  <w14:solidFill>
                    <w14:schemeClr w14:val="tx1"/>
                  </w14:solidFill>
                </w14:textFill>
              </w:rPr>
              <w:t>t*6*6=</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11.52</w:t>
            </w:r>
            <w:r>
              <w:rPr>
                <w:rFonts w:ascii="Times New Roman" w:hAnsi="Times New Roman" w:eastAsia="宋体" w:cs="Times New Roman"/>
                <w:color w:val="000000" w:themeColor="text1"/>
                <w:sz w:val="24"/>
                <w:highlight w:val="none"/>
                <w14:textFill>
                  <w14:solidFill>
                    <w14:schemeClr w14:val="tx1"/>
                  </w14:solidFill>
                </w14:textFill>
              </w:rPr>
              <w:t>t），用水过程中存在少量损耗，需要定时补充损耗水量，每天损耗量约为水槽有效容积的5%，约0.0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96</w:t>
            </w:r>
            <w:r>
              <w:rPr>
                <w:rFonts w:ascii="Times New Roman" w:hAnsi="Times New Roman" w:eastAsia="宋体" w:cs="Times New Roman"/>
                <w:color w:val="000000" w:themeColor="text1"/>
                <w:sz w:val="24"/>
                <w:highlight w:val="none"/>
                <w14:textFill>
                  <w14:solidFill>
                    <w14:schemeClr w14:val="tx1"/>
                  </w14:solidFill>
                </w14:textFill>
              </w:rPr>
              <w:t>t/d，则年损耗量为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28.8</w:t>
            </w:r>
            <w:r>
              <w:rPr>
                <w:rFonts w:ascii="Times New Roman" w:hAnsi="Times New Roman" w:eastAsia="宋体" w:cs="Times New Roman"/>
                <w:color w:val="000000" w:themeColor="text1"/>
                <w:sz w:val="24"/>
                <w:highlight w:val="none"/>
                <w14:textFill>
                  <w14:solidFill>
                    <w14:schemeClr w14:val="tx1"/>
                  </w14:solidFill>
                </w14:textFill>
              </w:rPr>
              <w:t>t</w:t>
            </w:r>
            <w:r>
              <w:rPr>
                <w:rFonts w:ascii="Times New Roman" w:hAnsi="Times New Roman" w:eastAsia="宋体" w:cs="Times New Roman"/>
                <w:color w:val="000000" w:themeColor="text1"/>
                <w:sz w:val="24"/>
                <w:szCs w:val="24"/>
                <w:highlight w:val="none"/>
                <w14:textFill>
                  <w14:solidFill>
                    <w14:schemeClr w14:val="tx1"/>
                  </w14:solidFill>
                </w14:textFill>
              </w:rPr>
              <w:t>，则挤出机用水量为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40.32</w:t>
            </w:r>
            <w:r>
              <w:rPr>
                <w:rFonts w:ascii="Times New Roman" w:hAnsi="Times New Roman" w:eastAsia="宋体" w:cs="Times New Roman"/>
                <w:color w:val="000000" w:themeColor="text1"/>
                <w:sz w:val="24"/>
                <w:szCs w:val="24"/>
                <w:highlight w:val="none"/>
                <w14:textFill>
                  <w14:solidFill>
                    <w14:schemeClr w14:val="tx1"/>
                  </w14:solidFill>
                </w14:textFill>
              </w:rPr>
              <w:t>t/a</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经收集后定期委托</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有废水处理能力机构转移</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处理</w:t>
            </w: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w:t>
            </w:r>
          </w:p>
          <w:p w14:paraId="006D4766">
            <w:pPr>
              <w:pStyle w:val="5"/>
              <w:spacing w:before="0" w:after="0" w:line="240" w:lineRule="auto"/>
              <w:jc w:val="center"/>
              <w:rPr>
                <w:rFonts w:hint="default" w:ascii="Times New Roman" w:hAnsi="Times New Roman" w:eastAsia="宋体" w:cs="Times New Roman"/>
                <w:b/>
                <w:color w:val="000000" w:themeColor="text1"/>
                <w:sz w:val="2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全厂用排水情况一览表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1738"/>
              <w:gridCol w:w="1376"/>
              <w:gridCol w:w="1376"/>
              <w:gridCol w:w="925"/>
              <w:gridCol w:w="1827"/>
            </w:tblGrid>
            <w:tr w14:paraId="2945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4" w:type="pct"/>
                  <w:noWrap w:val="0"/>
                  <w:vAlign w:val="center"/>
                </w:tcPr>
                <w:p w14:paraId="1E0EF988">
                  <w:pPr>
                    <w:pStyle w:val="45"/>
                    <w:keepNext w:val="0"/>
                    <w:keepLines w:val="0"/>
                    <w:pageBreakBefore w:val="0"/>
                    <w:widowControl w:val="0"/>
                    <w:kinsoku/>
                    <w:wordWrap w:val="0"/>
                    <w:overflowPunct w:val="0"/>
                    <w:topLinePunct/>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用水类别</w:t>
                  </w:r>
                </w:p>
              </w:tc>
              <w:tc>
                <w:tcPr>
                  <w:tcW w:w="1052" w:type="pct"/>
                  <w:noWrap w:val="0"/>
                  <w:vAlign w:val="center"/>
                </w:tcPr>
                <w:p w14:paraId="4222EA65">
                  <w:pPr>
                    <w:pStyle w:val="45"/>
                    <w:keepNext w:val="0"/>
                    <w:keepLines w:val="0"/>
                    <w:pageBreakBefore w:val="0"/>
                    <w:widowControl w:val="0"/>
                    <w:kinsoku/>
                    <w:wordWrap w:val="0"/>
                    <w:overflowPunct w:val="0"/>
                    <w:topLinePunct/>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设备/工序</w:t>
                  </w:r>
                </w:p>
              </w:tc>
              <w:tc>
                <w:tcPr>
                  <w:tcW w:w="833" w:type="pct"/>
                  <w:noWrap w:val="0"/>
                  <w:vAlign w:val="center"/>
                </w:tcPr>
                <w:p w14:paraId="2ADEEA14">
                  <w:pPr>
                    <w:pStyle w:val="45"/>
                    <w:keepNext w:val="0"/>
                    <w:keepLines w:val="0"/>
                    <w:pageBreakBefore w:val="0"/>
                    <w:widowControl w:val="0"/>
                    <w:kinsoku/>
                    <w:wordWrap w:val="0"/>
                    <w:overflowPunct w:val="0"/>
                    <w:topLinePunct/>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总用水量t/a</w:t>
                  </w:r>
                </w:p>
              </w:tc>
              <w:tc>
                <w:tcPr>
                  <w:tcW w:w="833" w:type="pct"/>
                  <w:noWrap w:val="0"/>
                  <w:vAlign w:val="center"/>
                </w:tcPr>
                <w:p w14:paraId="665927D2">
                  <w:pPr>
                    <w:pStyle w:val="45"/>
                    <w:keepNext w:val="0"/>
                    <w:keepLines w:val="0"/>
                    <w:pageBreakBefore w:val="0"/>
                    <w:widowControl w:val="0"/>
                    <w:kinsoku/>
                    <w:wordWrap w:val="0"/>
                    <w:overflowPunct w:val="0"/>
                    <w:topLinePunct/>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损耗量t/a</w:t>
                  </w:r>
                </w:p>
              </w:tc>
              <w:tc>
                <w:tcPr>
                  <w:tcW w:w="560" w:type="pct"/>
                  <w:noWrap w:val="0"/>
                  <w:vAlign w:val="center"/>
                </w:tcPr>
                <w:p w14:paraId="77B9FA7F">
                  <w:pPr>
                    <w:pStyle w:val="45"/>
                    <w:keepNext w:val="0"/>
                    <w:keepLines w:val="0"/>
                    <w:pageBreakBefore w:val="0"/>
                    <w:widowControl w:val="0"/>
                    <w:kinsoku/>
                    <w:wordWrap w:val="0"/>
                    <w:overflowPunct w:val="0"/>
                    <w:topLinePunct/>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废水量t/a</w:t>
                  </w:r>
                </w:p>
              </w:tc>
              <w:tc>
                <w:tcPr>
                  <w:tcW w:w="1106" w:type="pct"/>
                  <w:noWrap w:val="0"/>
                  <w:vAlign w:val="center"/>
                </w:tcPr>
                <w:p w14:paraId="7D4A3075">
                  <w:pPr>
                    <w:pStyle w:val="45"/>
                    <w:keepNext w:val="0"/>
                    <w:keepLines w:val="0"/>
                    <w:pageBreakBefore w:val="0"/>
                    <w:widowControl w:val="0"/>
                    <w:kinsoku/>
                    <w:wordWrap w:val="0"/>
                    <w:overflowPunct w:val="0"/>
                    <w:topLinePunct/>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废水去向</w:t>
                  </w:r>
                </w:p>
              </w:tc>
            </w:tr>
            <w:tr w14:paraId="0745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4" w:type="pct"/>
                  <w:noWrap w:val="0"/>
                  <w:vAlign w:val="center"/>
                </w:tcPr>
                <w:p w14:paraId="112FA8C6">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生活用水</w:t>
                  </w:r>
                </w:p>
              </w:tc>
              <w:tc>
                <w:tcPr>
                  <w:tcW w:w="1052" w:type="pct"/>
                  <w:noWrap w:val="0"/>
                  <w:vAlign w:val="center"/>
                </w:tcPr>
                <w:p w14:paraId="29EDEB1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生活用排水</w:t>
                  </w:r>
                </w:p>
              </w:tc>
              <w:tc>
                <w:tcPr>
                  <w:tcW w:w="833" w:type="pct"/>
                  <w:noWrap w:val="0"/>
                  <w:vAlign w:val="center"/>
                </w:tcPr>
                <w:p w14:paraId="598F9AD2">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510</w:t>
                  </w:r>
                </w:p>
              </w:tc>
              <w:tc>
                <w:tcPr>
                  <w:tcW w:w="833" w:type="pct"/>
                  <w:noWrap w:val="0"/>
                  <w:vAlign w:val="center"/>
                </w:tcPr>
                <w:p w14:paraId="6EDE2228">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51</w:t>
                  </w:r>
                </w:p>
              </w:tc>
              <w:tc>
                <w:tcPr>
                  <w:tcW w:w="560" w:type="pct"/>
                  <w:noWrap w:val="0"/>
                  <w:vAlign w:val="center"/>
                </w:tcPr>
                <w:p w14:paraId="3AC3BDD2">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459</w:t>
                  </w:r>
                </w:p>
              </w:tc>
              <w:tc>
                <w:tcPr>
                  <w:tcW w:w="1106" w:type="pct"/>
                  <w:noWrap w:val="0"/>
                  <w:vAlign w:val="center"/>
                </w:tcPr>
                <w:p w14:paraId="2127FB74">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生活污水经三级化粪池预处理后，排入</w:t>
                  </w: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处理后排入</w:t>
                  </w:r>
                  <w:r>
                    <w:rPr>
                      <w:rFonts w:hint="eastAsia"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石岐河</w:t>
                  </w:r>
                </w:p>
              </w:tc>
            </w:tr>
            <w:tr w14:paraId="1350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4" w:type="pct"/>
                  <w:vMerge w:val="restart"/>
                  <w:noWrap w:val="0"/>
                  <w:vAlign w:val="center"/>
                </w:tcPr>
                <w:p w14:paraId="435BCA91">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生产用水</w:t>
                  </w:r>
                </w:p>
              </w:tc>
              <w:tc>
                <w:tcPr>
                  <w:tcW w:w="1052" w:type="pct"/>
                  <w:noWrap w:val="0"/>
                  <w:vAlign w:val="center"/>
                </w:tcPr>
                <w:p w14:paraId="7C7D3771">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冷却用排水</w:t>
                  </w:r>
                </w:p>
              </w:tc>
              <w:tc>
                <w:tcPr>
                  <w:tcW w:w="833" w:type="pct"/>
                  <w:noWrap w:val="0"/>
                  <w:vAlign w:val="center"/>
                </w:tcPr>
                <w:p w14:paraId="57736770">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460.8</w:t>
                  </w:r>
                </w:p>
              </w:tc>
              <w:tc>
                <w:tcPr>
                  <w:tcW w:w="833" w:type="pct"/>
                  <w:noWrap w:val="0"/>
                  <w:vAlign w:val="center"/>
                </w:tcPr>
                <w:p w14:paraId="0D28E11D">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460.8</w:t>
                  </w:r>
                </w:p>
              </w:tc>
              <w:tc>
                <w:tcPr>
                  <w:tcW w:w="560" w:type="pct"/>
                  <w:noWrap w:val="0"/>
                  <w:vAlign w:val="center"/>
                </w:tcPr>
                <w:p w14:paraId="51257D25">
                  <w:pPr>
                    <w:jc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c>
                <w:tcPr>
                  <w:tcW w:w="1106" w:type="pct"/>
                  <w:noWrap w:val="0"/>
                  <w:vAlign w:val="center"/>
                </w:tcPr>
                <w:p w14:paraId="3ACDBD5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循环使用不外排</w:t>
                  </w:r>
                </w:p>
              </w:tc>
            </w:tr>
            <w:tr w14:paraId="06144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4" w:type="pct"/>
                  <w:vMerge w:val="continue"/>
                  <w:noWrap w:val="0"/>
                  <w:vAlign w:val="center"/>
                </w:tcPr>
                <w:p w14:paraId="2A4C3310">
                  <w:pPr>
                    <w:jc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p>
              </w:tc>
              <w:tc>
                <w:tcPr>
                  <w:tcW w:w="1052" w:type="pct"/>
                  <w:noWrap w:val="0"/>
                  <w:vAlign w:val="center"/>
                </w:tcPr>
                <w:p w14:paraId="7450870D">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切粒</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用排水</w:t>
                  </w:r>
                </w:p>
              </w:tc>
              <w:tc>
                <w:tcPr>
                  <w:tcW w:w="833" w:type="pct"/>
                  <w:noWrap w:val="0"/>
                  <w:vAlign w:val="center"/>
                </w:tcPr>
                <w:p w14:paraId="334EA52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40.32</w:t>
                  </w:r>
                </w:p>
              </w:tc>
              <w:tc>
                <w:tcPr>
                  <w:tcW w:w="833" w:type="pct"/>
                  <w:noWrap w:val="0"/>
                  <w:vAlign w:val="center"/>
                </w:tcPr>
                <w:p w14:paraId="62C20509">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28.8</w:t>
                  </w:r>
                </w:p>
              </w:tc>
              <w:tc>
                <w:tcPr>
                  <w:tcW w:w="560" w:type="pct"/>
                  <w:noWrap w:val="0"/>
                  <w:vAlign w:val="center"/>
                </w:tcPr>
                <w:p w14:paraId="6A41AB5F">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11.52</w:t>
                  </w:r>
                </w:p>
              </w:tc>
              <w:tc>
                <w:tcPr>
                  <w:tcW w:w="1106" w:type="pct"/>
                  <w:noWrap w:val="0"/>
                  <w:vAlign w:val="center"/>
                </w:tcPr>
                <w:p w14:paraId="1E18B3B8">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经收集后定期委托</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有废水处理能力机构转移</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处理</w:t>
                  </w:r>
                </w:p>
              </w:tc>
            </w:tr>
            <w:tr w14:paraId="21A14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4" w:type="pct"/>
                  <w:vMerge w:val="restart"/>
                  <w:noWrap w:val="0"/>
                  <w:vAlign w:val="center"/>
                </w:tcPr>
                <w:p w14:paraId="21D95C1B">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合计</w:t>
                  </w:r>
                </w:p>
              </w:tc>
              <w:tc>
                <w:tcPr>
                  <w:tcW w:w="1052" w:type="pct"/>
                  <w:noWrap w:val="0"/>
                  <w:vAlign w:val="center"/>
                </w:tcPr>
                <w:p w14:paraId="7FCE35F2">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生活用排水</w:t>
                  </w:r>
                </w:p>
              </w:tc>
              <w:tc>
                <w:tcPr>
                  <w:tcW w:w="1376" w:type="dxa"/>
                  <w:noWrap w:val="0"/>
                  <w:vAlign w:val="center"/>
                </w:tcPr>
                <w:p w14:paraId="5AA003AD">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510</w:t>
                  </w:r>
                </w:p>
              </w:tc>
              <w:tc>
                <w:tcPr>
                  <w:tcW w:w="1376" w:type="dxa"/>
                  <w:noWrap w:val="0"/>
                  <w:vAlign w:val="center"/>
                </w:tcPr>
                <w:p w14:paraId="48ADDB47">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51</w:t>
                  </w:r>
                </w:p>
              </w:tc>
              <w:tc>
                <w:tcPr>
                  <w:tcW w:w="925" w:type="dxa"/>
                  <w:noWrap w:val="0"/>
                  <w:vAlign w:val="center"/>
                </w:tcPr>
                <w:p w14:paraId="24243737">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459</w:t>
                  </w:r>
                </w:p>
              </w:tc>
              <w:tc>
                <w:tcPr>
                  <w:tcW w:w="1827" w:type="dxa"/>
                  <w:noWrap w:val="0"/>
                  <w:vAlign w:val="center"/>
                </w:tcPr>
                <w:p w14:paraId="3DB0107F">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生活污水经三级化粪池预处理后，排入</w:t>
                  </w: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处理后排入</w:t>
                  </w:r>
                  <w:r>
                    <w:rPr>
                      <w:rFonts w:hint="eastAsia"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石岐河</w:t>
                  </w:r>
                </w:p>
              </w:tc>
            </w:tr>
            <w:tr w14:paraId="436A3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4" w:type="pct"/>
                  <w:vMerge w:val="continue"/>
                  <w:noWrap w:val="0"/>
                  <w:vAlign w:val="center"/>
                </w:tcPr>
                <w:p w14:paraId="481585CD">
                  <w:pPr>
                    <w:jc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p>
              </w:tc>
              <w:tc>
                <w:tcPr>
                  <w:tcW w:w="1052" w:type="pct"/>
                  <w:noWrap w:val="0"/>
                  <w:vAlign w:val="center"/>
                </w:tcPr>
                <w:p w14:paraId="51ECA81E">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生产用水</w:t>
                  </w:r>
                </w:p>
              </w:tc>
              <w:tc>
                <w:tcPr>
                  <w:tcW w:w="833" w:type="pct"/>
                  <w:noWrap w:val="0"/>
                  <w:vAlign w:val="center"/>
                </w:tcPr>
                <w:p w14:paraId="798A44CD">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501.12</w:t>
                  </w:r>
                </w:p>
              </w:tc>
              <w:tc>
                <w:tcPr>
                  <w:tcW w:w="833" w:type="pct"/>
                  <w:noWrap w:val="0"/>
                  <w:vAlign w:val="center"/>
                </w:tcPr>
                <w:p w14:paraId="4775E087">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489.6</w:t>
                  </w:r>
                </w:p>
              </w:tc>
              <w:tc>
                <w:tcPr>
                  <w:tcW w:w="925" w:type="dxa"/>
                  <w:noWrap w:val="0"/>
                  <w:vAlign w:val="center"/>
                </w:tcPr>
                <w:p w14:paraId="39F7010F">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11.52</w:t>
                  </w:r>
                </w:p>
              </w:tc>
              <w:tc>
                <w:tcPr>
                  <w:tcW w:w="1827" w:type="dxa"/>
                  <w:noWrap w:val="0"/>
                  <w:vAlign w:val="center"/>
                </w:tcPr>
                <w:p w14:paraId="7C0E7A88">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经收集后定期委托</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有废水处理能力机构转移</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处理</w:t>
                  </w:r>
                </w:p>
              </w:tc>
            </w:tr>
          </w:tbl>
          <w:p w14:paraId="09499A39">
            <w:pPr>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eastAsia="zh-CN"/>
                <w14:textFill>
                  <w14:solidFill>
                    <w14:schemeClr w14:val="tx1"/>
                  </w14:solidFill>
                </w14:textFill>
              </w:rPr>
              <w:object>
                <v:shape id="_x0000_i1025" o:spt="75" type="#_x0000_t75" style="height:127.7pt;width:375.9pt;" o:ole="t" filled="f" o:preferrelative="t" stroked="f" coordsize="21600,21600">
                  <v:path/>
                  <v:fill on="f" focussize="0,0"/>
                  <v:stroke on="f"/>
                  <v:imagedata r:id="rId12" o:title=""/>
                  <o:lock v:ext="edit" aspectratio="t"/>
                  <w10:wrap type="none"/>
                  <w10:anchorlock/>
                </v:shape>
                <o:OLEObject Type="Embed" ProgID="Visio.Drawing.15" ShapeID="_x0000_i1025" DrawAspect="Content" ObjectID="_1468075725" r:id="rId11">
                  <o:LockedField>false</o:LockedField>
                </o:OLEObject>
              </w:object>
            </w:r>
          </w:p>
          <w:p w14:paraId="11D7629A">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图1、项目水平衡图（t/a）</w:t>
            </w:r>
          </w:p>
          <w:p w14:paraId="7935AE88">
            <w:pPr>
              <w:spacing w:line="480" w:lineRule="exact"/>
              <w:ind w:firstLine="422" w:firstLine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8、能耗情况</w:t>
            </w:r>
          </w:p>
          <w:p w14:paraId="4F4724A4">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主要能源消耗一览表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2"/>
              <w:gridCol w:w="2750"/>
              <w:gridCol w:w="2752"/>
            </w:tblGrid>
            <w:tr w14:paraId="43AC4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7" w:type="pct"/>
                  <w:vAlign w:val="center"/>
                </w:tcPr>
                <w:p w14:paraId="5B0E27E5">
                  <w:pPr>
                    <w:snapToGrid w:val="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名称</w:t>
                  </w:r>
                </w:p>
              </w:tc>
              <w:tc>
                <w:tcPr>
                  <w:tcW w:w="1666" w:type="pct"/>
                  <w:vAlign w:val="center"/>
                </w:tcPr>
                <w:p w14:paraId="02B7CEFA">
                  <w:pPr>
                    <w:snapToGrid w:val="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年用量</w:t>
                  </w:r>
                </w:p>
              </w:tc>
              <w:tc>
                <w:tcPr>
                  <w:tcW w:w="1667" w:type="pct"/>
                  <w:vAlign w:val="center"/>
                </w:tcPr>
                <w:p w14:paraId="14747431">
                  <w:pPr>
                    <w:snapToGrid w:val="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备注</w:t>
                  </w:r>
                </w:p>
              </w:tc>
            </w:tr>
            <w:tr w14:paraId="38A6D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7" w:type="pct"/>
                  <w:vAlign w:val="center"/>
                </w:tcPr>
                <w:p w14:paraId="0B846498">
                  <w:pPr>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电</w:t>
                  </w:r>
                </w:p>
              </w:tc>
              <w:tc>
                <w:tcPr>
                  <w:tcW w:w="1666" w:type="pct"/>
                  <w:vAlign w:val="center"/>
                </w:tcPr>
                <w:p w14:paraId="4B47A076">
                  <w:pPr>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130</w:t>
                  </w:r>
                  <w:r>
                    <w:rPr>
                      <w:rFonts w:hint="default" w:ascii="Times New Roman" w:hAnsi="Times New Roman" w:eastAsia="宋体" w:cs="Times New Roman"/>
                      <w:color w:val="000000" w:themeColor="text1"/>
                      <w:szCs w:val="21"/>
                      <w:highlight w:val="none"/>
                      <w14:textFill>
                        <w14:solidFill>
                          <w14:schemeClr w14:val="tx1"/>
                        </w14:solidFill>
                      </w14:textFill>
                    </w:rPr>
                    <w:t>万度</w:t>
                  </w:r>
                </w:p>
              </w:tc>
              <w:tc>
                <w:tcPr>
                  <w:tcW w:w="1667" w:type="pct"/>
                  <w:vAlign w:val="center"/>
                </w:tcPr>
                <w:p w14:paraId="01FFD5DD">
                  <w:pPr>
                    <w:snapToGrid w:val="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市政供电</w:t>
                  </w:r>
                </w:p>
              </w:tc>
            </w:tr>
          </w:tbl>
          <w:p w14:paraId="0A84BFE6">
            <w:pPr>
              <w:pStyle w:val="66"/>
              <w:ind w:firstLine="482"/>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lang w:val="en-US"/>
                <w14:textFill>
                  <w14:solidFill>
                    <w14:schemeClr w14:val="tx1"/>
                  </w14:solidFill>
                </w14:textFill>
              </w:rPr>
              <w:t>9</w:t>
            </w:r>
            <w:r>
              <w:rPr>
                <w:rFonts w:hint="default" w:ascii="Times New Roman" w:hAnsi="Times New Roman" w:eastAsia="宋体" w:cs="Times New Roman"/>
                <w:b/>
                <w:color w:val="000000" w:themeColor="text1"/>
                <w:highlight w:val="none"/>
                <w14:textFill>
                  <w14:solidFill>
                    <w14:schemeClr w14:val="tx1"/>
                  </w14:solidFill>
                </w14:textFill>
              </w:rPr>
              <w:t>、平面布局情况</w:t>
            </w:r>
          </w:p>
          <w:p w14:paraId="33C4139E">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项目租用1栋5层高的钢筋混凝土厂房作为办公楼，租用2栋1层高的锌铁棚混凝土厂房为仓库，1栋1层高的锌铁棚混凝土厂房为生产车间，办公楼位于厂区的南面，仓库与生产车间共墙并位于厂区的中部。</w:t>
            </w:r>
            <w:r>
              <w:rPr>
                <w:rFonts w:hint="default" w:ascii="Times New Roman" w:hAnsi="Times New Roman" w:eastAsia="宋体" w:cs="Times New Roman"/>
                <w:color w:val="000000" w:themeColor="text1"/>
                <w:sz w:val="24"/>
                <w:highlight w:val="none"/>
                <w14:textFill>
                  <w14:solidFill>
                    <w14:schemeClr w14:val="tx1"/>
                  </w14:solidFill>
                </w14:textFill>
              </w:rPr>
              <w:t>对于项目生产车间，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西北侧为破碎区，北侧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为</w:t>
            </w: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投料、挤出、冷却、切粒、分选区</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排气筒G</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、G2</w:t>
            </w:r>
            <w:r>
              <w:rPr>
                <w:rFonts w:hint="default" w:ascii="Times New Roman" w:hAnsi="Times New Roman" w:cs="Times New Roman"/>
                <w:color w:val="000000" w:themeColor="text1"/>
                <w:sz w:val="24"/>
                <w:szCs w:val="24"/>
                <w:highlight w:val="none"/>
                <w14:textFill>
                  <w14:solidFill>
                    <w14:schemeClr w14:val="tx1"/>
                  </w14:solidFill>
                </w14:textFill>
              </w:rPr>
              <w:t>位于</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厂区的西北</w:t>
            </w:r>
            <w:r>
              <w:rPr>
                <w:rFonts w:hint="default" w:ascii="Times New Roman" w:hAnsi="Times New Roman" w:eastAsia="宋体" w:cs="Times New Roman"/>
                <w:color w:val="000000" w:themeColor="text1"/>
                <w:sz w:val="24"/>
                <w:szCs w:val="24"/>
                <w:highlight w:val="none"/>
                <w14:textFill>
                  <w14:solidFill>
                    <w14:schemeClr w14:val="tx1"/>
                  </w14:solidFill>
                </w14:textFill>
              </w:rPr>
              <w:t>侧</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项目最近敏感点</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为厂房西</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南</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侧的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169</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m处的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隆昌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bidi="ar"/>
                <w14:textFill>
                  <w14:solidFill>
                    <w14:schemeClr w14:val="tx1"/>
                  </w14:solidFill>
                </w14:textFill>
              </w:rPr>
              <w:t>项目</w:t>
            </w:r>
            <w:r>
              <w:rPr>
                <w:rFonts w:hint="default" w:ascii="Times New Roman" w:hAnsi="Times New Roman" w:eastAsia="宋体" w:cs="Times New Roman"/>
                <w:color w:val="000000" w:themeColor="text1"/>
                <w:sz w:val="24"/>
                <w:highlight w:val="none"/>
                <w14:textFill>
                  <w14:solidFill>
                    <w14:schemeClr w14:val="tx1"/>
                  </w14:solidFill>
                </w14:textFill>
              </w:rPr>
              <w:t>通过合理安排生产车间布局</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排气筒尽量远离敏感点</w:t>
            </w:r>
            <w:r>
              <w:rPr>
                <w:rFonts w:hint="default" w:ascii="Times New Roman" w:hAnsi="Times New Roman" w:eastAsia="宋体" w:cs="Times New Roman"/>
                <w:color w:val="000000" w:themeColor="text1"/>
                <w:sz w:val="24"/>
                <w:highlight w:val="none"/>
                <w14:textFill>
                  <w14:solidFill>
                    <w14:schemeClr w14:val="tx1"/>
                  </w14:solidFill>
                </w14:textFill>
              </w:rPr>
              <w:t>并采取消声降噪等处理措施后厂界噪声均能达标排放，故平面布置情况相对合理。</w:t>
            </w:r>
          </w:p>
          <w:p w14:paraId="46F571A0">
            <w:pPr>
              <w:pStyle w:val="66"/>
              <w:ind w:firstLine="482"/>
              <w:rPr>
                <w:rFonts w:hint="default" w:ascii="Times New Roman" w:hAnsi="Times New Roman" w:eastAsia="宋体" w:cs="Times New Roman"/>
                <w:b/>
                <w:color w:val="000000" w:themeColor="text1"/>
                <w:highlight w:val="none"/>
                <w:lang w:val="en-US"/>
                <w14:textFill>
                  <w14:solidFill>
                    <w14:schemeClr w14:val="tx1"/>
                  </w14:solidFill>
                </w14:textFill>
              </w:rPr>
            </w:pPr>
            <w:r>
              <w:rPr>
                <w:rFonts w:hint="default" w:ascii="Times New Roman" w:hAnsi="Times New Roman" w:eastAsia="宋体" w:cs="Times New Roman"/>
                <w:b/>
                <w:color w:val="000000" w:themeColor="text1"/>
                <w:highlight w:val="none"/>
                <w:lang w:val="en-US"/>
                <w14:textFill>
                  <w14:solidFill>
                    <w14:schemeClr w14:val="tx1"/>
                  </w14:solidFill>
                </w14:textFill>
              </w:rPr>
              <w:t>10</w:t>
            </w:r>
            <w:r>
              <w:rPr>
                <w:rFonts w:hint="default" w:ascii="Times New Roman" w:hAnsi="Times New Roman" w:eastAsia="宋体" w:cs="Times New Roman"/>
                <w:b/>
                <w:color w:val="000000" w:themeColor="text1"/>
                <w:highlight w:val="none"/>
                <w14:textFill>
                  <w14:solidFill>
                    <w14:schemeClr w14:val="tx1"/>
                  </w14:solidFill>
                </w14:textFill>
              </w:rPr>
              <w:t>、四至</w:t>
            </w:r>
            <w:r>
              <w:rPr>
                <w:rFonts w:hint="default" w:ascii="Times New Roman" w:hAnsi="Times New Roman" w:eastAsia="宋体" w:cs="Times New Roman"/>
                <w:b/>
                <w:color w:val="000000" w:themeColor="text1"/>
                <w:highlight w:val="none"/>
                <w:lang w:val="en-US"/>
                <w14:textFill>
                  <w14:solidFill>
                    <w14:schemeClr w14:val="tx1"/>
                  </w14:solidFill>
                </w14:textFill>
              </w:rPr>
              <w:t>情况</w:t>
            </w:r>
          </w:p>
          <w:p w14:paraId="236A387C">
            <w:pPr>
              <w:spacing w:line="360" w:lineRule="auto"/>
              <w:ind w:firstLine="480" w:firstLineChars="20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项目</w:t>
            </w:r>
            <w:r>
              <w:rPr>
                <w:rFonts w:hint="default" w:ascii="Times New Roman" w:hAnsi="Times New Roman" w:eastAsia="宋体" w:cs="Times New Roman"/>
                <w:color w:val="000000" w:themeColor="text1"/>
                <w:sz w:val="24"/>
                <w:highlight w:val="none"/>
                <w14:textFill>
                  <w14:solidFill>
                    <w14:schemeClr w14:val="tx1"/>
                  </w14:solidFill>
                </w14:textFill>
              </w:rPr>
              <w:t>西面</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在建厂房</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南面隔</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金昌工业</w:t>
            </w:r>
            <w:r>
              <w:rPr>
                <w:rFonts w:hint="default" w:ascii="Times New Roman" w:hAnsi="Times New Roman" w:eastAsia="宋体" w:cs="Times New Roman"/>
                <w:color w:val="000000" w:themeColor="text1"/>
                <w:sz w:val="24"/>
                <w:highlight w:val="none"/>
                <w14:textFill>
                  <w14:solidFill>
                    <w14:schemeClr w14:val="tx1"/>
                  </w14:solidFill>
                </w14:textFill>
              </w:rPr>
              <w:t>路为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阳光气体</w:t>
            </w:r>
            <w:r>
              <w:rPr>
                <w:rFonts w:hint="default" w:ascii="Times New Roman" w:hAnsi="Times New Roman" w:eastAsia="宋体" w:cs="Times New Roman"/>
                <w:color w:val="000000" w:themeColor="text1"/>
                <w:sz w:val="24"/>
                <w:highlight w:val="none"/>
                <w14:textFill>
                  <w14:solidFill>
                    <w14:schemeClr w14:val="tx1"/>
                  </w14:solidFill>
                </w14:textFill>
              </w:rPr>
              <w:t>，东面为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广东艾润克润滑科技有限公司</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北面</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隔河为鱼塘</w:t>
            </w:r>
            <w:r>
              <w:rPr>
                <w:rFonts w:hint="default" w:ascii="Times New Roman" w:hAnsi="Times New Roman" w:eastAsia="宋体" w:cs="Times New Roman"/>
                <w:color w:val="000000" w:themeColor="text1"/>
                <w:sz w:val="24"/>
                <w:highlight w:val="none"/>
                <w14:textFill>
                  <w14:solidFill>
                    <w14:schemeClr w14:val="tx1"/>
                  </w14:solidFill>
                </w14:textFill>
              </w:rPr>
              <w:t>。</w:t>
            </w:r>
          </w:p>
        </w:tc>
      </w:tr>
      <w:tr w14:paraId="7551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9" w:type="pct"/>
            <w:vAlign w:val="center"/>
          </w:tcPr>
          <w:p w14:paraId="319D2EFC">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工艺流程和产排污环节</w:t>
            </w:r>
          </w:p>
        </w:tc>
        <w:tc>
          <w:tcPr>
            <w:tcW w:w="4710" w:type="pct"/>
          </w:tcPr>
          <w:p w14:paraId="5C1B7960">
            <w:pPr>
              <w:spacing w:line="480" w:lineRule="exact"/>
              <w:ind w:firstLine="482" w:firstLineChars="200"/>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工艺流程简述（流程图）</w: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p>
          <w:p w14:paraId="6E5725A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pic:cNvPicPr>
                            <a:picLocks noChangeAspect="1"/>
                          </pic:cNvPicPr>
                        </pic:nvPicPr>
                        <pic:blipFill>
                          <a:blip r:embed="rId13"/>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4"/>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4"/>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5"/>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5"/>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15"/>
                          <a:stretch>
                            <a:fillRect/>
                          </a:stretch>
                        </pic:blipFill>
                        <pic:spPr>
                          <a:xfrm>
                            <a:off x="0" y="0"/>
                            <a:ext cx="0" cy="0"/>
                          </a:xfrm>
                          <a:prstGeom prst="rect">
                            <a:avLst/>
                          </a:prstGeom>
                          <a:noFill/>
                          <a:ln>
                            <a:noFill/>
                          </a:ln>
                        </pic:spPr>
                      </pic:pic>
                    </a:graphicData>
                  </a:graphic>
                </wp:inline>
              </w:drawing>
            </w:r>
          </w:p>
          <w:p w14:paraId="4B0903CA">
            <w:pPr>
              <w:jc w:val="center"/>
              <w:rPr>
                <w:rFonts w:hint="eastAsia" w:ascii="Times New Roman" w:hAnsi="Times New Roman" w:cs="Times New Roman" w:eastAsiaTheme="minorEastAsia"/>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5"/>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16"/>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pic:cNvPicPr>
                        </pic:nvPicPr>
                        <pic:blipFill>
                          <a:blip r:embed="rId16"/>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0" cy="0"/>
                  <wp:effectExtent l="0" t="0" r="0" b="0"/>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16"/>
                          <a:stretch>
                            <a:fillRect/>
                          </a:stretch>
                        </pic:blipFill>
                        <pic:spPr>
                          <a:xfrm>
                            <a:off x="0" y="0"/>
                            <a:ext cx="0" cy="0"/>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object>
                <v:shape id="_x0000_i1026" o:spt="75" type="#_x0000_t75" style="height:338.65pt;width:407.6pt;" o:ole="t" filled="f" o:preferrelative="t" stroked="f" coordsize="21600,21600">
                  <v:path/>
                  <v:fill on="f" focussize="0,0"/>
                  <v:stroke on="f"/>
                  <v:imagedata r:id="rId18" o:title=""/>
                  <o:lock v:ext="edit" aspectratio="t"/>
                  <w10:wrap type="none"/>
                  <w10:anchorlock/>
                </v:shape>
                <o:OLEObject Type="Embed" ProgID="Visio.Drawing.15" ShapeID="_x0000_i1026" DrawAspect="Content" ObjectID="_1468075726" r:id="rId17">
                  <o:LockedField>false</o:LockedField>
                </o:OLEObject>
              </w:object>
            </w:r>
          </w:p>
          <w:p w14:paraId="59227221">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工艺流程说明：</w:t>
            </w:r>
          </w:p>
          <w:p w14:paraId="3793DF03">
            <w:pPr>
              <w:spacing w:line="480" w:lineRule="exact"/>
              <w:ind w:firstLine="482" w:firstLine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投料：</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通过人工投料将苯乙烯-丁二烯-苯乙烯共聚物、碳酸钙和聚苯乙烯投入搅拌缸前段设置的料筒内，环烷基橡胶油通过管道输送至搅拌机内（各原辅材料的比例约为苯乙烯-丁二烯-苯乙烯共聚物：碳酸钙：聚苯乙烯：环烷基橡胶油=80:6:4.6:10）。因投料过程部分原辅材料为粉状，因此此过程会产生部分的颗粒物、固废、噪声。年作业时间为1000h；</w:t>
            </w:r>
          </w:p>
          <w:p w14:paraId="49C74F79">
            <w:pPr>
              <w:spacing w:line="480" w:lineRule="exact"/>
              <w:ind w:firstLine="482" w:firstLineChars="200"/>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搅拌：</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项目搅料工序在搅拌机中进行密闭混合，搅拌时为常温密闭搅拌，无粉尘产生，该过程会产生噪声。年作业时间为1200h；</w:t>
            </w:r>
          </w:p>
          <w:p w14:paraId="7E2EC06D">
            <w:pPr>
              <w:spacing w:line="480" w:lineRule="exact"/>
              <w:ind w:firstLine="482" w:firstLineChars="200"/>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挤出、冷却：</w:t>
            </w:r>
            <w:r>
              <w:rPr>
                <w:rFonts w:ascii="Times New Roman" w:hAnsi="Times New Roman" w:eastAsia="宋体" w:cs="Times New Roman"/>
                <w:color w:val="000000" w:themeColor="text1"/>
                <w:sz w:val="24"/>
                <w:highlight w:val="none"/>
                <w14:textFill>
                  <w14:solidFill>
                    <w14:schemeClr w14:val="tx1"/>
                  </w14:solidFill>
                </w14:textFill>
              </w:rPr>
              <w:t>搅拌均匀后的原辅材料</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通过管道输送</w:t>
            </w:r>
            <w:r>
              <w:rPr>
                <w:rFonts w:ascii="Times New Roman" w:hAnsi="Times New Roman" w:eastAsia="宋体" w:cs="Times New Roman"/>
                <w:color w:val="000000" w:themeColor="text1"/>
                <w:sz w:val="24"/>
                <w:highlight w:val="none"/>
                <w14:textFill>
                  <w14:solidFill>
                    <w14:schemeClr w14:val="tx1"/>
                  </w14:solidFill>
                </w14:textFill>
              </w:rPr>
              <w:t>进入</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挤出工序</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14:textFill>
                  <w14:solidFill>
                    <w14:schemeClr w14:val="tx1"/>
                  </w14:solidFill>
                </w14:textFill>
              </w:rPr>
              <w:t>加热温度平均在160~180℃。经混合后熔融的物料进入挤出机组，由两根互相啮合的螺杆不断的做开口和封闭运动，强制性将物料输送前进，然后物料再进入单、双螺杆内高压挤出，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同时经冷却水间接冷却固化。</w:t>
            </w:r>
            <w:r>
              <w:rPr>
                <w:rFonts w:ascii="Times New Roman" w:hAnsi="Times New Roman" w:eastAsia="宋体" w:cs="Times New Roman"/>
                <w:color w:val="000000" w:themeColor="text1"/>
                <w:sz w:val="24"/>
                <w:highlight w:val="none"/>
                <w14:textFill>
                  <w14:solidFill>
                    <w14:schemeClr w14:val="tx1"/>
                  </w14:solidFill>
                </w14:textFill>
              </w:rPr>
              <w:t>此过程会产生少量</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有机废气、臭气浓度、</w:t>
            </w:r>
            <w:r>
              <w:rPr>
                <w:rFonts w:ascii="Times New Roman" w:hAnsi="Times New Roman" w:eastAsia="宋体" w:cs="Times New Roman"/>
                <w:color w:val="000000" w:themeColor="text1"/>
                <w:sz w:val="24"/>
                <w:highlight w:val="none"/>
                <w14:textFill>
                  <w14:solidFill>
                    <w14:schemeClr w14:val="tx1"/>
                  </w14:solidFill>
                </w14:textFill>
              </w:rPr>
              <w:t>噪声，年工作时间为2400h</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p>
          <w:p w14:paraId="71E12272">
            <w:pPr>
              <w:spacing w:line="480" w:lineRule="exact"/>
              <w:ind w:firstLine="482" w:firstLine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破碎：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挤出机机端会残留部分边角料，</w:t>
            </w:r>
            <w:r>
              <w:rPr>
                <w:rFonts w:ascii="Times New Roman" w:hAnsi="Times New Roman" w:eastAsia="宋体" w:cs="Times New Roman"/>
                <w:color w:val="000000" w:themeColor="text1"/>
                <w:sz w:val="24"/>
                <w:highlight w:val="none"/>
                <w14:textFill>
                  <w14:solidFill>
                    <w14:schemeClr w14:val="tx1"/>
                  </w14:solidFill>
                </w14:textFill>
              </w:rPr>
              <w:t>经破碎机破碎后形成破碎料（颗粒状），继续循环使用。破碎时破碎机处于密闭状态，静置一段时间后才打开破碎机</w:t>
            </w:r>
            <w:r>
              <w:rPr>
                <w:rFonts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只是打开破碎机过程可能会有极小部分的粉尘外溢，此过程会产生少量粉尘废气和噪声，</w:t>
            </w:r>
            <w:r>
              <w:rPr>
                <w:rFonts w:ascii="Times New Roman" w:hAnsi="Times New Roman" w:eastAsia="宋体" w:cs="Times New Roman"/>
                <w:color w:val="000000" w:themeColor="text1"/>
                <w:sz w:val="24"/>
                <w:szCs w:val="24"/>
                <w:highlight w:val="none"/>
                <w14:textFill>
                  <w14:solidFill>
                    <w14:schemeClr w14:val="tx1"/>
                  </w14:solidFill>
                </w14:textFill>
              </w:rPr>
              <w:t>年工作时间为1200h</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488679EC">
            <w:pPr>
              <w:spacing w:line="480" w:lineRule="exact"/>
              <w:ind w:firstLine="482" w:firstLine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切粒：</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挤出后的半成品通过管道输送进入切粒工序，按生产要求将半成品切割成所需的粒料（粒径约为0.3-0.5cm），切粒过程在水中进行，因此不产生粉尘，此过程会产生废水、噪声。年工作时间为2000h；</w:t>
            </w:r>
          </w:p>
          <w:p w14:paraId="3CB0D1B8">
            <w:pPr>
              <w:spacing w:line="360" w:lineRule="auto"/>
              <w:ind w:firstLine="482" w:firstLineChars="200"/>
              <w:rPr>
                <w:rFonts w:hint="eastAsia"/>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分选：</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粒料通过管道输送至振动筛处进行分选，目的是为了筛选出不合格产品，筛选出的不合格产品直接回用生产中，此过程会产生噪声。年工作时间为1200h；</w:t>
            </w:r>
          </w:p>
          <w:p w14:paraId="3C4C0245">
            <w:pPr>
              <w:pStyle w:val="44"/>
              <w:widowControl w:val="0"/>
              <w:spacing w:line="360" w:lineRule="auto"/>
              <w:ind w:firstLine="482" w:firstLineChars="200"/>
              <w:rPr>
                <w:rFonts w:hint="eastAsia" w:cs="Times New Roman"/>
                <w:color w:val="000000" w:themeColor="text1"/>
                <w:sz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注塑打样：</w:t>
            </w:r>
            <w:r>
              <w:rPr>
                <w:rFonts w:hint="eastAsia"/>
                <w:b w:val="0"/>
                <w:bCs w:val="0"/>
                <w:color w:val="000000" w:themeColor="text1"/>
                <w:sz w:val="24"/>
                <w:szCs w:val="24"/>
                <w:highlight w:val="none"/>
                <w:lang w:val="en-US" w:eastAsia="zh-CN"/>
                <w14:textFill>
                  <w14:solidFill>
                    <w14:schemeClr w14:val="tx1"/>
                  </w14:solidFill>
                </w14:textFill>
              </w:rPr>
              <w:t>抽取少部分产品（约0.05t/a）</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通过人工投料投入</w:t>
            </w:r>
            <w:r>
              <w:rPr>
                <w:rFonts w:hint="eastAsia" w:cs="Times New Roman"/>
                <w:b w:val="0"/>
                <w:bCs w:val="0"/>
                <w:color w:val="000000" w:themeColor="text1"/>
                <w:sz w:val="24"/>
                <w:highlight w:val="none"/>
                <w:lang w:val="en-US" w:eastAsia="zh-CN"/>
                <w14:textFill>
                  <w14:solidFill>
                    <w14:schemeClr w14:val="tx1"/>
                  </w14:solidFill>
                </w14:textFill>
              </w:rPr>
              <w:t>注塑打样机的料筒中</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w:t>
            </w:r>
            <w:r>
              <w:rPr>
                <w:rFonts w:hint="eastAsia" w:cs="Times New Roman"/>
                <w:b w:val="0"/>
                <w:bCs w:val="0"/>
                <w:color w:val="000000" w:themeColor="text1"/>
                <w:sz w:val="24"/>
                <w:highlight w:val="none"/>
                <w:lang w:val="en-US" w:eastAsia="zh-CN"/>
                <w14:textFill>
                  <w14:solidFill>
                    <w14:schemeClr w14:val="tx1"/>
                  </w14:solidFill>
                </w14:textFill>
              </w:rPr>
              <w:t>经注塑打样机注塑得出所需的打样品，</w:t>
            </w:r>
            <w:r>
              <w:rPr>
                <w:rFonts w:hint="eastAsia" w:ascii="Times New Roman" w:hAnsi="Times New Roman" w:eastAsia="宋体" w:cs="Times New Roman"/>
                <w:color w:val="000000" w:themeColor="text1"/>
                <w:sz w:val="24"/>
                <w:highlight w:val="none"/>
                <w14:textFill>
                  <w14:solidFill>
                    <w14:schemeClr w14:val="tx1"/>
                  </w14:solidFill>
                </w14:textFill>
              </w:rPr>
              <w:t>加热温度平均在160~180℃</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年工作时间为150h，该过程会产生有机废气、臭气浓度和噪声。</w:t>
            </w:r>
          </w:p>
          <w:p w14:paraId="226AA155">
            <w:pPr>
              <w:pStyle w:val="44"/>
              <w:widowControl w:val="0"/>
              <w:spacing w:line="360" w:lineRule="auto"/>
              <w:ind w:firstLine="482" w:firstLineChars="200"/>
              <w:rPr>
                <w:rFonts w:hint="default"/>
                <w:color w:val="000000" w:themeColor="text1"/>
                <w:highlight w:val="none"/>
                <w:lang w:val="en-US" w:eastAsia="zh-CN"/>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测试</w:t>
            </w:r>
            <w:r>
              <w:rPr>
                <w:rFonts w:hint="eastAsia" w:cs="Times New Roman"/>
                <w:color w:val="000000" w:themeColor="text1"/>
                <w:sz w:val="24"/>
                <w:highlight w:val="none"/>
                <w:lang w:val="en-US" w:eastAsia="zh-CN"/>
                <w14:textFill>
                  <w14:solidFill>
                    <w14:schemeClr w14:val="tx1"/>
                  </w14:solidFill>
                </w14:textFill>
              </w:rPr>
              <w:t>：对打样品进行测试，主要是对打样品</w:t>
            </w:r>
            <w:r>
              <w:rPr>
                <w:rFonts w:hint="eastAsia"/>
                <w:color w:val="000000" w:themeColor="text1"/>
                <w:sz w:val="24"/>
                <w:highlight w:val="none"/>
                <w14:textFill>
                  <w14:solidFill>
                    <w14:schemeClr w14:val="tx1"/>
                  </w14:solidFill>
                </w14:textFill>
              </w:rPr>
              <w:t>进行</w:t>
            </w:r>
            <w:r>
              <w:rPr>
                <w:rFonts w:hint="eastAsia"/>
                <w:color w:val="000000" w:themeColor="text1"/>
                <w:sz w:val="24"/>
                <w:highlight w:val="none"/>
                <w:lang w:val="en-US" w:eastAsia="zh-CN"/>
                <w14:textFill>
                  <w14:solidFill>
                    <w14:schemeClr w14:val="tx1"/>
                  </w14:solidFill>
                </w14:textFill>
              </w:rPr>
              <w:t>老化、</w:t>
            </w:r>
            <w:r>
              <w:rPr>
                <w:rFonts w:hint="eastAsia"/>
                <w:color w:val="000000" w:themeColor="text1"/>
                <w:sz w:val="24"/>
                <w:highlight w:val="none"/>
                <w14:textFill>
                  <w14:solidFill>
                    <w14:schemeClr w14:val="tx1"/>
                  </w14:solidFill>
                </w14:textFill>
              </w:rPr>
              <w:t>物理性能的检测，</w:t>
            </w:r>
            <w:r>
              <w:rPr>
                <w:rFonts w:hint="eastAsia"/>
                <w:color w:val="000000" w:themeColor="text1"/>
                <w:sz w:val="24"/>
                <w:highlight w:val="none"/>
                <w:lang w:val="en-US" w:eastAsia="zh-CN"/>
                <w14:textFill>
                  <w14:solidFill>
                    <w14:schemeClr w14:val="tx1"/>
                  </w14:solidFill>
                </w14:textFill>
              </w:rPr>
              <w:t>该过程会产生少量的检测废气，主要为有机废气、臭气浓度和噪声，年作业时间为100</w:t>
            </w:r>
            <w:r>
              <w:rPr>
                <w:rFonts w:hint="eastAsia"/>
                <w:color w:val="000000" w:themeColor="text1"/>
                <w:sz w:val="24"/>
                <w:szCs w:val="24"/>
                <w:highlight w:val="none"/>
                <w:lang w:val="en-US" w:eastAsia="zh-CN"/>
                <w14:textFill>
                  <w14:solidFill>
                    <w14:schemeClr w14:val="tx1"/>
                  </w14:solidFill>
                </w14:textFill>
              </w:rPr>
              <w:t>h。</w:t>
            </w:r>
            <w:r>
              <w:rPr>
                <w:rFonts w:hint="eastAsia" w:ascii="宋体" w:eastAsia="宋体" w:cs="宋体"/>
                <w:color w:val="000000" w:themeColor="text1"/>
                <w:sz w:val="24"/>
                <w:szCs w:val="24"/>
                <w:highlight w:val="none"/>
                <w:lang w:val="en-US" w:eastAsia="zh-CN"/>
                <w14:textFill>
                  <w14:solidFill>
                    <w14:schemeClr w14:val="tx1"/>
                  </w14:solidFill>
                </w14:textFill>
              </w:rPr>
              <w:t>检测后的样品作为一般固废处理。</w:t>
            </w:r>
          </w:p>
          <w:p w14:paraId="2BABD3D4">
            <w:pPr>
              <w:spacing w:line="360" w:lineRule="auto"/>
              <w:ind w:firstLine="480" w:firstLineChars="200"/>
              <w:rPr>
                <w:rFonts w:ascii="Times New Roman" w:hAnsi="Times New Roman" w:eastAsia="宋体" w:cs="Times New Roman"/>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注：1、项目所用设备和工艺均不在《产业结构调整指导目录（2024年本）》的淘汰和限制类中。</w:t>
            </w:r>
          </w:p>
          <w:p w14:paraId="34519077">
            <w:pPr>
              <w:spacing w:line="480" w:lineRule="exact"/>
              <w:ind w:firstLine="960" w:firstLineChars="4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eastAsia" w:ascii="Times New Roman" w:hAnsi="Times New Roman" w:eastAsia="宋体" w:cs="Times New Roman"/>
                <w:bCs/>
                <w:color w:val="000000" w:themeColor="text1"/>
                <w:sz w:val="24"/>
                <w:highlight w:val="none"/>
                <w:lang w:val="en-US" w:eastAsia="zh-CN"/>
                <w14:textFill>
                  <w14:solidFill>
                    <w14:schemeClr w14:val="tx1"/>
                  </w14:solidFill>
                </w14:textFill>
              </w:rPr>
              <w:t>2、</w:t>
            </w:r>
            <w:r>
              <w:rPr>
                <w:rFonts w:ascii="Times New Roman" w:hAnsi="Times New Roman" w:eastAsia="宋体" w:cs="Times New Roman"/>
                <w:bCs/>
                <w:color w:val="000000" w:themeColor="text1"/>
                <w:sz w:val="24"/>
                <w:highlight w:val="none"/>
                <w14:textFill>
                  <w14:solidFill>
                    <w14:schemeClr w14:val="tx1"/>
                  </w14:solidFill>
                </w14:textFill>
              </w:rPr>
              <w:t>模具维修为外委维修</w:t>
            </w:r>
            <w:r>
              <w:rPr>
                <w:rFonts w:hint="eastAsia" w:ascii="Times New Roman" w:hAnsi="Times New Roman" w:eastAsia="宋体" w:cs="Times New Roman"/>
                <w:bCs/>
                <w:color w:val="000000" w:themeColor="text1"/>
                <w:sz w:val="24"/>
                <w:highlight w:val="none"/>
                <w:lang w:eastAsia="zh-CN"/>
                <w14:textFill>
                  <w14:solidFill>
                    <w14:schemeClr w14:val="tx1"/>
                  </w14:solidFill>
                </w14:textFill>
              </w:rPr>
              <w:t>。</w:t>
            </w:r>
          </w:p>
        </w:tc>
      </w:tr>
      <w:tr w14:paraId="6939C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2"/>
            <w:vAlign w:val="center"/>
          </w:tcPr>
          <w:p w14:paraId="51D1B830">
            <w:pPr>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与项目有关的原有环境污染问题</w:t>
            </w:r>
          </w:p>
          <w:p w14:paraId="1B72874C">
            <w:pPr>
              <w:spacing w:line="480" w:lineRule="exact"/>
              <w:ind w:firstLine="480" w:firstLineChars="200"/>
              <w:rPr>
                <w:rFonts w:hint="default" w:ascii="Times New Roman" w:hAnsi="Times New Roman" w:eastAsia="宋体" w:cs="Times New Roman"/>
                <w:snapToGrid w:val="0"/>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建设项目为新建项目，故不存在原有污染问题，相关的污染源排放是周围厂企所产生废水、废气、固废及噪声等。</w:t>
            </w:r>
          </w:p>
        </w:tc>
      </w:tr>
    </w:tbl>
    <w:p w14:paraId="2862ECCE">
      <w:pPr>
        <w:rPr>
          <w:rFonts w:hint="default" w:ascii="Times New Roman" w:hAnsi="Times New Roman" w:eastAsia="宋体" w:cs="Times New Roman"/>
          <w:color w:val="000000" w:themeColor="text1"/>
          <w:szCs w:val="21"/>
          <w:highlight w:val="none"/>
          <w14:textFill>
            <w14:solidFill>
              <w14:schemeClr w14:val="tx1"/>
            </w14:solidFill>
          </w14:textFill>
        </w:rPr>
      </w:pPr>
      <w:bookmarkStart w:id="25" w:name="_Toc32403"/>
      <w:r>
        <w:rPr>
          <w:rFonts w:hint="default" w:ascii="Times New Roman" w:hAnsi="Times New Roman" w:eastAsia="宋体" w:cs="Times New Roman"/>
          <w:color w:val="000000" w:themeColor="text1"/>
          <w:szCs w:val="21"/>
          <w:highlight w:val="none"/>
          <w14:textFill>
            <w14:solidFill>
              <w14:schemeClr w14:val="tx1"/>
            </w14:solidFill>
          </w14:textFill>
        </w:rPr>
        <w:br w:type="page"/>
      </w:r>
    </w:p>
    <w:p w14:paraId="3C882ABF">
      <w:pPr>
        <w:pStyle w:val="2"/>
        <w:spacing w:before="0" w:after="0"/>
        <w:jc w:val="center"/>
        <w:rPr>
          <w:rFonts w:hint="default" w:ascii="Times New Roman" w:hAnsi="Times New Roman" w:eastAsia="宋体" w:cs="Times New Roman"/>
          <w:color w:val="000000" w:themeColor="text1"/>
          <w:sz w:val="24"/>
          <w:highlight w:val="none"/>
          <w14:textFill>
            <w14:solidFill>
              <w14:schemeClr w14:val="tx1"/>
            </w14:solidFill>
          </w14:textFill>
        </w:rPr>
      </w:pPr>
      <w:bookmarkStart w:id="26" w:name="_Toc7149"/>
      <w:r>
        <w:rPr>
          <w:rFonts w:hint="default" w:ascii="Times New Roman" w:hAnsi="Times New Roman" w:eastAsia="宋体" w:cs="Times New Roman"/>
          <w:color w:val="000000" w:themeColor="text1"/>
          <w:sz w:val="24"/>
          <w:highlight w:val="none"/>
          <w14:textFill>
            <w14:solidFill>
              <w14:schemeClr w14:val="tx1"/>
            </w14:solidFill>
          </w14:textFill>
        </w:rPr>
        <w:t>三、区域环境质量现状、环境保护目标及评价标准</w:t>
      </w:r>
      <w:bookmarkEnd w:id="25"/>
      <w:bookmarkEnd w:id="26"/>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8313"/>
      </w:tblGrid>
      <w:tr w14:paraId="7244F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1" w:type="pct"/>
            <w:vAlign w:val="center"/>
          </w:tcPr>
          <w:p w14:paraId="6556E296">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区域环境质量现状</w:t>
            </w:r>
          </w:p>
        </w:tc>
        <w:tc>
          <w:tcPr>
            <w:tcW w:w="4588" w:type="pct"/>
          </w:tcPr>
          <w:p w14:paraId="4A634987">
            <w:pPr>
              <w:tabs>
                <w:tab w:val="left" w:pos="5328"/>
              </w:tabs>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1、大气环境质量现状</w:t>
            </w:r>
          </w:p>
          <w:p w14:paraId="7E19968B">
            <w:pPr>
              <w:spacing w:line="480" w:lineRule="exact"/>
              <w:ind w:firstLine="482"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 xml:space="preserve">（1）空气质量达标区判定 </w:t>
            </w:r>
          </w:p>
          <w:p w14:paraId="602161D8">
            <w:pPr>
              <w:spacing w:line="360" w:lineRule="auto"/>
              <w:ind w:firstLine="480" w:firstLineChars="200"/>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该建设项目所在区域为二类环境空气质量功能区，执行《环境空气质量标准》(GB3095－2012)及2018年修改清单的二级标准。根据《中山市202</w:t>
            </w:r>
            <w:r>
              <w:rPr>
                <w:rFonts w:hint="eastAsia"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年大气环境质量状况公报》得出中山环境质量达标情况</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具体详见下表：</w:t>
            </w:r>
          </w:p>
          <w:p w14:paraId="53133C39">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区域空气质量现状评价表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773"/>
              <w:gridCol w:w="1306"/>
              <w:gridCol w:w="1437"/>
              <w:gridCol w:w="1328"/>
              <w:gridCol w:w="1259"/>
            </w:tblGrid>
            <w:tr w14:paraId="0F2DD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08" w:type="pct"/>
                  <w:noWrap w:val="0"/>
                  <w:vAlign w:val="center"/>
                </w:tcPr>
                <w:p w14:paraId="26C8FD59">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污染物</w:t>
                  </w:r>
                </w:p>
              </w:tc>
              <w:tc>
                <w:tcPr>
                  <w:tcW w:w="1096" w:type="pct"/>
                  <w:noWrap w:val="0"/>
                  <w:vAlign w:val="center"/>
                </w:tcPr>
                <w:p w14:paraId="28AA65D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年</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度</w:t>
                  </w:r>
                  <w:r>
                    <w:rPr>
                      <w:rFonts w:hint="default" w:ascii="Times New Roman" w:hAnsi="Times New Roman" w:eastAsia="宋体" w:cs="Times New Roman"/>
                      <w:color w:val="000000" w:themeColor="text1"/>
                      <w:sz w:val="21"/>
                      <w:szCs w:val="21"/>
                      <w:highlight w:val="none"/>
                      <w14:textFill>
                        <w14:solidFill>
                          <w14:schemeClr w14:val="tx1"/>
                        </w14:solidFill>
                      </w14:textFill>
                    </w:rPr>
                    <w:t>评价指标</w:t>
                  </w:r>
                </w:p>
              </w:tc>
              <w:tc>
                <w:tcPr>
                  <w:tcW w:w="807" w:type="pct"/>
                  <w:noWrap w:val="0"/>
                  <w:vAlign w:val="center"/>
                </w:tcPr>
                <w:p w14:paraId="23FA19DC">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现状浓度/</w:t>
                  </w:r>
                </w:p>
                <w:p w14:paraId="733FB3CD">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（μg/</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m³)</w:t>
                  </w:r>
                </w:p>
              </w:tc>
              <w:tc>
                <w:tcPr>
                  <w:tcW w:w="888" w:type="pct"/>
                  <w:noWrap w:val="0"/>
                  <w:vAlign w:val="center"/>
                </w:tcPr>
                <w:p w14:paraId="27D6CE67">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标准值/</w:t>
                  </w:r>
                </w:p>
                <w:p w14:paraId="780087AE">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（μg/</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m³)</w:t>
                  </w:r>
                </w:p>
              </w:tc>
              <w:tc>
                <w:tcPr>
                  <w:tcW w:w="821" w:type="pct"/>
                  <w:noWrap w:val="0"/>
                  <w:vAlign w:val="center"/>
                </w:tcPr>
                <w:p w14:paraId="66DEEA96">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占标率/%</w:t>
                  </w:r>
                </w:p>
              </w:tc>
              <w:tc>
                <w:tcPr>
                  <w:tcW w:w="778" w:type="pct"/>
                  <w:noWrap w:val="0"/>
                  <w:vAlign w:val="center"/>
                </w:tcPr>
                <w:p w14:paraId="321ABA7C">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达标情况</w:t>
                  </w:r>
                </w:p>
              </w:tc>
            </w:tr>
            <w:tr w14:paraId="3E63C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restart"/>
                  <w:noWrap w:val="0"/>
                  <w:vAlign w:val="center"/>
                </w:tcPr>
                <w:p w14:paraId="25ED18AE">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p>
              </w:tc>
              <w:tc>
                <w:tcPr>
                  <w:tcW w:w="1789" w:type="dxa"/>
                  <w:noWrap w:val="0"/>
                  <w:vAlign w:val="center"/>
                </w:tcPr>
                <w:p w14:paraId="46318406">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年平均质量浓度</w:t>
                  </w:r>
                </w:p>
              </w:tc>
              <w:tc>
                <w:tcPr>
                  <w:tcW w:w="1318" w:type="dxa"/>
                  <w:noWrap w:val="0"/>
                  <w:vAlign w:val="center"/>
                </w:tcPr>
                <w:p w14:paraId="798FC182">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5</w:t>
                  </w:r>
                </w:p>
              </w:tc>
              <w:tc>
                <w:tcPr>
                  <w:tcW w:w="1450" w:type="dxa"/>
                  <w:noWrap w:val="0"/>
                  <w:vAlign w:val="center"/>
                </w:tcPr>
                <w:p w14:paraId="4D3BEE83">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60</w:t>
                  </w:r>
                </w:p>
              </w:tc>
              <w:tc>
                <w:tcPr>
                  <w:tcW w:w="1340" w:type="dxa"/>
                  <w:noWrap w:val="0"/>
                  <w:vAlign w:val="center"/>
                </w:tcPr>
                <w:p w14:paraId="1855892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8.3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p>
              </w:tc>
              <w:tc>
                <w:tcPr>
                  <w:tcW w:w="1270" w:type="dxa"/>
                  <w:vMerge w:val="restart"/>
                  <w:noWrap w:val="0"/>
                  <w:vAlign w:val="center"/>
                </w:tcPr>
                <w:p w14:paraId="4686D536">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w:t>
                  </w:r>
                </w:p>
              </w:tc>
            </w:tr>
            <w:tr w14:paraId="67071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continue"/>
                  <w:noWrap w:val="0"/>
                  <w:vAlign w:val="center"/>
                </w:tcPr>
                <w:p w14:paraId="40BC3A0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789" w:type="dxa"/>
                  <w:noWrap w:val="0"/>
                  <w:vAlign w:val="center"/>
                </w:tcPr>
                <w:p w14:paraId="3AE07741">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日均值第98百分位数浓度值</w:t>
                  </w:r>
                </w:p>
              </w:tc>
              <w:tc>
                <w:tcPr>
                  <w:tcW w:w="1318" w:type="dxa"/>
                  <w:noWrap w:val="0"/>
                  <w:vAlign w:val="center"/>
                </w:tcPr>
                <w:p w14:paraId="01F9B6E2">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w:t>
                  </w:r>
                </w:p>
              </w:tc>
              <w:tc>
                <w:tcPr>
                  <w:tcW w:w="1450" w:type="dxa"/>
                  <w:noWrap w:val="0"/>
                  <w:vAlign w:val="center"/>
                </w:tcPr>
                <w:p w14:paraId="3BE3E795">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150</w:t>
                  </w:r>
                </w:p>
              </w:tc>
              <w:tc>
                <w:tcPr>
                  <w:tcW w:w="1340" w:type="dxa"/>
                  <w:noWrap w:val="0"/>
                  <w:vAlign w:val="center"/>
                </w:tcPr>
                <w:p w14:paraId="3F6F4C93">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5.33</w:t>
                  </w:r>
                </w:p>
              </w:tc>
              <w:tc>
                <w:tcPr>
                  <w:tcW w:w="1270" w:type="dxa"/>
                  <w:vMerge w:val="continue"/>
                  <w:noWrap w:val="0"/>
                  <w:vAlign w:val="center"/>
                </w:tcPr>
                <w:p w14:paraId="65BFB8E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1B803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restart"/>
                  <w:noWrap w:val="0"/>
                  <w:vAlign w:val="center"/>
                </w:tcPr>
                <w:p w14:paraId="48A71BE3">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p>
              </w:tc>
              <w:tc>
                <w:tcPr>
                  <w:tcW w:w="1789" w:type="dxa"/>
                  <w:noWrap w:val="0"/>
                  <w:vAlign w:val="center"/>
                </w:tcPr>
                <w:p w14:paraId="53C4494B">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年平均质量浓度</w:t>
                  </w:r>
                </w:p>
              </w:tc>
              <w:tc>
                <w:tcPr>
                  <w:tcW w:w="1318" w:type="dxa"/>
                  <w:noWrap w:val="0"/>
                  <w:vAlign w:val="center"/>
                </w:tcPr>
                <w:p w14:paraId="67C42D88">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1450" w:type="dxa"/>
                  <w:noWrap w:val="0"/>
                  <w:vAlign w:val="center"/>
                </w:tcPr>
                <w:p w14:paraId="5707095C">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40</w:t>
                  </w:r>
                </w:p>
              </w:tc>
              <w:tc>
                <w:tcPr>
                  <w:tcW w:w="1340" w:type="dxa"/>
                  <w:noWrap w:val="0"/>
                  <w:vAlign w:val="center"/>
                </w:tcPr>
                <w:p w14:paraId="2C611909">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52.50</w:t>
                  </w:r>
                </w:p>
              </w:tc>
              <w:tc>
                <w:tcPr>
                  <w:tcW w:w="1270" w:type="dxa"/>
                  <w:vMerge w:val="restart"/>
                  <w:noWrap w:val="0"/>
                  <w:vAlign w:val="center"/>
                </w:tcPr>
                <w:p w14:paraId="3CE66FBB">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w:t>
                  </w:r>
                </w:p>
              </w:tc>
            </w:tr>
            <w:tr w14:paraId="59DE6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continue"/>
                  <w:noWrap w:val="0"/>
                  <w:vAlign w:val="center"/>
                </w:tcPr>
                <w:p w14:paraId="181A204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789" w:type="dxa"/>
                  <w:noWrap w:val="0"/>
                  <w:vAlign w:val="center"/>
                </w:tcPr>
                <w:p w14:paraId="700743B3">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日均值第98百分位数浓度值</w:t>
                  </w:r>
                </w:p>
              </w:tc>
              <w:tc>
                <w:tcPr>
                  <w:tcW w:w="1318" w:type="dxa"/>
                  <w:noWrap w:val="0"/>
                  <w:vAlign w:val="center"/>
                </w:tcPr>
                <w:p w14:paraId="572A4A1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56</w:t>
                  </w:r>
                </w:p>
              </w:tc>
              <w:tc>
                <w:tcPr>
                  <w:tcW w:w="1450" w:type="dxa"/>
                  <w:noWrap w:val="0"/>
                  <w:vAlign w:val="center"/>
                </w:tcPr>
                <w:p w14:paraId="405C639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80</w:t>
                  </w:r>
                </w:p>
              </w:tc>
              <w:tc>
                <w:tcPr>
                  <w:tcW w:w="1340" w:type="dxa"/>
                  <w:noWrap w:val="0"/>
                  <w:vAlign w:val="center"/>
                </w:tcPr>
                <w:p w14:paraId="1CCCCCC6">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70.00</w:t>
                  </w:r>
                </w:p>
              </w:tc>
              <w:tc>
                <w:tcPr>
                  <w:tcW w:w="1270" w:type="dxa"/>
                  <w:vMerge w:val="continue"/>
                  <w:noWrap w:val="0"/>
                  <w:vAlign w:val="center"/>
                </w:tcPr>
                <w:p w14:paraId="36C1D086">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26D03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restart"/>
                  <w:noWrap w:val="0"/>
                  <w:vAlign w:val="center"/>
                </w:tcPr>
                <w:p w14:paraId="027FF7EF">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PM</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10</w:t>
                  </w:r>
                </w:p>
              </w:tc>
              <w:tc>
                <w:tcPr>
                  <w:tcW w:w="1789" w:type="dxa"/>
                  <w:noWrap w:val="0"/>
                  <w:vAlign w:val="center"/>
                </w:tcPr>
                <w:p w14:paraId="4600B876">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年平均质量浓度</w:t>
                  </w:r>
                </w:p>
              </w:tc>
              <w:tc>
                <w:tcPr>
                  <w:tcW w:w="1318" w:type="dxa"/>
                  <w:noWrap w:val="0"/>
                  <w:vAlign w:val="center"/>
                </w:tcPr>
                <w:p w14:paraId="5707AE2D">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w:t>
                  </w:r>
                </w:p>
              </w:tc>
              <w:tc>
                <w:tcPr>
                  <w:tcW w:w="1450" w:type="dxa"/>
                  <w:noWrap w:val="0"/>
                  <w:vAlign w:val="center"/>
                </w:tcPr>
                <w:p w14:paraId="62825244">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70</w:t>
                  </w:r>
                </w:p>
              </w:tc>
              <w:tc>
                <w:tcPr>
                  <w:tcW w:w="1340" w:type="dxa"/>
                  <w:noWrap w:val="0"/>
                  <w:vAlign w:val="center"/>
                </w:tcPr>
                <w:p w14:paraId="6F3E4B14">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50.00</w:t>
                  </w:r>
                </w:p>
              </w:tc>
              <w:tc>
                <w:tcPr>
                  <w:tcW w:w="1270" w:type="dxa"/>
                  <w:vMerge w:val="restart"/>
                  <w:noWrap w:val="0"/>
                  <w:vAlign w:val="center"/>
                </w:tcPr>
                <w:p w14:paraId="67A081A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w:t>
                  </w:r>
                </w:p>
              </w:tc>
            </w:tr>
            <w:tr w14:paraId="737C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continue"/>
                  <w:noWrap w:val="0"/>
                  <w:vAlign w:val="center"/>
                </w:tcPr>
                <w:p w14:paraId="12444AA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789" w:type="dxa"/>
                  <w:noWrap w:val="0"/>
                  <w:vAlign w:val="center"/>
                </w:tcPr>
                <w:p w14:paraId="60FFEFAE">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日均值第95百分位数浓度值</w:t>
                  </w:r>
                </w:p>
              </w:tc>
              <w:tc>
                <w:tcPr>
                  <w:tcW w:w="1318" w:type="dxa"/>
                  <w:noWrap w:val="0"/>
                  <w:vAlign w:val="center"/>
                </w:tcPr>
                <w:p w14:paraId="7929BDB0">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72</w:t>
                  </w:r>
                </w:p>
              </w:tc>
              <w:tc>
                <w:tcPr>
                  <w:tcW w:w="1450" w:type="dxa"/>
                  <w:noWrap w:val="0"/>
                  <w:vAlign w:val="center"/>
                </w:tcPr>
                <w:p w14:paraId="4E9B66B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150</w:t>
                  </w:r>
                </w:p>
              </w:tc>
              <w:tc>
                <w:tcPr>
                  <w:tcW w:w="1340" w:type="dxa"/>
                  <w:noWrap w:val="0"/>
                  <w:vAlign w:val="center"/>
                </w:tcPr>
                <w:p w14:paraId="68A38D6A">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48.00</w:t>
                  </w:r>
                </w:p>
              </w:tc>
              <w:tc>
                <w:tcPr>
                  <w:tcW w:w="1270" w:type="dxa"/>
                  <w:vMerge w:val="continue"/>
                  <w:noWrap w:val="0"/>
                  <w:vAlign w:val="center"/>
                </w:tcPr>
                <w:p w14:paraId="67744CF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72A26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restart"/>
                  <w:noWrap w:val="0"/>
                  <w:vAlign w:val="center"/>
                </w:tcPr>
                <w:p w14:paraId="46949EEB">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PM</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2.5</w:t>
                  </w:r>
                </w:p>
              </w:tc>
              <w:tc>
                <w:tcPr>
                  <w:tcW w:w="1789" w:type="dxa"/>
                  <w:noWrap w:val="0"/>
                  <w:vAlign w:val="center"/>
                </w:tcPr>
                <w:p w14:paraId="22810DF5">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年平均质量浓度</w:t>
                  </w:r>
                </w:p>
              </w:tc>
              <w:tc>
                <w:tcPr>
                  <w:tcW w:w="1318" w:type="dxa"/>
                  <w:noWrap w:val="0"/>
                  <w:vAlign w:val="center"/>
                </w:tcPr>
                <w:p w14:paraId="77B03BC2">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w:t>
                  </w:r>
                </w:p>
              </w:tc>
              <w:tc>
                <w:tcPr>
                  <w:tcW w:w="1450" w:type="dxa"/>
                  <w:noWrap w:val="0"/>
                  <w:vAlign w:val="center"/>
                </w:tcPr>
                <w:p w14:paraId="682F79F8">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35</w:t>
                  </w:r>
                </w:p>
              </w:tc>
              <w:tc>
                <w:tcPr>
                  <w:tcW w:w="1340" w:type="dxa"/>
                  <w:noWrap w:val="0"/>
                  <w:vAlign w:val="center"/>
                </w:tcPr>
                <w:p w14:paraId="5EA0303D">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57.14</w:t>
                  </w:r>
                </w:p>
              </w:tc>
              <w:tc>
                <w:tcPr>
                  <w:tcW w:w="1270" w:type="dxa"/>
                  <w:vMerge w:val="restart"/>
                  <w:noWrap w:val="0"/>
                  <w:vAlign w:val="center"/>
                </w:tcPr>
                <w:p w14:paraId="4AB05994">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w:t>
                  </w:r>
                </w:p>
              </w:tc>
            </w:tr>
            <w:tr w14:paraId="6F3E6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vMerge w:val="continue"/>
                  <w:noWrap w:val="0"/>
                  <w:vAlign w:val="center"/>
                </w:tcPr>
                <w:p w14:paraId="00A2DA36">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789" w:type="dxa"/>
                  <w:noWrap w:val="0"/>
                  <w:vAlign w:val="center"/>
                </w:tcPr>
                <w:p w14:paraId="2B555D7B">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日均值第95百分位数浓度值</w:t>
                  </w:r>
                </w:p>
              </w:tc>
              <w:tc>
                <w:tcPr>
                  <w:tcW w:w="1318" w:type="dxa"/>
                  <w:noWrap w:val="0"/>
                  <w:vAlign w:val="center"/>
                </w:tcPr>
                <w:p w14:paraId="69E78216">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w:t>
                  </w:r>
                </w:p>
              </w:tc>
              <w:tc>
                <w:tcPr>
                  <w:tcW w:w="1450" w:type="dxa"/>
                  <w:noWrap w:val="0"/>
                  <w:vAlign w:val="center"/>
                </w:tcPr>
                <w:p w14:paraId="401243B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75</w:t>
                  </w:r>
                </w:p>
              </w:tc>
              <w:tc>
                <w:tcPr>
                  <w:tcW w:w="1340" w:type="dxa"/>
                  <w:noWrap w:val="0"/>
                  <w:vAlign w:val="center"/>
                </w:tcPr>
                <w:p w14:paraId="63235F99">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56.00</w:t>
                  </w:r>
                </w:p>
              </w:tc>
              <w:tc>
                <w:tcPr>
                  <w:tcW w:w="1270" w:type="dxa"/>
                  <w:vMerge w:val="continue"/>
                  <w:noWrap w:val="0"/>
                  <w:vAlign w:val="center"/>
                </w:tcPr>
                <w:p w14:paraId="45E35D9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30A45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noWrap w:val="0"/>
                  <w:vAlign w:val="center"/>
                </w:tcPr>
                <w:p w14:paraId="1B77E590">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3</w:t>
                  </w:r>
                </w:p>
              </w:tc>
              <w:tc>
                <w:tcPr>
                  <w:tcW w:w="1789" w:type="dxa"/>
                  <w:noWrap w:val="0"/>
                  <w:vAlign w:val="center"/>
                </w:tcPr>
                <w:p w14:paraId="46F71750">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最大8小时滑动平均值的第90百分位数浓度</w:t>
                  </w:r>
                </w:p>
              </w:tc>
              <w:tc>
                <w:tcPr>
                  <w:tcW w:w="1318" w:type="dxa"/>
                  <w:noWrap w:val="0"/>
                  <w:vAlign w:val="center"/>
                </w:tcPr>
                <w:p w14:paraId="66D7CA3A">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63</w:t>
                  </w:r>
                </w:p>
              </w:tc>
              <w:tc>
                <w:tcPr>
                  <w:tcW w:w="1450" w:type="dxa"/>
                  <w:noWrap w:val="0"/>
                  <w:vAlign w:val="center"/>
                </w:tcPr>
                <w:p w14:paraId="29CEFA0B">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160</w:t>
                  </w:r>
                </w:p>
              </w:tc>
              <w:tc>
                <w:tcPr>
                  <w:tcW w:w="1340" w:type="dxa"/>
                  <w:noWrap w:val="0"/>
                  <w:vAlign w:val="center"/>
                </w:tcPr>
                <w:p w14:paraId="1707BF1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101.88</w:t>
                  </w:r>
                </w:p>
              </w:tc>
              <w:tc>
                <w:tcPr>
                  <w:tcW w:w="1270" w:type="dxa"/>
                  <w:noWrap w:val="0"/>
                  <w:vAlign w:val="center"/>
                </w:tcPr>
                <w:p w14:paraId="109712E3">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超标</w:t>
                  </w:r>
                </w:p>
              </w:tc>
            </w:tr>
            <w:tr w14:paraId="4B2E5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3" w:type="dxa"/>
                  <w:noWrap w:val="0"/>
                  <w:vAlign w:val="center"/>
                </w:tcPr>
                <w:p w14:paraId="7715A9C5">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CO</w:t>
                  </w:r>
                </w:p>
              </w:tc>
              <w:tc>
                <w:tcPr>
                  <w:tcW w:w="1789" w:type="dxa"/>
                  <w:noWrap w:val="0"/>
                  <w:vAlign w:val="center"/>
                </w:tcPr>
                <w:p w14:paraId="60944318">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日均值第95百分位数浓度值</w:t>
                  </w:r>
                </w:p>
              </w:tc>
              <w:tc>
                <w:tcPr>
                  <w:tcW w:w="1318" w:type="dxa"/>
                  <w:noWrap w:val="0"/>
                  <w:vAlign w:val="center"/>
                </w:tcPr>
                <w:p w14:paraId="4468931F">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800</w:t>
                  </w:r>
                </w:p>
              </w:tc>
              <w:tc>
                <w:tcPr>
                  <w:tcW w:w="1450" w:type="dxa"/>
                  <w:noWrap w:val="0"/>
                  <w:vAlign w:val="center"/>
                </w:tcPr>
                <w:p w14:paraId="3B96431D">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4000</w:t>
                  </w:r>
                </w:p>
              </w:tc>
              <w:tc>
                <w:tcPr>
                  <w:tcW w:w="1340" w:type="dxa"/>
                  <w:noWrap w:val="0"/>
                  <w:vAlign w:val="center"/>
                </w:tcPr>
                <w:p w14:paraId="743B7FF1">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0.00</w:t>
                  </w:r>
                </w:p>
              </w:tc>
              <w:tc>
                <w:tcPr>
                  <w:tcW w:w="1270" w:type="dxa"/>
                  <w:noWrap w:val="0"/>
                  <w:vAlign w:val="center"/>
                </w:tcPr>
                <w:p w14:paraId="094C62DE">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w:t>
                  </w:r>
                </w:p>
              </w:tc>
            </w:tr>
          </w:tbl>
          <w:p w14:paraId="0FF386D6">
            <w:pPr>
              <w:spacing w:line="360" w:lineRule="auto"/>
              <w:ind w:firstLine="480" w:firstLine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综上判断，本项目所在区域环境空气SO</w:t>
            </w:r>
            <w:r>
              <w:rPr>
                <w:rFonts w:hint="default" w:ascii="Times New Roman" w:hAnsi="Times New Roman" w:eastAsia="宋体" w:cs="Times New Roman"/>
                <w:color w:val="000000" w:themeColor="text1"/>
                <w:sz w:val="24"/>
                <w:szCs w:val="24"/>
                <w:highlight w:val="none"/>
                <w:vertAlign w:val="subscript"/>
                <w:lang w:val="zh-CN"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lang w:val="zh-CN"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lang w:val="zh-CN" w:eastAsia="zh-CN"/>
                <w14:textFill>
                  <w14:solidFill>
                    <w14:schemeClr w14:val="tx1"/>
                  </w14:solidFill>
                </w14:textFill>
              </w:rPr>
              <w:t>10</w:t>
            </w: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lang w:val="zh-CN" w:eastAsia="zh-CN"/>
                <w14:textFill>
                  <w14:solidFill>
                    <w14:schemeClr w14:val="tx1"/>
                  </w14:solidFill>
                </w14:textFill>
              </w:rPr>
              <w:t>2.5</w:t>
            </w: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、CO均达到《环境空气质量标准》(GB3095-2012)及其修改单中的二级标准，</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O</w:t>
            </w:r>
            <w:r>
              <w:rPr>
                <w:rFonts w:hint="default" w:ascii="Times New Roman" w:hAnsi="Times New Roman" w:eastAsia="宋体" w:cs="Times New Roman"/>
                <w:color w:val="000000" w:themeColor="text1"/>
                <w:sz w:val="24"/>
                <w:szCs w:val="24"/>
                <w:highlight w:val="none"/>
                <w:vertAlign w:val="subscript"/>
                <w:lang w:val="zh-CN"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超过环境空气质量标准</w:t>
            </w:r>
            <w:r>
              <w:rPr>
                <w:rFonts w:hint="eastAsia" w:cs="Times New Roman"/>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GB3095-2012)二级标准。项目所在地为不达标区</w:t>
            </w:r>
            <w:r>
              <w:rPr>
                <w:rFonts w:hint="eastAsia" w:ascii="Times New Roman" w:hAnsi="Times New Roman" w:eastAsia="宋体" w:cs="Times New Roman"/>
                <w:color w:val="000000" w:themeColor="text1"/>
                <w:sz w:val="24"/>
                <w:szCs w:val="24"/>
                <w:highlight w:val="none"/>
                <w:lang w:val="zh-CN" w:eastAsia="zh-CN"/>
                <w14:textFill>
                  <w14:solidFill>
                    <w14:schemeClr w14:val="tx1"/>
                  </w14:solidFill>
                </w14:textFill>
              </w:rPr>
              <w:t>。</w:t>
            </w:r>
          </w:p>
          <w:p w14:paraId="511ECCDB">
            <w:pPr>
              <w:spacing w:line="360" w:lineRule="auto"/>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（2）基本污染物环境质量现状</w:t>
            </w:r>
          </w:p>
          <w:p w14:paraId="74AA5B30">
            <w:pPr>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本项目位于环境空气二类功能区，SO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eastAsia="宋体" w:cs="Times New Roman"/>
                <w:color w:val="000000" w:themeColor="text1"/>
                <w:sz w:val="24"/>
                <w:szCs w:val="24"/>
                <w:highlight w:val="none"/>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eastAsia="宋体" w:cs="Times New Roman"/>
                <w:color w:val="000000" w:themeColor="text1"/>
                <w:sz w:val="24"/>
                <w:szCs w:val="24"/>
                <w:highlight w:val="none"/>
                <w14:textFill>
                  <w14:solidFill>
                    <w14:schemeClr w14:val="tx1"/>
                  </w14:solidFill>
                </w14:textFill>
              </w:rPr>
              <w:t>、CO、O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执行《环境空气质量标准》（GB3095-2012）及2018年修改清单中二级标准。根据“中山市202</w:t>
            </w:r>
            <w:r>
              <w:rPr>
                <w:rFonts w:hint="eastAsia"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年空气质量监测站点日均值数据”（小榄镇），SO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eastAsia="宋体" w:cs="Times New Roman"/>
                <w:color w:val="000000" w:themeColor="text1"/>
                <w:sz w:val="24"/>
                <w:szCs w:val="24"/>
                <w:highlight w:val="none"/>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eastAsia="宋体" w:cs="Times New Roman"/>
                <w:color w:val="000000" w:themeColor="text1"/>
                <w:sz w:val="24"/>
                <w:szCs w:val="24"/>
                <w:highlight w:val="none"/>
                <w14:textFill>
                  <w14:solidFill>
                    <w14:schemeClr w14:val="tx1"/>
                  </w14:solidFill>
                </w14:textFill>
              </w:rPr>
              <w:t>、CO、O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的监测结果见下表。</w:t>
            </w:r>
          </w:p>
          <w:p w14:paraId="79A51F0E">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基本污染物环境质量现状</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
              <w:gridCol w:w="1235"/>
              <w:gridCol w:w="1148"/>
              <w:gridCol w:w="1118"/>
              <w:gridCol w:w="1147"/>
              <w:gridCol w:w="657"/>
              <w:gridCol w:w="603"/>
              <w:gridCol w:w="755"/>
              <w:gridCol w:w="604"/>
              <w:gridCol w:w="411"/>
            </w:tblGrid>
            <w:tr w14:paraId="1F6BC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restart"/>
                  <w:noWrap w:val="0"/>
                  <w:vAlign w:val="center"/>
                </w:tcPr>
                <w:p w14:paraId="4D56637A">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点位名称</w:t>
                  </w:r>
                </w:p>
              </w:tc>
              <w:tc>
                <w:tcPr>
                  <w:tcW w:w="2383" w:type="dxa"/>
                  <w:gridSpan w:val="2"/>
                  <w:noWrap w:val="0"/>
                  <w:vAlign w:val="center"/>
                </w:tcPr>
                <w:p w14:paraId="4FEB171B">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监测点坐标/m</w:t>
                  </w:r>
                </w:p>
              </w:tc>
              <w:tc>
                <w:tcPr>
                  <w:tcW w:w="1118" w:type="dxa"/>
                  <w:vMerge w:val="restart"/>
                  <w:noWrap w:val="0"/>
                  <w:vAlign w:val="center"/>
                </w:tcPr>
                <w:p w14:paraId="1821C5E7">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污染物</w:t>
                  </w:r>
                </w:p>
              </w:tc>
              <w:tc>
                <w:tcPr>
                  <w:tcW w:w="1147" w:type="dxa"/>
                  <w:vMerge w:val="restart"/>
                  <w:noWrap w:val="0"/>
                  <w:vAlign w:val="center"/>
                </w:tcPr>
                <w:p w14:paraId="43582B84">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年</w:t>
                  </w: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度</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评价指标</w:t>
                  </w:r>
                </w:p>
              </w:tc>
              <w:tc>
                <w:tcPr>
                  <w:tcW w:w="657" w:type="dxa"/>
                  <w:vMerge w:val="restart"/>
                  <w:noWrap w:val="0"/>
                  <w:vAlign w:val="center"/>
                </w:tcPr>
                <w:p w14:paraId="3011DD31">
                  <w:pPr>
                    <w:jc w:val="center"/>
                    <w:rPr>
                      <w:rFonts w:hint="default" w:ascii="Times New Roman" w:hAnsi="Times New Roman" w:eastAsia="宋体" w:cs="Times New Roman"/>
                      <w:b/>
                      <w:bCs/>
                      <w:color w:val="000000" w:themeColor="text1"/>
                      <w:sz w:val="21"/>
                      <w:szCs w:val="21"/>
                      <w:highlight w:val="none"/>
                      <w:vertAlign w:val="superscript"/>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现状浓度μg/m</w:t>
                  </w:r>
                  <w:r>
                    <w:rPr>
                      <w:rFonts w:hint="default" w:ascii="Times New Roman" w:hAnsi="Times New Roman" w:cs="Times New Roman"/>
                      <w:b/>
                      <w:bCs/>
                      <w:color w:val="000000" w:themeColor="text1"/>
                      <w:sz w:val="21"/>
                      <w:szCs w:val="21"/>
                      <w:highlight w:val="none"/>
                      <w:vertAlign w:val="superscript"/>
                      <w:lang w:val="en-US" w:eastAsia="zh-CN"/>
                      <w14:textFill>
                        <w14:solidFill>
                          <w14:schemeClr w14:val="tx1"/>
                        </w14:solidFill>
                      </w14:textFill>
                    </w:rPr>
                    <w:t>3</w:t>
                  </w:r>
                </w:p>
              </w:tc>
              <w:tc>
                <w:tcPr>
                  <w:tcW w:w="603" w:type="dxa"/>
                  <w:vMerge w:val="restart"/>
                  <w:noWrap w:val="0"/>
                  <w:vAlign w:val="center"/>
                </w:tcPr>
                <w:p w14:paraId="03E87A9D">
                  <w:pPr>
                    <w:jc w:val="both"/>
                    <w:rPr>
                      <w:rFonts w:hint="default" w:ascii="Times New Roman" w:hAnsi="Times New Roman" w:eastAsia="宋体" w:cs="Times New Roman"/>
                      <w:b/>
                      <w:bCs/>
                      <w:color w:val="000000" w:themeColor="text1"/>
                      <w:sz w:val="21"/>
                      <w:szCs w:val="21"/>
                      <w:highlight w:val="none"/>
                      <w:vertAlign w:val="superscript"/>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评价标准μg/m</w:t>
                  </w:r>
                  <w:r>
                    <w:rPr>
                      <w:rFonts w:hint="default" w:ascii="Times New Roman" w:hAnsi="Times New Roman" w:cs="Times New Roman"/>
                      <w:b/>
                      <w:bCs/>
                      <w:color w:val="000000" w:themeColor="text1"/>
                      <w:sz w:val="21"/>
                      <w:szCs w:val="21"/>
                      <w:highlight w:val="none"/>
                      <w:vertAlign w:val="superscript"/>
                      <w:lang w:val="en-US" w:eastAsia="zh-CN"/>
                      <w14:textFill>
                        <w14:solidFill>
                          <w14:schemeClr w14:val="tx1"/>
                        </w14:solidFill>
                      </w14:textFill>
                    </w:rPr>
                    <w:t>3</w:t>
                  </w:r>
                </w:p>
              </w:tc>
              <w:tc>
                <w:tcPr>
                  <w:tcW w:w="755" w:type="dxa"/>
                  <w:vMerge w:val="restart"/>
                  <w:noWrap w:val="0"/>
                  <w:vAlign w:val="center"/>
                </w:tcPr>
                <w:p w14:paraId="0781E84E">
                  <w:pPr>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最大浓度占标率%</w:t>
                  </w:r>
                </w:p>
              </w:tc>
              <w:tc>
                <w:tcPr>
                  <w:tcW w:w="604" w:type="dxa"/>
                  <w:vMerge w:val="restart"/>
                  <w:noWrap w:val="0"/>
                  <w:vAlign w:val="center"/>
                </w:tcPr>
                <w:p w14:paraId="75F4219C">
                  <w:pPr>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超标频率%</w:t>
                  </w:r>
                </w:p>
              </w:tc>
              <w:tc>
                <w:tcPr>
                  <w:tcW w:w="411" w:type="dxa"/>
                  <w:vMerge w:val="restart"/>
                  <w:noWrap w:val="0"/>
                  <w:vAlign w:val="center"/>
                </w:tcPr>
                <w:p w14:paraId="212029F2">
                  <w:pPr>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达标情况</w:t>
                  </w:r>
                </w:p>
              </w:tc>
            </w:tr>
            <w:tr w14:paraId="7B63D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316A6BDE">
                  <w:pPr>
                    <w:spacing w:line="36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235" w:type="dxa"/>
                  <w:noWrap w:val="0"/>
                  <w:vAlign w:val="center"/>
                </w:tcPr>
                <w:p w14:paraId="397D2E0E">
                  <w:pPr>
                    <w:spacing w:line="36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X</w:t>
                  </w:r>
                </w:p>
              </w:tc>
              <w:tc>
                <w:tcPr>
                  <w:tcW w:w="1148" w:type="dxa"/>
                  <w:noWrap w:val="0"/>
                  <w:vAlign w:val="center"/>
                </w:tcPr>
                <w:p w14:paraId="05C1B280">
                  <w:pPr>
                    <w:spacing w:line="36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Y</w:t>
                  </w:r>
                </w:p>
              </w:tc>
              <w:tc>
                <w:tcPr>
                  <w:tcW w:w="1118" w:type="dxa"/>
                  <w:vMerge w:val="continue"/>
                  <w:noWrap w:val="0"/>
                  <w:vAlign w:val="center"/>
                </w:tcPr>
                <w:p w14:paraId="1F2EE26A">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7" w:type="dxa"/>
                  <w:vMerge w:val="continue"/>
                  <w:noWrap w:val="0"/>
                  <w:vAlign w:val="center"/>
                </w:tcPr>
                <w:p w14:paraId="5F2E5DDD">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57" w:type="dxa"/>
                  <w:vMerge w:val="continue"/>
                  <w:noWrap w:val="0"/>
                  <w:vAlign w:val="center"/>
                </w:tcPr>
                <w:p w14:paraId="6FA1EDFF">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03" w:type="dxa"/>
                  <w:vMerge w:val="continue"/>
                  <w:noWrap w:val="0"/>
                  <w:vAlign w:val="center"/>
                </w:tcPr>
                <w:p w14:paraId="5BC527E7">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55" w:type="dxa"/>
                  <w:vMerge w:val="continue"/>
                  <w:noWrap w:val="0"/>
                  <w:vAlign w:val="center"/>
                </w:tcPr>
                <w:p w14:paraId="016DC76F">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604" w:type="dxa"/>
                  <w:vMerge w:val="continue"/>
                  <w:noWrap w:val="0"/>
                  <w:vAlign w:val="center"/>
                </w:tcPr>
                <w:p w14:paraId="48742E23">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11" w:type="dxa"/>
                  <w:vMerge w:val="continue"/>
                  <w:noWrap w:val="0"/>
                  <w:vAlign w:val="center"/>
                </w:tcPr>
                <w:p w14:paraId="7BB2767F">
                  <w:pPr>
                    <w:spacing w:line="360" w:lineRule="auto"/>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4D308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restart"/>
                  <w:noWrap w:val="0"/>
                  <w:vAlign w:val="center"/>
                </w:tcPr>
                <w:p w14:paraId="31086F51">
                  <w:pPr>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小榄站</w:t>
                  </w:r>
                </w:p>
              </w:tc>
              <w:tc>
                <w:tcPr>
                  <w:tcW w:w="1235" w:type="dxa"/>
                  <w:vMerge w:val="restart"/>
                  <w:noWrap w:val="0"/>
                  <w:vAlign w:val="center"/>
                </w:tcPr>
                <w:p w14:paraId="06CC7DB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113°15′46.37″E</w:t>
                  </w:r>
                </w:p>
              </w:tc>
              <w:tc>
                <w:tcPr>
                  <w:tcW w:w="1148" w:type="dxa"/>
                  <w:vMerge w:val="restart"/>
                  <w:noWrap w:val="0"/>
                  <w:vAlign w:val="center"/>
                </w:tcPr>
                <w:p w14:paraId="23C0D36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22°38′42.30″N</w:t>
                  </w:r>
                </w:p>
              </w:tc>
              <w:tc>
                <w:tcPr>
                  <w:tcW w:w="1118" w:type="dxa"/>
                  <w:vMerge w:val="restart"/>
                  <w:noWrap w:val="0"/>
                  <w:vAlign w:val="center"/>
                </w:tcPr>
                <w:p w14:paraId="5FA93767">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p>
              </w:tc>
              <w:tc>
                <w:tcPr>
                  <w:tcW w:w="1147" w:type="dxa"/>
                  <w:noWrap w:val="0"/>
                  <w:vAlign w:val="center"/>
                </w:tcPr>
                <w:p w14:paraId="1A149ACF">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日均值第98百分位数浓度值</w:t>
                  </w:r>
                </w:p>
              </w:tc>
              <w:tc>
                <w:tcPr>
                  <w:tcW w:w="657" w:type="dxa"/>
                  <w:noWrap w:val="0"/>
                  <w:vAlign w:val="center"/>
                </w:tcPr>
                <w:p w14:paraId="54B8F16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w:t>
                  </w:r>
                </w:p>
              </w:tc>
              <w:tc>
                <w:tcPr>
                  <w:tcW w:w="603" w:type="dxa"/>
                  <w:noWrap w:val="0"/>
                  <w:vAlign w:val="center"/>
                </w:tcPr>
                <w:p w14:paraId="4C42C722">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150</w:t>
                  </w:r>
                </w:p>
              </w:tc>
              <w:tc>
                <w:tcPr>
                  <w:tcW w:w="755" w:type="dxa"/>
                  <w:noWrap w:val="0"/>
                  <w:vAlign w:val="center"/>
                </w:tcPr>
                <w:p w14:paraId="3A0D1997">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w:t>
                  </w:r>
                </w:p>
              </w:tc>
              <w:tc>
                <w:tcPr>
                  <w:tcW w:w="604" w:type="dxa"/>
                  <w:noWrap w:val="0"/>
                  <w:vAlign w:val="center"/>
                </w:tcPr>
                <w:p w14:paraId="70004744">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w:t>
                  </w:r>
                </w:p>
              </w:tc>
              <w:tc>
                <w:tcPr>
                  <w:tcW w:w="411" w:type="dxa"/>
                  <w:noWrap w:val="0"/>
                  <w:vAlign w:val="center"/>
                </w:tcPr>
                <w:p w14:paraId="62D364C5">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0B1B1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56C875C3">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0AD9CF4C">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021DFE18">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continue"/>
                  <w:noWrap w:val="0"/>
                  <w:vAlign w:val="center"/>
                </w:tcPr>
                <w:p w14:paraId="0FB1F854">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7" w:type="dxa"/>
                  <w:noWrap w:val="0"/>
                  <w:vAlign w:val="center"/>
                </w:tcPr>
                <w:p w14:paraId="030144C3">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年平均值</w:t>
                  </w:r>
                </w:p>
              </w:tc>
              <w:tc>
                <w:tcPr>
                  <w:tcW w:w="657" w:type="dxa"/>
                  <w:noWrap w:val="0"/>
                  <w:vAlign w:val="center"/>
                </w:tcPr>
                <w:p w14:paraId="0EACE4B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9.43</w:t>
                  </w:r>
                </w:p>
              </w:tc>
              <w:tc>
                <w:tcPr>
                  <w:tcW w:w="603" w:type="dxa"/>
                  <w:noWrap w:val="0"/>
                  <w:vAlign w:val="center"/>
                </w:tcPr>
                <w:p w14:paraId="2D15D74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60</w:t>
                  </w:r>
                </w:p>
              </w:tc>
              <w:tc>
                <w:tcPr>
                  <w:tcW w:w="755" w:type="dxa"/>
                  <w:noWrap w:val="0"/>
                  <w:vAlign w:val="center"/>
                </w:tcPr>
                <w:p w14:paraId="420F618F">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604" w:type="dxa"/>
                  <w:noWrap w:val="0"/>
                  <w:vAlign w:val="center"/>
                </w:tcPr>
                <w:p w14:paraId="764DF14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11" w:type="dxa"/>
                  <w:noWrap w:val="0"/>
                  <w:vAlign w:val="center"/>
                </w:tcPr>
                <w:p w14:paraId="3C6B2AC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552CA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50B6D996">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6861E9FE">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75FFD34C">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restart"/>
                  <w:noWrap w:val="0"/>
                  <w:vAlign w:val="center"/>
                </w:tcPr>
                <w:p w14:paraId="40BE02A2">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p>
              </w:tc>
              <w:tc>
                <w:tcPr>
                  <w:tcW w:w="1147" w:type="dxa"/>
                  <w:noWrap w:val="0"/>
                  <w:vAlign w:val="center"/>
                </w:tcPr>
                <w:p w14:paraId="1293A8B8">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日均值第98百分位数浓度值</w:t>
                  </w:r>
                </w:p>
              </w:tc>
              <w:tc>
                <w:tcPr>
                  <w:tcW w:w="657" w:type="dxa"/>
                  <w:noWrap w:val="0"/>
                  <w:vAlign w:val="center"/>
                </w:tcPr>
                <w:p w14:paraId="701EF2C6">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31</w:t>
                  </w:r>
                </w:p>
              </w:tc>
              <w:tc>
                <w:tcPr>
                  <w:tcW w:w="603" w:type="dxa"/>
                  <w:noWrap w:val="0"/>
                  <w:vAlign w:val="center"/>
                </w:tcPr>
                <w:p w14:paraId="077495C8">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80</w:t>
                  </w:r>
                </w:p>
              </w:tc>
              <w:tc>
                <w:tcPr>
                  <w:tcW w:w="755" w:type="dxa"/>
                  <w:noWrap w:val="0"/>
                  <w:vAlign w:val="center"/>
                </w:tcPr>
                <w:p w14:paraId="75BE4C58">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182.5</w:t>
                  </w:r>
                </w:p>
              </w:tc>
              <w:tc>
                <w:tcPr>
                  <w:tcW w:w="604" w:type="dxa"/>
                  <w:noWrap w:val="0"/>
                  <w:vAlign w:val="center"/>
                </w:tcPr>
                <w:p w14:paraId="3AF6F5A1">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1.6</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w:t>
                  </w:r>
                </w:p>
              </w:tc>
              <w:tc>
                <w:tcPr>
                  <w:tcW w:w="411" w:type="dxa"/>
                  <w:noWrap w:val="0"/>
                  <w:vAlign w:val="center"/>
                </w:tcPr>
                <w:p w14:paraId="51A37C29">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4CC80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681069F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12521C31">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4F426E1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continue"/>
                  <w:noWrap w:val="0"/>
                  <w:vAlign w:val="center"/>
                </w:tcPr>
                <w:p w14:paraId="241473B4">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7" w:type="dxa"/>
                  <w:noWrap w:val="0"/>
                  <w:vAlign w:val="center"/>
                </w:tcPr>
                <w:p w14:paraId="0DBB364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年平均值</w:t>
                  </w:r>
                </w:p>
              </w:tc>
              <w:tc>
                <w:tcPr>
                  <w:tcW w:w="657" w:type="dxa"/>
                  <w:noWrap w:val="0"/>
                  <w:vAlign w:val="center"/>
                </w:tcPr>
                <w:p w14:paraId="36368523">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30.</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92</w:t>
                  </w:r>
                </w:p>
              </w:tc>
              <w:tc>
                <w:tcPr>
                  <w:tcW w:w="603" w:type="dxa"/>
                  <w:noWrap w:val="0"/>
                  <w:vAlign w:val="center"/>
                </w:tcPr>
                <w:p w14:paraId="32F9EDF3">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40</w:t>
                  </w:r>
                </w:p>
              </w:tc>
              <w:tc>
                <w:tcPr>
                  <w:tcW w:w="755" w:type="dxa"/>
                  <w:noWrap w:val="0"/>
                  <w:vAlign w:val="center"/>
                </w:tcPr>
                <w:p w14:paraId="1C586A4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604" w:type="dxa"/>
                  <w:noWrap w:val="0"/>
                  <w:vAlign w:val="center"/>
                </w:tcPr>
                <w:p w14:paraId="6244FF1A">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11" w:type="dxa"/>
                  <w:noWrap w:val="0"/>
                  <w:vAlign w:val="center"/>
                </w:tcPr>
                <w:p w14:paraId="5BC0FF9A">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44B0C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7E463388">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1280ADE3">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21D180DE">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restart"/>
                  <w:noWrap w:val="0"/>
                  <w:vAlign w:val="center"/>
                </w:tcPr>
                <w:p w14:paraId="3227BF2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PM</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10</w:t>
                  </w:r>
                </w:p>
              </w:tc>
              <w:tc>
                <w:tcPr>
                  <w:tcW w:w="1147" w:type="dxa"/>
                  <w:noWrap w:val="0"/>
                  <w:vAlign w:val="center"/>
                </w:tcPr>
                <w:p w14:paraId="191782A1">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日均值第95百分位数浓度值</w:t>
                  </w:r>
                </w:p>
              </w:tc>
              <w:tc>
                <w:tcPr>
                  <w:tcW w:w="657" w:type="dxa"/>
                  <w:noWrap w:val="0"/>
                  <w:vAlign w:val="center"/>
                </w:tcPr>
                <w:p w14:paraId="23F67F08">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9</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w:t>
                  </w:r>
                </w:p>
              </w:tc>
              <w:tc>
                <w:tcPr>
                  <w:tcW w:w="603" w:type="dxa"/>
                  <w:noWrap w:val="0"/>
                  <w:vAlign w:val="center"/>
                </w:tcPr>
                <w:p w14:paraId="711F2104">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150</w:t>
                  </w:r>
                </w:p>
              </w:tc>
              <w:tc>
                <w:tcPr>
                  <w:tcW w:w="755" w:type="dxa"/>
                  <w:noWrap w:val="0"/>
                  <w:vAlign w:val="center"/>
                </w:tcPr>
                <w:p w14:paraId="71DF832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7.33</w:t>
                  </w:r>
                </w:p>
              </w:tc>
              <w:tc>
                <w:tcPr>
                  <w:tcW w:w="604" w:type="dxa"/>
                  <w:noWrap w:val="0"/>
                  <w:vAlign w:val="center"/>
                </w:tcPr>
                <w:p w14:paraId="4001F899">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0.27</w:t>
                  </w:r>
                </w:p>
              </w:tc>
              <w:tc>
                <w:tcPr>
                  <w:tcW w:w="411" w:type="dxa"/>
                  <w:noWrap w:val="0"/>
                  <w:vAlign w:val="center"/>
                </w:tcPr>
                <w:p w14:paraId="7EB0C81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0CB02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4FAF75C7">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51CCB3EB">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33358778">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continue"/>
                  <w:noWrap w:val="0"/>
                  <w:vAlign w:val="center"/>
                </w:tcPr>
                <w:p w14:paraId="48F64C95">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7" w:type="dxa"/>
                  <w:noWrap w:val="0"/>
                  <w:vAlign w:val="center"/>
                </w:tcPr>
                <w:p w14:paraId="082740B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年平均值</w:t>
                  </w:r>
                </w:p>
              </w:tc>
              <w:tc>
                <w:tcPr>
                  <w:tcW w:w="657" w:type="dxa"/>
                  <w:noWrap w:val="0"/>
                  <w:vAlign w:val="center"/>
                </w:tcPr>
                <w:p w14:paraId="409D6FA1">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9.17</w:t>
                  </w:r>
                </w:p>
              </w:tc>
              <w:tc>
                <w:tcPr>
                  <w:tcW w:w="603" w:type="dxa"/>
                  <w:noWrap w:val="0"/>
                  <w:vAlign w:val="center"/>
                </w:tcPr>
                <w:p w14:paraId="66FE6AF2">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70</w:t>
                  </w:r>
                </w:p>
              </w:tc>
              <w:tc>
                <w:tcPr>
                  <w:tcW w:w="755" w:type="dxa"/>
                  <w:noWrap w:val="0"/>
                  <w:vAlign w:val="center"/>
                </w:tcPr>
                <w:p w14:paraId="52234F57">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604" w:type="dxa"/>
                  <w:noWrap w:val="0"/>
                  <w:vAlign w:val="center"/>
                </w:tcPr>
                <w:p w14:paraId="1EC738C7">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11" w:type="dxa"/>
                  <w:noWrap w:val="0"/>
                  <w:vAlign w:val="center"/>
                </w:tcPr>
                <w:p w14:paraId="06C4BB1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1296F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469DE93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7DC95BCF">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2AE0006F">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restart"/>
                  <w:noWrap w:val="0"/>
                  <w:vAlign w:val="center"/>
                </w:tcPr>
                <w:p w14:paraId="38C2528D">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PM</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2.5</w:t>
                  </w:r>
                </w:p>
              </w:tc>
              <w:tc>
                <w:tcPr>
                  <w:tcW w:w="1147" w:type="dxa"/>
                  <w:noWrap w:val="0"/>
                  <w:vAlign w:val="center"/>
                </w:tcPr>
                <w:p w14:paraId="5A2EC5E9">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日均值第95百分位数浓度值</w:t>
                  </w:r>
                </w:p>
              </w:tc>
              <w:tc>
                <w:tcPr>
                  <w:tcW w:w="657" w:type="dxa"/>
                  <w:noWrap w:val="0"/>
                  <w:vAlign w:val="center"/>
                </w:tcPr>
                <w:p w14:paraId="18302A6A">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23</w:t>
                  </w:r>
                </w:p>
              </w:tc>
              <w:tc>
                <w:tcPr>
                  <w:tcW w:w="603" w:type="dxa"/>
                  <w:noWrap w:val="0"/>
                  <w:vAlign w:val="center"/>
                </w:tcPr>
                <w:p w14:paraId="62F2981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75</w:t>
                  </w:r>
                </w:p>
              </w:tc>
              <w:tc>
                <w:tcPr>
                  <w:tcW w:w="755" w:type="dxa"/>
                  <w:noWrap w:val="0"/>
                  <w:vAlign w:val="center"/>
                </w:tcPr>
                <w:p w14:paraId="13BA3225">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96</w:t>
                  </w:r>
                </w:p>
              </w:tc>
              <w:tc>
                <w:tcPr>
                  <w:tcW w:w="604" w:type="dxa"/>
                  <w:noWrap w:val="0"/>
                  <w:vAlign w:val="center"/>
                </w:tcPr>
                <w:p w14:paraId="38D8AA0A">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w:t>
                  </w:r>
                </w:p>
              </w:tc>
              <w:tc>
                <w:tcPr>
                  <w:tcW w:w="411" w:type="dxa"/>
                  <w:noWrap w:val="0"/>
                  <w:vAlign w:val="center"/>
                </w:tcPr>
                <w:p w14:paraId="20E9A90E">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323B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6292171D">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04FFCB8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78351521">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vMerge w:val="continue"/>
                  <w:noWrap w:val="0"/>
                  <w:vAlign w:val="center"/>
                </w:tcPr>
                <w:p w14:paraId="20D60816">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7" w:type="dxa"/>
                  <w:noWrap w:val="0"/>
                  <w:vAlign w:val="center"/>
                </w:tcPr>
                <w:p w14:paraId="2EC99743">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年平均值</w:t>
                  </w:r>
                </w:p>
              </w:tc>
              <w:tc>
                <w:tcPr>
                  <w:tcW w:w="657" w:type="dxa"/>
                  <w:noWrap w:val="0"/>
                  <w:vAlign w:val="center"/>
                </w:tcPr>
                <w:p w14:paraId="47A31C24">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22.</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w:t>
                  </w:r>
                </w:p>
              </w:tc>
              <w:tc>
                <w:tcPr>
                  <w:tcW w:w="603" w:type="dxa"/>
                  <w:noWrap w:val="0"/>
                  <w:vAlign w:val="center"/>
                </w:tcPr>
                <w:p w14:paraId="1AAB191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w:t>
                  </w:r>
                </w:p>
              </w:tc>
              <w:tc>
                <w:tcPr>
                  <w:tcW w:w="755" w:type="dxa"/>
                  <w:noWrap w:val="0"/>
                  <w:vAlign w:val="center"/>
                </w:tcPr>
                <w:p w14:paraId="4380C3E6">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604" w:type="dxa"/>
                  <w:noWrap w:val="0"/>
                  <w:vAlign w:val="center"/>
                </w:tcPr>
                <w:p w14:paraId="5564B627">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11" w:type="dxa"/>
                  <w:noWrap w:val="0"/>
                  <w:vAlign w:val="center"/>
                </w:tcPr>
                <w:p w14:paraId="63D16FF8">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r w14:paraId="51F5F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6F876A72">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41F2B48D">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3B82514C">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noWrap w:val="0"/>
                  <w:vAlign w:val="center"/>
                </w:tcPr>
                <w:p w14:paraId="3F20549B">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3</w:t>
                  </w:r>
                </w:p>
              </w:tc>
              <w:tc>
                <w:tcPr>
                  <w:tcW w:w="1147" w:type="dxa"/>
                  <w:noWrap w:val="0"/>
                  <w:vAlign w:val="center"/>
                </w:tcPr>
                <w:p w14:paraId="0C2ADF3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日最大8小时滑动平均值的90百分位数浓度值</w:t>
                  </w:r>
                </w:p>
              </w:tc>
              <w:tc>
                <w:tcPr>
                  <w:tcW w:w="657" w:type="dxa"/>
                  <w:noWrap w:val="0"/>
                  <w:vAlign w:val="center"/>
                </w:tcPr>
                <w:p w14:paraId="50C909C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36</w:t>
                  </w:r>
                </w:p>
              </w:tc>
              <w:tc>
                <w:tcPr>
                  <w:tcW w:w="603" w:type="dxa"/>
                  <w:noWrap w:val="0"/>
                  <w:vAlign w:val="center"/>
                </w:tcPr>
                <w:p w14:paraId="13452FE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160</w:t>
                  </w:r>
                </w:p>
              </w:tc>
              <w:tc>
                <w:tcPr>
                  <w:tcW w:w="755" w:type="dxa"/>
                  <w:noWrap w:val="0"/>
                  <w:vAlign w:val="center"/>
                </w:tcPr>
                <w:p w14:paraId="41803CF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63.13</w:t>
                  </w:r>
                </w:p>
              </w:tc>
              <w:tc>
                <w:tcPr>
                  <w:tcW w:w="604" w:type="dxa"/>
                  <w:noWrap w:val="0"/>
                  <w:vAlign w:val="center"/>
                </w:tcPr>
                <w:p w14:paraId="44F6F66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9.62</w:t>
                  </w:r>
                </w:p>
              </w:tc>
              <w:tc>
                <w:tcPr>
                  <w:tcW w:w="411" w:type="dxa"/>
                  <w:noWrap w:val="0"/>
                  <w:vAlign w:val="center"/>
                </w:tcPr>
                <w:p w14:paraId="6E74F403">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标</w:t>
                  </w:r>
                </w:p>
              </w:tc>
            </w:tr>
            <w:tr w14:paraId="3B143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9" w:type="dxa"/>
                  <w:vMerge w:val="continue"/>
                  <w:noWrap w:val="0"/>
                  <w:vAlign w:val="center"/>
                </w:tcPr>
                <w:p w14:paraId="65ED4032">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235" w:type="dxa"/>
                  <w:vMerge w:val="continue"/>
                  <w:noWrap w:val="0"/>
                  <w:vAlign w:val="center"/>
                </w:tcPr>
                <w:p w14:paraId="66140608">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48" w:type="dxa"/>
                  <w:vMerge w:val="continue"/>
                  <w:noWrap w:val="0"/>
                  <w:vAlign w:val="center"/>
                </w:tcPr>
                <w:p w14:paraId="37A3B7A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118" w:type="dxa"/>
                  <w:noWrap w:val="0"/>
                  <w:vAlign w:val="center"/>
                </w:tcPr>
                <w:p w14:paraId="47D5F515">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CO</w:t>
                  </w:r>
                </w:p>
              </w:tc>
              <w:tc>
                <w:tcPr>
                  <w:tcW w:w="1147" w:type="dxa"/>
                  <w:noWrap w:val="0"/>
                  <w:vAlign w:val="center"/>
                </w:tcPr>
                <w:p w14:paraId="3A0D1831">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日均值第95百分位数浓度值</w:t>
                  </w:r>
                </w:p>
              </w:tc>
              <w:tc>
                <w:tcPr>
                  <w:tcW w:w="657" w:type="dxa"/>
                  <w:noWrap w:val="0"/>
                  <w:vAlign w:val="center"/>
                </w:tcPr>
                <w:p w14:paraId="71853FC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00</w:t>
                  </w:r>
                </w:p>
              </w:tc>
              <w:tc>
                <w:tcPr>
                  <w:tcW w:w="603" w:type="dxa"/>
                  <w:noWrap w:val="0"/>
                  <w:vAlign w:val="center"/>
                </w:tcPr>
                <w:p w14:paraId="389785EE">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4000</w:t>
                  </w:r>
                </w:p>
              </w:tc>
              <w:tc>
                <w:tcPr>
                  <w:tcW w:w="755" w:type="dxa"/>
                  <w:noWrap w:val="0"/>
                  <w:vAlign w:val="center"/>
                </w:tcPr>
                <w:p w14:paraId="6EDEE744">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w:t>
                  </w:r>
                </w:p>
              </w:tc>
              <w:tc>
                <w:tcPr>
                  <w:tcW w:w="604" w:type="dxa"/>
                  <w:noWrap w:val="0"/>
                  <w:vAlign w:val="center"/>
                </w:tcPr>
                <w:p w14:paraId="7FDC5BA2">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w:t>
                  </w:r>
                </w:p>
              </w:tc>
              <w:tc>
                <w:tcPr>
                  <w:tcW w:w="411" w:type="dxa"/>
                  <w:noWrap w:val="0"/>
                  <w:vAlign w:val="center"/>
                </w:tcPr>
                <w:p w14:paraId="22F1AFFF">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w:t>
                  </w:r>
                </w:p>
              </w:tc>
            </w:tr>
          </w:tbl>
          <w:p w14:paraId="07BCB914">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default"/>
                <w:color w:val="000000" w:themeColor="text1"/>
                <w:highlight w:val="none"/>
                <w:lang w:val="zh-CN"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zh-CN" w:eastAsia="zh-CN"/>
                <w14:textFill>
                  <w14:solidFill>
                    <w14:schemeClr w14:val="tx1"/>
                  </w14:solidFill>
                </w14:textFill>
              </w:rPr>
              <w:t>由表可知，</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由表可知，SO</w:t>
            </w:r>
            <w:r>
              <w:rPr>
                <w:rFonts w:hint="default" w:ascii="Times New Roman" w:hAnsi="Times New Roman" w:eastAsia="宋体" w:cs="Times New Roman"/>
                <w:color w:val="000000" w:themeColor="text1"/>
                <w:sz w:val="24"/>
                <w:szCs w:val="24"/>
                <w:highlight w:val="none"/>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年平均及24小时平均第98百分位数浓度达到《环境空气质量标准》(GB3095-2012)及其修改单二级标准</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年平均及24小时平均第95百分位数浓度达到《环境空气质量标准》(GB3095-2012)及其修改单二级标准</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lang w:val="en-US" w:eastAsia="zh-CN"/>
                <w14:textFill>
                  <w14:solidFill>
                    <w14:schemeClr w14:val="tx1"/>
                  </w14:solidFill>
                </w14:textFill>
              </w:rPr>
              <w:t>2.5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年平均及24小时平均第95百分位数浓度均达到《环境空气质量标准》(GB3095-2012)及其修改单二级标准</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CO 24小时平均第95百分位数达到《环境空气质量标准》(GB3095-2012)及其修改单二级标准</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年平均值及24小时平均第98百分位数浓度达到《环境空气质量标准》(GB3095-2012)及其修改单二级标准</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O</w:t>
            </w:r>
            <w:r>
              <w:rPr>
                <w:rFonts w:hint="default" w:ascii="Times New Roman" w:hAnsi="Times New Roman" w:eastAsia="宋体" w:cs="Times New Roman"/>
                <w:color w:val="000000" w:themeColor="text1"/>
                <w:sz w:val="24"/>
                <w:szCs w:val="24"/>
                <w:highlight w:val="none"/>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日最大8小时平均第90百分位数浓度</w:t>
            </w:r>
            <w:r>
              <w:rPr>
                <w:rFonts w:hint="eastAsia" w:cs="Times New Roman"/>
                <w:color w:val="000000" w:themeColor="text1"/>
                <w:sz w:val="24"/>
                <w:szCs w:val="24"/>
                <w:highlight w:val="none"/>
                <w:lang w:val="en-US" w:eastAsia="zh-CN"/>
                <w14:textFill>
                  <w14:solidFill>
                    <w14:schemeClr w14:val="tx1"/>
                  </w14:solidFill>
                </w14:textFill>
              </w:rPr>
              <w:t>达到</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《环境空气质量标准》(GB3095-2012)及其修改单二级标准。</w:t>
            </w:r>
          </w:p>
          <w:p w14:paraId="7235D6DF">
            <w:pPr>
              <w:tabs>
                <w:tab w:val="left" w:pos="5328"/>
              </w:tabs>
              <w:spacing w:line="480" w:lineRule="exact"/>
              <w:ind w:firstLine="480" w:firstLineChars="200"/>
              <w:rPr>
                <w:rFonts w:hint="default" w:ascii="Times New Roman" w:hAnsi="Times New Roman" w:eastAsia="宋体" w:cs="Times New Roman"/>
                <w:color w:val="000000" w:themeColor="text1"/>
                <w:sz w:val="24"/>
                <w:szCs w:val="24"/>
                <w:highlight w:val="none"/>
                <w:lang w:val="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为持续改善中山市大气环境质量，中山市将切实做好各类污染源监督管理。一是对全市涉VOCs、工业锅炉及炉窑等企业进行巡查，督促企业落实大气污染防治措施</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二是加强巡查建设工地、线性工程，督促施工单位严格落实“六个百分百”扬尘防治措施</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三是抓好非道路移动机械监督执法，现场要求施工负责人做好车辆检查及维护</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四是加强对餐饮企业、流动烧烤摊贩以及露天焚烧的管控，严防露天焚烧秸秆、垃圾等行为发生</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五是加强油站、油库监督管理，对全市加油站和储油库的油气回收装置等设施进行油气密闭性检查</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六是加大人员投入强化重点区域交通疏导工作，减少拥堵</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七是联合交警部门开展柴油车路检工作，督促指导用车大户建立完善车辆使用台账。</w:t>
            </w:r>
          </w:p>
          <w:p w14:paraId="21D86D30">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（3）特征污染物环境质量现状评价</w:t>
            </w:r>
          </w:p>
          <w:p w14:paraId="415BEA05">
            <w:pPr>
              <w:spacing w:line="480" w:lineRule="exact"/>
              <w:ind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项目特征污染源评价因子为TSP、非甲烷总烃、</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苯乙烯、甲苯、乙苯、</w:t>
            </w:r>
            <w:r>
              <w:rPr>
                <w:rFonts w:hint="default" w:ascii="Times New Roman" w:hAnsi="Times New Roman" w:eastAsia="宋体" w:cs="Times New Roman"/>
                <w:color w:val="000000" w:themeColor="text1"/>
                <w:sz w:val="24"/>
                <w:highlight w:val="none"/>
                <w14:textFill>
                  <w14:solidFill>
                    <w14:schemeClr w14:val="tx1"/>
                  </w14:solidFill>
                </w14:textFill>
              </w:rPr>
              <w:t>臭气浓度，作为评价因子。因非甲烷总烃、</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苯乙烯、甲苯、乙苯、</w:t>
            </w:r>
            <w:r>
              <w:rPr>
                <w:rFonts w:hint="default" w:ascii="Times New Roman" w:hAnsi="Times New Roman" w:eastAsia="宋体" w:cs="Times New Roman"/>
                <w:color w:val="000000" w:themeColor="text1"/>
                <w:sz w:val="24"/>
                <w:highlight w:val="none"/>
                <w14:textFill>
                  <w14:solidFill>
                    <w14:schemeClr w14:val="tx1"/>
                  </w14:solidFill>
                </w14:textFill>
              </w:rPr>
              <w:t>臭气浓度暂无国家或地方空气质量标准，故不对非甲烷总烃、</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苯乙烯、甲苯、乙苯、</w:t>
            </w:r>
            <w:r>
              <w:rPr>
                <w:rFonts w:hint="default" w:ascii="Times New Roman" w:hAnsi="Times New Roman" w:eastAsia="宋体" w:cs="Times New Roman"/>
                <w:color w:val="000000" w:themeColor="text1"/>
                <w:sz w:val="24"/>
                <w:highlight w:val="none"/>
                <w14:textFill>
                  <w14:solidFill>
                    <w14:schemeClr w14:val="tx1"/>
                  </w14:solidFill>
                </w14:textFill>
              </w:rPr>
              <w:t>臭气浓度环境质量现状进行评价。</w:t>
            </w:r>
          </w:p>
          <w:p w14:paraId="7AA6946A">
            <w:pPr>
              <w:spacing w:line="480" w:lineRule="exact"/>
              <w:ind w:firstLine="480"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项目TSP的</w:t>
            </w:r>
            <w:r>
              <w:rPr>
                <w:rFonts w:hint="default" w:ascii="Times New Roman" w:hAnsi="Times New Roman" w:eastAsia="宋体" w:cs="Times New Roman"/>
                <w:color w:val="000000" w:themeColor="text1"/>
                <w:sz w:val="24"/>
                <w:highlight w:val="none"/>
                <w:lang w:val="zh-CN"/>
                <w14:textFill>
                  <w14:solidFill>
                    <w14:schemeClr w14:val="tx1"/>
                  </w14:solidFill>
                </w14:textFill>
              </w:rPr>
              <w:t>监测数据</w:t>
            </w:r>
            <w:r>
              <w:rPr>
                <w:rFonts w:hint="default" w:ascii="Times New Roman" w:hAnsi="Times New Roman" w:eastAsia="宋体" w:cs="Times New Roman"/>
                <w:snapToGrid w:val="0"/>
                <w:color w:val="000000" w:themeColor="text1"/>
                <w:kern w:val="2"/>
                <w:sz w:val="24"/>
                <w:szCs w:val="24"/>
                <w:highlight w:val="none"/>
                <w:lang w:val="en-US" w:eastAsia="zh-CN" w:bidi="ar-SA"/>
                <w14:textFill>
                  <w14:solidFill>
                    <w14:schemeClr w14:val="tx1"/>
                  </w14:solidFill>
                </w14:textFill>
              </w:rPr>
              <w:t>引用</w:t>
            </w:r>
            <w:bookmarkStart w:id="27" w:name="_Hlk98840592"/>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聚诚达环保共性产业园规划（一期）环境影响报告书</w:t>
            </w:r>
            <w:r>
              <w:rPr>
                <w:rFonts w:hint="default" w:ascii="Times New Roman" w:hAnsi="Times New Roman" w:eastAsia="宋体" w:cs="Times New Roman"/>
                <w:color w:val="000000" w:themeColor="text1"/>
                <w:sz w:val="24"/>
                <w:szCs w:val="24"/>
                <w:highlight w:val="none"/>
                <w14:textFill>
                  <w14:solidFill>
                    <w14:schemeClr w14:val="tx1"/>
                  </w14:solidFill>
                </w14:textFill>
              </w:rPr>
              <w:t>》的现状监测数据</w:t>
            </w:r>
            <w:r>
              <w:rPr>
                <w:rFonts w:hint="default" w:ascii="Times New Roman" w:hAnsi="Times New Roman" w:eastAsia="宋体" w:cs="Times New Roman"/>
                <w:snapToGrid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监测时间</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26</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日在评价区布设的1个监测点</w:t>
            </w:r>
            <w:r>
              <w:rPr>
                <w:rFonts w:hint="default" w:ascii="Times New Roman" w:hAnsi="Times New Roman" w:eastAsia="宋体" w:cs="Times New Roman"/>
                <w:snapToGrid w:val="0"/>
                <w:color w:val="000000" w:themeColor="text1"/>
                <w:kern w:val="2"/>
                <w:sz w:val="24"/>
                <w:szCs w:val="24"/>
                <w:highlight w:val="none"/>
                <w:lang w:val="en-US" w:eastAsia="zh-CN" w:bidi="ar-SA"/>
                <w14:textFill>
                  <w14:solidFill>
                    <w14:schemeClr w14:val="tx1"/>
                  </w14:solidFill>
                </w14:textFill>
              </w:rPr>
              <w:t>，</w:t>
            </w:r>
            <w:bookmarkEnd w:id="27"/>
            <w:r>
              <w:rPr>
                <w:rFonts w:hint="default" w:ascii="Times New Roman" w:hAnsi="Times New Roman" w:eastAsia="宋体" w:cs="Times New Roman"/>
                <w:snapToGrid w:val="0"/>
                <w:color w:val="000000" w:themeColor="text1"/>
                <w:kern w:val="2"/>
                <w:sz w:val="24"/>
                <w:szCs w:val="24"/>
                <w:highlight w:val="none"/>
                <w:lang w:val="en-US" w:eastAsia="zh-CN" w:bidi="ar-SA"/>
                <w14:textFill>
                  <w14:solidFill>
                    <w14:schemeClr w14:val="tx1"/>
                  </w14:solidFill>
                </w14:textFill>
              </w:rPr>
              <w:t>引用的监测数据为三年内有效数据，引用的监测点位位于本项目5千米范围内，符合《建设项目环境影响报告表编制技术指南（污染影响类）》中的相关要求</w:t>
            </w:r>
            <w:r>
              <w:rPr>
                <w:rFonts w:hint="default" w:ascii="Times New Roman" w:hAnsi="Times New Roman" w:eastAsia="宋体" w:cs="Times New Roman"/>
                <w:color w:val="000000" w:themeColor="text1"/>
                <w:sz w:val="24"/>
                <w:highlight w:val="none"/>
                <w:lang w:val="zh-CN"/>
                <w14:textFill>
                  <w14:solidFill>
                    <w14:schemeClr w14:val="tx1"/>
                  </w14:solidFill>
                </w14:textFill>
              </w:rPr>
              <w:t>。</w:t>
            </w:r>
          </w:p>
          <w:p w14:paraId="26E89014">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项目环境空气现状监测点</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1534"/>
              <w:gridCol w:w="1565"/>
              <w:gridCol w:w="1130"/>
              <w:gridCol w:w="924"/>
              <w:gridCol w:w="1210"/>
            </w:tblGrid>
            <w:tr w14:paraId="5862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vMerge w:val="restart"/>
                  <w:tcBorders>
                    <w:top w:val="single" w:color="auto" w:sz="4" w:space="0"/>
                    <w:left w:val="single" w:color="auto" w:sz="4" w:space="0"/>
                    <w:right w:val="single" w:color="auto" w:sz="4" w:space="0"/>
                  </w:tcBorders>
                  <w:vAlign w:val="center"/>
                </w:tcPr>
                <w:p w14:paraId="03583175">
                  <w:pPr>
                    <w:snapToGrid w:val="0"/>
                    <w:spacing w:line="0" w:lineRule="atLeast"/>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监测站名称</w:t>
                  </w:r>
                </w:p>
              </w:tc>
              <w:tc>
                <w:tcPr>
                  <w:tcW w:w="3135" w:type="dxa"/>
                  <w:gridSpan w:val="2"/>
                  <w:tcBorders>
                    <w:top w:val="single" w:color="auto" w:sz="4" w:space="0"/>
                    <w:left w:val="single" w:color="auto" w:sz="4" w:space="0"/>
                    <w:bottom w:val="single" w:color="auto" w:sz="4" w:space="0"/>
                    <w:right w:val="single" w:color="auto" w:sz="4" w:space="0"/>
                  </w:tcBorders>
                  <w:vAlign w:val="center"/>
                </w:tcPr>
                <w:p w14:paraId="226D613C">
                  <w:pPr>
                    <w:snapToGrid w:val="0"/>
                    <w:spacing w:line="0" w:lineRule="atLeast"/>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监测站坐标</w:t>
                  </w:r>
                </w:p>
              </w:tc>
              <w:tc>
                <w:tcPr>
                  <w:tcW w:w="1142" w:type="dxa"/>
                  <w:vMerge w:val="restart"/>
                  <w:tcBorders>
                    <w:top w:val="single" w:color="auto" w:sz="4" w:space="0"/>
                    <w:left w:val="single" w:color="auto" w:sz="4" w:space="0"/>
                    <w:right w:val="single" w:color="auto" w:sz="4" w:space="0"/>
                  </w:tcBorders>
                  <w:vAlign w:val="center"/>
                </w:tcPr>
                <w:p w14:paraId="2B64883B">
                  <w:pPr>
                    <w:snapToGrid w:val="0"/>
                    <w:spacing w:line="0" w:lineRule="atLeast"/>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监测因子</w:t>
                  </w:r>
                </w:p>
              </w:tc>
              <w:tc>
                <w:tcPr>
                  <w:tcW w:w="934" w:type="dxa"/>
                  <w:vMerge w:val="restart"/>
                  <w:tcBorders>
                    <w:top w:val="single" w:color="auto" w:sz="4" w:space="0"/>
                    <w:left w:val="single" w:color="auto" w:sz="4" w:space="0"/>
                    <w:right w:val="single" w:color="auto" w:sz="4" w:space="0"/>
                  </w:tcBorders>
                  <w:vAlign w:val="center"/>
                </w:tcPr>
                <w:p w14:paraId="617EFFC3">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相对厂区方位</w:t>
                  </w:r>
                </w:p>
              </w:tc>
              <w:tc>
                <w:tcPr>
                  <w:tcW w:w="1224" w:type="dxa"/>
                  <w:vMerge w:val="restart"/>
                  <w:tcBorders>
                    <w:top w:val="single" w:color="auto" w:sz="4" w:space="0"/>
                    <w:left w:val="single" w:color="auto" w:sz="4" w:space="0"/>
                    <w:right w:val="single" w:color="auto" w:sz="4" w:space="0"/>
                  </w:tcBorders>
                  <w:vAlign w:val="center"/>
                </w:tcPr>
                <w:p w14:paraId="03B630C4">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相对厂界</w:t>
                  </w:r>
                </w:p>
                <w:p w14:paraId="7120FBBE">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距离/m</w:t>
                  </w:r>
                </w:p>
              </w:tc>
            </w:tr>
            <w:tr w14:paraId="3D04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vMerge w:val="continue"/>
                  <w:tcBorders>
                    <w:left w:val="single" w:color="auto" w:sz="4" w:space="0"/>
                    <w:bottom w:val="single" w:color="auto" w:sz="4" w:space="0"/>
                    <w:right w:val="single" w:color="auto" w:sz="4" w:space="0"/>
                  </w:tcBorders>
                  <w:vAlign w:val="center"/>
                </w:tcPr>
                <w:p w14:paraId="315B41EE">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p>
              </w:tc>
              <w:tc>
                <w:tcPr>
                  <w:tcW w:w="1552" w:type="dxa"/>
                  <w:tcBorders>
                    <w:top w:val="single" w:color="auto" w:sz="4" w:space="0"/>
                    <w:left w:val="single" w:color="auto" w:sz="4" w:space="0"/>
                    <w:bottom w:val="single" w:color="auto" w:sz="4" w:space="0"/>
                    <w:right w:val="single" w:color="auto" w:sz="4" w:space="0"/>
                  </w:tcBorders>
                  <w:vAlign w:val="center"/>
                </w:tcPr>
                <w:p w14:paraId="564577DC">
                  <w:pPr>
                    <w:widowControl/>
                    <w:jc w:val="center"/>
                    <w:textAlignment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经度</w:t>
                  </w:r>
                </w:p>
              </w:tc>
              <w:tc>
                <w:tcPr>
                  <w:tcW w:w="1583" w:type="dxa"/>
                  <w:tcBorders>
                    <w:top w:val="single" w:color="auto" w:sz="4" w:space="0"/>
                    <w:left w:val="single" w:color="auto" w:sz="4" w:space="0"/>
                    <w:bottom w:val="single" w:color="auto" w:sz="4" w:space="0"/>
                    <w:right w:val="single" w:color="auto" w:sz="4" w:space="0"/>
                  </w:tcBorders>
                  <w:vAlign w:val="center"/>
                </w:tcPr>
                <w:p w14:paraId="39B62892">
                  <w:pPr>
                    <w:widowControl/>
                    <w:jc w:val="center"/>
                    <w:textAlignment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纬度</w:t>
                  </w:r>
                </w:p>
              </w:tc>
              <w:tc>
                <w:tcPr>
                  <w:tcW w:w="1142" w:type="dxa"/>
                  <w:vMerge w:val="continue"/>
                  <w:tcBorders>
                    <w:left w:val="single" w:color="auto" w:sz="4" w:space="0"/>
                    <w:bottom w:val="single" w:color="auto" w:sz="4" w:space="0"/>
                    <w:right w:val="single" w:color="auto" w:sz="4" w:space="0"/>
                  </w:tcBorders>
                  <w:vAlign w:val="center"/>
                </w:tcPr>
                <w:p w14:paraId="62C737F2">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p>
              </w:tc>
              <w:tc>
                <w:tcPr>
                  <w:tcW w:w="934" w:type="dxa"/>
                  <w:vMerge w:val="continue"/>
                  <w:tcBorders>
                    <w:left w:val="single" w:color="auto" w:sz="4" w:space="0"/>
                    <w:bottom w:val="single" w:color="auto" w:sz="4" w:space="0"/>
                    <w:right w:val="single" w:color="auto" w:sz="4" w:space="0"/>
                  </w:tcBorders>
                  <w:vAlign w:val="center"/>
                </w:tcPr>
                <w:p w14:paraId="32FC0DB1">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p>
              </w:tc>
              <w:tc>
                <w:tcPr>
                  <w:tcW w:w="1224" w:type="dxa"/>
                  <w:vMerge w:val="continue"/>
                  <w:tcBorders>
                    <w:left w:val="single" w:color="auto" w:sz="4" w:space="0"/>
                    <w:bottom w:val="single" w:color="auto" w:sz="4" w:space="0"/>
                    <w:right w:val="single" w:color="auto" w:sz="4" w:space="0"/>
                  </w:tcBorders>
                  <w:vAlign w:val="center"/>
                </w:tcPr>
                <w:p w14:paraId="6C5531F1">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p>
              </w:tc>
            </w:tr>
            <w:tr w14:paraId="0B6B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left w:val="single" w:color="auto" w:sz="4" w:space="0"/>
                    <w:right w:val="single" w:color="auto" w:sz="4" w:space="0"/>
                  </w:tcBorders>
                  <w:vAlign w:val="center"/>
                </w:tcPr>
                <w:p w14:paraId="758A5C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聚诚达环保共性产业园</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w:t>
                  </w: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552" w:type="dxa"/>
                  <w:tcBorders>
                    <w:top w:val="single" w:color="auto" w:sz="4" w:space="0"/>
                    <w:left w:val="single" w:color="auto" w:sz="4" w:space="0"/>
                    <w:bottom w:val="single" w:color="auto" w:sz="4" w:space="0"/>
                    <w:right w:val="single" w:color="auto" w:sz="4" w:space="0"/>
                  </w:tcBorders>
                  <w:vAlign w:val="center"/>
                </w:tcPr>
                <w:p w14:paraId="2924C3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113°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11.4763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1583" w:type="dxa"/>
                  <w:tcBorders>
                    <w:top w:val="single" w:color="auto" w:sz="4" w:space="0"/>
                    <w:left w:val="single" w:color="auto" w:sz="4" w:space="0"/>
                    <w:bottom w:val="single" w:color="auto" w:sz="4" w:space="0"/>
                    <w:right w:val="single" w:color="auto" w:sz="4" w:space="0"/>
                  </w:tcBorders>
                  <w:vAlign w:val="center"/>
                </w:tcPr>
                <w:p w14:paraId="76EDD8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36</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29.469</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1142" w:type="dxa"/>
                  <w:tcBorders>
                    <w:left w:val="single" w:color="auto" w:sz="4" w:space="0"/>
                    <w:right w:val="single" w:color="auto" w:sz="4" w:space="0"/>
                  </w:tcBorders>
                  <w:vAlign w:val="center"/>
                </w:tcPr>
                <w:p w14:paraId="0B34FB8F">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TSP</w:t>
                  </w:r>
                </w:p>
              </w:tc>
              <w:tc>
                <w:tcPr>
                  <w:tcW w:w="934" w:type="dxa"/>
                  <w:tcBorders>
                    <w:left w:val="single" w:color="auto" w:sz="4" w:space="0"/>
                    <w:right w:val="single" w:color="auto" w:sz="4" w:space="0"/>
                  </w:tcBorders>
                  <w:vAlign w:val="center"/>
                </w:tcPr>
                <w:p w14:paraId="5066A9E1">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西北</w:t>
                  </w:r>
                  <w:r>
                    <w:rPr>
                      <w:rFonts w:hint="default" w:ascii="Times New Roman" w:hAnsi="Times New Roman" w:cs="Times New Roman"/>
                      <w:color w:val="000000" w:themeColor="text1"/>
                      <w:highlight w:val="none"/>
                      <w14:textFill>
                        <w14:solidFill>
                          <w14:schemeClr w14:val="tx1"/>
                        </w14:solidFill>
                      </w14:textFill>
                    </w:rPr>
                    <w:t>面</w:t>
                  </w:r>
                </w:p>
              </w:tc>
              <w:tc>
                <w:tcPr>
                  <w:tcW w:w="1224" w:type="dxa"/>
                  <w:tcBorders>
                    <w:left w:val="single" w:color="auto" w:sz="4" w:space="0"/>
                    <w:right w:val="single" w:color="auto" w:sz="4" w:space="0"/>
                  </w:tcBorders>
                  <w:vAlign w:val="center"/>
                </w:tcPr>
                <w:p w14:paraId="39057003">
                  <w:pPr>
                    <w:jc w:val="center"/>
                    <w:rPr>
                      <w:rFonts w:hint="default"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2711</w:t>
                  </w:r>
                </w:p>
              </w:tc>
            </w:tr>
          </w:tbl>
          <w:p w14:paraId="480A59D4">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补充污染物环境质量现状（监测结果）表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232"/>
              <w:gridCol w:w="1247"/>
              <w:gridCol w:w="1496"/>
              <w:gridCol w:w="1235"/>
              <w:gridCol w:w="983"/>
              <w:gridCol w:w="977"/>
            </w:tblGrid>
            <w:tr w14:paraId="6FBE6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14:paraId="04767453">
                  <w:pPr>
                    <w:snapToGrid w:val="0"/>
                    <w:spacing w:line="0" w:lineRule="atLeast"/>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污染物</w:t>
                  </w:r>
                </w:p>
              </w:tc>
              <w:tc>
                <w:tcPr>
                  <w:tcW w:w="1221" w:type="dxa"/>
                  <w:tcBorders>
                    <w:top w:val="single" w:color="auto" w:sz="4" w:space="0"/>
                    <w:left w:val="single" w:color="auto" w:sz="4" w:space="0"/>
                    <w:bottom w:val="single" w:color="auto" w:sz="4" w:space="0"/>
                    <w:right w:val="single" w:color="auto" w:sz="4" w:space="0"/>
                  </w:tcBorders>
                  <w:vAlign w:val="center"/>
                </w:tcPr>
                <w:p w14:paraId="213EB810">
                  <w:pPr>
                    <w:snapToGrid w:val="0"/>
                    <w:spacing w:line="0" w:lineRule="atLeast"/>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平均时间</w:t>
                  </w:r>
                </w:p>
              </w:tc>
              <w:tc>
                <w:tcPr>
                  <w:tcW w:w="1236" w:type="dxa"/>
                  <w:tcBorders>
                    <w:top w:val="single" w:color="auto" w:sz="4" w:space="0"/>
                    <w:left w:val="single" w:color="auto" w:sz="4" w:space="0"/>
                    <w:bottom w:val="single" w:color="auto" w:sz="4" w:space="0"/>
                    <w:right w:val="single" w:color="auto" w:sz="4" w:space="0"/>
                  </w:tcBorders>
                  <w:vAlign w:val="center"/>
                </w:tcPr>
                <w:p w14:paraId="48F2CDDC">
                  <w:pPr>
                    <w:snapToGrid w:val="0"/>
                    <w:spacing w:line="0" w:lineRule="atLeast"/>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评价标准（</w:t>
                  </w:r>
                  <w:r>
                    <w:rPr>
                      <w:rFonts w:hint="default" w:ascii="Times New Roman" w:hAnsi="Times New Roman" w:eastAsia="宋体" w:cs="Times New Roman"/>
                      <w:b/>
                      <w:color w:val="000000" w:themeColor="text1"/>
                      <w:highlight w:val="none"/>
                      <w14:textFill>
                        <w14:solidFill>
                          <w14:schemeClr w14:val="tx1"/>
                        </w14:solidFill>
                      </w14:textFill>
                    </w:rPr>
                    <w:t>µg/m³</w:t>
                  </w:r>
                  <w:r>
                    <w:rPr>
                      <w:rFonts w:hint="default" w:ascii="Times New Roman" w:hAnsi="Times New Roman" w:eastAsia="宋体" w:cs="Times New Roman"/>
                      <w:b/>
                      <w:color w:val="000000" w:themeColor="text1"/>
                      <w:szCs w:val="21"/>
                      <w:highlight w:val="none"/>
                      <w:lang w:bidi="ar"/>
                      <w14:textFill>
                        <w14:solidFill>
                          <w14:schemeClr w14:val="tx1"/>
                        </w14:solidFill>
                      </w14:textFill>
                    </w:rPr>
                    <w:t>）</w:t>
                  </w:r>
                </w:p>
              </w:tc>
              <w:tc>
                <w:tcPr>
                  <w:tcW w:w="1483" w:type="dxa"/>
                  <w:tcBorders>
                    <w:top w:val="single" w:color="auto" w:sz="4" w:space="0"/>
                    <w:left w:val="single" w:color="auto" w:sz="4" w:space="0"/>
                    <w:bottom w:val="single" w:color="auto" w:sz="4" w:space="0"/>
                    <w:right w:val="single" w:color="auto" w:sz="4" w:space="0"/>
                  </w:tcBorders>
                  <w:vAlign w:val="center"/>
                </w:tcPr>
                <w:p w14:paraId="082DF5BC">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监测浓度范围</w:t>
                  </w:r>
                </w:p>
                <w:p w14:paraId="3F1F59FB">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w:t>
                  </w:r>
                  <w:r>
                    <w:rPr>
                      <w:rFonts w:hint="default" w:ascii="Times New Roman" w:hAnsi="Times New Roman" w:eastAsia="宋体" w:cs="Times New Roman"/>
                      <w:b/>
                      <w:color w:val="000000" w:themeColor="text1"/>
                      <w:highlight w:val="none"/>
                      <w14:textFill>
                        <w14:solidFill>
                          <w14:schemeClr w14:val="tx1"/>
                        </w14:solidFill>
                      </w14:textFill>
                    </w:rPr>
                    <w:t>ug/m³</w:t>
                  </w:r>
                  <w:r>
                    <w:rPr>
                      <w:rFonts w:hint="default" w:ascii="Times New Roman" w:hAnsi="Times New Roman" w:eastAsia="宋体" w:cs="Times New Roman"/>
                      <w:b/>
                      <w:color w:val="000000" w:themeColor="text1"/>
                      <w:szCs w:val="21"/>
                      <w:highlight w:val="none"/>
                      <w:lang w:bidi="ar"/>
                      <w14:textFill>
                        <w14:solidFill>
                          <w14:schemeClr w14:val="tx1"/>
                        </w14:solidFill>
                      </w14:textFill>
                    </w:rPr>
                    <w:t>）</w:t>
                  </w:r>
                </w:p>
              </w:tc>
              <w:tc>
                <w:tcPr>
                  <w:tcW w:w="1224" w:type="dxa"/>
                  <w:tcBorders>
                    <w:top w:val="single" w:color="auto" w:sz="4" w:space="0"/>
                    <w:left w:val="single" w:color="auto" w:sz="4" w:space="0"/>
                    <w:bottom w:val="single" w:color="auto" w:sz="4" w:space="0"/>
                    <w:right w:val="single" w:color="auto" w:sz="4" w:space="0"/>
                  </w:tcBorders>
                  <w:vAlign w:val="center"/>
                </w:tcPr>
                <w:p w14:paraId="2AAC26F7">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最大浓度占标率%</w:t>
                  </w:r>
                </w:p>
              </w:tc>
              <w:tc>
                <w:tcPr>
                  <w:tcW w:w="975" w:type="dxa"/>
                  <w:tcBorders>
                    <w:top w:val="single" w:color="auto" w:sz="4" w:space="0"/>
                    <w:left w:val="single" w:color="auto" w:sz="4" w:space="0"/>
                    <w:bottom w:val="single" w:color="auto" w:sz="4" w:space="0"/>
                    <w:right w:val="single" w:color="auto" w:sz="4" w:space="0"/>
                  </w:tcBorders>
                  <w:vAlign w:val="center"/>
                </w:tcPr>
                <w:p w14:paraId="77E4035A">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超标率%</w:t>
                  </w:r>
                </w:p>
              </w:tc>
              <w:tc>
                <w:tcPr>
                  <w:tcW w:w="969" w:type="dxa"/>
                  <w:tcBorders>
                    <w:top w:val="single" w:color="auto" w:sz="4" w:space="0"/>
                    <w:left w:val="single" w:color="auto" w:sz="4" w:space="0"/>
                    <w:bottom w:val="single" w:color="auto" w:sz="4" w:space="0"/>
                    <w:right w:val="single" w:color="auto" w:sz="4" w:space="0"/>
                  </w:tcBorders>
                  <w:vAlign w:val="center"/>
                </w:tcPr>
                <w:p w14:paraId="5EB6010D">
                  <w:pPr>
                    <w:snapToGrid w:val="0"/>
                    <w:spacing w:line="0" w:lineRule="atLeast"/>
                    <w:jc w:val="center"/>
                    <w:rPr>
                      <w:rFonts w:hint="default" w:ascii="Times New Roman" w:hAnsi="Times New Roman" w:eastAsia="宋体" w:cs="Times New Roman"/>
                      <w:b/>
                      <w:color w:val="000000" w:themeColor="text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达标情况</w:t>
                  </w:r>
                </w:p>
              </w:tc>
            </w:tr>
            <w:tr w14:paraId="53CBE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0" w:type="dxa"/>
                  <w:tcBorders>
                    <w:top w:val="single" w:color="auto" w:sz="4" w:space="0"/>
                    <w:left w:val="single" w:color="auto" w:sz="4" w:space="0"/>
                    <w:bottom w:val="single" w:color="auto" w:sz="4" w:space="0"/>
                    <w:right w:val="single" w:color="auto" w:sz="4" w:space="0"/>
                  </w:tcBorders>
                  <w:vAlign w:val="center"/>
                </w:tcPr>
                <w:p w14:paraId="28DBA665">
                  <w:pPr>
                    <w:widowControl/>
                    <w:adjustRightInd w:val="0"/>
                    <w:snapToGrid w:val="0"/>
                    <w:jc w:val="center"/>
                    <w:rPr>
                      <w:rFonts w:hint="default" w:ascii="Times New Roman" w:hAnsi="Times New Roman" w:eastAsia="宋体" w:cs="Times New Roman"/>
                      <w:color w:val="000000" w:themeColor="text1"/>
                      <w:kern w:val="0"/>
                      <w:highlight w:val="none"/>
                      <w14:textFill>
                        <w14:solidFill>
                          <w14:schemeClr w14:val="tx1"/>
                        </w14:solidFill>
                      </w14:textFill>
                    </w:rPr>
                  </w:pPr>
                  <w:r>
                    <w:rPr>
                      <w:rFonts w:hint="default" w:ascii="Times New Roman" w:hAnsi="Times New Roman" w:eastAsia="宋体" w:cs="Times New Roman"/>
                      <w:color w:val="000000" w:themeColor="text1"/>
                      <w:kern w:val="0"/>
                      <w:highlight w:val="none"/>
                      <w14:textFill>
                        <w14:solidFill>
                          <w14:schemeClr w14:val="tx1"/>
                        </w14:solidFill>
                      </w14:textFill>
                    </w:rPr>
                    <w:t>TSP</w:t>
                  </w:r>
                </w:p>
              </w:tc>
              <w:tc>
                <w:tcPr>
                  <w:tcW w:w="1221" w:type="dxa"/>
                  <w:tcBorders>
                    <w:top w:val="single" w:color="auto" w:sz="4" w:space="0"/>
                    <w:left w:val="single" w:color="auto" w:sz="4" w:space="0"/>
                    <w:bottom w:val="single" w:color="auto" w:sz="4" w:space="0"/>
                    <w:right w:val="single" w:color="auto" w:sz="4" w:space="0"/>
                  </w:tcBorders>
                  <w:vAlign w:val="center"/>
                </w:tcPr>
                <w:p w14:paraId="14D6C529">
                  <w:pPr>
                    <w:widowControl/>
                    <w:adjustRightInd w:val="0"/>
                    <w:snapToGrid w:val="0"/>
                    <w:jc w:val="center"/>
                    <w:rPr>
                      <w:rFonts w:hint="default" w:ascii="Times New Roman" w:hAnsi="Times New Roman" w:eastAsia="宋体" w:cs="Times New Roman"/>
                      <w:color w:val="000000" w:themeColor="text1"/>
                      <w:kern w:val="0"/>
                      <w:highlight w:val="none"/>
                      <w14:textFill>
                        <w14:solidFill>
                          <w14:schemeClr w14:val="tx1"/>
                        </w14:solidFill>
                      </w14:textFill>
                    </w:rPr>
                  </w:pPr>
                  <w:r>
                    <w:rPr>
                      <w:rFonts w:hint="default" w:ascii="Times New Roman" w:hAnsi="Times New Roman" w:eastAsia="宋体" w:cs="Times New Roman"/>
                      <w:color w:val="000000" w:themeColor="text1"/>
                      <w:kern w:val="0"/>
                      <w:highlight w:val="none"/>
                      <w14:textFill>
                        <w14:solidFill>
                          <w14:schemeClr w14:val="tx1"/>
                        </w14:solidFill>
                      </w14:textFill>
                    </w:rPr>
                    <w:t>日均值</w:t>
                  </w:r>
                </w:p>
              </w:tc>
              <w:tc>
                <w:tcPr>
                  <w:tcW w:w="1236" w:type="dxa"/>
                  <w:tcBorders>
                    <w:top w:val="single" w:color="auto" w:sz="4" w:space="0"/>
                    <w:left w:val="single" w:color="auto" w:sz="4" w:space="0"/>
                    <w:bottom w:val="single" w:color="auto" w:sz="4" w:space="0"/>
                    <w:right w:val="single" w:color="auto" w:sz="4" w:space="0"/>
                  </w:tcBorders>
                  <w:vAlign w:val="center"/>
                </w:tcPr>
                <w:p w14:paraId="4C7EB8BC">
                  <w:pPr>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300</w:t>
                  </w:r>
                </w:p>
              </w:tc>
              <w:tc>
                <w:tcPr>
                  <w:tcW w:w="1483" w:type="dxa"/>
                  <w:tcBorders>
                    <w:top w:val="single" w:color="auto" w:sz="4" w:space="0"/>
                    <w:left w:val="single" w:color="auto" w:sz="4" w:space="0"/>
                    <w:bottom w:val="single" w:color="auto" w:sz="4" w:space="0"/>
                    <w:right w:val="single" w:color="auto" w:sz="4" w:space="0"/>
                  </w:tcBorders>
                  <w:vAlign w:val="center"/>
                </w:tcPr>
                <w:p w14:paraId="66864184">
                  <w:pPr>
                    <w:jc w:val="center"/>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47-85</w:t>
                  </w:r>
                </w:p>
              </w:tc>
              <w:tc>
                <w:tcPr>
                  <w:tcW w:w="1224" w:type="dxa"/>
                  <w:tcBorders>
                    <w:top w:val="single" w:color="auto" w:sz="4" w:space="0"/>
                    <w:left w:val="single" w:color="auto" w:sz="4" w:space="0"/>
                    <w:bottom w:val="single" w:color="auto" w:sz="4" w:space="0"/>
                    <w:right w:val="single" w:color="auto" w:sz="4" w:space="0"/>
                  </w:tcBorders>
                  <w:vAlign w:val="center"/>
                </w:tcPr>
                <w:p w14:paraId="0EAA3DEF">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28</w:t>
                  </w:r>
                </w:p>
              </w:tc>
              <w:tc>
                <w:tcPr>
                  <w:tcW w:w="975" w:type="dxa"/>
                  <w:tcBorders>
                    <w:top w:val="single" w:color="auto" w:sz="4" w:space="0"/>
                    <w:left w:val="single" w:color="auto" w:sz="4" w:space="0"/>
                    <w:bottom w:val="single" w:color="auto" w:sz="4" w:space="0"/>
                    <w:right w:val="single" w:color="auto" w:sz="4" w:space="0"/>
                  </w:tcBorders>
                  <w:vAlign w:val="center"/>
                </w:tcPr>
                <w:p w14:paraId="0222E001">
                  <w:pPr>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0</w:t>
                  </w:r>
                </w:p>
              </w:tc>
              <w:tc>
                <w:tcPr>
                  <w:tcW w:w="969" w:type="dxa"/>
                  <w:tcBorders>
                    <w:top w:val="single" w:color="auto" w:sz="4" w:space="0"/>
                    <w:left w:val="single" w:color="auto" w:sz="4" w:space="0"/>
                    <w:bottom w:val="single" w:color="auto" w:sz="4" w:space="0"/>
                    <w:right w:val="single" w:color="auto" w:sz="4" w:space="0"/>
                  </w:tcBorders>
                  <w:vAlign w:val="center"/>
                </w:tcPr>
                <w:p w14:paraId="46CD3AEF">
                  <w:pPr>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达标</w:t>
                  </w:r>
                </w:p>
              </w:tc>
            </w:tr>
          </w:tbl>
          <w:p w14:paraId="5B9DA968">
            <w:pPr>
              <w:spacing w:line="360" w:lineRule="auto"/>
              <w:ind w:firstLine="480" w:firstLineChars="20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监测结果分析可知，评价范围内TSP的监测结果满足《环境空气质量标准》（GB3095-2012）及修改清单二级标准。可见，本项目所在区域的环境空气质量良好。</w:t>
            </w:r>
          </w:p>
          <w:p w14:paraId="4214B22A">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2、地表水环境质量现状</w:t>
            </w:r>
          </w:p>
          <w:p w14:paraId="3FF078B1">
            <w:pPr>
              <w:widowControl w:val="0"/>
              <w:wordWrap w:val="0"/>
              <w:overflowPunct w:val="0"/>
              <w:topLinePunct/>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根据《印发中山市水功能区管理办法的通知》（中府[2008]96号文），纳污河道</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石岐河</w:t>
            </w:r>
            <w:r>
              <w:rPr>
                <w:rFonts w:hint="default" w:ascii="Times New Roman" w:hAnsi="Times New Roman" w:eastAsia="宋体" w:cs="Times New Roman"/>
                <w:color w:val="000000" w:themeColor="text1"/>
                <w:sz w:val="24"/>
                <w:highlight w:val="none"/>
                <w14:textFill>
                  <w14:solidFill>
                    <w14:schemeClr w14:val="tx1"/>
                  </w14:solidFill>
                </w14:textFill>
              </w:rPr>
              <w:t>执行国家《地表水环境质量标准》</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GB3838-2002</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中</w:t>
            </w:r>
            <w:r>
              <w:rPr>
                <w:rFonts w:hint="default" w:ascii="Times New Roman" w:hAnsi="Times New Roman" w:eastAsia="宋体" w:cs="Times New Roman"/>
                <w:color w:val="000000" w:themeColor="text1"/>
                <w:sz w:val="24"/>
                <w:szCs w:val="24"/>
                <w:highlight w:val="none"/>
                <w14:textFill>
                  <w14:solidFill>
                    <w14:schemeClr w14:val="tx1"/>
                  </w14:solidFill>
                </w14:textFill>
              </w:rPr>
              <w:t>的</w:t>
            </w:r>
            <w:r>
              <w:rPr>
                <w:rFonts w:hint="eastAsia" w:ascii="宋体" w:hAnsi="宋体" w:cs="宋体"/>
                <w:color w:val="000000" w:themeColor="text1"/>
                <w:sz w:val="24"/>
                <w:szCs w:val="24"/>
                <w:highlight w:val="none"/>
                <w14:textFill>
                  <w14:solidFill>
                    <w14:schemeClr w14:val="tx1"/>
                  </w14:solidFill>
                </w14:textFill>
              </w:rPr>
              <w:t>Ⅳ</w:t>
            </w:r>
            <w:r>
              <w:rPr>
                <w:rFonts w:hint="default" w:ascii="Times New Roman" w:hAnsi="Times New Roman" w:eastAsia="宋体" w:cs="Times New Roman"/>
                <w:color w:val="000000" w:themeColor="text1"/>
                <w:sz w:val="24"/>
                <w:highlight w:val="none"/>
                <w14:textFill>
                  <w14:solidFill>
                    <w14:schemeClr w14:val="tx1"/>
                  </w14:solidFill>
                </w14:textFill>
              </w:rPr>
              <w:t>类标准。</w:t>
            </w:r>
          </w:p>
          <w:p w14:paraId="3D2B191E">
            <w:pPr>
              <w:widowControl w:val="0"/>
              <w:wordWrap w:val="0"/>
              <w:overflowPunct w:val="0"/>
              <w:topLinePunct/>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根据《202</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年中山市生态环境质量报告书》（公众版），202</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石岐河</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水质为</w:t>
            </w:r>
            <w:r>
              <w:rPr>
                <w:rFonts w:hint="eastAsia" w:ascii="宋体" w:hAnsi="宋体" w:eastAsia="宋体" w:cs="宋体"/>
                <w:color w:val="000000" w:themeColor="text1"/>
                <w:sz w:val="24"/>
                <w:highlight w:val="none"/>
                <w:lang w:val="en-US" w:eastAsia="zh-CN"/>
                <w14:textFill>
                  <w14:solidFill>
                    <w14:schemeClr w14:val="tx1"/>
                  </w14:solidFill>
                </w14:textFill>
              </w:rPr>
              <w:t>Ⅴ</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类标准，水质现状</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中度污染，超标污染物为氨氮</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通过实施《中山市城市黑臭水体治理攻坚战实施方案》，加快改善城市水环境质量。攻坚战实施方案提出要注重黑臭水体前端治理，科学有序，按照“一河一策”“一湖一策”的原则，因河(湖)施策，扎实推进治理攻坚工作，避免碎片化治理。同时坚持统筹兼顾、整体施策，按照全流域治理、全系统治理、全市域监测、全过程监督和全民参与“五个全”的治理理念，上下联动，统一步调，压实责任、倒逼落实，确保城市黑臭水体治理攻坚工作顺利实施。以全面推行河长制、湖长制为抓手，协调好跨区域权责关系；加强部门协调，形成合力；调动社会力量参与治理，鼓励公众发挥监督作用，水环境质量将有所改善。</w:t>
            </w:r>
          </w:p>
          <w:p w14:paraId="6F5A1383">
            <w:pPr>
              <w:spacing w:line="360" w:lineRule="auto"/>
              <w:rPr>
                <w:rFonts w:hint="default" w:ascii="Times New Roman" w:hAnsi="Times New Roman" w:eastAsia="宋体" w:cs="Times New Roman"/>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5182235" cy="3011170"/>
                  <wp:effectExtent l="0" t="0" r="18415" b="17780"/>
                  <wp:docPr id="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pic:cNvPicPr>
                            <a:picLocks noChangeAspect="1"/>
                          </pic:cNvPicPr>
                        </pic:nvPicPr>
                        <pic:blipFill>
                          <a:blip r:embed="rId19"/>
                          <a:stretch>
                            <a:fillRect/>
                          </a:stretch>
                        </pic:blipFill>
                        <pic:spPr>
                          <a:xfrm>
                            <a:off x="0" y="0"/>
                            <a:ext cx="5182235" cy="3011170"/>
                          </a:xfrm>
                          <a:prstGeom prst="rect">
                            <a:avLst/>
                          </a:prstGeom>
                          <a:noFill/>
                          <a:ln>
                            <a:noFill/>
                          </a:ln>
                        </pic:spPr>
                      </pic:pic>
                    </a:graphicData>
                  </a:graphic>
                </wp:inline>
              </w:drawing>
            </w:r>
          </w:p>
          <w:p w14:paraId="1ECDEDF5">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3、声环境质量现状</w:t>
            </w:r>
          </w:p>
          <w:p w14:paraId="55DFA159">
            <w:pPr>
              <w:pStyle w:val="47"/>
              <w:wordWrap w:val="0"/>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根据《声环境功能区划分技术规范》（GB/T15190-2014）及《中山市声环境功能区划方案（2021年修编）》和《声环境质量标准》（GB 3096-2008），项目厂界外执行《</w:t>
            </w:r>
            <w:r>
              <w:rPr>
                <w:rFonts w:ascii="Times New Roman" w:hAnsi="Times New Roman" w:eastAsia="宋体" w:cs="Times New Roman"/>
                <w:color w:val="000000" w:themeColor="text1"/>
                <w:sz w:val="24"/>
                <w:highlight w:val="none"/>
                <w14:textFill>
                  <w14:solidFill>
                    <w14:schemeClr w14:val="tx1"/>
                  </w14:solidFill>
                </w14:textFill>
              </w:rPr>
              <w:fldChar w:fldCharType="begin"/>
            </w:r>
            <w:r>
              <w:rPr>
                <w:rFonts w:ascii="Times New Roman" w:hAnsi="Times New Roman" w:eastAsia="宋体" w:cs="Times New Roman"/>
                <w:color w:val="000000" w:themeColor="text1"/>
                <w:sz w:val="24"/>
                <w:highlight w:val="none"/>
                <w14:textFill>
                  <w14:solidFill>
                    <w14:schemeClr w14:val="tx1"/>
                  </w14:solidFill>
                </w14:textFill>
              </w:rPr>
              <w:instrText xml:space="preserve"> HYPERLINK "http://www.mep.gov.cn/tech/hjbz/bzwb/wlhj/shjzlbz/200809/t20080917_128815.htm" \t "_self" </w:instrText>
            </w:r>
            <w:r>
              <w:rPr>
                <w:rFonts w:ascii="Times New Roman" w:hAnsi="Times New Roman" w:eastAsia="宋体" w:cs="Times New Roman"/>
                <w:color w:val="000000" w:themeColor="text1"/>
                <w:sz w:val="24"/>
                <w:highlight w:val="none"/>
                <w14:textFill>
                  <w14:solidFill>
                    <w14:schemeClr w14:val="tx1"/>
                  </w14:solidFill>
                </w14:textFill>
              </w:rPr>
              <w:fldChar w:fldCharType="separate"/>
            </w:r>
            <w:r>
              <w:rPr>
                <w:rFonts w:ascii="Times New Roman" w:hAnsi="Times New Roman" w:eastAsia="宋体" w:cs="Times New Roman"/>
                <w:color w:val="000000" w:themeColor="text1"/>
                <w:sz w:val="24"/>
                <w:highlight w:val="none"/>
                <w14:textFill>
                  <w14:solidFill>
                    <w14:schemeClr w14:val="tx1"/>
                  </w14:solidFill>
                </w14:textFill>
              </w:rPr>
              <w:t>声环境质量标准</w:t>
            </w:r>
            <w:r>
              <w:rPr>
                <w:rFonts w:ascii="Times New Roman" w:hAnsi="Times New Roman" w:eastAsia="宋体" w:cs="Times New Roman"/>
                <w:color w:val="000000" w:themeColor="text1"/>
                <w:sz w:val="24"/>
                <w:highlight w:val="none"/>
                <w14:textFill>
                  <w14:solidFill>
                    <w14:schemeClr w14:val="tx1"/>
                  </w14:solidFill>
                </w14:textFill>
              </w:rPr>
              <w:fldChar w:fldCharType="end"/>
            </w:r>
            <w:r>
              <w:rPr>
                <w:rFonts w:ascii="Times New Roman" w:hAnsi="Times New Roman" w:eastAsia="宋体" w:cs="Times New Roman"/>
                <w:color w:val="000000" w:themeColor="text1"/>
                <w:sz w:val="24"/>
                <w:highlight w:val="none"/>
                <w14:textFill>
                  <w14:solidFill>
                    <w14:schemeClr w14:val="tx1"/>
                  </w14:solidFill>
                </w14:textFill>
              </w:rPr>
              <w:t>》3类，本项目厂界外周边50米范围内不存在声环境保护目标的建设项目，因此不开展声环境质量现状调查。</w:t>
            </w:r>
          </w:p>
          <w:p w14:paraId="41B07C4E">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4、地下水环境质量现状和土壤环境质量现状</w:t>
            </w:r>
          </w:p>
          <w:p w14:paraId="7152B8E6">
            <w:pPr>
              <w:spacing w:line="360" w:lineRule="auto"/>
              <w:ind w:firstLine="480" w:firstLineChars="200"/>
              <w:rPr>
                <w:rFonts w:hint="default" w:ascii="Times New Roman" w:hAnsi="Times New Roman" w:eastAsia="宋体" w:cs="Times New Roman"/>
                <w:color w:val="000000" w:themeColor="text1"/>
                <w:sz w:val="24"/>
                <w:highlight w:val="none"/>
                <w:lang w:val="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本项目生产过程产生危险废物、生产废水等。化学品储存、危险废物、生产废水等过程可能泄漏，上述液体下渗可能对地下水环境产生影响。</w:t>
            </w:r>
            <w:r>
              <w:rPr>
                <w:rFonts w:hint="default" w:ascii="Times New Roman" w:hAnsi="Times New Roman" w:eastAsia="宋体" w:cs="Times New Roman"/>
                <w:color w:val="000000" w:themeColor="text1"/>
                <w:kern w:val="24"/>
                <w:sz w:val="24"/>
                <w:highlight w:val="none"/>
                <w14:textFill>
                  <w14:solidFill>
                    <w14:schemeClr w14:val="tx1"/>
                  </w14:solidFill>
                </w14:textFill>
              </w:rPr>
              <w:t>本项目不开采地下水，运行过程无涉及重金属污染工序；项目场地全面硬底化，并实行分区防渗，项目正常工况下不污染地下水、土壤；项目选址500m范围内无地下水集中式饮用水水源保护区、矿泉水、温泉等特殊地下水资源。</w:t>
            </w:r>
            <w:r>
              <w:rPr>
                <w:rFonts w:hint="default" w:ascii="Times New Roman" w:hAnsi="Times New Roman" w:eastAsia="宋体" w:cs="Times New Roman"/>
                <w:color w:val="000000" w:themeColor="text1"/>
                <w:sz w:val="24"/>
                <w:highlight w:val="none"/>
                <w:lang w:val="zh-CN"/>
                <w14:textFill>
                  <w14:solidFill>
                    <w14:schemeClr w14:val="tx1"/>
                  </w14:solidFill>
                </w14:textFill>
              </w:rPr>
              <w:t>项目厂房地面均为水泥硬化地面，化学品仓、生产废水暂存和危险暂存区设置缓坡，地面刷防渗漆，项目门口设置缓坡，事故状态时可有效防止废水等外泄，</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一般固废暂存区贮存过程应满足相应防渗漏、防雨淋、防扬尘等环境保护要求，</w:t>
            </w:r>
            <w:r>
              <w:rPr>
                <w:rFonts w:hint="default" w:ascii="Times New Roman" w:hAnsi="Times New Roman" w:eastAsia="宋体" w:cs="Times New Roman"/>
                <w:color w:val="000000" w:themeColor="text1"/>
                <w:sz w:val="24"/>
                <w:highlight w:val="none"/>
                <w:lang w:val="zh-CN"/>
                <w14:textFill>
                  <w14:solidFill>
                    <w14:schemeClr w14:val="tx1"/>
                  </w14:solidFill>
                </w14:textFill>
              </w:rPr>
              <w:t>因此对</w:t>
            </w:r>
            <w:r>
              <w:rPr>
                <w:rFonts w:hint="default" w:ascii="Times New Roman" w:hAnsi="Times New Roman" w:eastAsia="宋体" w:cs="Times New Roman"/>
                <w:color w:val="000000" w:themeColor="text1"/>
                <w:sz w:val="24"/>
                <w:highlight w:val="none"/>
                <w14:textFill>
                  <w14:solidFill>
                    <w14:schemeClr w14:val="tx1"/>
                  </w14:solidFill>
                </w14:textFill>
              </w:rPr>
              <w:t>地下水及</w:t>
            </w:r>
            <w:r>
              <w:rPr>
                <w:rFonts w:hint="default" w:ascii="Times New Roman" w:hAnsi="Times New Roman" w:eastAsia="宋体" w:cs="Times New Roman"/>
                <w:color w:val="000000" w:themeColor="text1"/>
                <w:sz w:val="24"/>
                <w:highlight w:val="none"/>
                <w:lang w:val="zh-CN"/>
                <w14:textFill>
                  <w14:solidFill>
                    <w14:schemeClr w14:val="tx1"/>
                  </w14:solidFill>
                </w14:textFill>
              </w:rPr>
              <w:t>土壤环境影响较小。</w:t>
            </w:r>
          </w:p>
          <w:p w14:paraId="61AEEBD7">
            <w:pPr>
              <w:spacing w:line="360" w:lineRule="auto"/>
              <w:ind w:firstLine="480" w:firstLineChars="200"/>
              <w:rPr>
                <w:rFonts w:hint="default" w:ascii="Times New Roman" w:hAnsi="Times New Roman" w:eastAsia="宋体" w:cs="Times New Roman"/>
                <w:color w:val="000000" w:themeColor="text1"/>
                <w:sz w:val="24"/>
                <w:highlight w:val="none"/>
                <w:lang w:val="zh-CN"/>
                <w14:textFill>
                  <w14:solidFill>
                    <w14:schemeClr w14:val="tx1"/>
                  </w14:solidFill>
                </w14:textFill>
              </w:rPr>
            </w:pPr>
            <w:r>
              <w:rPr>
                <w:rFonts w:hint="default" w:ascii="Times New Roman" w:hAnsi="Times New Roman" w:eastAsia="宋体" w:cs="Times New Roman"/>
                <w:color w:val="000000" w:themeColor="text1"/>
                <w:sz w:val="24"/>
                <w:highlight w:val="none"/>
                <w:lang w:val="zh-CN"/>
                <w14:textFill>
                  <w14:solidFill>
                    <w14:schemeClr w14:val="tx1"/>
                  </w14:solidFill>
                </w14:textFill>
              </w:rPr>
              <w:t>此外，项目生产过程不产生有毒有害气体，亦不涉及重金属污染物，因此大气沉降途径对土壤环境影响较小。</w:t>
            </w:r>
            <w:r>
              <w:rPr>
                <w:rFonts w:hint="default" w:ascii="Times New Roman" w:hAnsi="Times New Roman" w:eastAsia="宋体" w:cs="Times New Roman"/>
                <w:color w:val="000000" w:themeColor="text1"/>
                <w:kern w:val="24"/>
                <w:sz w:val="24"/>
                <w:highlight w:val="none"/>
                <w14:textFill>
                  <w14:solidFill>
                    <w14:schemeClr w14:val="tx1"/>
                  </w14:solidFill>
                </w14:textFill>
              </w:rPr>
              <w:t>综合分析，本项目不开展地下水、土壤环境质量现状调查</w:t>
            </w:r>
            <w:r>
              <w:rPr>
                <w:rFonts w:hint="default" w:ascii="Times New Roman" w:hAnsi="Times New Roman" w:eastAsia="宋体" w:cs="Times New Roman"/>
                <w:color w:val="000000" w:themeColor="text1"/>
                <w:sz w:val="24"/>
                <w:highlight w:val="none"/>
                <w:lang w:val="zh-CN"/>
                <w14:textFill>
                  <w14:solidFill>
                    <w14:schemeClr w14:val="tx1"/>
                  </w14:solidFill>
                </w14:textFill>
              </w:rPr>
              <w:t>。</w:t>
            </w:r>
          </w:p>
          <w:p w14:paraId="10C69C1E">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生态环境部“关于土壤破坏性监测问题”的回复，“根据建设项目实际情况，如果项目场地已经做了防腐防渗（包括硬化）处理无法取样，可不取样监测，但需详细说明无法取样原因”。根据广东省生态环境厅对“建设项目用地范围已全部硬底化，还要不要凿开采样”的回复，“若建设用地范围已全部硬底化，不具备采样监测条件的，可采取拍照证明并在环评文件中体现，不进行厂区用地范围的土壤现状监测”。根据现场勘查，项目所在地范围内已全部采取混凝土硬地化。因此不具备占地范围内土壤监测条件，不进行厂区土壤环境现状监测</w:t>
            </w:r>
            <w:r>
              <w:rPr>
                <w:rFonts w:hint="default" w:ascii="Times New Roman" w:hAnsi="Times New Roman" w:eastAsia="宋体" w:cs="Times New Roman"/>
                <w:bCs/>
                <w:color w:val="000000" w:themeColor="text1"/>
                <w:sz w:val="24"/>
                <w:highlight w:val="none"/>
                <w14:textFill>
                  <w14:solidFill>
                    <w14:schemeClr w14:val="tx1"/>
                  </w14:solidFill>
                </w14:textFill>
              </w:rPr>
              <w:t>。</w:t>
            </w:r>
          </w:p>
          <w:p w14:paraId="4E12D9B8">
            <w:pPr>
              <w:spacing w:line="480" w:lineRule="exact"/>
              <w:ind w:firstLine="482" w:firstLineChars="200"/>
              <w:rPr>
                <w:rFonts w:hint="default" w:ascii="Times New Roman" w:hAnsi="Times New Roman" w:eastAsia="宋体" w:cs="Times New Roman"/>
                <w:b/>
                <w:color w:val="000000" w:themeColor="text1"/>
                <w:sz w:val="24"/>
                <w:highlight w:val="none"/>
                <w:lang w:val="zh-CN"/>
                <w14:textFill>
                  <w14:solidFill>
                    <w14:schemeClr w14:val="tx1"/>
                  </w14:solidFill>
                </w14:textFill>
              </w:rPr>
            </w:pPr>
            <w:r>
              <w:rPr>
                <w:rFonts w:hint="default" w:ascii="Times New Roman" w:hAnsi="Times New Roman" w:eastAsia="宋体" w:cs="Times New Roman"/>
                <w:b/>
                <w:color w:val="000000" w:themeColor="text1"/>
                <w:sz w:val="24"/>
                <w:highlight w:val="none"/>
                <w:lang w:val="zh-CN"/>
                <w14:textFill>
                  <w14:solidFill>
                    <w14:schemeClr w14:val="tx1"/>
                  </w14:solidFill>
                </w14:textFill>
              </w:rPr>
              <w:t>5、生态环境质量现状</w:t>
            </w:r>
          </w:p>
          <w:p w14:paraId="7DFAA395">
            <w:pPr>
              <w:spacing w:line="480" w:lineRule="exact"/>
              <w:ind w:firstLine="480" w:firstLineChars="200"/>
              <w:rPr>
                <w:rFonts w:hint="default" w:ascii="Times New Roman" w:hAnsi="Times New Roman" w:eastAsia="宋体" w:cs="Times New Roman"/>
                <w:bCs/>
                <w:color w:val="000000" w:themeColor="text1"/>
                <w:szCs w:val="21"/>
                <w:highlight w:val="none"/>
                <w:lang w:val="zh-CN"/>
                <w14:textFill>
                  <w14:solidFill>
                    <w14:schemeClr w14:val="tx1"/>
                  </w14:solidFill>
                </w14:textFill>
              </w:rPr>
            </w:pPr>
            <w:r>
              <w:rPr>
                <w:rFonts w:hint="default" w:ascii="Times New Roman" w:hAnsi="Times New Roman" w:eastAsia="宋体" w:cs="Times New Roman"/>
                <w:bCs/>
                <w:color w:val="000000" w:themeColor="text1"/>
                <w:sz w:val="24"/>
                <w:highlight w:val="none"/>
                <w:lang w:val="zh-CN"/>
                <w14:textFill>
                  <w14:solidFill>
                    <w14:schemeClr w14:val="tx1"/>
                  </w14:solidFill>
                </w14:textFill>
              </w:rPr>
              <w:t>本项目建设项目用地范围内无生态环境保护目标，因此无需进行生态现状调查。</w:t>
            </w:r>
          </w:p>
        </w:tc>
      </w:tr>
      <w:tr w14:paraId="6FC3A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1" w:type="pct"/>
            <w:vAlign w:val="center"/>
          </w:tcPr>
          <w:p w14:paraId="599AE5CE">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环境保护目标</w:t>
            </w:r>
          </w:p>
        </w:tc>
        <w:tc>
          <w:tcPr>
            <w:tcW w:w="4588" w:type="pct"/>
          </w:tcPr>
          <w:p w14:paraId="4E75FF53">
            <w:pPr>
              <w:spacing w:line="480" w:lineRule="exact"/>
              <w:ind w:firstLine="482" w:firstLineChars="200"/>
              <w:rPr>
                <w:rFonts w:hint="default" w:ascii="Times New Roman" w:hAnsi="Times New Roman" w:eastAsia="宋体" w:cs="Times New Roman"/>
                <w:b/>
                <w:color w:val="000000" w:themeColor="text1"/>
                <w:sz w:val="24"/>
                <w:highlight w:val="none"/>
                <w:lang w:val="zh-CN"/>
                <w14:textFill>
                  <w14:solidFill>
                    <w14:schemeClr w14:val="tx1"/>
                  </w14:solidFill>
                </w14:textFill>
              </w:rPr>
            </w:pPr>
            <w:r>
              <w:rPr>
                <w:rFonts w:hint="default" w:ascii="Times New Roman" w:hAnsi="Times New Roman" w:eastAsia="宋体" w:cs="Times New Roman"/>
                <w:b/>
                <w:color w:val="000000" w:themeColor="text1"/>
                <w:sz w:val="24"/>
                <w:highlight w:val="none"/>
                <w:lang w:val="zh-CN"/>
                <w14:textFill>
                  <w14:solidFill>
                    <w14:schemeClr w14:val="tx1"/>
                  </w14:solidFill>
                </w14:textFill>
              </w:rPr>
              <w:t>1、大气环境保护目标</w:t>
            </w:r>
          </w:p>
          <w:p w14:paraId="583D129D">
            <w:pPr>
              <w:spacing w:line="480" w:lineRule="exact"/>
              <w:ind w:firstLine="480" w:firstLineChars="200"/>
              <w:rPr>
                <w:rFonts w:hint="default" w:ascii="Times New Roman" w:hAnsi="Times New Roman" w:eastAsia="宋体" w:cs="Times New Roman"/>
                <w:bCs/>
                <w:color w:val="000000" w:themeColor="text1"/>
                <w:sz w:val="24"/>
                <w:highlight w:val="none"/>
                <w:lang w:val="zh-CN"/>
                <w14:textFill>
                  <w14:solidFill>
                    <w14:schemeClr w14:val="tx1"/>
                  </w14:solidFill>
                </w14:textFill>
              </w:rPr>
            </w:pPr>
            <w:r>
              <w:rPr>
                <w:rFonts w:hint="default" w:ascii="Times New Roman" w:hAnsi="Times New Roman" w:eastAsia="宋体" w:cs="Times New Roman"/>
                <w:bCs/>
                <w:color w:val="000000" w:themeColor="text1"/>
                <w:sz w:val="24"/>
                <w:highlight w:val="none"/>
                <w:lang w:val="zh-CN"/>
                <w14:textFill>
                  <w14:solidFill>
                    <w14:schemeClr w14:val="tx1"/>
                  </w14:solidFill>
                </w14:textFill>
              </w:rPr>
              <w:t>环境空气保护目标是周围地区的大气环境在本项目建成后不受明显影响，保护该区域环境空气质量符合《环境空气质量标准》（GB3095-2012）及其修改单的二级标准。项目厂界外 500 米范围内大气环境保护目标如下表所示。</w:t>
            </w:r>
          </w:p>
          <w:p w14:paraId="3481C5C9">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厂界外500m范围内大气环境保护目标</w:t>
            </w:r>
          </w:p>
          <w:tbl>
            <w:tblPr>
              <w:tblStyle w:val="32"/>
              <w:tblW w:w="4995" w:type="pct"/>
              <w:tblInd w:w="0" w:type="dxa"/>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1"/>
              <w:gridCol w:w="1192"/>
              <w:gridCol w:w="1098"/>
              <w:gridCol w:w="707"/>
              <w:gridCol w:w="993"/>
              <w:gridCol w:w="1096"/>
              <w:gridCol w:w="826"/>
              <w:gridCol w:w="896"/>
            </w:tblGrid>
            <w:tr w14:paraId="7E5F59E2">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786" w:type="pct"/>
                  <w:vMerge w:val="restart"/>
                  <w:shd w:val="clear" w:color="auto" w:fill="auto"/>
                  <w:vAlign w:val="center"/>
                </w:tcPr>
                <w:p w14:paraId="75AF9422">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敏感点</w:t>
                  </w:r>
                </w:p>
              </w:tc>
              <w:tc>
                <w:tcPr>
                  <w:tcW w:w="1417" w:type="pct"/>
                  <w:gridSpan w:val="2"/>
                  <w:shd w:val="clear" w:color="auto" w:fill="auto"/>
                  <w:vAlign w:val="center"/>
                </w:tcPr>
                <w:p w14:paraId="2E2C90E4">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 xml:space="preserve">坐标 </w:t>
                  </w:r>
                </w:p>
              </w:tc>
              <w:tc>
                <w:tcPr>
                  <w:tcW w:w="437" w:type="pct"/>
                  <w:vMerge w:val="restart"/>
                  <w:shd w:val="clear" w:color="auto" w:fill="auto"/>
                  <w:vAlign w:val="center"/>
                </w:tcPr>
                <w:p w14:paraId="27A41416">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保护对象</w:t>
                  </w:r>
                </w:p>
              </w:tc>
              <w:tc>
                <w:tcPr>
                  <w:tcW w:w="614" w:type="pct"/>
                  <w:vMerge w:val="restart"/>
                  <w:shd w:val="clear" w:color="auto" w:fill="auto"/>
                  <w:vAlign w:val="center"/>
                </w:tcPr>
                <w:p w14:paraId="461DA080">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保护内容</w:t>
                  </w:r>
                </w:p>
              </w:tc>
              <w:tc>
                <w:tcPr>
                  <w:tcW w:w="678" w:type="pct"/>
                  <w:vMerge w:val="restart"/>
                  <w:shd w:val="clear" w:color="auto" w:fill="auto"/>
                  <w:vAlign w:val="center"/>
                </w:tcPr>
                <w:p w14:paraId="30B66D41">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环境功能区</w:t>
                  </w:r>
                </w:p>
              </w:tc>
              <w:tc>
                <w:tcPr>
                  <w:tcW w:w="511" w:type="pct"/>
                  <w:vMerge w:val="restart"/>
                  <w:shd w:val="clear" w:color="auto" w:fill="auto"/>
                  <w:vAlign w:val="center"/>
                </w:tcPr>
                <w:p w14:paraId="7ADFA44B">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相对厂址方位</w:t>
                  </w:r>
                </w:p>
              </w:tc>
              <w:tc>
                <w:tcPr>
                  <w:tcW w:w="554" w:type="pct"/>
                  <w:vMerge w:val="restart"/>
                  <w:shd w:val="clear" w:color="auto" w:fill="auto"/>
                  <w:vAlign w:val="center"/>
                </w:tcPr>
                <w:p w14:paraId="73202FCF">
                  <w:pPr>
                    <w:pStyle w:val="59"/>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highlight w:val="none"/>
                      <w14:textFill>
                        <w14:solidFill>
                          <w14:schemeClr w14:val="tx1"/>
                        </w14:solidFill>
                      </w14:textFill>
                    </w:rPr>
                    <w:t>相对厂界距离/m</w:t>
                  </w:r>
                </w:p>
              </w:tc>
            </w:tr>
            <w:tr w14:paraId="139A5F0E">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trPr>
              <w:tc>
                <w:tcPr>
                  <w:tcW w:w="786" w:type="pct"/>
                  <w:vMerge w:val="continue"/>
                  <w:shd w:val="clear" w:color="auto" w:fill="auto"/>
                  <w:vAlign w:val="center"/>
                </w:tcPr>
                <w:p w14:paraId="2E2C7141">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37" w:type="pct"/>
                  <w:shd w:val="clear" w:color="auto" w:fill="auto"/>
                  <w:vAlign w:val="center"/>
                </w:tcPr>
                <w:p w14:paraId="1A31F237">
                  <w:pPr>
                    <w:pStyle w:val="59"/>
                    <w:rPr>
                      <w:rFonts w:hint="default" w:ascii="Times New Roman" w:hAnsi="Times New Roman" w:eastAsia="宋体" w:cs="Times New Roman"/>
                      <w:b/>
                      <w:i/>
                      <w:iCs/>
                      <w:color w:val="000000" w:themeColor="text1"/>
                      <w:highlight w:val="none"/>
                      <w14:textFill>
                        <w14:solidFill>
                          <w14:schemeClr w14:val="tx1"/>
                        </w14:solidFill>
                      </w14:textFill>
                    </w:rPr>
                  </w:pPr>
                  <w:r>
                    <w:rPr>
                      <w:rFonts w:hint="default" w:ascii="Times New Roman" w:hAnsi="Times New Roman" w:eastAsia="宋体" w:cs="Times New Roman"/>
                      <w:b/>
                      <w:i/>
                      <w:iCs/>
                      <w:color w:val="000000" w:themeColor="text1"/>
                      <w:highlight w:val="none"/>
                      <w14:textFill>
                        <w14:solidFill>
                          <w14:schemeClr w14:val="tx1"/>
                        </w14:solidFill>
                      </w14:textFill>
                    </w:rPr>
                    <w:t>X</w:t>
                  </w:r>
                </w:p>
              </w:tc>
              <w:tc>
                <w:tcPr>
                  <w:tcW w:w="679" w:type="pct"/>
                  <w:shd w:val="clear" w:color="auto" w:fill="auto"/>
                  <w:vAlign w:val="center"/>
                </w:tcPr>
                <w:p w14:paraId="16A8A12A">
                  <w:pPr>
                    <w:pStyle w:val="59"/>
                    <w:rPr>
                      <w:rFonts w:hint="default" w:ascii="Times New Roman" w:hAnsi="Times New Roman" w:eastAsia="宋体" w:cs="Times New Roman"/>
                      <w:b/>
                      <w:i/>
                      <w:iCs/>
                      <w:color w:val="000000" w:themeColor="text1"/>
                      <w:highlight w:val="none"/>
                      <w14:textFill>
                        <w14:solidFill>
                          <w14:schemeClr w14:val="tx1"/>
                        </w14:solidFill>
                      </w14:textFill>
                    </w:rPr>
                  </w:pPr>
                  <w:r>
                    <w:rPr>
                      <w:rFonts w:hint="default" w:ascii="Times New Roman" w:hAnsi="Times New Roman" w:eastAsia="宋体" w:cs="Times New Roman"/>
                      <w:b/>
                      <w:i/>
                      <w:iCs/>
                      <w:color w:val="000000" w:themeColor="text1"/>
                      <w:highlight w:val="none"/>
                      <w14:textFill>
                        <w14:solidFill>
                          <w14:schemeClr w14:val="tx1"/>
                        </w14:solidFill>
                      </w14:textFill>
                    </w:rPr>
                    <w:t>Y</w:t>
                  </w:r>
                </w:p>
              </w:tc>
              <w:tc>
                <w:tcPr>
                  <w:tcW w:w="437" w:type="pct"/>
                  <w:vMerge w:val="continue"/>
                  <w:shd w:val="clear" w:color="auto" w:fill="auto"/>
                  <w:vAlign w:val="center"/>
                </w:tcPr>
                <w:p w14:paraId="05B1D871">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Merge w:val="continue"/>
                  <w:shd w:val="clear" w:color="auto" w:fill="auto"/>
                  <w:vAlign w:val="center"/>
                </w:tcPr>
                <w:p w14:paraId="1C08C8C2">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78" w:type="pct"/>
                  <w:vMerge w:val="continue"/>
                  <w:shd w:val="clear" w:color="auto" w:fill="auto"/>
                  <w:vAlign w:val="center"/>
                </w:tcPr>
                <w:p w14:paraId="7F655034">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511" w:type="pct"/>
                  <w:vMerge w:val="continue"/>
                  <w:shd w:val="clear" w:color="auto" w:fill="auto"/>
                  <w:vAlign w:val="center"/>
                </w:tcPr>
                <w:p w14:paraId="14A718DB">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554" w:type="pct"/>
                  <w:vMerge w:val="continue"/>
                  <w:shd w:val="clear" w:color="auto" w:fill="auto"/>
                  <w:vAlign w:val="center"/>
                </w:tcPr>
                <w:p w14:paraId="4CD3FB23">
                  <w:pPr>
                    <w:pStyle w:val="59"/>
                    <w:rPr>
                      <w:rFonts w:hint="default" w:ascii="Times New Roman" w:hAnsi="Times New Roman" w:eastAsia="宋体" w:cs="Times New Roman"/>
                      <w:color w:val="000000" w:themeColor="text1"/>
                      <w:highlight w:val="none"/>
                      <w14:textFill>
                        <w14:solidFill>
                          <w14:schemeClr w14:val="tx1"/>
                        </w14:solidFill>
                      </w14:textFill>
                    </w:rPr>
                  </w:pPr>
                </w:p>
              </w:tc>
            </w:tr>
            <w:tr w14:paraId="6DB1DFE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trPr>
              <w:tc>
                <w:tcPr>
                  <w:tcW w:w="786" w:type="pct"/>
                  <w:shd w:val="clear" w:color="auto" w:fill="auto"/>
                  <w:vAlign w:val="center"/>
                </w:tcPr>
                <w:p w14:paraId="08E79735">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坦背村</w:t>
                  </w:r>
                </w:p>
              </w:tc>
              <w:tc>
                <w:tcPr>
                  <w:tcW w:w="737" w:type="pct"/>
                  <w:shd w:val="clear" w:color="auto" w:fill="auto"/>
                  <w:vAlign w:val="center"/>
                </w:tcPr>
                <w:p w14:paraId="3A0C0B7E">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113.471742</w:t>
                  </w:r>
                </w:p>
              </w:tc>
              <w:tc>
                <w:tcPr>
                  <w:tcW w:w="679" w:type="pct"/>
                  <w:shd w:val="clear" w:color="auto" w:fill="auto"/>
                  <w:vAlign w:val="center"/>
                </w:tcPr>
                <w:p w14:paraId="240E8062">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22.700737</w:t>
                  </w:r>
                </w:p>
              </w:tc>
              <w:tc>
                <w:tcPr>
                  <w:tcW w:w="437" w:type="pct"/>
                  <w:shd w:val="clear" w:color="auto" w:fill="auto"/>
                  <w:vAlign w:val="center"/>
                </w:tcPr>
                <w:p w14:paraId="4E73D847">
                  <w:pPr>
                    <w:pStyle w:val="59"/>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村庄</w:t>
                  </w:r>
                </w:p>
              </w:tc>
              <w:tc>
                <w:tcPr>
                  <w:tcW w:w="614" w:type="pct"/>
                  <w:shd w:val="clear" w:color="auto" w:fill="auto"/>
                  <w:vAlign w:val="center"/>
                </w:tcPr>
                <w:p w14:paraId="4572EFA9">
                  <w:pPr>
                    <w:pStyle w:val="59"/>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人群</w:t>
                  </w:r>
                </w:p>
              </w:tc>
              <w:tc>
                <w:tcPr>
                  <w:tcW w:w="678" w:type="pct"/>
                  <w:vMerge w:val="restart"/>
                  <w:shd w:val="clear" w:color="auto" w:fill="auto"/>
                  <w:vAlign w:val="center"/>
                </w:tcPr>
                <w:p w14:paraId="364CC805">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大气环境二类区</w:t>
                  </w:r>
                </w:p>
              </w:tc>
              <w:tc>
                <w:tcPr>
                  <w:tcW w:w="511" w:type="pct"/>
                  <w:shd w:val="clear" w:color="auto" w:fill="auto"/>
                  <w:vAlign w:val="center"/>
                </w:tcPr>
                <w:p w14:paraId="32B33292">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西北</w:t>
                  </w:r>
                </w:p>
              </w:tc>
              <w:tc>
                <w:tcPr>
                  <w:tcW w:w="554" w:type="pct"/>
                  <w:shd w:val="clear" w:color="auto" w:fill="auto"/>
                  <w:vAlign w:val="center"/>
                </w:tcPr>
                <w:p w14:paraId="2E5424D7">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273</w:t>
                  </w:r>
                </w:p>
              </w:tc>
            </w:tr>
            <w:tr w14:paraId="45AF048B">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trPr>
              <w:tc>
                <w:tcPr>
                  <w:tcW w:w="786" w:type="pct"/>
                  <w:shd w:val="clear" w:color="auto" w:fill="auto"/>
                  <w:vAlign w:val="center"/>
                </w:tcPr>
                <w:p w14:paraId="629DD730">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坦背村治保会</w:t>
                  </w:r>
                </w:p>
              </w:tc>
              <w:tc>
                <w:tcPr>
                  <w:tcW w:w="737" w:type="pct"/>
                  <w:shd w:val="clear" w:color="auto" w:fill="auto"/>
                  <w:vAlign w:val="center"/>
                </w:tcPr>
                <w:p w14:paraId="7299F9BC">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113.465305</w:t>
                  </w:r>
                </w:p>
              </w:tc>
              <w:tc>
                <w:tcPr>
                  <w:tcW w:w="679" w:type="pct"/>
                  <w:shd w:val="clear" w:color="auto" w:fill="auto"/>
                  <w:vAlign w:val="center"/>
                </w:tcPr>
                <w:p w14:paraId="370919D9">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22.698827</w:t>
                  </w:r>
                </w:p>
              </w:tc>
              <w:tc>
                <w:tcPr>
                  <w:tcW w:w="437" w:type="pct"/>
                  <w:shd w:val="clear" w:color="auto" w:fill="auto"/>
                  <w:vAlign w:val="center"/>
                </w:tcPr>
                <w:p w14:paraId="199618AF">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行政机构</w:t>
                  </w:r>
                </w:p>
              </w:tc>
              <w:tc>
                <w:tcPr>
                  <w:tcW w:w="614" w:type="pct"/>
                  <w:shd w:val="clear" w:color="auto" w:fill="auto"/>
                  <w:vAlign w:val="center"/>
                </w:tcPr>
                <w:p w14:paraId="7B903C00">
                  <w:pPr>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人群</w:t>
                  </w:r>
                </w:p>
              </w:tc>
              <w:tc>
                <w:tcPr>
                  <w:tcW w:w="678" w:type="pct"/>
                  <w:vMerge w:val="continue"/>
                  <w:shd w:val="clear" w:color="auto" w:fill="auto"/>
                  <w:vAlign w:val="center"/>
                </w:tcPr>
                <w:p w14:paraId="56C9903F">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511" w:type="pct"/>
                  <w:shd w:val="clear" w:color="auto" w:fill="auto"/>
                  <w:vAlign w:val="center"/>
                </w:tcPr>
                <w:p w14:paraId="1140A322">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西北</w:t>
                  </w:r>
                </w:p>
              </w:tc>
              <w:tc>
                <w:tcPr>
                  <w:tcW w:w="554" w:type="pct"/>
                  <w:shd w:val="clear" w:color="auto" w:fill="auto"/>
                  <w:vAlign w:val="center"/>
                </w:tcPr>
                <w:p w14:paraId="0119C8D9">
                  <w:pPr>
                    <w:pStyle w:val="59"/>
                    <w:rPr>
                      <w:rFonts w:hint="default" w:ascii="Times New Roman" w:hAnsi="Times New Roman" w:cs="Times New Roman" w:eastAsiaTheme="minorEastAsia"/>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477</w:t>
                  </w:r>
                </w:p>
              </w:tc>
            </w:tr>
            <w:tr w14:paraId="7DFEEBB1">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trPr>
              <w:tc>
                <w:tcPr>
                  <w:tcW w:w="786" w:type="pct"/>
                  <w:shd w:val="clear" w:color="auto" w:fill="auto"/>
                  <w:vAlign w:val="center"/>
                </w:tcPr>
                <w:p w14:paraId="6356824B">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隆昌</w:t>
                  </w:r>
                </w:p>
              </w:tc>
              <w:tc>
                <w:tcPr>
                  <w:tcW w:w="737" w:type="pct"/>
                  <w:shd w:val="clear" w:color="auto" w:fill="auto"/>
                  <w:vAlign w:val="center"/>
                </w:tcPr>
                <w:p w14:paraId="2647A1DB">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113.464918</w:t>
                  </w:r>
                </w:p>
              </w:tc>
              <w:tc>
                <w:tcPr>
                  <w:tcW w:w="679" w:type="pct"/>
                  <w:shd w:val="clear" w:color="auto" w:fill="auto"/>
                  <w:vAlign w:val="center"/>
                </w:tcPr>
                <w:p w14:paraId="194A2A5D">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22.702518</w:t>
                  </w:r>
                </w:p>
              </w:tc>
              <w:tc>
                <w:tcPr>
                  <w:tcW w:w="437" w:type="pct"/>
                  <w:shd w:val="clear" w:color="auto" w:fill="auto"/>
                  <w:vAlign w:val="center"/>
                </w:tcPr>
                <w:p w14:paraId="073D2CD7">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村庄</w:t>
                  </w:r>
                </w:p>
              </w:tc>
              <w:tc>
                <w:tcPr>
                  <w:tcW w:w="614" w:type="pct"/>
                  <w:shd w:val="clear" w:color="auto" w:fill="auto"/>
                  <w:vAlign w:val="center"/>
                </w:tcPr>
                <w:p w14:paraId="445C4904">
                  <w:pPr>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人群</w:t>
                  </w:r>
                </w:p>
              </w:tc>
              <w:tc>
                <w:tcPr>
                  <w:tcW w:w="678" w:type="pct"/>
                  <w:vMerge w:val="continue"/>
                  <w:shd w:val="clear" w:color="auto" w:fill="auto"/>
                  <w:vAlign w:val="center"/>
                </w:tcPr>
                <w:p w14:paraId="5596BB0A">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511" w:type="pct"/>
                  <w:shd w:val="clear" w:color="auto" w:fill="auto"/>
                  <w:vAlign w:val="center"/>
                </w:tcPr>
                <w:p w14:paraId="4F096CDB">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西南</w:t>
                  </w:r>
                </w:p>
              </w:tc>
              <w:tc>
                <w:tcPr>
                  <w:tcW w:w="554" w:type="pct"/>
                  <w:shd w:val="clear" w:color="auto" w:fill="auto"/>
                  <w:vAlign w:val="center"/>
                </w:tcPr>
                <w:p w14:paraId="6ED02586">
                  <w:pPr>
                    <w:pStyle w:val="59"/>
                    <w:rPr>
                      <w:rFonts w:hint="default" w:ascii="Times New Roman" w:hAnsi="Times New Roman" w:cs="Times New Roman" w:eastAsiaTheme="minorEastAsia"/>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169</w:t>
                  </w:r>
                </w:p>
              </w:tc>
            </w:tr>
            <w:tr w14:paraId="55322DB3">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trPr>
              <w:tc>
                <w:tcPr>
                  <w:tcW w:w="786" w:type="pct"/>
                  <w:shd w:val="clear" w:color="auto" w:fill="auto"/>
                  <w:vAlign w:val="center"/>
                </w:tcPr>
                <w:p w14:paraId="13B396A5">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兆丰</w:t>
                  </w:r>
                </w:p>
              </w:tc>
              <w:tc>
                <w:tcPr>
                  <w:tcW w:w="737" w:type="pct"/>
                  <w:shd w:val="clear" w:color="auto" w:fill="auto"/>
                  <w:vAlign w:val="center"/>
                </w:tcPr>
                <w:p w14:paraId="57532560">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113.462129</w:t>
                  </w:r>
                </w:p>
              </w:tc>
              <w:tc>
                <w:tcPr>
                  <w:tcW w:w="679" w:type="pct"/>
                  <w:shd w:val="clear" w:color="auto" w:fill="auto"/>
                  <w:vAlign w:val="center"/>
                </w:tcPr>
                <w:p w14:paraId="59D65C7E">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22.699406</w:t>
                  </w:r>
                </w:p>
              </w:tc>
              <w:tc>
                <w:tcPr>
                  <w:tcW w:w="437" w:type="pct"/>
                  <w:shd w:val="clear" w:color="auto" w:fill="auto"/>
                  <w:vAlign w:val="center"/>
                </w:tcPr>
                <w:p w14:paraId="66EEFD69">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村庄</w:t>
                  </w:r>
                </w:p>
              </w:tc>
              <w:tc>
                <w:tcPr>
                  <w:tcW w:w="614" w:type="pct"/>
                  <w:shd w:val="clear" w:color="auto" w:fill="auto"/>
                  <w:vAlign w:val="center"/>
                </w:tcPr>
                <w:p w14:paraId="4EF2B00B">
                  <w:pPr>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人群</w:t>
                  </w:r>
                </w:p>
              </w:tc>
              <w:tc>
                <w:tcPr>
                  <w:tcW w:w="678" w:type="pct"/>
                  <w:vMerge w:val="continue"/>
                  <w:shd w:val="clear" w:color="auto" w:fill="auto"/>
                  <w:vAlign w:val="center"/>
                </w:tcPr>
                <w:p w14:paraId="450E8B39">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511" w:type="pct"/>
                  <w:shd w:val="clear" w:color="auto" w:fill="auto"/>
                  <w:vAlign w:val="center"/>
                </w:tcPr>
                <w:p w14:paraId="4AE75B59">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西南</w:t>
                  </w:r>
                </w:p>
              </w:tc>
              <w:tc>
                <w:tcPr>
                  <w:tcW w:w="554" w:type="pct"/>
                  <w:shd w:val="clear" w:color="auto" w:fill="auto"/>
                  <w:vAlign w:val="center"/>
                </w:tcPr>
                <w:p w14:paraId="59401415">
                  <w:pPr>
                    <w:pStyle w:val="59"/>
                    <w:rPr>
                      <w:rFonts w:hint="default" w:ascii="Times New Roman" w:hAnsi="Times New Roman" w:cs="Times New Roman" w:eastAsiaTheme="minorEastAsia"/>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4</w:t>
                  </w:r>
                  <w:r>
                    <w:rPr>
                      <w:rFonts w:hint="eastAsia" w:ascii="Times New Roman" w:hAnsi="Times New Roman" w:cs="Times New Roman"/>
                      <w:color w:val="000000" w:themeColor="text1"/>
                      <w:highlight w:val="none"/>
                      <w:lang w:val="en-US" w:eastAsia="zh-CN"/>
                      <w14:textFill>
                        <w14:solidFill>
                          <w14:schemeClr w14:val="tx1"/>
                        </w14:solidFill>
                      </w14:textFill>
                    </w:rPr>
                    <w:t>01</w:t>
                  </w:r>
                </w:p>
              </w:tc>
            </w:tr>
            <w:tr w14:paraId="712DB26A">
              <w:tblPrEx>
                <w:tblBorders>
                  <w:top w:val="single" w:color="000000" w:sz="4" w:space="0"/>
                  <w:left w:val="single" w:color="000000" w:sz="4" w:space="0"/>
                  <w:bottom w:val="single" w:color="auto"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trPr>
              <w:tc>
                <w:tcPr>
                  <w:tcW w:w="786" w:type="pct"/>
                  <w:shd w:val="clear" w:color="auto" w:fill="auto"/>
                  <w:vAlign w:val="center"/>
                </w:tcPr>
                <w:p w14:paraId="732F4D41">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坦背小学</w:t>
                  </w:r>
                </w:p>
              </w:tc>
              <w:tc>
                <w:tcPr>
                  <w:tcW w:w="737" w:type="pct"/>
                  <w:shd w:val="clear" w:color="auto" w:fill="auto"/>
                  <w:vAlign w:val="center"/>
                </w:tcPr>
                <w:p w14:paraId="5F2A5FB5">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113.324992</w:t>
                  </w:r>
                </w:p>
              </w:tc>
              <w:tc>
                <w:tcPr>
                  <w:tcW w:w="679" w:type="pct"/>
                  <w:shd w:val="clear" w:color="auto" w:fill="auto"/>
                  <w:vAlign w:val="center"/>
                </w:tcPr>
                <w:p w14:paraId="3FFEC816">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22.589282</w:t>
                  </w:r>
                </w:p>
              </w:tc>
              <w:tc>
                <w:tcPr>
                  <w:tcW w:w="437" w:type="pct"/>
                  <w:shd w:val="clear" w:color="auto" w:fill="auto"/>
                  <w:vAlign w:val="center"/>
                </w:tcPr>
                <w:p w14:paraId="25C73416">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学校</w:t>
                  </w:r>
                </w:p>
              </w:tc>
              <w:tc>
                <w:tcPr>
                  <w:tcW w:w="614" w:type="pct"/>
                  <w:shd w:val="clear" w:color="auto" w:fill="auto"/>
                  <w:vAlign w:val="center"/>
                </w:tcPr>
                <w:p w14:paraId="53E303A6">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人群</w:t>
                  </w:r>
                </w:p>
              </w:tc>
              <w:tc>
                <w:tcPr>
                  <w:tcW w:w="678" w:type="pct"/>
                  <w:vMerge w:val="continue"/>
                  <w:shd w:val="clear" w:color="auto" w:fill="auto"/>
                  <w:vAlign w:val="center"/>
                </w:tcPr>
                <w:p w14:paraId="0A5B313A">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511" w:type="pct"/>
                  <w:shd w:val="clear" w:color="auto" w:fill="auto"/>
                  <w:vAlign w:val="center"/>
                </w:tcPr>
                <w:p w14:paraId="7810A18F">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西北</w:t>
                  </w:r>
                </w:p>
              </w:tc>
              <w:tc>
                <w:tcPr>
                  <w:tcW w:w="554" w:type="pct"/>
                  <w:shd w:val="clear" w:color="auto" w:fill="auto"/>
                  <w:vAlign w:val="center"/>
                </w:tcPr>
                <w:p w14:paraId="51EA7C15">
                  <w:pPr>
                    <w:pStyle w:val="59"/>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530</w:t>
                  </w:r>
                </w:p>
              </w:tc>
            </w:tr>
          </w:tbl>
          <w:p w14:paraId="5B968FB5">
            <w:pPr>
              <w:spacing w:line="480" w:lineRule="exact"/>
              <w:ind w:firstLine="482" w:firstLineChars="200"/>
              <w:rPr>
                <w:rFonts w:hint="default" w:ascii="Times New Roman" w:hAnsi="Times New Roman" w:eastAsia="宋体" w:cs="Times New Roman"/>
                <w:b/>
                <w:color w:val="000000" w:themeColor="text1"/>
                <w:sz w:val="24"/>
                <w:highlight w:val="none"/>
                <w:lang w:val="zh-CN"/>
                <w14:textFill>
                  <w14:solidFill>
                    <w14:schemeClr w14:val="tx1"/>
                  </w14:solidFill>
                </w14:textFill>
              </w:rPr>
            </w:pPr>
            <w:r>
              <w:rPr>
                <w:rFonts w:hint="default" w:ascii="Times New Roman" w:hAnsi="Times New Roman" w:eastAsia="宋体" w:cs="Times New Roman"/>
                <w:b/>
                <w:color w:val="000000" w:themeColor="text1"/>
                <w:sz w:val="24"/>
                <w:highlight w:val="none"/>
                <w:lang w:val="zh-CN"/>
                <w14:textFill>
                  <w14:solidFill>
                    <w14:schemeClr w14:val="tx1"/>
                  </w14:solidFill>
                </w14:textFill>
              </w:rPr>
              <w:t>2、声环境保护目标</w:t>
            </w:r>
          </w:p>
          <w:p w14:paraId="797FAAFF">
            <w:pPr>
              <w:spacing w:line="480" w:lineRule="exact"/>
              <w:ind w:firstLine="480" w:firstLineChars="200"/>
              <w:rPr>
                <w:rFonts w:hint="default" w:ascii="Times New Roman" w:hAnsi="Times New Roman" w:eastAsia="宋体" w:cs="Times New Roman"/>
                <w:bCs/>
                <w:color w:val="000000" w:themeColor="text1"/>
                <w:sz w:val="24"/>
                <w:highlight w:val="none"/>
                <w:lang w:val="zh-CN"/>
                <w14:textFill>
                  <w14:solidFill>
                    <w14:schemeClr w14:val="tx1"/>
                  </w14:solidFill>
                </w14:textFill>
              </w:rPr>
            </w:pPr>
            <w:r>
              <w:rPr>
                <w:rFonts w:hint="default" w:ascii="Times New Roman" w:hAnsi="Times New Roman" w:eastAsia="宋体" w:cs="Times New Roman"/>
                <w:bCs/>
                <w:color w:val="000000" w:themeColor="text1"/>
                <w:sz w:val="24"/>
                <w:highlight w:val="none"/>
                <w:lang w:val="zh-CN"/>
                <w14:textFill>
                  <w14:solidFill>
                    <w14:schemeClr w14:val="tx1"/>
                  </w14:solidFill>
                </w14:textFill>
              </w:rPr>
              <w:t>本项目厂界外50 米</w:t>
            </w:r>
            <w:r>
              <w:rPr>
                <w:rFonts w:hint="eastAsia" w:ascii="Times New Roman" w:hAnsi="Times New Roman" w:eastAsia="宋体" w:cs="Times New Roman"/>
                <w:bCs/>
                <w:color w:val="000000" w:themeColor="text1"/>
                <w:sz w:val="24"/>
                <w:highlight w:val="none"/>
                <w:lang w:val="en-US" w:eastAsia="zh-CN"/>
                <w14:textFill>
                  <w14:solidFill>
                    <w14:schemeClr w14:val="tx1"/>
                  </w14:solidFill>
                </w14:textFill>
              </w:rPr>
              <w:t>无</w:t>
            </w:r>
            <w:r>
              <w:rPr>
                <w:rFonts w:hint="default" w:ascii="Times New Roman" w:hAnsi="Times New Roman" w:eastAsia="宋体" w:cs="Times New Roman"/>
                <w:bCs/>
                <w:color w:val="000000" w:themeColor="text1"/>
                <w:sz w:val="24"/>
                <w:highlight w:val="none"/>
                <w:lang w:val="zh-CN"/>
                <w14:textFill>
                  <w14:solidFill>
                    <w14:schemeClr w14:val="tx1"/>
                  </w14:solidFill>
                </w14:textFill>
              </w:rPr>
              <w:t>声环境保护目标。</w:t>
            </w:r>
          </w:p>
          <w:p w14:paraId="45B405AA">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3、地表水环境保护目标</w:t>
            </w:r>
          </w:p>
          <w:p w14:paraId="54FE39CB">
            <w:pPr>
              <w:spacing w:line="480" w:lineRule="exact"/>
              <w:ind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水环境保护目标是在本项目建成后周围的河流水质不受明显的影响，本项目产生的生活污水经三级化粪池预处理后，经市政管网排入污水处理厂进行处理，产生的生产废水经收集后交</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有废水处理能力机构</w:t>
            </w:r>
            <w:r>
              <w:rPr>
                <w:rFonts w:hint="default" w:ascii="Times New Roman" w:hAnsi="Times New Roman" w:eastAsia="宋体" w:cs="Times New Roman"/>
                <w:color w:val="000000" w:themeColor="text1"/>
                <w:sz w:val="24"/>
                <w:highlight w:val="none"/>
                <w14:textFill>
                  <w14:solidFill>
                    <w14:schemeClr w14:val="tx1"/>
                  </w14:solidFill>
                </w14:textFill>
              </w:rPr>
              <w:t>转移处理，</w:t>
            </w:r>
            <w:r>
              <w:rPr>
                <w:rFonts w:hint="default" w:ascii="Times New Roman" w:hAnsi="Times New Roman" w:cs="Times New Roman"/>
                <w:color w:val="000000" w:themeColor="text1"/>
                <w:sz w:val="24"/>
                <w:highlight w:val="none"/>
                <w14:textFill>
                  <w14:solidFill>
                    <w14:schemeClr w14:val="tx1"/>
                  </w14:solidFill>
                </w14:textFill>
              </w:rPr>
              <w:t>故项目对周边水环境影响不大，</w:t>
            </w:r>
            <w:r>
              <w:rPr>
                <w:rFonts w:hint="default" w:ascii="Times New Roman" w:hAnsi="Times New Roman" w:eastAsia="宋体" w:cs="Times New Roman"/>
                <w:color w:val="000000" w:themeColor="text1"/>
                <w:sz w:val="24"/>
                <w:highlight w:val="none"/>
                <w14:textFill>
                  <w14:solidFill>
                    <w14:schemeClr w14:val="tx1"/>
                  </w14:solidFill>
                </w14:textFill>
              </w:rPr>
              <w:t>项目周围无饮用水源保护区</w:t>
            </w:r>
            <w:r>
              <w:rPr>
                <w:rFonts w:hint="default" w:ascii="Times New Roman" w:hAnsi="Times New Roman" w:eastAsia="宋体" w:cs="Times New Roman"/>
                <w:bCs/>
                <w:color w:val="000000" w:themeColor="text1"/>
                <w:sz w:val="24"/>
                <w:highlight w:val="none"/>
                <w:lang w:val="zh-CN"/>
                <w14:textFill>
                  <w14:solidFill>
                    <w14:schemeClr w14:val="tx1"/>
                  </w14:solidFill>
                </w14:textFill>
              </w:rPr>
              <w:t>。</w:t>
            </w:r>
          </w:p>
          <w:p w14:paraId="2920E899">
            <w:pPr>
              <w:spacing w:line="480" w:lineRule="exact"/>
              <w:ind w:firstLine="482" w:firstLineChars="200"/>
              <w:rPr>
                <w:rFonts w:hint="default" w:ascii="Times New Roman" w:hAnsi="Times New Roman" w:eastAsia="宋体" w:cs="Times New Roman"/>
                <w:b/>
                <w:color w:val="000000" w:themeColor="text1"/>
                <w:sz w:val="24"/>
                <w:highlight w:val="none"/>
                <w:lang w:val="zh-CN"/>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4</w:t>
            </w:r>
            <w:r>
              <w:rPr>
                <w:rFonts w:hint="default" w:ascii="Times New Roman" w:hAnsi="Times New Roman" w:eastAsia="宋体" w:cs="Times New Roman"/>
                <w:b/>
                <w:color w:val="000000" w:themeColor="text1"/>
                <w:sz w:val="24"/>
                <w:highlight w:val="none"/>
                <w:lang w:val="zh-CN"/>
                <w14:textFill>
                  <w14:solidFill>
                    <w14:schemeClr w14:val="tx1"/>
                  </w14:solidFill>
                </w14:textFill>
              </w:rPr>
              <w:t>、地下水环境保护目标</w:t>
            </w:r>
          </w:p>
          <w:p w14:paraId="417608B0">
            <w:pPr>
              <w:spacing w:line="480" w:lineRule="exact"/>
              <w:ind w:firstLine="480" w:firstLineChars="200"/>
              <w:rPr>
                <w:rFonts w:hint="default" w:ascii="Times New Roman" w:hAnsi="Times New Roman" w:eastAsia="宋体" w:cs="Times New Roman"/>
                <w:bCs/>
                <w:color w:val="000000" w:themeColor="text1"/>
                <w:sz w:val="24"/>
                <w:highlight w:val="none"/>
                <w:lang w:val="zh-CN"/>
                <w14:textFill>
                  <w14:solidFill>
                    <w14:schemeClr w14:val="tx1"/>
                  </w14:solidFill>
                </w14:textFill>
              </w:rPr>
            </w:pPr>
            <w:r>
              <w:rPr>
                <w:rFonts w:hint="default" w:ascii="Times New Roman" w:hAnsi="Times New Roman" w:eastAsia="宋体" w:cs="Times New Roman"/>
                <w:bCs/>
                <w:color w:val="000000" w:themeColor="text1"/>
                <w:sz w:val="24"/>
                <w:highlight w:val="none"/>
                <w:lang w:val="zh-CN"/>
                <w14:textFill>
                  <w14:solidFill>
                    <w14:schemeClr w14:val="tx1"/>
                  </w14:solidFill>
                </w14:textFill>
              </w:rPr>
              <w:t>项目厂界外500米范围内没有地下水集中式饮用水水源和热水、矿泉水、温泉等特殊地下水资源。</w:t>
            </w:r>
          </w:p>
          <w:p w14:paraId="46825232">
            <w:pPr>
              <w:rPr>
                <w:rFonts w:hint="default" w:ascii="Times New Roman" w:hAnsi="Times New Roman" w:eastAsia="宋体" w:cs="Times New Roman"/>
                <w:b/>
                <w:color w:val="000000" w:themeColor="text1"/>
                <w:sz w:val="24"/>
                <w:highlight w:val="none"/>
                <w:lang w:val="zh-CN"/>
                <w14:textFill>
                  <w14:solidFill>
                    <w14:schemeClr w14:val="tx1"/>
                  </w14:solidFill>
                </w14:textFill>
              </w:rPr>
            </w:pPr>
            <w:r>
              <w:rPr>
                <w:rStyle w:val="39"/>
                <w:rFonts w:hint="default" w:ascii="Times New Roman" w:hAnsi="Times New Roman" w:cs="Times New Roman"/>
                <w:color w:val="000000" w:themeColor="text1"/>
                <w:highlight w:val="none"/>
                <w14:textFill>
                  <w14:solidFill>
                    <w14:schemeClr w14:val="tx1"/>
                  </w14:solidFill>
                </w14:textFill>
              </w:rPr>
              <w:t xml:space="preserve">    </w:t>
            </w:r>
            <w:r>
              <w:rPr>
                <w:rFonts w:hint="default" w:ascii="Times New Roman" w:hAnsi="Times New Roman" w:eastAsia="宋体" w:cs="Times New Roman"/>
                <w:b/>
                <w:color w:val="000000" w:themeColor="text1"/>
                <w:sz w:val="24"/>
                <w:highlight w:val="none"/>
                <w14:textFill>
                  <w14:solidFill>
                    <w14:schemeClr w14:val="tx1"/>
                  </w14:solidFill>
                </w14:textFill>
              </w:rPr>
              <w:t>5</w:t>
            </w:r>
            <w:r>
              <w:rPr>
                <w:rFonts w:hint="default" w:ascii="Times New Roman" w:hAnsi="Times New Roman" w:eastAsia="宋体" w:cs="Times New Roman"/>
                <w:b/>
                <w:color w:val="000000" w:themeColor="text1"/>
                <w:sz w:val="24"/>
                <w:highlight w:val="none"/>
                <w:lang w:val="zh-CN"/>
                <w14:textFill>
                  <w14:solidFill>
                    <w14:schemeClr w14:val="tx1"/>
                  </w14:solidFill>
                </w14:textFill>
              </w:rPr>
              <w:t>、生态环境保护目标</w:t>
            </w:r>
          </w:p>
          <w:p w14:paraId="1806A916">
            <w:pPr>
              <w:spacing w:line="480" w:lineRule="exact"/>
              <w:ind w:firstLine="480" w:firstLineChars="200"/>
              <w:rPr>
                <w:rFonts w:hint="default" w:ascii="Times New Roman" w:hAnsi="Times New Roman" w:eastAsia="宋体" w:cs="Times New Roman"/>
                <w:bCs/>
                <w:color w:val="000000" w:themeColor="text1"/>
                <w:szCs w:val="21"/>
                <w:highlight w:val="none"/>
                <w:lang w:val="zh-CN"/>
                <w14:textFill>
                  <w14:solidFill>
                    <w14:schemeClr w14:val="tx1"/>
                  </w14:solidFill>
                </w14:textFill>
              </w:rPr>
            </w:pPr>
            <w:r>
              <w:rPr>
                <w:rFonts w:hint="default" w:ascii="Times New Roman" w:hAnsi="Times New Roman" w:eastAsia="宋体" w:cs="Times New Roman"/>
                <w:bCs/>
                <w:color w:val="000000" w:themeColor="text1"/>
                <w:sz w:val="24"/>
                <w:highlight w:val="none"/>
                <w:lang w:val="zh-CN"/>
                <w14:textFill>
                  <w14:solidFill>
                    <w14:schemeClr w14:val="tx1"/>
                  </w14:solidFill>
                </w14:textFill>
              </w:rPr>
              <w:t>本项目用地范围内无生态自然保护区、无珍稀濒危物，且周围无生态自然保护区、无珍稀濒危物。项目所在地周围无生态环境保护目标。</w:t>
            </w:r>
          </w:p>
        </w:tc>
      </w:tr>
      <w:tr w14:paraId="0BD18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1" w:type="pct"/>
            <w:vAlign w:val="center"/>
          </w:tcPr>
          <w:p w14:paraId="1F1AAEF1">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污染物排放控制标准</w:t>
            </w:r>
          </w:p>
        </w:tc>
        <w:tc>
          <w:tcPr>
            <w:tcW w:w="4588" w:type="pct"/>
          </w:tcPr>
          <w:p w14:paraId="441C83BF">
            <w:pPr>
              <w:spacing w:line="480" w:lineRule="exact"/>
              <w:ind w:firstLine="482" w:firstLineChars="200"/>
              <w:rPr>
                <w:rFonts w:hint="default" w:ascii="Times New Roman" w:hAnsi="Times New Roman" w:eastAsia="宋体" w:cs="Times New Roman"/>
                <w:b/>
                <w:color w:val="000000" w:themeColor="text1"/>
                <w:sz w:val="24"/>
                <w:highlight w:val="none"/>
                <w:lang w:val="zh-CN"/>
                <w14:textFill>
                  <w14:solidFill>
                    <w14:schemeClr w14:val="tx1"/>
                  </w14:solidFill>
                </w14:textFill>
              </w:rPr>
            </w:pPr>
            <w:r>
              <w:rPr>
                <w:rFonts w:hint="default" w:ascii="Times New Roman" w:hAnsi="Times New Roman" w:eastAsia="宋体" w:cs="Times New Roman"/>
                <w:b/>
                <w:color w:val="000000" w:themeColor="text1"/>
                <w:sz w:val="24"/>
                <w:highlight w:val="none"/>
                <w:lang w:val="zh-CN"/>
                <w14:textFill>
                  <w14:solidFill>
                    <w14:schemeClr w14:val="tx1"/>
                  </w14:solidFill>
                </w14:textFill>
              </w:rPr>
              <w:t>1、水污染</w:t>
            </w:r>
            <w:r>
              <w:rPr>
                <w:rFonts w:hint="default" w:ascii="Times New Roman" w:hAnsi="Times New Roman" w:eastAsia="宋体" w:cs="Times New Roman"/>
                <w:b/>
                <w:color w:val="000000" w:themeColor="text1"/>
                <w:sz w:val="24"/>
                <w:highlight w:val="none"/>
                <w14:textFill>
                  <w14:solidFill>
                    <w14:schemeClr w14:val="tx1"/>
                  </w14:solidFill>
                </w14:textFill>
              </w:rPr>
              <w:t>物</w:t>
            </w:r>
            <w:r>
              <w:rPr>
                <w:rFonts w:hint="default" w:ascii="Times New Roman" w:hAnsi="Times New Roman" w:eastAsia="宋体" w:cs="Times New Roman"/>
                <w:b/>
                <w:color w:val="000000" w:themeColor="text1"/>
                <w:sz w:val="24"/>
                <w:highlight w:val="none"/>
                <w:lang w:val="zh-CN"/>
                <w14:textFill>
                  <w14:solidFill>
                    <w14:schemeClr w14:val="tx1"/>
                  </w14:solidFill>
                </w14:textFill>
              </w:rPr>
              <w:t>排放标准</w:t>
            </w:r>
          </w:p>
          <w:p w14:paraId="5F05E0DA">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广东省《水污染物排放限值》(DB44/26-2001)第二时段三级标准</w:t>
            </w:r>
          </w:p>
          <w:tbl>
            <w:tblPr>
              <w:tblStyle w:val="32"/>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248"/>
              <w:gridCol w:w="1298"/>
              <w:gridCol w:w="1233"/>
              <w:gridCol w:w="1136"/>
              <w:gridCol w:w="1373"/>
            </w:tblGrid>
            <w:tr w14:paraId="50AFC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107" w:type="pct"/>
                  <w:shd w:val="clear" w:color="auto" w:fill="D7D7D7" w:themeFill="background1" w:themeFillShade="D8"/>
                  <w:vAlign w:val="center"/>
                </w:tcPr>
                <w:p w14:paraId="596A7AF2">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指标</w:t>
                  </w:r>
                </w:p>
              </w:tc>
              <w:tc>
                <w:tcPr>
                  <w:tcW w:w="772" w:type="pct"/>
                  <w:shd w:val="clear" w:color="auto" w:fill="D7D7D7" w:themeFill="background1" w:themeFillShade="D8"/>
                  <w:vAlign w:val="center"/>
                </w:tcPr>
                <w:p w14:paraId="02455005">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pH值</w:t>
                  </w:r>
                </w:p>
              </w:tc>
              <w:tc>
                <w:tcPr>
                  <w:tcW w:w="803" w:type="pct"/>
                  <w:shd w:val="clear" w:color="auto" w:fill="D7D7D7" w:themeFill="background1" w:themeFillShade="D8"/>
                  <w:vAlign w:val="center"/>
                </w:tcPr>
                <w:p w14:paraId="7CE495EB">
                  <w:pPr>
                    <w:widowControl/>
                    <w:jc w:val="center"/>
                    <w:rPr>
                      <w:rFonts w:hint="default" w:ascii="Times New Roman" w:hAnsi="Times New Roman" w:eastAsia="宋体" w:cs="Times New Roman"/>
                      <w:b/>
                      <w:bCs/>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COD</w:t>
                  </w:r>
                  <w:r>
                    <w:rPr>
                      <w:rFonts w:hint="default" w:ascii="Times New Roman" w:hAnsi="Times New Roman" w:eastAsia="宋体" w:cs="Times New Roman"/>
                      <w:b/>
                      <w:bCs/>
                      <w:color w:val="000000" w:themeColor="text1"/>
                      <w:szCs w:val="21"/>
                      <w:highlight w:val="none"/>
                      <w:vertAlign w:val="subscript"/>
                      <w14:textFill>
                        <w14:solidFill>
                          <w14:schemeClr w14:val="tx1"/>
                        </w14:solidFill>
                      </w14:textFill>
                    </w:rPr>
                    <w:t>cr</w:t>
                  </w:r>
                </w:p>
              </w:tc>
              <w:tc>
                <w:tcPr>
                  <w:tcW w:w="763" w:type="pct"/>
                  <w:shd w:val="clear" w:color="auto" w:fill="D7D7D7" w:themeFill="background1" w:themeFillShade="D8"/>
                  <w:vAlign w:val="center"/>
                </w:tcPr>
                <w:p w14:paraId="4D0D91CE">
                  <w:pPr>
                    <w:widowControl/>
                    <w:jc w:val="center"/>
                    <w:rPr>
                      <w:rFonts w:hint="default" w:ascii="Times New Roman" w:hAnsi="Times New Roman" w:eastAsia="宋体" w:cs="Times New Roman"/>
                      <w:b/>
                      <w:bCs/>
                      <w:color w:val="000000" w:themeColor="text1"/>
                      <w:szCs w:val="21"/>
                      <w:highlight w:val="none"/>
                      <w:vertAlign w:val="subscript"/>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BOD</w:t>
                  </w:r>
                  <w:r>
                    <w:rPr>
                      <w:rFonts w:hint="default" w:ascii="Times New Roman" w:hAnsi="Times New Roman" w:eastAsia="宋体" w:cs="Times New Roman"/>
                      <w:b/>
                      <w:bCs/>
                      <w:color w:val="000000" w:themeColor="text1"/>
                      <w:szCs w:val="21"/>
                      <w:highlight w:val="none"/>
                      <w:vertAlign w:val="subscript"/>
                      <w14:textFill>
                        <w14:solidFill>
                          <w14:schemeClr w14:val="tx1"/>
                        </w14:solidFill>
                      </w14:textFill>
                    </w:rPr>
                    <w:t>5</w:t>
                  </w:r>
                </w:p>
              </w:tc>
              <w:tc>
                <w:tcPr>
                  <w:tcW w:w="703" w:type="pct"/>
                  <w:shd w:val="clear" w:color="auto" w:fill="D7D7D7" w:themeFill="background1" w:themeFillShade="D8"/>
                  <w:vAlign w:val="center"/>
                </w:tcPr>
                <w:p w14:paraId="116920D5">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SS</w:t>
                  </w:r>
                </w:p>
              </w:tc>
              <w:tc>
                <w:tcPr>
                  <w:tcW w:w="849" w:type="pct"/>
                  <w:shd w:val="clear" w:color="auto" w:fill="D7D7D7" w:themeFill="background1" w:themeFillShade="D8"/>
                  <w:vAlign w:val="center"/>
                </w:tcPr>
                <w:p w14:paraId="7F866136">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NH</w:t>
                  </w:r>
                  <w:r>
                    <w:rPr>
                      <w:rFonts w:hint="default" w:ascii="Times New Roman" w:hAnsi="Times New Roman" w:eastAsia="宋体" w:cs="Times New Roman"/>
                      <w:b/>
                      <w:bCs/>
                      <w:color w:val="000000" w:themeColor="text1"/>
                      <w:szCs w:val="21"/>
                      <w:highlight w:val="none"/>
                      <w:vertAlign w:val="subscript"/>
                      <w14:textFill>
                        <w14:solidFill>
                          <w14:schemeClr w14:val="tx1"/>
                        </w14:solidFill>
                      </w14:textFill>
                    </w:rPr>
                    <w:t>3</w:t>
                  </w:r>
                  <w:r>
                    <w:rPr>
                      <w:rFonts w:hint="default" w:ascii="Times New Roman" w:hAnsi="Times New Roman" w:eastAsia="宋体" w:cs="Times New Roman"/>
                      <w:b/>
                      <w:bCs/>
                      <w:color w:val="000000" w:themeColor="text1"/>
                      <w:szCs w:val="21"/>
                      <w:highlight w:val="none"/>
                      <w14:textFill>
                        <w14:solidFill>
                          <w14:schemeClr w14:val="tx1"/>
                        </w14:solidFill>
                      </w14:textFill>
                    </w:rPr>
                    <w:t>-N</w:t>
                  </w:r>
                </w:p>
              </w:tc>
            </w:tr>
            <w:tr w14:paraId="2B9A6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107" w:type="pct"/>
                  <w:vAlign w:val="center"/>
                </w:tcPr>
                <w:p w14:paraId="3F429E83">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单位</w:t>
                  </w:r>
                </w:p>
              </w:tc>
              <w:tc>
                <w:tcPr>
                  <w:tcW w:w="772" w:type="pct"/>
                  <w:vAlign w:val="center"/>
                </w:tcPr>
                <w:p w14:paraId="68529354">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803" w:type="pct"/>
                  <w:vAlign w:val="center"/>
                </w:tcPr>
                <w:p w14:paraId="18F470F1">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mg/L</w:t>
                  </w:r>
                </w:p>
              </w:tc>
              <w:tc>
                <w:tcPr>
                  <w:tcW w:w="763" w:type="pct"/>
                  <w:vAlign w:val="center"/>
                </w:tcPr>
                <w:p w14:paraId="2223F45F">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mg/L</w:t>
                  </w:r>
                </w:p>
              </w:tc>
              <w:tc>
                <w:tcPr>
                  <w:tcW w:w="703" w:type="pct"/>
                  <w:vAlign w:val="center"/>
                </w:tcPr>
                <w:p w14:paraId="72C61D51">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mg/L</w:t>
                  </w:r>
                </w:p>
              </w:tc>
              <w:tc>
                <w:tcPr>
                  <w:tcW w:w="849" w:type="pct"/>
                  <w:vAlign w:val="center"/>
                </w:tcPr>
                <w:p w14:paraId="6EE08C9E">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mg/L</w:t>
                  </w:r>
                </w:p>
              </w:tc>
            </w:tr>
            <w:tr w14:paraId="6810B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07" w:type="pct"/>
                  <w:vAlign w:val="center"/>
                </w:tcPr>
                <w:p w14:paraId="2DC5805D">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排放限值</w:t>
                  </w:r>
                </w:p>
              </w:tc>
              <w:tc>
                <w:tcPr>
                  <w:tcW w:w="772" w:type="pct"/>
                  <w:vAlign w:val="center"/>
                </w:tcPr>
                <w:p w14:paraId="5DE0FC51">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6~9</w:t>
                  </w:r>
                </w:p>
              </w:tc>
              <w:tc>
                <w:tcPr>
                  <w:tcW w:w="803" w:type="pct"/>
                  <w:vAlign w:val="center"/>
                </w:tcPr>
                <w:p w14:paraId="41E8D3E5">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≤500</w:t>
                  </w:r>
                </w:p>
              </w:tc>
              <w:tc>
                <w:tcPr>
                  <w:tcW w:w="763" w:type="pct"/>
                  <w:vAlign w:val="center"/>
                </w:tcPr>
                <w:p w14:paraId="3EB88AB9">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≤300</w:t>
                  </w:r>
                </w:p>
              </w:tc>
              <w:tc>
                <w:tcPr>
                  <w:tcW w:w="703" w:type="pct"/>
                  <w:vAlign w:val="center"/>
                </w:tcPr>
                <w:p w14:paraId="0D6ADCA9">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≤400</w:t>
                  </w:r>
                </w:p>
              </w:tc>
              <w:tc>
                <w:tcPr>
                  <w:tcW w:w="849" w:type="pct"/>
                  <w:vAlign w:val="center"/>
                </w:tcPr>
                <w:p w14:paraId="78BE4EAD">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r>
          </w:tbl>
          <w:p w14:paraId="3A4AFC75">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color w:val="000000" w:themeColor="text1"/>
                <w:sz w:val="24"/>
                <w:highlight w:val="none"/>
                <w14:textFill>
                  <w14:solidFill>
                    <w14:schemeClr w14:val="tx1"/>
                  </w14:solidFill>
                </w14:textFill>
              </w:rPr>
              <w:t>2</w:t>
            </w:r>
            <w:r>
              <w:rPr>
                <w:rFonts w:hint="default" w:ascii="Times New Roman" w:hAnsi="Times New Roman" w:eastAsia="宋体" w:cs="Times New Roman"/>
                <w:b/>
                <w:color w:val="000000" w:themeColor="text1"/>
                <w:sz w:val="24"/>
                <w:highlight w:val="none"/>
                <w:lang w:val="zh-CN"/>
                <w14:textFill>
                  <w14:solidFill>
                    <w14:schemeClr w14:val="tx1"/>
                  </w14:solidFill>
                </w14:textFill>
              </w:rPr>
              <w:t>、大气污染物排放标准</w:t>
            </w:r>
          </w:p>
          <w:p w14:paraId="431DDD28">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项目大气污染物排放标准</w:t>
            </w:r>
          </w:p>
          <w:tbl>
            <w:tblPr>
              <w:tblStyle w:val="32"/>
              <w:tblW w:w="49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298"/>
              <w:gridCol w:w="1231"/>
              <w:gridCol w:w="678"/>
              <w:gridCol w:w="978"/>
              <w:gridCol w:w="783"/>
              <w:gridCol w:w="2339"/>
            </w:tblGrid>
            <w:tr w14:paraId="75AF7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6" w:type="pct"/>
                  <w:vMerge w:val="restart"/>
                  <w:shd w:val="clear" w:color="auto" w:fill="D7D7D7" w:themeFill="background1" w:themeFillShade="D8"/>
                  <w:vAlign w:val="center"/>
                </w:tcPr>
                <w:p w14:paraId="589CF161">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废气种类</w:t>
                  </w:r>
                </w:p>
              </w:tc>
              <w:tc>
                <w:tcPr>
                  <w:tcW w:w="815" w:type="pct"/>
                  <w:vMerge w:val="restart"/>
                  <w:shd w:val="clear" w:color="auto" w:fill="D7D7D7" w:themeFill="background1" w:themeFillShade="D8"/>
                  <w:noWrap/>
                  <w:vAlign w:val="center"/>
                </w:tcPr>
                <w:p w14:paraId="25B99993">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排气筒编号</w:t>
                  </w:r>
                </w:p>
              </w:tc>
              <w:tc>
                <w:tcPr>
                  <w:tcW w:w="773" w:type="pct"/>
                  <w:vMerge w:val="restart"/>
                  <w:shd w:val="clear" w:color="auto" w:fill="D7D7D7" w:themeFill="background1" w:themeFillShade="D8"/>
                  <w:vAlign w:val="center"/>
                </w:tcPr>
                <w:p w14:paraId="456799A5">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污染物</w:t>
                  </w:r>
                </w:p>
              </w:tc>
              <w:tc>
                <w:tcPr>
                  <w:tcW w:w="426" w:type="pct"/>
                  <w:vMerge w:val="restart"/>
                  <w:shd w:val="clear" w:color="auto" w:fill="D7D7D7" w:themeFill="background1" w:themeFillShade="D8"/>
                  <w:vAlign w:val="center"/>
                </w:tcPr>
                <w:p w14:paraId="3033BFD6">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排气筒高度m</w:t>
                  </w:r>
                </w:p>
              </w:tc>
              <w:tc>
                <w:tcPr>
                  <w:tcW w:w="614" w:type="pct"/>
                  <w:vMerge w:val="restart"/>
                  <w:shd w:val="clear" w:color="auto" w:fill="D7D7D7" w:themeFill="background1" w:themeFillShade="D8"/>
                  <w:vAlign w:val="center"/>
                </w:tcPr>
                <w:p w14:paraId="7EB81E89">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最高允许排放浓度mg/m</w:t>
                  </w:r>
                  <w:r>
                    <w:rPr>
                      <w:rFonts w:hint="default" w:ascii="Times New Roman" w:hAnsi="Times New Roman" w:eastAsia="宋体" w:cs="Times New Roman"/>
                      <w:b/>
                      <w:bCs/>
                      <w:color w:val="000000" w:themeColor="text1"/>
                      <w:highlight w:val="none"/>
                      <w:vertAlign w:val="superscript"/>
                      <w14:textFill>
                        <w14:solidFill>
                          <w14:schemeClr w14:val="tx1"/>
                        </w14:solidFill>
                      </w14:textFill>
                    </w:rPr>
                    <w:t>3</w:t>
                  </w:r>
                </w:p>
              </w:tc>
              <w:tc>
                <w:tcPr>
                  <w:tcW w:w="492" w:type="pct"/>
                  <w:vMerge w:val="restart"/>
                  <w:shd w:val="clear" w:color="auto" w:fill="D7D7D7" w:themeFill="background1" w:themeFillShade="D8"/>
                  <w:vAlign w:val="center"/>
                </w:tcPr>
                <w:p w14:paraId="25CE6316">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最高允许排放速率kg/h</w:t>
                  </w:r>
                </w:p>
              </w:tc>
              <w:tc>
                <w:tcPr>
                  <w:tcW w:w="1470" w:type="pct"/>
                  <w:vMerge w:val="restart"/>
                  <w:shd w:val="clear" w:color="auto" w:fill="D7D7D7" w:themeFill="background1" w:themeFillShade="D8"/>
                  <w:vAlign w:val="center"/>
                </w:tcPr>
                <w:p w14:paraId="7DE944F9">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标准来源</w:t>
                  </w:r>
                </w:p>
              </w:tc>
            </w:tr>
            <w:tr w14:paraId="30D24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406" w:type="pct"/>
                  <w:vMerge w:val="continue"/>
                  <w:shd w:val="clear" w:color="auto" w:fill="D7D7D7" w:themeFill="background1" w:themeFillShade="D8"/>
                  <w:vAlign w:val="center"/>
                </w:tcPr>
                <w:p w14:paraId="4758ED00">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shd w:val="clear" w:color="auto" w:fill="D7D7D7" w:themeFill="background1" w:themeFillShade="D8"/>
                  <w:vAlign w:val="center"/>
                </w:tcPr>
                <w:p w14:paraId="56FF051B">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Merge w:val="continue"/>
                  <w:shd w:val="clear" w:color="auto" w:fill="D7D7D7" w:themeFill="background1" w:themeFillShade="D8"/>
                  <w:vAlign w:val="center"/>
                </w:tcPr>
                <w:p w14:paraId="6903F821">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426" w:type="pct"/>
                  <w:vMerge w:val="continue"/>
                  <w:shd w:val="clear" w:color="auto" w:fill="D7D7D7" w:themeFill="background1" w:themeFillShade="D8"/>
                  <w:vAlign w:val="center"/>
                </w:tcPr>
                <w:p w14:paraId="0F98CC13">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Merge w:val="continue"/>
                  <w:shd w:val="clear" w:color="auto" w:fill="D7D7D7" w:themeFill="background1" w:themeFillShade="D8"/>
                  <w:vAlign w:val="center"/>
                </w:tcPr>
                <w:p w14:paraId="65C0659C">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492" w:type="pct"/>
                  <w:vMerge w:val="continue"/>
                  <w:shd w:val="clear" w:color="auto" w:fill="D7D7D7" w:themeFill="background1" w:themeFillShade="D8"/>
                  <w:vAlign w:val="center"/>
                </w:tcPr>
                <w:p w14:paraId="0510B16D">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470" w:type="pct"/>
                  <w:vMerge w:val="continue"/>
                  <w:shd w:val="clear" w:color="auto" w:fill="D7D7D7" w:themeFill="background1" w:themeFillShade="D8"/>
                  <w:vAlign w:val="center"/>
                </w:tcPr>
                <w:p w14:paraId="353C6713">
                  <w:pPr>
                    <w:pStyle w:val="59"/>
                    <w:rPr>
                      <w:rFonts w:hint="default" w:ascii="Times New Roman" w:hAnsi="Times New Roman" w:eastAsia="宋体" w:cs="Times New Roman"/>
                      <w:color w:val="000000" w:themeColor="text1"/>
                      <w:highlight w:val="none"/>
                      <w14:textFill>
                        <w14:solidFill>
                          <w14:schemeClr w14:val="tx1"/>
                        </w14:solidFill>
                      </w14:textFill>
                    </w:rPr>
                  </w:pPr>
                </w:p>
              </w:tc>
            </w:tr>
            <w:tr w14:paraId="51DBD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06" w:type="pct"/>
                  <w:vAlign w:val="center"/>
                </w:tcPr>
                <w:p w14:paraId="56AEFA1C">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投料工序</w:t>
                  </w:r>
                </w:p>
              </w:tc>
              <w:tc>
                <w:tcPr>
                  <w:tcW w:w="815" w:type="pct"/>
                  <w:vAlign w:val="center"/>
                </w:tcPr>
                <w:p w14:paraId="4701D216">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G1</w:t>
                  </w:r>
                </w:p>
              </w:tc>
              <w:tc>
                <w:tcPr>
                  <w:tcW w:w="773" w:type="pct"/>
                  <w:vAlign w:val="center"/>
                </w:tcPr>
                <w:p w14:paraId="468CD403">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颗粒物</w:t>
                  </w:r>
                </w:p>
              </w:tc>
              <w:tc>
                <w:tcPr>
                  <w:tcW w:w="426" w:type="pct"/>
                  <w:vAlign w:val="center"/>
                </w:tcPr>
                <w:p w14:paraId="6A1093FC">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p>
              </w:tc>
              <w:tc>
                <w:tcPr>
                  <w:tcW w:w="614" w:type="pct"/>
                  <w:vAlign w:val="center"/>
                </w:tcPr>
                <w:p w14:paraId="7A169E4D">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30</w:t>
                  </w:r>
                </w:p>
              </w:tc>
              <w:tc>
                <w:tcPr>
                  <w:tcW w:w="492" w:type="pct"/>
                  <w:vAlign w:val="center"/>
                </w:tcPr>
                <w:p w14:paraId="73CC0F47">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tc>
              <w:tc>
                <w:tcPr>
                  <w:tcW w:w="1470" w:type="pct"/>
                  <w:vAlign w:val="center"/>
                </w:tcPr>
                <w:p w14:paraId="7F3D07AB">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highlight w:val="none"/>
                      <w14:textFill>
                        <w14:solidFill>
                          <w14:schemeClr w14:val="tx1"/>
                        </w14:solidFill>
                      </w14:textFill>
                    </w:rPr>
                    <w:t xml:space="preserve">》（GB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highlight w:val="none"/>
                      <w14:textFill>
                        <w14:solidFill>
                          <w14:schemeClr w14:val="tx1"/>
                        </w14:solidFill>
                      </w14:textFill>
                    </w:rPr>
                    <w:t>—20</w:t>
                  </w: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表4 大气污染物排放限值</w:t>
                  </w:r>
                </w:p>
              </w:tc>
            </w:tr>
            <w:tr w14:paraId="5BACB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06" w:type="pct"/>
                  <w:vMerge w:val="restart"/>
                  <w:vAlign w:val="center"/>
                </w:tcPr>
                <w:p w14:paraId="0015D06E">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挤出</w:t>
                  </w:r>
                  <w:r>
                    <w:rPr>
                      <w:rFonts w:hint="default" w:ascii="Times New Roman" w:hAnsi="Times New Roman" w:eastAsia="宋体" w:cs="Times New Roman"/>
                      <w:color w:val="000000" w:themeColor="text1"/>
                      <w:highlight w:val="none"/>
                      <w14:textFill>
                        <w14:solidFill>
                          <w14:schemeClr w14:val="tx1"/>
                        </w14:solidFill>
                      </w14:textFill>
                    </w:rPr>
                    <w:t>工序</w:t>
                  </w:r>
                </w:p>
              </w:tc>
              <w:tc>
                <w:tcPr>
                  <w:tcW w:w="815" w:type="pct"/>
                  <w:vMerge w:val="restart"/>
                  <w:vAlign w:val="center"/>
                </w:tcPr>
                <w:p w14:paraId="4708EC18">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G</w:t>
                  </w:r>
                  <w:r>
                    <w:rPr>
                      <w:rFonts w:hint="eastAsia" w:ascii="Times New Roman" w:hAnsi="Times New Roman" w:eastAsia="宋体" w:cs="Times New Roman"/>
                      <w:color w:val="000000" w:themeColor="text1"/>
                      <w:highlight w:val="none"/>
                      <w:lang w:val="en-US" w:eastAsia="zh-CN"/>
                      <w14:textFill>
                        <w14:solidFill>
                          <w14:schemeClr w14:val="tx1"/>
                        </w14:solidFill>
                      </w14:textFill>
                    </w:rPr>
                    <w:t>2</w:t>
                  </w:r>
                </w:p>
              </w:tc>
              <w:tc>
                <w:tcPr>
                  <w:tcW w:w="773" w:type="pct"/>
                  <w:vAlign w:val="center"/>
                </w:tcPr>
                <w:p w14:paraId="51E36C3A">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非甲烷总烃</w:t>
                  </w:r>
                </w:p>
              </w:tc>
              <w:tc>
                <w:tcPr>
                  <w:tcW w:w="426" w:type="pct"/>
                  <w:vMerge w:val="restart"/>
                  <w:vAlign w:val="center"/>
                </w:tcPr>
                <w:p w14:paraId="2B3FA63A">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p>
              </w:tc>
              <w:tc>
                <w:tcPr>
                  <w:tcW w:w="614" w:type="pct"/>
                  <w:vAlign w:val="center"/>
                </w:tcPr>
                <w:p w14:paraId="4221F904">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100</w:t>
                  </w:r>
                </w:p>
              </w:tc>
              <w:tc>
                <w:tcPr>
                  <w:tcW w:w="492" w:type="pct"/>
                  <w:vAlign w:val="center"/>
                </w:tcPr>
                <w:p w14:paraId="3C83219C">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w:t>
                  </w:r>
                </w:p>
              </w:tc>
              <w:tc>
                <w:tcPr>
                  <w:tcW w:w="1470" w:type="pct"/>
                  <w:vMerge w:val="restart"/>
                  <w:vAlign w:val="center"/>
                </w:tcPr>
                <w:p w14:paraId="78681A9C">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highlight w:val="none"/>
                      <w14:textFill>
                        <w14:solidFill>
                          <w14:schemeClr w14:val="tx1"/>
                        </w14:solidFill>
                      </w14:textFill>
                    </w:rPr>
                    <w:t xml:space="preserve">》（GB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highlight w:val="none"/>
                      <w14:textFill>
                        <w14:solidFill>
                          <w14:schemeClr w14:val="tx1"/>
                        </w14:solidFill>
                      </w14:textFill>
                    </w:rPr>
                    <w:t>—20</w:t>
                  </w: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表4 大气污染物排放限值</w:t>
                  </w:r>
                </w:p>
              </w:tc>
            </w:tr>
            <w:tr w14:paraId="6C0B5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06" w:type="pct"/>
                  <w:vMerge w:val="continue"/>
                  <w:vAlign w:val="center"/>
                </w:tcPr>
                <w:p w14:paraId="21A8FB20">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c>
                <w:tcPr>
                  <w:tcW w:w="815" w:type="pct"/>
                  <w:vMerge w:val="continue"/>
                  <w:vAlign w:val="center"/>
                </w:tcPr>
                <w:p w14:paraId="0BAA4B48">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45F049E2">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苯乙烯</w:t>
                  </w:r>
                </w:p>
              </w:tc>
              <w:tc>
                <w:tcPr>
                  <w:tcW w:w="426" w:type="pct"/>
                  <w:vMerge w:val="continue"/>
                  <w:vAlign w:val="center"/>
                </w:tcPr>
                <w:p w14:paraId="09ECA601">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614" w:type="pct"/>
                  <w:vAlign w:val="center"/>
                </w:tcPr>
                <w:p w14:paraId="58D8E90B">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50</w:t>
                  </w:r>
                </w:p>
              </w:tc>
              <w:tc>
                <w:tcPr>
                  <w:tcW w:w="492" w:type="pct"/>
                  <w:vAlign w:val="center"/>
                </w:tcPr>
                <w:p w14:paraId="512206EA">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tc>
              <w:tc>
                <w:tcPr>
                  <w:tcW w:w="1470" w:type="pct"/>
                  <w:vMerge w:val="continue"/>
                  <w:vAlign w:val="center"/>
                </w:tcPr>
                <w:p w14:paraId="4D6C714F">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14F1A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06" w:type="pct"/>
                  <w:vMerge w:val="continue"/>
                  <w:vAlign w:val="center"/>
                </w:tcPr>
                <w:p w14:paraId="41507E2F">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c>
                <w:tcPr>
                  <w:tcW w:w="815" w:type="pct"/>
                  <w:vMerge w:val="continue"/>
                  <w:vAlign w:val="center"/>
                </w:tcPr>
                <w:p w14:paraId="02396619">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3D2CD0C1">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甲苯</w:t>
                  </w:r>
                </w:p>
              </w:tc>
              <w:tc>
                <w:tcPr>
                  <w:tcW w:w="426" w:type="pct"/>
                  <w:vMerge w:val="continue"/>
                  <w:vAlign w:val="center"/>
                </w:tcPr>
                <w:p w14:paraId="34477772">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c>
                <w:tcPr>
                  <w:tcW w:w="614" w:type="pct"/>
                  <w:vAlign w:val="center"/>
                </w:tcPr>
                <w:p w14:paraId="7285C879">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p>
              </w:tc>
              <w:tc>
                <w:tcPr>
                  <w:tcW w:w="492" w:type="pct"/>
                  <w:vAlign w:val="center"/>
                </w:tcPr>
                <w:p w14:paraId="6E43FBCB">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w:t>
                  </w:r>
                </w:p>
              </w:tc>
              <w:tc>
                <w:tcPr>
                  <w:tcW w:w="1470" w:type="pct"/>
                  <w:vMerge w:val="continue"/>
                  <w:vAlign w:val="center"/>
                </w:tcPr>
                <w:p w14:paraId="1435DACF">
                  <w:pPr>
                    <w:pStyle w:val="59"/>
                    <w:rPr>
                      <w:rFonts w:hint="default" w:ascii="Times New Roman" w:hAnsi="Times New Roman" w:eastAsia="宋体" w:cs="Times New Roman"/>
                      <w:color w:val="000000" w:themeColor="text1"/>
                      <w:highlight w:val="none"/>
                      <w14:textFill>
                        <w14:solidFill>
                          <w14:schemeClr w14:val="tx1"/>
                        </w14:solidFill>
                      </w14:textFill>
                    </w:rPr>
                  </w:pPr>
                </w:p>
              </w:tc>
            </w:tr>
            <w:tr w14:paraId="3BF5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406" w:type="pct"/>
                  <w:vMerge w:val="continue"/>
                  <w:vAlign w:val="center"/>
                </w:tcPr>
                <w:p w14:paraId="296CAC79">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446F10E6">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c>
                <w:tcPr>
                  <w:tcW w:w="773" w:type="pct"/>
                  <w:vAlign w:val="center"/>
                </w:tcPr>
                <w:p w14:paraId="00BE4401">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乙苯</w:t>
                  </w:r>
                </w:p>
              </w:tc>
              <w:tc>
                <w:tcPr>
                  <w:tcW w:w="426" w:type="pct"/>
                  <w:vMerge w:val="continue"/>
                  <w:vAlign w:val="center"/>
                </w:tcPr>
                <w:p w14:paraId="7866BA66">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c>
                <w:tcPr>
                  <w:tcW w:w="614" w:type="pct"/>
                  <w:vAlign w:val="center"/>
                </w:tcPr>
                <w:p w14:paraId="1E4BF482">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100</w:t>
                  </w:r>
                </w:p>
              </w:tc>
              <w:tc>
                <w:tcPr>
                  <w:tcW w:w="492" w:type="pct"/>
                  <w:vAlign w:val="center"/>
                </w:tcPr>
                <w:p w14:paraId="6203C389">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w:t>
                  </w:r>
                </w:p>
              </w:tc>
              <w:tc>
                <w:tcPr>
                  <w:tcW w:w="1470" w:type="pct"/>
                  <w:vMerge w:val="continue"/>
                  <w:vAlign w:val="center"/>
                </w:tcPr>
                <w:p w14:paraId="6D3283BD">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r>
            <w:tr w14:paraId="3DD72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406" w:type="pct"/>
                  <w:vMerge w:val="continue"/>
                  <w:vAlign w:val="center"/>
                </w:tcPr>
                <w:p w14:paraId="3775EE45">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1569CC35">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61FD1CD6">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臭气浓度</w:t>
                  </w:r>
                </w:p>
              </w:tc>
              <w:tc>
                <w:tcPr>
                  <w:tcW w:w="426" w:type="pct"/>
                  <w:vMerge w:val="continue"/>
                  <w:vAlign w:val="center"/>
                </w:tcPr>
                <w:p w14:paraId="0410B8BC">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106" w:type="pct"/>
                  <w:gridSpan w:val="2"/>
                  <w:vAlign w:val="center"/>
                </w:tcPr>
                <w:p w14:paraId="62E96F61">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2000</w:t>
                  </w:r>
                  <w:r>
                    <w:rPr>
                      <w:rFonts w:hint="default" w:ascii="Times New Roman" w:hAnsi="Times New Roman" w:eastAsia="宋体" w:cs="Times New Roman"/>
                      <w:color w:val="000000" w:themeColor="text1"/>
                      <w:highlight w:val="none"/>
                      <w14:textFill>
                        <w14:solidFill>
                          <w14:schemeClr w14:val="tx1"/>
                        </w14:solidFill>
                      </w14:textFill>
                    </w:rPr>
                    <w:t>（无量纲）</w:t>
                  </w:r>
                </w:p>
              </w:tc>
              <w:tc>
                <w:tcPr>
                  <w:tcW w:w="1470" w:type="pct"/>
                  <w:vAlign w:val="center"/>
                </w:tcPr>
                <w:p w14:paraId="0140BB12">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《恶臭污染物排放标准》（GB14554-93）表2恶臭污染物排放标准值</w:t>
                  </w:r>
                </w:p>
              </w:tc>
            </w:tr>
            <w:tr w14:paraId="58898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406" w:type="pct"/>
                  <w:vMerge w:val="restart"/>
                  <w:vAlign w:val="center"/>
                </w:tcPr>
                <w:p w14:paraId="3408D3BA">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厂界无组织废气</w:t>
                  </w:r>
                </w:p>
              </w:tc>
              <w:tc>
                <w:tcPr>
                  <w:tcW w:w="815" w:type="pct"/>
                  <w:vMerge w:val="restart"/>
                  <w:vAlign w:val="center"/>
                </w:tcPr>
                <w:p w14:paraId="0345819C">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p>
              </w:tc>
              <w:tc>
                <w:tcPr>
                  <w:tcW w:w="773" w:type="pct"/>
                  <w:vAlign w:val="center"/>
                </w:tcPr>
                <w:p w14:paraId="3B859034">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非甲烷总烃</w:t>
                  </w:r>
                </w:p>
              </w:tc>
              <w:tc>
                <w:tcPr>
                  <w:tcW w:w="426" w:type="pct"/>
                  <w:vMerge w:val="restart"/>
                  <w:vAlign w:val="center"/>
                </w:tcPr>
                <w:p w14:paraId="583EB58B">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p>
              </w:tc>
              <w:tc>
                <w:tcPr>
                  <w:tcW w:w="614" w:type="pct"/>
                  <w:vAlign w:val="center"/>
                </w:tcPr>
                <w:p w14:paraId="0237627F">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4</w:t>
                  </w:r>
                </w:p>
              </w:tc>
              <w:tc>
                <w:tcPr>
                  <w:tcW w:w="492" w:type="pct"/>
                  <w:vMerge w:val="restart"/>
                  <w:vAlign w:val="center"/>
                </w:tcPr>
                <w:p w14:paraId="6AF0043F">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p>
              </w:tc>
              <w:tc>
                <w:tcPr>
                  <w:tcW w:w="1470" w:type="pct"/>
                  <w:vAlign w:val="center"/>
                </w:tcPr>
                <w:p w14:paraId="1D2556CE">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highlight w:val="none"/>
                      <w14:textFill>
                        <w14:solidFill>
                          <w14:schemeClr w14:val="tx1"/>
                        </w14:solidFill>
                      </w14:textFill>
                    </w:rPr>
                    <w:t xml:space="preserve">》（GB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highlight w:val="none"/>
                      <w14:textFill>
                        <w14:solidFill>
                          <w14:schemeClr w14:val="tx1"/>
                        </w14:solidFill>
                      </w14:textFill>
                    </w:rPr>
                    <w:t>—20</w:t>
                  </w: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表9企业边界大气污染物浓度限值和</w:t>
                  </w:r>
                  <w:r>
                    <w:rPr>
                      <w:rFonts w:hint="default" w:ascii="Times New Roman" w:hAnsi="Times New Roman" w:eastAsia="宋体" w:cs="Times New Roman"/>
                      <w:color w:val="000000" w:themeColor="text1"/>
                      <w:sz w:val="21"/>
                      <w:szCs w:val="21"/>
                      <w:highlight w:val="none"/>
                      <w14:textFill>
                        <w14:solidFill>
                          <w14:schemeClr w14:val="tx1"/>
                        </w14:solidFill>
                      </w14:textFill>
                    </w:rPr>
                    <w:t>广东省地方标准《大气污染物排放限值》（DB44/27-2001）第二时段无组织排放标准值</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较严值</w:t>
                  </w:r>
                </w:p>
              </w:tc>
            </w:tr>
            <w:tr w14:paraId="29E93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06" w:type="pct"/>
                  <w:vMerge w:val="continue"/>
                  <w:vAlign w:val="center"/>
                </w:tcPr>
                <w:p w14:paraId="14EC2398">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5A5F4100">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009AB6E9">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颗粒物</w:t>
                  </w:r>
                </w:p>
              </w:tc>
              <w:tc>
                <w:tcPr>
                  <w:tcW w:w="426" w:type="pct"/>
                  <w:vMerge w:val="continue"/>
                  <w:vAlign w:val="center"/>
                </w:tcPr>
                <w:p w14:paraId="338142BF">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Align w:val="center"/>
                </w:tcPr>
                <w:p w14:paraId="50964149">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1</w:t>
                  </w:r>
                </w:p>
              </w:tc>
              <w:tc>
                <w:tcPr>
                  <w:tcW w:w="492" w:type="pct"/>
                  <w:vMerge w:val="continue"/>
                  <w:vAlign w:val="center"/>
                </w:tcPr>
                <w:p w14:paraId="42276E99">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470" w:type="pct"/>
                  <w:vMerge w:val="restart"/>
                  <w:vAlign w:val="center"/>
                </w:tcPr>
                <w:p w14:paraId="7250201A">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highlight w:val="none"/>
                      <w14:textFill>
                        <w14:solidFill>
                          <w14:schemeClr w14:val="tx1"/>
                        </w14:solidFill>
                      </w14:textFill>
                    </w:rPr>
                    <w:t xml:space="preserve">》（GB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highlight w:val="none"/>
                      <w14:textFill>
                        <w14:solidFill>
                          <w14:schemeClr w14:val="tx1"/>
                        </w14:solidFill>
                      </w14:textFill>
                    </w:rPr>
                    <w:t>—20</w:t>
                  </w:r>
                  <w:r>
                    <w:rPr>
                      <w:rFonts w:hint="eastAsia" w:ascii="Times New Roman" w:hAnsi="Times New Roman" w:eastAsia="宋体" w:cs="Times New Roman"/>
                      <w:color w:val="000000" w:themeColor="text1"/>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color w:val="000000" w:themeColor="text1"/>
                      <w:highlight w:val="none"/>
                      <w:lang w:val="en-US" w:eastAsia="zh-CN"/>
                      <w14:textFill>
                        <w14:solidFill>
                          <w14:schemeClr w14:val="tx1"/>
                        </w14:solidFill>
                      </w14:textFill>
                    </w:rPr>
                    <w:t>表9企业边界大气污染物浓度限值</w:t>
                  </w:r>
                </w:p>
              </w:tc>
            </w:tr>
            <w:tr w14:paraId="5BF0B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06" w:type="pct"/>
                  <w:vMerge w:val="continue"/>
                  <w:vAlign w:val="center"/>
                </w:tcPr>
                <w:p w14:paraId="25FAA209">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16D0BA9B">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30418A40">
                  <w:pPr>
                    <w:pStyle w:val="59"/>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甲苯</w:t>
                  </w:r>
                </w:p>
              </w:tc>
              <w:tc>
                <w:tcPr>
                  <w:tcW w:w="426" w:type="pct"/>
                  <w:vMerge w:val="continue"/>
                  <w:vAlign w:val="center"/>
                </w:tcPr>
                <w:p w14:paraId="437FA2F7">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Align w:val="center"/>
                </w:tcPr>
                <w:p w14:paraId="4A12B06A">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0.8</w:t>
                  </w:r>
                </w:p>
              </w:tc>
              <w:tc>
                <w:tcPr>
                  <w:tcW w:w="492" w:type="pct"/>
                  <w:vMerge w:val="continue"/>
                  <w:vAlign w:val="center"/>
                </w:tcPr>
                <w:p w14:paraId="6D7E64C7">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470" w:type="pct"/>
                  <w:vMerge w:val="continue"/>
                  <w:vAlign w:val="center"/>
                </w:tcPr>
                <w:p w14:paraId="261401DB">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p>
              </w:tc>
            </w:tr>
            <w:tr w14:paraId="445DA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06" w:type="pct"/>
                  <w:vMerge w:val="continue"/>
                  <w:vAlign w:val="center"/>
                </w:tcPr>
                <w:p w14:paraId="3E9B0436">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59EE6162">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0B741833">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苯乙烯</w:t>
                  </w:r>
                </w:p>
              </w:tc>
              <w:tc>
                <w:tcPr>
                  <w:tcW w:w="426" w:type="pct"/>
                  <w:vMerge w:val="continue"/>
                  <w:vAlign w:val="center"/>
                </w:tcPr>
                <w:p w14:paraId="14CA9BB7">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Align w:val="center"/>
                </w:tcPr>
                <w:p w14:paraId="563507D9">
                  <w:pPr>
                    <w:pStyle w:val="59"/>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5</w:t>
                  </w:r>
                </w:p>
              </w:tc>
              <w:tc>
                <w:tcPr>
                  <w:tcW w:w="492" w:type="pct"/>
                  <w:vMerge w:val="continue"/>
                  <w:vAlign w:val="center"/>
                </w:tcPr>
                <w:p w14:paraId="4D901011">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470" w:type="pct"/>
                  <w:vMerge w:val="restart"/>
                  <w:vAlign w:val="center"/>
                </w:tcPr>
                <w:p w14:paraId="02F00E2B">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《恶臭污染物排放标准》（GB14554-93）表1恶臭污染物厂界标准值</w:t>
                  </w:r>
                </w:p>
              </w:tc>
            </w:tr>
            <w:tr w14:paraId="473F5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06" w:type="pct"/>
                  <w:vMerge w:val="continue"/>
                  <w:vAlign w:val="center"/>
                </w:tcPr>
                <w:p w14:paraId="6788446C">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1CF505B9">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Align w:val="center"/>
                </w:tcPr>
                <w:p w14:paraId="7DBA1557">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臭气浓度</w:t>
                  </w:r>
                </w:p>
              </w:tc>
              <w:tc>
                <w:tcPr>
                  <w:tcW w:w="426" w:type="pct"/>
                  <w:vMerge w:val="continue"/>
                  <w:vAlign w:val="center"/>
                </w:tcPr>
                <w:p w14:paraId="71C6ED14">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Align w:val="center"/>
                </w:tcPr>
                <w:p w14:paraId="2A7DE994">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20（无量纲）</w:t>
                  </w:r>
                </w:p>
              </w:tc>
              <w:tc>
                <w:tcPr>
                  <w:tcW w:w="492" w:type="pct"/>
                  <w:vMerge w:val="continue"/>
                  <w:vAlign w:val="center"/>
                </w:tcPr>
                <w:p w14:paraId="2D083DDB">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470" w:type="pct"/>
                  <w:vMerge w:val="continue"/>
                  <w:vAlign w:val="center"/>
                </w:tcPr>
                <w:p w14:paraId="16827595">
                  <w:pPr>
                    <w:pStyle w:val="59"/>
                    <w:rPr>
                      <w:rFonts w:hint="default" w:ascii="Times New Roman" w:hAnsi="Times New Roman" w:eastAsia="宋体" w:cs="Times New Roman"/>
                      <w:color w:val="000000" w:themeColor="text1"/>
                      <w:highlight w:val="none"/>
                      <w14:textFill>
                        <w14:solidFill>
                          <w14:schemeClr w14:val="tx1"/>
                        </w14:solidFill>
                      </w14:textFill>
                    </w:rPr>
                  </w:pPr>
                </w:p>
              </w:tc>
            </w:tr>
            <w:tr w14:paraId="5E3D4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406" w:type="pct"/>
                  <w:vMerge w:val="restart"/>
                  <w:vAlign w:val="center"/>
                </w:tcPr>
                <w:p w14:paraId="7ADAD998">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厂区内无组织废气</w:t>
                  </w:r>
                </w:p>
              </w:tc>
              <w:tc>
                <w:tcPr>
                  <w:tcW w:w="815" w:type="pct"/>
                  <w:vMerge w:val="restart"/>
                  <w:vAlign w:val="center"/>
                </w:tcPr>
                <w:p w14:paraId="6E495EC7">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p>
              </w:tc>
              <w:tc>
                <w:tcPr>
                  <w:tcW w:w="773" w:type="pct"/>
                  <w:vMerge w:val="restart"/>
                  <w:vAlign w:val="center"/>
                </w:tcPr>
                <w:p w14:paraId="74CFB69A">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非甲烷总烃</w:t>
                  </w:r>
                </w:p>
              </w:tc>
              <w:tc>
                <w:tcPr>
                  <w:tcW w:w="426" w:type="pct"/>
                  <w:vMerge w:val="restart"/>
                  <w:vAlign w:val="center"/>
                </w:tcPr>
                <w:p w14:paraId="65CB2908">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p>
              </w:tc>
              <w:tc>
                <w:tcPr>
                  <w:tcW w:w="614" w:type="pct"/>
                  <w:vAlign w:val="center"/>
                </w:tcPr>
                <w:p w14:paraId="540F29E0">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6</w:t>
                  </w:r>
                  <w:r>
                    <w:rPr>
                      <w:rFonts w:hint="default" w:ascii="Times New Roman" w:hAnsi="Times New Roman" w:eastAsia="宋体" w:cs="Times New Roman"/>
                      <w:color w:val="000000" w:themeColor="text1"/>
                      <w:highlight w:val="none"/>
                      <w14:textFill>
                        <w14:solidFill>
                          <w14:schemeClr w14:val="tx1"/>
                        </w14:solidFill>
                      </w14:textFill>
                    </w:rPr>
                    <w:t>（</w:t>
                  </w:r>
                  <w:r>
                    <w:rPr>
                      <w:rFonts w:hint="default" w:ascii="Times New Roman" w:hAnsi="Times New Roman" w:eastAsia="宋体" w:cs="Times New Roman"/>
                      <w:color w:val="000000" w:themeColor="text1"/>
                      <w:highlight w:val="none"/>
                      <w:lang w:val="en-US"/>
                      <w14:textFill>
                        <w14:solidFill>
                          <w14:schemeClr w14:val="tx1"/>
                        </w14:solidFill>
                      </w14:textFill>
                    </w:rPr>
                    <w:t>监控点处1h平均浓度值</w:t>
                  </w:r>
                  <w:r>
                    <w:rPr>
                      <w:rFonts w:hint="default" w:ascii="Times New Roman" w:hAnsi="Times New Roman" w:eastAsia="宋体" w:cs="Times New Roman"/>
                      <w:color w:val="000000" w:themeColor="text1"/>
                      <w:highlight w:val="none"/>
                      <w14:textFill>
                        <w14:solidFill>
                          <w14:schemeClr w14:val="tx1"/>
                        </w14:solidFill>
                      </w14:textFill>
                    </w:rPr>
                    <w:t>）</w:t>
                  </w:r>
                </w:p>
              </w:tc>
              <w:tc>
                <w:tcPr>
                  <w:tcW w:w="492" w:type="pct"/>
                  <w:vMerge w:val="restart"/>
                  <w:vAlign w:val="center"/>
                </w:tcPr>
                <w:p w14:paraId="354AEF05">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w:t>
                  </w:r>
                </w:p>
              </w:tc>
              <w:tc>
                <w:tcPr>
                  <w:tcW w:w="1470" w:type="pct"/>
                  <w:vMerge w:val="restart"/>
                  <w:vAlign w:val="center"/>
                </w:tcPr>
                <w:p w14:paraId="271AD8EA">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广东省地方标准《固定污染源挥发性有机物综合排放标准》（DB44/2367-2022）表3 厂区内VOCs无组织排放限值</w:t>
                  </w:r>
                </w:p>
              </w:tc>
            </w:tr>
            <w:tr w14:paraId="3BE5B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06" w:type="pct"/>
                  <w:vMerge w:val="continue"/>
                  <w:vAlign w:val="center"/>
                </w:tcPr>
                <w:p w14:paraId="061E0074">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815" w:type="pct"/>
                  <w:vMerge w:val="continue"/>
                  <w:vAlign w:val="center"/>
                </w:tcPr>
                <w:p w14:paraId="5D00E0B0">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773" w:type="pct"/>
                  <w:vMerge w:val="continue"/>
                  <w:vAlign w:val="center"/>
                </w:tcPr>
                <w:p w14:paraId="6E6BDF4A">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426" w:type="pct"/>
                  <w:vMerge w:val="continue"/>
                  <w:vAlign w:val="center"/>
                </w:tcPr>
                <w:p w14:paraId="6BFDF482">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614" w:type="pct"/>
                  <w:vAlign w:val="center"/>
                </w:tcPr>
                <w:p w14:paraId="28A9B646">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lang w:val="en-US"/>
                      <w14:textFill>
                        <w14:solidFill>
                          <w14:schemeClr w14:val="tx1"/>
                        </w14:solidFill>
                      </w14:textFill>
                    </w:rPr>
                    <w:t>20（监控点处任意一点的浓度值）</w:t>
                  </w:r>
                </w:p>
              </w:tc>
              <w:tc>
                <w:tcPr>
                  <w:tcW w:w="492" w:type="pct"/>
                  <w:vMerge w:val="continue"/>
                  <w:vAlign w:val="center"/>
                </w:tcPr>
                <w:p w14:paraId="26BF4F3E">
                  <w:pPr>
                    <w:pStyle w:val="59"/>
                    <w:rPr>
                      <w:rFonts w:hint="default" w:ascii="Times New Roman" w:hAnsi="Times New Roman" w:eastAsia="宋体" w:cs="Times New Roman"/>
                      <w:color w:val="000000" w:themeColor="text1"/>
                      <w:highlight w:val="none"/>
                      <w14:textFill>
                        <w14:solidFill>
                          <w14:schemeClr w14:val="tx1"/>
                        </w14:solidFill>
                      </w14:textFill>
                    </w:rPr>
                  </w:pPr>
                </w:p>
              </w:tc>
              <w:tc>
                <w:tcPr>
                  <w:tcW w:w="1470" w:type="pct"/>
                  <w:vMerge w:val="continue"/>
                  <w:vAlign w:val="center"/>
                </w:tcPr>
                <w:p w14:paraId="67A828DA">
                  <w:pPr>
                    <w:pStyle w:val="59"/>
                    <w:rPr>
                      <w:rFonts w:hint="default" w:ascii="Times New Roman" w:hAnsi="Times New Roman" w:eastAsia="宋体" w:cs="Times New Roman"/>
                      <w:color w:val="000000" w:themeColor="text1"/>
                      <w:highlight w:val="none"/>
                      <w14:textFill>
                        <w14:solidFill>
                          <w14:schemeClr w14:val="tx1"/>
                        </w14:solidFill>
                      </w14:textFill>
                    </w:rPr>
                  </w:pPr>
                </w:p>
              </w:tc>
            </w:tr>
          </w:tbl>
          <w:p w14:paraId="4554A174">
            <w:pPr>
              <w:spacing w:line="480" w:lineRule="exact"/>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3、噪声排放标准</w:t>
            </w:r>
          </w:p>
          <w:p w14:paraId="272A1367">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项目运营期厂界噪声执行《工业企业厂界环境噪声排放标准》（GB 12348-2008）3类标准。</w:t>
            </w:r>
          </w:p>
          <w:p w14:paraId="6BCF6F0E">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工业企业厂界环境噪声排放限值  单位：dB（A）</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4"/>
              <w:gridCol w:w="2850"/>
              <w:gridCol w:w="2220"/>
            </w:tblGrid>
            <w:tr w14:paraId="69DB9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4" w:type="pct"/>
                  <w:shd w:val="clear" w:color="auto" w:fill="D7D7D7" w:themeFill="background1" w:themeFillShade="D8"/>
                  <w:vAlign w:val="center"/>
                </w:tcPr>
                <w:p w14:paraId="3AA54A02">
                  <w:pPr>
                    <w:pStyle w:val="59"/>
                    <w:rPr>
                      <w:rFonts w:hint="default" w:ascii="Times New Roman" w:hAnsi="Times New Roman" w:eastAsia="宋体" w:cs="Times New Roman"/>
                      <w:b/>
                      <w:bCs/>
                      <w:color w:val="000000" w:themeColor="text1"/>
                      <w:highlight w:val="none"/>
                      <w:lang w:val="en-US"/>
                      <w14:textFill>
                        <w14:solidFill>
                          <w14:schemeClr w14:val="tx1"/>
                        </w14:solidFill>
                      </w14:textFill>
                    </w:rPr>
                  </w:pPr>
                  <w:r>
                    <w:rPr>
                      <w:rFonts w:hint="default" w:ascii="Times New Roman" w:hAnsi="Times New Roman" w:eastAsia="宋体" w:cs="Times New Roman"/>
                      <w:b/>
                      <w:bCs/>
                      <w:color w:val="000000" w:themeColor="text1"/>
                      <w:highlight w:val="none"/>
                      <w:lang w:val="en-US"/>
                      <w14:textFill>
                        <w14:solidFill>
                          <w14:schemeClr w14:val="tx1"/>
                        </w14:solidFill>
                      </w14:textFill>
                    </w:rPr>
                    <w:t>厂界</w:t>
                  </w:r>
                </w:p>
              </w:tc>
              <w:tc>
                <w:tcPr>
                  <w:tcW w:w="1762" w:type="pct"/>
                  <w:shd w:val="clear" w:color="auto" w:fill="D7D7D7" w:themeFill="background1" w:themeFillShade="D8"/>
                  <w:vAlign w:val="center"/>
                </w:tcPr>
                <w:p w14:paraId="0791FF1D">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厂界外声环境功能区类别</w:t>
                  </w:r>
                </w:p>
              </w:tc>
              <w:tc>
                <w:tcPr>
                  <w:tcW w:w="1373" w:type="pct"/>
                  <w:shd w:val="clear" w:color="auto" w:fill="D7D7D7" w:themeFill="background1" w:themeFillShade="D8"/>
                  <w:vAlign w:val="center"/>
                </w:tcPr>
                <w:p w14:paraId="64095CD8">
                  <w:pPr>
                    <w:pStyle w:val="59"/>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昼间</w:t>
                  </w:r>
                </w:p>
              </w:tc>
            </w:tr>
            <w:tr w14:paraId="0FE55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1864" w:type="pct"/>
                  <w:shd w:val="clear" w:color="auto" w:fill="D7D7D7" w:themeFill="background1" w:themeFillShade="D8"/>
                  <w:vAlign w:val="center"/>
                </w:tcPr>
                <w:p w14:paraId="6282FB37">
                  <w:pPr>
                    <w:pStyle w:val="59"/>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东面、</w:t>
                  </w:r>
                  <w:r>
                    <w:rPr>
                      <w:rFonts w:hint="default" w:ascii="Times New Roman" w:hAnsi="Times New Roman" w:eastAsia="宋体" w:cs="Times New Roman"/>
                      <w:color w:val="000000" w:themeColor="text1"/>
                      <w:highlight w:val="none"/>
                      <w:lang w:val="en-US"/>
                      <w14:textFill>
                        <w14:solidFill>
                          <w14:schemeClr w14:val="tx1"/>
                        </w14:solidFill>
                      </w14:textFill>
                    </w:rPr>
                    <w:t>南面、西面、北面厂界</w:t>
                  </w:r>
                </w:p>
              </w:tc>
              <w:tc>
                <w:tcPr>
                  <w:tcW w:w="1762" w:type="pct"/>
                  <w:shd w:val="clear" w:color="auto" w:fill="D7D7D7" w:themeFill="background1" w:themeFillShade="D8"/>
                  <w:vAlign w:val="center"/>
                </w:tcPr>
                <w:p w14:paraId="49F4CFA6">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3类</w:t>
                  </w:r>
                </w:p>
              </w:tc>
              <w:tc>
                <w:tcPr>
                  <w:tcW w:w="1373" w:type="pct"/>
                  <w:shd w:val="clear" w:color="auto" w:fill="D7D7D7" w:themeFill="background1" w:themeFillShade="D8"/>
                  <w:vAlign w:val="center"/>
                </w:tcPr>
                <w:p w14:paraId="7ADA275F">
                  <w:pPr>
                    <w:pStyle w:val="59"/>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65</w:t>
                  </w:r>
                </w:p>
              </w:tc>
            </w:tr>
          </w:tbl>
          <w:p w14:paraId="7399D687">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4、固体废物控制标准</w:t>
            </w:r>
          </w:p>
          <w:p w14:paraId="670CCAB9">
            <w:pPr>
              <w:spacing w:line="480" w:lineRule="exact"/>
              <w:ind w:firstLine="48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（1）危险废物执行《国家危险废物名录》（202</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highlight w:val="none"/>
                <w14:textFill>
                  <w14:solidFill>
                    <w14:schemeClr w14:val="tx1"/>
                  </w14:solidFill>
                </w14:textFill>
              </w:rPr>
              <w:t>版）、《危险废物贮存污染控制标准》（GB18597-2023）。</w:t>
            </w:r>
          </w:p>
        </w:tc>
      </w:tr>
      <w:tr w14:paraId="13910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1" w:type="pct"/>
            <w:vAlign w:val="center"/>
          </w:tcPr>
          <w:p w14:paraId="4C083FE7">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总量控制标准</w:t>
            </w:r>
          </w:p>
        </w:tc>
        <w:tc>
          <w:tcPr>
            <w:tcW w:w="4588" w:type="pct"/>
          </w:tcPr>
          <w:p w14:paraId="02E70BEE">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1、水</w:t>
            </w:r>
          </w:p>
          <w:p w14:paraId="35240250">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生活污水的排放量≤</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459</w:t>
            </w:r>
            <w:r>
              <w:rPr>
                <w:rFonts w:hint="default" w:ascii="Times New Roman" w:hAnsi="Times New Roman" w:eastAsia="宋体" w:cs="Times New Roman"/>
                <w:color w:val="000000" w:themeColor="text1"/>
                <w:sz w:val="24"/>
                <w:highlight w:val="none"/>
                <w14:textFill>
                  <w14:solidFill>
                    <w14:schemeClr w14:val="tx1"/>
                  </w14:solidFill>
                </w14:textFill>
              </w:rPr>
              <w:t>吨/年，经三级化粪池预处理后通过排污管道排入</w:t>
            </w:r>
            <w:r>
              <w:rPr>
                <w:rFonts w:hint="default" w:ascii="Times New Roman" w:hAnsi="Times New Roman" w:eastAsia="宋体" w:cs="Times New Roman"/>
                <w:color w:val="000000" w:themeColor="text1"/>
                <w:spacing w:val="1"/>
                <w:sz w:val="24"/>
                <w:highlight w:val="none"/>
                <w14:textFill>
                  <w14:solidFill>
                    <w14:schemeClr w14:val="tx1"/>
                  </w14:solidFill>
                </w14:textFill>
              </w:rPr>
              <w:t>中山市</w:t>
            </w:r>
            <w:r>
              <w:rPr>
                <w:rFonts w:hint="eastAsia" w:ascii="Times New Roman" w:hAnsi="Times New Roman" w:eastAsia="宋体" w:cs="Times New Roman"/>
                <w:color w:val="000000" w:themeColor="text1"/>
                <w:spacing w:val="1"/>
                <w:sz w:val="24"/>
                <w:highlight w:val="none"/>
                <w:lang w:val="en-US" w:eastAsia="zh-CN"/>
                <w14:textFill>
                  <w14:solidFill>
                    <w14:schemeClr w14:val="tx1"/>
                  </w14:solidFill>
                </w14:textFill>
              </w:rPr>
              <w:t>中嘉污水处理厂</w:t>
            </w:r>
            <w:r>
              <w:rPr>
                <w:rFonts w:hint="default" w:ascii="Times New Roman" w:hAnsi="Times New Roman" w:eastAsia="宋体" w:cs="Times New Roman"/>
                <w:color w:val="000000" w:themeColor="text1"/>
                <w:sz w:val="24"/>
                <w:highlight w:val="none"/>
                <w14:textFill>
                  <w14:solidFill>
                    <w14:schemeClr w14:val="tx1"/>
                  </w14:solidFill>
                </w14:textFill>
              </w:rPr>
              <w:t>集中处理，无需申请CODcr、氨氮总量控制。</w:t>
            </w:r>
          </w:p>
          <w:p w14:paraId="17EF2B88">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2、大气</w:t>
            </w:r>
          </w:p>
          <w:p w14:paraId="1E40965C">
            <w:pPr>
              <w:spacing w:line="480" w:lineRule="exact"/>
              <w:ind w:firstLine="480" w:firstLineChars="20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挥发性有机物（非甲烷总烃）</w:t>
            </w:r>
            <w:r>
              <w:rPr>
                <w:rFonts w:hint="default" w:ascii="Times New Roman" w:hAnsi="Times New Roman" w:eastAsia="宋体" w:cs="Times New Roman"/>
                <w:color w:val="000000" w:themeColor="text1"/>
                <w:sz w:val="24"/>
                <w:highlight w:val="none"/>
                <w14:textFill>
                  <w14:solidFill>
                    <w14:schemeClr w14:val="tx1"/>
                  </w14:solidFill>
                </w14:textFill>
              </w:rPr>
              <w:t>年排放量为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1.104</w:t>
            </w:r>
            <w:r>
              <w:rPr>
                <w:rFonts w:hint="default" w:ascii="Times New Roman" w:hAnsi="Times New Roman" w:eastAsia="宋体" w:cs="Times New Roman"/>
                <w:color w:val="000000" w:themeColor="text1"/>
                <w:sz w:val="24"/>
                <w:highlight w:val="none"/>
                <w14:textFill>
                  <w14:solidFill>
                    <w14:schemeClr w14:val="tx1"/>
                  </w14:solidFill>
                </w14:textFill>
              </w:rPr>
              <w:t>t/a。</w:t>
            </w:r>
          </w:p>
        </w:tc>
      </w:tr>
    </w:tbl>
    <w:p w14:paraId="7E401E26">
      <w:pPr>
        <w:rPr>
          <w:rFonts w:hint="default" w:ascii="Times New Roman" w:hAnsi="Times New Roman" w:eastAsia="宋体" w:cs="Times New Roman"/>
          <w:color w:val="000000" w:themeColor="text1"/>
          <w:szCs w:val="21"/>
          <w:highlight w:val="none"/>
          <w14:textFill>
            <w14:solidFill>
              <w14:schemeClr w14:val="tx1"/>
            </w14:solidFill>
          </w14:textFill>
        </w:rPr>
      </w:pPr>
      <w:bookmarkStart w:id="28" w:name="_Toc519"/>
      <w:r>
        <w:rPr>
          <w:rFonts w:hint="default" w:ascii="Times New Roman" w:hAnsi="Times New Roman" w:eastAsia="宋体" w:cs="Times New Roman"/>
          <w:color w:val="000000" w:themeColor="text1"/>
          <w:szCs w:val="21"/>
          <w:highlight w:val="none"/>
          <w14:textFill>
            <w14:solidFill>
              <w14:schemeClr w14:val="tx1"/>
            </w14:solidFill>
          </w14:textFill>
        </w:rPr>
        <w:br w:type="page"/>
      </w:r>
    </w:p>
    <w:p w14:paraId="798FEF35">
      <w:pPr>
        <w:pStyle w:val="2"/>
        <w:spacing w:before="0" w:after="0"/>
        <w:jc w:val="center"/>
        <w:rPr>
          <w:rFonts w:hint="default" w:ascii="Times New Roman" w:hAnsi="Times New Roman" w:eastAsia="宋体" w:cs="Times New Roman"/>
          <w:color w:val="000000" w:themeColor="text1"/>
          <w:sz w:val="24"/>
          <w:highlight w:val="none"/>
          <w14:textFill>
            <w14:solidFill>
              <w14:schemeClr w14:val="tx1"/>
            </w14:solidFill>
          </w14:textFill>
        </w:rPr>
      </w:pPr>
      <w:bookmarkStart w:id="29" w:name="_Toc5200"/>
      <w:r>
        <w:rPr>
          <w:rFonts w:hint="default" w:ascii="Times New Roman" w:hAnsi="Times New Roman" w:eastAsia="宋体" w:cs="Times New Roman"/>
          <w:color w:val="000000" w:themeColor="text1"/>
          <w:sz w:val="24"/>
          <w:highlight w:val="none"/>
          <w14:textFill>
            <w14:solidFill>
              <w14:schemeClr w14:val="tx1"/>
            </w14:solidFill>
          </w14:textFill>
        </w:rPr>
        <w:t>四、主要环境影响和保护措施</w:t>
      </w:r>
      <w:bookmarkEnd w:id="28"/>
      <w:bookmarkEnd w:id="29"/>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8613"/>
      </w:tblGrid>
      <w:tr w14:paraId="3AA38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7" w:type="pct"/>
            <w:vAlign w:val="center"/>
          </w:tcPr>
          <w:p w14:paraId="064D3A9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施工期环境保护措施</w:t>
            </w:r>
          </w:p>
        </w:tc>
        <w:tc>
          <w:tcPr>
            <w:tcW w:w="4752" w:type="pct"/>
            <w:vAlign w:val="center"/>
          </w:tcPr>
          <w:p w14:paraId="2306CE8C">
            <w:pPr>
              <w:spacing w:line="480" w:lineRule="exact"/>
              <w:ind w:firstLine="48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项目使用已建成的厂房，不存在施工期的环境影响。</w:t>
            </w:r>
          </w:p>
        </w:tc>
      </w:tr>
      <w:tr w14:paraId="394C6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4" w:hRule="atLeast"/>
        </w:trPr>
        <w:tc>
          <w:tcPr>
            <w:tcW w:w="247" w:type="pct"/>
            <w:vAlign w:val="center"/>
          </w:tcPr>
          <w:p w14:paraId="3B22F20C">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运营期环境影响和保护措施</w:t>
            </w:r>
          </w:p>
        </w:tc>
        <w:tc>
          <w:tcPr>
            <w:tcW w:w="4752" w:type="pct"/>
          </w:tcPr>
          <w:p w14:paraId="085B516C">
            <w:pPr>
              <w:spacing w:line="480" w:lineRule="exact"/>
              <w:ind w:firstLine="482" w:firstLine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一、大气环境影响分析</w:t>
            </w:r>
          </w:p>
          <w:p w14:paraId="168B0A8B">
            <w:pPr>
              <w:spacing w:line="480" w:lineRule="exact"/>
              <w:ind w:firstLine="482" w:firstLine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1、废气产排情况</w:t>
            </w:r>
          </w:p>
          <w:p w14:paraId="781103EE">
            <w:pPr>
              <w:spacing w:line="480" w:lineRule="exact"/>
              <w:ind w:firstLine="482"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投料工序</w:t>
            </w:r>
          </w:p>
          <w:p w14:paraId="735CFEEF">
            <w:pPr>
              <w:spacing w:line="480" w:lineRule="exact"/>
              <w:ind w:firstLine="480"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项目粉状原材料投料过程中会产生粉尘，主要污染物为颗粒物。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年工作时间为1000h。参考同类型行业经验可得，粉尘产生量为原料的1%，项目粉状原料量约为106t/a，故颗粒物的产生量约为1.06t/a。</w:t>
            </w:r>
            <w:r>
              <w:rPr>
                <w:rFonts w:ascii="Times New Roman" w:hAnsi="Times New Roman" w:eastAsia="宋体" w:cs="Times New Roman"/>
                <w:color w:val="000000" w:themeColor="text1"/>
                <w:sz w:val="24"/>
                <w:highlight w:val="none"/>
                <w14:textFill>
                  <w14:solidFill>
                    <w14:schemeClr w14:val="tx1"/>
                  </w14:solidFill>
                </w14:textFill>
              </w:rPr>
              <w:t>建设单位拟对投料工序产生的废气采用集气罩收集后经滤芯除尘装置处理后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经15m高排气筒（G1）高空排放</w:t>
            </w:r>
            <w:r>
              <w:rPr>
                <w:rFonts w:ascii="Times New Roman" w:hAnsi="Times New Roman" w:eastAsia="宋体" w:cs="Times New Roman"/>
                <w:color w:val="000000" w:themeColor="text1"/>
                <w:sz w:val="24"/>
                <w:highlight w:val="none"/>
                <w14:textFill>
                  <w14:solidFill>
                    <w14:schemeClr w14:val="tx1"/>
                  </w14:solidFill>
                </w14:textFill>
              </w:rPr>
              <w:t>。根据工程经验可得，</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粉尘</w:t>
            </w:r>
            <w:r>
              <w:rPr>
                <w:rFonts w:ascii="Times New Roman" w:hAnsi="Times New Roman" w:eastAsia="宋体" w:cs="Times New Roman"/>
                <w:color w:val="000000" w:themeColor="text1"/>
                <w:sz w:val="24"/>
                <w:highlight w:val="none"/>
                <w14:textFill>
                  <w14:solidFill>
                    <w14:schemeClr w14:val="tx1"/>
                  </w14:solidFill>
                </w14:textFill>
              </w:rPr>
              <w:t>收集效率约为30%，处理效率约为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95</w:t>
            </w:r>
            <w:r>
              <w:rPr>
                <w:rFonts w:ascii="Times New Roman" w:hAnsi="Times New Roman" w:eastAsia="宋体" w:cs="Times New Roman"/>
                <w:color w:val="000000" w:themeColor="text1"/>
                <w:sz w:val="24"/>
                <w:highlight w:val="none"/>
                <w14:textFill>
                  <w14:solidFill>
                    <w14:schemeClr w14:val="tx1"/>
                  </w14:solidFill>
                </w14:textFill>
              </w:rPr>
              <w:t>%。</w:t>
            </w:r>
          </w:p>
          <w:p w14:paraId="618FB9DA">
            <w:pPr>
              <w:spacing w:line="480" w:lineRule="exact"/>
              <w:ind w:firstLine="480" w:firstLineChars="200"/>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由于项目生产车间相对密闭，生产时关闭房门和窗户，逸散的粉尘约60%可自然沉降在车间内，即无组织排放量=</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1.06</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ascii="Times New Roman" w:hAnsi="Times New Roman" w:eastAsia="宋体" w:cs="Times New Roman"/>
                <w:color w:val="000000" w:themeColor="text1"/>
                <w:sz w:val="24"/>
                <w:highlight w:val="none"/>
                <w14:textFill>
                  <w14:solidFill>
                    <w14:schemeClr w14:val="tx1"/>
                  </w14:solidFill>
                </w14:textFill>
              </w:rPr>
              <w:t>0%×（1-</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95</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1.06</w:t>
            </w:r>
            <w:r>
              <w:rPr>
                <w:rFonts w:ascii="Times New Roman" w:hAnsi="Times New Roman" w:eastAsia="宋体" w:cs="Times New Roman"/>
                <w:color w:val="000000" w:themeColor="text1"/>
                <w:sz w:val="24"/>
                <w:highlight w:val="none"/>
                <w14:textFill>
                  <w14:solidFill>
                    <w14:schemeClr w14:val="tx1"/>
                  </w14:solidFill>
                </w14:textFill>
              </w:rPr>
              <w:t>×（1-30%）×（1-60%）=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0.3127</w:t>
            </w:r>
            <w:r>
              <w:rPr>
                <w:rFonts w:ascii="Times New Roman" w:hAnsi="Times New Roman" w:eastAsia="宋体"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车间沉降量=1.06</w:t>
            </w:r>
            <w:r>
              <w:rPr>
                <w:rFonts w:ascii="Times New Roman" w:hAnsi="Times New Roman" w:eastAsia="宋体" w:cs="Times New Roman"/>
                <w:color w:val="000000" w:themeColor="text1"/>
                <w:sz w:val="24"/>
                <w:highlight w:val="none"/>
                <w14:textFill>
                  <w14:solidFill>
                    <w14:schemeClr w14:val="tx1"/>
                  </w14:solidFill>
                </w14:textFill>
              </w:rPr>
              <w:t>×（1-30%）×60%=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0.4452</w:t>
            </w:r>
            <w:r>
              <w:rPr>
                <w:rFonts w:ascii="Times New Roman" w:hAnsi="Times New Roman" w:eastAsia="宋体"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p>
          <w:p w14:paraId="533450AB">
            <w:pPr>
              <w:spacing w:line="480" w:lineRule="exact"/>
              <w:ind w:firstLine="482"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处理风量：</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6条挤出生产线的投料口</w:t>
            </w:r>
            <w:r>
              <w:rPr>
                <w:rFonts w:hint="default" w:ascii="Times New Roman" w:hAnsi="Times New Roman" w:eastAsia="宋体" w:cs="Times New Roman"/>
                <w:color w:val="000000" w:themeColor="text1"/>
                <w:sz w:val="24"/>
                <w:highlight w:val="none"/>
                <w14:textFill>
                  <w14:solidFill>
                    <w14:schemeClr w14:val="tx1"/>
                  </w14:solidFill>
                </w14:textFill>
              </w:rPr>
              <w:t>上方分别设置集气罩收集，集气罩尺寸为长</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 w:val="24"/>
                <w:highlight w:val="none"/>
                <w14:textFill>
                  <w14:solidFill>
                    <w14:schemeClr w14:val="tx1"/>
                  </w14:solidFill>
                </w14:textFill>
              </w:rPr>
              <w:t>m×宽</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highlight w:val="none"/>
                <w14:textFill>
                  <w14:solidFill>
                    <w14:schemeClr w14:val="tx1"/>
                  </w14:solidFill>
                </w14:textFill>
              </w:rPr>
              <w:t>m。参考《三废处理工程技术手册（废气卷）》（化学工业出版社）排气量计算公式，集气罩排风量按以下公式进行计算：</w:t>
            </w:r>
          </w:p>
          <w:p w14:paraId="2B0D6680">
            <w:pPr>
              <w:spacing w:line="360" w:lineRule="auto"/>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Q=3600×0.75（10X</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4"/>
                <w:highlight w:val="none"/>
                <w14:textFill>
                  <w14:solidFill>
                    <w14:schemeClr w14:val="tx1"/>
                  </w14:solidFill>
                </w14:textFill>
              </w:rPr>
              <w:t>+F）×Vx</w:t>
            </w:r>
          </w:p>
          <w:p w14:paraId="58C371F7">
            <w:pPr>
              <w:spacing w:line="360" w:lineRule="auto"/>
              <w:ind w:firstLine="960" w:firstLineChars="4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式中：</w:t>
            </w:r>
          </w:p>
          <w:p w14:paraId="7FD45506">
            <w:pPr>
              <w:spacing w:line="360" w:lineRule="auto"/>
              <w:ind w:firstLine="960" w:firstLineChars="4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Q——单个集气罩风量，m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highlight w:val="none"/>
                <w14:textFill>
                  <w14:solidFill>
                    <w14:schemeClr w14:val="tx1"/>
                  </w14:solidFill>
                </w14:textFill>
              </w:rPr>
              <w:t>/h；</w:t>
            </w:r>
          </w:p>
          <w:p w14:paraId="5015AB56">
            <w:pPr>
              <w:spacing w:line="360" w:lineRule="auto"/>
              <w:ind w:firstLine="960" w:firstLineChars="4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X——集气罩至污染源的距离，m；</w:t>
            </w:r>
          </w:p>
          <w:p w14:paraId="46860ED5">
            <w:pPr>
              <w:spacing w:line="360" w:lineRule="auto"/>
              <w:ind w:firstLine="960" w:firstLineChars="4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F——实际集气罩的罩口面积，m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691757C6">
            <w:pPr>
              <w:keepNext w:val="0"/>
              <w:keepLines w:val="0"/>
              <w:pageBreakBefore w:val="0"/>
              <w:widowControl w:val="0"/>
              <w:kinsoku/>
              <w:wordWrap w:val="0"/>
              <w:overflowPunct/>
              <w:topLinePunct w:val="0"/>
              <w:autoSpaceDE/>
              <w:autoSpaceDN/>
              <w:bidi w:val="0"/>
              <w:adjustRightInd/>
              <w:snapToGrid/>
              <w:spacing w:line="360" w:lineRule="auto"/>
              <w:ind w:firstLine="960" w:firstLineChars="400"/>
              <w:jc w:val="left"/>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Vx——控制风速，m/s。</w:t>
            </w:r>
          </w:p>
          <w:p w14:paraId="6712AF7B">
            <w:pPr>
              <w:pStyle w:val="19"/>
              <w:keepNext w:val="0"/>
              <w:keepLines w:val="0"/>
              <w:pageBreakBefore w:val="0"/>
              <w:widowControl w:val="0"/>
              <w:kinsoku/>
              <w:wordWrap w:val="0"/>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集气罩距离污染源距离均为0.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14:textFill>
                  <w14:solidFill>
                    <w14:schemeClr w14:val="tx1"/>
                  </w14:solidFill>
                </w14:textFill>
              </w:rPr>
              <w:t>罩口面积=</w:t>
            </w:r>
            <w:r>
              <w:rPr>
                <w:rFonts w:hint="eastAsia" w:ascii="Times New Roman" w:hAnsi="Times New Roman" w:cs="Times New Roman"/>
                <w:color w:val="000000" w:themeColor="text1"/>
                <w:sz w:val="24"/>
                <w:highlight w:val="none"/>
                <w:lang w:val="en-US" w:eastAsia="zh-CN"/>
                <w14:textFill>
                  <w14:solidFill>
                    <w14:schemeClr w14:val="tx1"/>
                  </w14:solidFill>
                </w14:textFill>
              </w:rPr>
              <w:t>1.2</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hAnsi="Times New Roman" w:cs="Times New Roman"/>
                <w:color w:val="000000" w:themeColor="text1"/>
                <w:sz w:val="24"/>
                <w:highlight w:val="none"/>
                <w:lang w:val="en-US" w:eastAsia="zh-CN"/>
                <w14:textFill>
                  <w14:solidFill>
                    <w14:schemeClr w14:val="tx1"/>
                  </w14:solidFill>
                </w14:textFill>
              </w:rPr>
              <w:t>1.2</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hAnsi="Times New Roman" w:cs="Times New Roman"/>
                <w:color w:val="000000" w:themeColor="text1"/>
                <w:sz w:val="24"/>
                <w:highlight w:val="none"/>
                <w:lang w:val="en-US" w:eastAsia="zh-CN"/>
                <w14:textFill>
                  <w14:solidFill>
                    <w14:schemeClr w14:val="tx1"/>
                  </w14:solidFill>
                </w14:textFill>
              </w:rPr>
              <w:t>1.44</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控制风速取0.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highlight w:val="none"/>
                <w14:textFill>
                  <w14:solidFill>
                    <w14:schemeClr w14:val="tx1"/>
                  </w14:solidFill>
                </w14:textFill>
              </w:rPr>
              <w:t>m/s，则设计风量为</w:t>
            </w:r>
            <w:r>
              <w:rPr>
                <w:rFonts w:hint="default" w:ascii="Times New Roman" w:hAnsi="Times New Roman" w:cs="Times New Roman"/>
                <w:color w:val="000000" w:themeColor="text1"/>
                <w:sz w:val="24"/>
                <w:highlight w:val="none"/>
                <w14:textFill>
                  <w14:solidFill>
                    <w14:schemeClr w14:val="tx1"/>
                  </w14:solidFill>
                </w14:textFill>
              </w:rPr>
              <w:t>3600×0.75×（10×0.</w:t>
            </w:r>
            <w:r>
              <w:rPr>
                <w:rFonts w:hint="eastAsia"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m×0.</w:t>
            </w:r>
            <w:r>
              <w:rPr>
                <w:rFonts w:hint="eastAsia"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m+</w:t>
            </w:r>
            <w:r>
              <w:rPr>
                <w:rFonts w:hint="eastAsia" w:ascii="Times New Roman" w:hAnsi="Times New Roman" w:cs="Times New Roman"/>
                <w:color w:val="000000" w:themeColor="text1"/>
                <w:sz w:val="24"/>
                <w:highlight w:val="none"/>
                <w:lang w:val="en-US" w:eastAsia="zh-CN"/>
                <w14:textFill>
                  <w14:solidFill>
                    <w14:schemeClr w14:val="tx1"/>
                  </w14:solidFill>
                </w14:textFill>
              </w:rPr>
              <w:t>1.44</w:t>
            </w:r>
            <w:r>
              <w:rPr>
                <w:rFonts w:hint="default" w:ascii="Times New Roman" w:hAnsi="Times New Roman" w:eastAsia="宋体" w:cs="Times New Roman"/>
                <w:color w:val="000000" w:themeColor="text1"/>
                <w:sz w:val="24"/>
                <w:highlight w:val="none"/>
                <w14:textFill>
                  <w14:solidFill>
                    <w14:schemeClr w14:val="tx1"/>
                  </w14:solidFill>
                </w14:textFill>
              </w:rPr>
              <w:t>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）×0.</w:t>
            </w:r>
            <w:r>
              <w:rPr>
                <w:rFonts w:hint="eastAsia" w:ascii="Times New Roman" w:hAnsi="Times New Roman" w:cs="Times New Roman"/>
                <w:color w:val="000000" w:themeColor="text1"/>
                <w:sz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m/s×</w:t>
            </w:r>
            <w:r>
              <w:rPr>
                <w:rFonts w:hint="eastAsia"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hAnsi="Times New Roman" w:cs="Times New Roman"/>
                <w:color w:val="000000" w:themeColor="text1"/>
                <w:sz w:val="24"/>
                <w:highlight w:val="none"/>
                <w:lang w:val="en-US" w:eastAsia="zh-CN"/>
                <w14:textFill>
                  <w14:solidFill>
                    <w14:schemeClr w14:val="tx1"/>
                  </w14:solidFill>
                </w14:textFill>
              </w:rPr>
              <w:t>24624</w:t>
            </w:r>
            <w:r>
              <w:rPr>
                <w:rFonts w:hint="default" w:ascii="Times New Roman" w:hAnsi="Times New Roman" w:eastAsia="宋体" w:cs="Times New Roman"/>
                <w:color w:val="000000" w:themeColor="text1"/>
                <w:sz w:val="24"/>
                <w:highlight w:val="none"/>
                <w14:textFill>
                  <w14:solidFill>
                    <w14:schemeClr w14:val="tx1"/>
                  </w14:solidFill>
                </w14:textFill>
              </w:rPr>
              <w:t>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highlight w:val="none"/>
                <w14:textFill>
                  <w14:solidFill>
                    <w14:schemeClr w14:val="tx1"/>
                  </w14:solidFill>
                </w14:textFill>
              </w:rPr>
              <w:t>/h，取整为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25000</w:t>
            </w:r>
            <w:r>
              <w:rPr>
                <w:rFonts w:hint="default" w:ascii="Times New Roman" w:hAnsi="Times New Roman" w:eastAsia="宋体" w:cs="Times New Roman"/>
                <w:color w:val="000000" w:themeColor="text1"/>
                <w:sz w:val="24"/>
                <w:highlight w:val="none"/>
                <w14:textFill>
                  <w14:solidFill>
                    <w14:schemeClr w14:val="tx1"/>
                  </w14:solidFill>
                </w14:textFill>
              </w:rPr>
              <w:t>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highlight w:val="none"/>
                <w14:textFill>
                  <w14:solidFill>
                    <w14:schemeClr w14:val="tx1"/>
                  </w14:solidFill>
                </w14:textFill>
              </w:rPr>
              <w:t>/h。</w:t>
            </w:r>
          </w:p>
          <w:p w14:paraId="5281CB01">
            <w:pPr>
              <w:pStyle w:val="5"/>
              <w:spacing w:before="0" w:after="0" w:line="240" w:lineRule="auto"/>
              <w:jc w:val="center"/>
              <w:rPr>
                <w:rFonts w:hint="default" w:ascii="Times New Roman" w:hAnsi="Times New Roman" w:eastAsia="宋体" w:cs="Times New Roman"/>
                <w:b/>
                <w:color w:val="000000" w:themeColor="text1"/>
                <w:sz w:val="21"/>
                <w:highlight w:val="none"/>
                <w14:textFill>
                  <w14:solidFill>
                    <w14:schemeClr w14:val="tx1"/>
                  </w14:solidFill>
                </w14:textFill>
              </w:rPr>
            </w:pP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投料</w:t>
            </w:r>
            <w:r>
              <w:rPr>
                <w:rFonts w:hint="default" w:ascii="Times New Roman" w:hAnsi="Times New Roman" w:eastAsia="宋体" w:cs="Times New Roman"/>
                <w:b/>
                <w:color w:val="000000" w:themeColor="text1"/>
                <w:sz w:val="21"/>
                <w:highlight w:val="none"/>
                <w14:textFill>
                  <w14:solidFill>
                    <w14:schemeClr w14:val="tx1"/>
                  </w14:solidFill>
                </w14:textFill>
              </w:rPr>
              <w:t>工序废气产排情况一览表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3051"/>
              <w:gridCol w:w="3628"/>
            </w:tblGrid>
            <w:tr w14:paraId="3F284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836" w:type="pct"/>
                  <w:gridSpan w:val="2"/>
                </w:tcPr>
                <w:p w14:paraId="10185FE7">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排气筒</w:t>
                  </w:r>
                </w:p>
              </w:tc>
              <w:tc>
                <w:tcPr>
                  <w:tcW w:w="2163" w:type="pct"/>
                  <w:vAlign w:val="center"/>
                </w:tcPr>
                <w:p w14:paraId="65D412C8">
                  <w:pPr>
                    <w:widowControl/>
                    <w:jc w:val="center"/>
                    <w:textAlignment w:val="cente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G1</w:t>
                  </w:r>
                </w:p>
              </w:tc>
            </w:tr>
            <w:tr w14:paraId="7FBB7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tcPr>
                <w:p w14:paraId="5E8373FC">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污染物</w:t>
                  </w:r>
                </w:p>
              </w:tc>
              <w:tc>
                <w:tcPr>
                  <w:tcW w:w="2163" w:type="pct"/>
                  <w:vAlign w:val="center"/>
                </w:tcPr>
                <w:p w14:paraId="79EB805D">
                  <w:pPr>
                    <w:widowControl/>
                    <w:jc w:val="center"/>
                    <w:textAlignment w:val="center"/>
                    <w:rPr>
                      <w:rFonts w:hint="eastAsia"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颗粒物</w:t>
                  </w:r>
                </w:p>
              </w:tc>
            </w:tr>
            <w:tr w14:paraId="5FC61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tcPr>
                <w:p w14:paraId="159573C9">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产生量t/a</w:t>
                  </w:r>
                </w:p>
              </w:tc>
              <w:tc>
                <w:tcPr>
                  <w:tcW w:w="3628" w:type="dxa"/>
                  <w:vAlign w:val="center"/>
                </w:tcPr>
                <w:p w14:paraId="3307B544">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1.0600 </w:t>
                  </w:r>
                </w:p>
              </w:tc>
            </w:tr>
            <w:tr w14:paraId="74C8B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restart"/>
                </w:tcPr>
                <w:p w14:paraId="091BBA66">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p w14:paraId="17947246">
                  <w:pPr>
                    <w:tabs>
                      <w:tab w:val="left" w:pos="6195"/>
                    </w:tabs>
                    <w:spacing w:line="480" w:lineRule="exact"/>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p w14:paraId="2705E8BF">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有组织</w:t>
                  </w:r>
                </w:p>
              </w:tc>
              <w:tc>
                <w:tcPr>
                  <w:tcW w:w="1819" w:type="pct"/>
                  <w:vAlign w:val="center"/>
                </w:tcPr>
                <w:p w14:paraId="13A9EDEF">
                  <w:pPr>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收集量t/a</w:t>
                  </w:r>
                </w:p>
              </w:tc>
              <w:tc>
                <w:tcPr>
                  <w:tcW w:w="3628" w:type="dxa"/>
                  <w:vAlign w:val="center"/>
                </w:tcPr>
                <w:p w14:paraId="634F8E68">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0.3180 </w:t>
                  </w:r>
                </w:p>
              </w:tc>
            </w:tr>
            <w:tr w14:paraId="1973C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continue"/>
                </w:tcPr>
                <w:p w14:paraId="4263F77F">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43CA61E2">
                  <w:pPr>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处理前速率kg/h</w:t>
                  </w:r>
                </w:p>
              </w:tc>
              <w:tc>
                <w:tcPr>
                  <w:tcW w:w="3628" w:type="dxa"/>
                  <w:vAlign w:val="center"/>
                </w:tcPr>
                <w:p w14:paraId="54D091DF">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0.3180 </w:t>
                  </w:r>
                </w:p>
              </w:tc>
            </w:tr>
            <w:tr w14:paraId="21F3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continue"/>
                </w:tcPr>
                <w:p w14:paraId="59388A7B">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19EC3221">
                  <w:pPr>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处理前浓度mg/m</w:t>
                  </w:r>
                  <w:r>
                    <w:rPr>
                      <w:rFonts w:hint="default" w:ascii="Times New Roman" w:hAnsi="Times New Roman" w:cs="Times New Roman"/>
                      <w:b/>
                      <w:bCs/>
                      <w:color w:val="000000" w:themeColor="text1"/>
                      <w:sz w:val="21"/>
                      <w:szCs w:val="21"/>
                      <w:highlight w:val="none"/>
                      <w:vertAlign w:val="superscript"/>
                      <w14:textFill>
                        <w14:solidFill>
                          <w14:schemeClr w14:val="tx1"/>
                        </w14:solidFill>
                      </w14:textFill>
                    </w:rPr>
                    <w:t>3</w:t>
                  </w:r>
                </w:p>
              </w:tc>
              <w:tc>
                <w:tcPr>
                  <w:tcW w:w="3628" w:type="dxa"/>
                  <w:vAlign w:val="center"/>
                </w:tcPr>
                <w:p w14:paraId="08DFCBE8">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12.7200 </w:t>
                  </w:r>
                </w:p>
              </w:tc>
            </w:tr>
            <w:tr w14:paraId="3FA0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continue"/>
                </w:tcPr>
                <w:p w14:paraId="0E7E1640">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18537E28">
                  <w:pPr>
                    <w:widowControl/>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排放量t/a</w:t>
                  </w:r>
                </w:p>
              </w:tc>
              <w:tc>
                <w:tcPr>
                  <w:tcW w:w="3628" w:type="dxa"/>
                  <w:vAlign w:val="center"/>
                </w:tcPr>
                <w:p w14:paraId="25F31984">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0.0159 </w:t>
                  </w:r>
                </w:p>
              </w:tc>
            </w:tr>
            <w:tr w14:paraId="331C7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continue"/>
                </w:tcPr>
                <w:p w14:paraId="3DBA6F9A">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45E2319D">
                  <w:pPr>
                    <w:widowControl/>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排放速率kg/h</w:t>
                  </w:r>
                </w:p>
              </w:tc>
              <w:tc>
                <w:tcPr>
                  <w:tcW w:w="3628" w:type="dxa"/>
                  <w:vAlign w:val="center"/>
                </w:tcPr>
                <w:p w14:paraId="27E2E05F">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0.0159 </w:t>
                  </w:r>
                </w:p>
              </w:tc>
            </w:tr>
            <w:tr w14:paraId="7E9E6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continue"/>
                </w:tcPr>
                <w:p w14:paraId="49762F5C">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47C531FD">
                  <w:pPr>
                    <w:widowControl/>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排放浓度mg/m</w:t>
                  </w:r>
                  <w:r>
                    <w:rPr>
                      <w:rFonts w:hint="default" w:ascii="Times New Roman" w:hAnsi="Times New Roman" w:eastAsia="宋体" w:cs="Times New Roman"/>
                      <w:b/>
                      <w:bCs/>
                      <w:color w:val="000000" w:themeColor="text1"/>
                      <w:kern w:val="0"/>
                      <w:sz w:val="21"/>
                      <w:szCs w:val="21"/>
                      <w:highlight w:val="none"/>
                      <w:vertAlign w:val="superscript"/>
                      <w14:textFill>
                        <w14:solidFill>
                          <w14:schemeClr w14:val="tx1"/>
                        </w14:solidFill>
                      </w14:textFill>
                    </w:rPr>
                    <w:t>3</w:t>
                  </w:r>
                </w:p>
              </w:tc>
              <w:tc>
                <w:tcPr>
                  <w:tcW w:w="3628" w:type="dxa"/>
                  <w:vAlign w:val="center"/>
                </w:tcPr>
                <w:p w14:paraId="6DF9063E">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0.6360 </w:t>
                  </w:r>
                </w:p>
              </w:tc>
            </w:tr>
            <w:tr w14:paraId="1773A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 w:type="pct"/>
                  <w:vMerge w:val="restart"/>
                </w:tcPr>
                <w:p w14:paraId="78F408BC">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无组织</w:t>
                  </w:r>
                </w:p>
              </w:tc>
              <w:tc>
                <w:tcPr>
                  <w:tcW w:w="1819" w:type="pct"/>
                  <w:vAlign w:val="center"/>
                </w:tcPr>
                <w:p w14:paraId="4EBAE787">
                  <w:pPr>
                    <w:widowControl/>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排放量t/a</w:t>
                  </w:r>
                </w:p>
              </w:tc>
              <w:tc>
                <w:tcPr>
                  <w:tcW w:w="3628" w:type="dxa"/>
                  <w:vAlign w:val="center"/>
                </w:tcPr>
                <w:p w14:paraId="3A3778DB">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0.3127 </w:t>
                  </w:r>
                </w:p>
              </w:tc>
            </w:tr>
            <w:tr w14:paraId="44DBA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17" w:type="pct"/>
                  <w:vMerge w:val="continue"/>
                </w:tcPr>
                <w:p w14:paraId="312A7D90">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1AB35D40">
                  <w:pPr>
                    <w:widowControl/>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排放速率kg/h</w:t>
                  </w:r>
                </w:p>
              </w:tc>
              <w:tc>
                <w:tcPr>
                  <w:tcW w:w="3628" w:type="dxa"/>
                  <w:vAlign w:val="center"/>
                </w:tcPr>
                <w:p w14:paraId="61A716F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0.3127 </w:t>
                  </w:r>
                </w:p>
              </w:tc>
            </w:tr>
            <w:tr w14:paraId="601DB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17" w:type="pct"/>
                  <w:vMerge w:val="continue"/>
                </w:tcPr>
                <w:p w14:paraId="46735612">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819" w:type="pct"/>
                  <w:vAlign w:val="center"/>
                </w:tcPr>
                <w:p w14:paraId="015FA0B1">
                  <w:pPr>
                    <w:widowControl/>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沉降量t/a</w:t>
                  </w:r>
                </w:p>
              </w:tc>
              <w:tc>
                <w:tcPr>
                  <w:tcW w:w="3628" w:type="dxa"/>
                  <w:vAlign w:val="center"/>
                </w:tcPr>
                <w:p w14:paraId="7D81866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0.4452</w:t>
                  </w:r>
                </w:p>
              </w:tc>
            </w:tr>
            <w:tr w14:paraId="734C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vAlign w:val="center"/>
                </w:tcPr>
                <w:p w14:paraId="7E348E0B">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总抽风量m</w:t>
                  </w:r>
                  <w:r>
                    <w:rPr>
                      <w:rFonts w:hint="default" w:ascii="Times New Roman" w:hAnsi="Times New Roman" w:eastAsia="宋体" w:cs="Times New Roman"/>
                      <w:b/>
                      <w:bCs/>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/h</w:t>
                  </w:r>
                </w:p>
              </w:tc>
              <w:tc>
                <w:tcPr>
                  <w:tcW w:w="2163" w:type="pct"/>
                  <w:vAlign w:val="center"/>
                </w:tcPr>
                <w:p w14:paraId="5EEBB23C">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25000</w:t>
                  </w:r>
                </w:p>
              </w:tc>
            </w:tr>
            <w:tr w14:paraId="1B6B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vAlign w:val="center"/>
                </w:tcPr>
                <w:p w14:paraId="6E71A4A1">
                  <w:pPr>
                    <w:tabs>
                      <w:tab w:val="left" w:pos="6195"/>
                    </w:tabs>
                    <w:spacing w:line="480" w:lineRule="exact"/>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工作时间/h</w:t>
                  </w:r>
                </w:p>
              </w:tc>
              <w:tc>
                <w:tcPr>
                  <w:tcW w:w="2163" w:type="pct"/>
                  <w:vAlign w:val="center"/>
                </w:tcPr>
                <w:p w14:paraId="6FE65975">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1000</w:t>
                  </w:r>
                </w:p>
              </w:tc>
            </w:tr>
          </w:tbl>
          <w:p w14:paraId="791CF2E3">
            <w:pPr>
              <w:spacing w:line="480" w:lineRule="exact"/>
              <w:ind w:firstLine="480" w:firstLineChars="200"/>
              <w:jc w:val="both"/>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颗粒物的有组织排放达到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表4 大气污染物排放限值，颗粒物的无组织排放达到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表9企业边界大气污染物浓度限值，对周围环境无明显影响。</w:t>
            </w:r>
          </w:p>
          <w:p w14:paraId="75BAB15F">
            <w:pPr>
              <w:spacing w:line="480" w:lineRule="exact"/>
              <w:ind w:firstLine="482" w:firstLine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2</w:t>
            </w:r>
            <w:r>
              <w:rPr>
                <w:rFonts w:hint="eastAsia" w:ascii="Times New Roman" w:hAnsi="Times New Roman" w:eastAsia="宋体" w:cs="Times New Roman"/>
                <w:b/>
                <w:bCs/>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挤出工序</w:t>
            </w:r>
          </w:p>
          <w:p w14:paraId="66A51F5D">
            <w:pPr>
              <w:spacing w:line="480" w:lineRule="exact"/>
              <w:ind w:firstLine="480"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项目在</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w:t>
            </w:r>
            <w:r>
              <w:rPr>
                <w:rFonts w:ascii="Times New Roman" w:hAnsi="Times New Roman" w:eastAsia="宋体" w:cs="Times New Roman"/>
                <w:color w:val="000000" w:themeColor="text1"/>
                <w:sz w:val="24"/>
                <w:highlight w:val="none"/>
                <w14:textFill>
                  <w14:solidFill>
                    <w14:schemeClr w14:val="tx1"/>
                  </w14:solidFill>
                </w14:textFill>
              </w:rPr>
              <w:t>过程中产生有机废气，年工作时间为2400h，有机废气主要污染物成分为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甲苯、乙苯</w:t>
            </w:r>
            <w:r>
              <w:rPr>
                <w:rFonts w:ascii="Times New Roman" w:hAnsi="Times New Roman" w:eastAsia="宋体" w:cs="Times New Roman"/>
                <w:color w:val="000000" w:themeColor="text1"/>
                <w:sz w:val="24"/>
                <w:highlight w:val="none"/>
                <w14:textFill>
                  <w14:solidFill>
                    <w14:schemeClr w14:val="tx1"/>
                  </w14:solidFill>
                </w14:textFill>
              </w:rPr>
              <w:t>、非甲烷总烃、臭气浓度，其中因项目</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w:t>
            </w:r>
            <w:r>
              <w:rPr>
                <w:rFonts w:ascii="Times New Roman" w:hAnsi="Times New Roman" w:eastAsia="宋体" w:cs="Times New Roman"/>
                <w:color w:val="000000" w:themeColor="text1"/>
                <w:sz w:val="24"/>
                <w:highlight w:val="none"/>
                <w14:textFill>
                  <w14:solidFill>
                    <w14:schemeClr w14:val="tx1"/>
                  </w14:solidFill>
                </w14:textFill>
              </w:rPr>
              <w:t>温度为1</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6</w:t>
            </w:r>
            <w:r>
              <w:rPr>
                <w:rFonts w:ascii="Times New Roman" w:hAnsi="Times New Roman" w:eastAsia="宋体" w:cs="Times New Roman"/>
                <w:color w:val="000000" w:themeColor="text1"/>
                <w:sz w:val="24"/>
                <w:highlight w:val="none"/>
                <w14:textFill>
                  <w14:solidFill>
                    <w14:schemeClr w14:val="tx1"/>
                  </w14:solidFill>
                </w14:textFill>
              </w:rPr>
              <w:t>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-180℃</w:t>
            </w:r>
            <w:r>
              <w:rPr>
                <w:rFonts w:ascii="Times New Roman" w:hAnsi="Times New Roman" w:eastAsia="宋体" w:cs="Times New Roman"/>
                <w:color w:val="000000" w:themeColor="text1"/>
                <w:sz w:val="24"/>
                <w:highlight w:val="none"/>
                <w14:textFill>
                  <w14:solidFill>
                    <w14:schemeClr w14:val="tx1"/>
                  </w14:solidFill>
                </w14:textFill>
              </w:rPr>
              <w:t>，未达到</w:t>
            </w:r>
            <w:r>
              <w:rPr>
                <w:rFonts w:hint="eastAsia" w:ascii="Times New Roman" w:hAnsi="Times New Roman" w:eastAsia="宋体" w:cs="Times New Roman"/>
                <w:color w:val="000000" w:themeColor="text1"/>
                <w:sz w:val="24"/>
                <w:highlight w:val="none"/>
                <w14:textFill>
                  <w14:solidFill>
                    <w14:schemeClr w14:val="tx1"/>
                  </w14:solidFill>
                </w14:textFill>
              </w:rPr>
              <w:t>苯乙烯-丁二烯-苯乙烯共聚合物</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SBS</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）、聚苯乙烯（</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PS）的</w:t>
            </w:r>
            <w:r>
              <w:rPr>
                <w:rFonts w:ascii="Times New Roman" w:hAnsi="Times New Roman" w:eastAsia="宋体" w:cs="Times New Roman"/>
                <w:color w:val="000000" w:themeColor="text1"/>
                <w:sz w:val="24"/>
                <w:highlight w:val="none"/>
                <w14:textFill>
                  <w14:solidFill>
                    <w14:schemeClr w14:val="tx1"/>
                  </w14:solidFill>
                </w14:textFill>
              </w:rPr>
              <w:t>分解温度，故</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甲苯、乙苯</w:t>
            </w:r>
            <w:r>
              <w:rPr>
                <w:rFonts w:ascii="Times New Roman" w:hAnsi="Times New Roman" w:eastAsia="宋体" w:cs="Times New Roman"/>
                <w:color w:val="000000" w:themeColor="text1"/>
                <w:sz w:val="24"/>
                <w:highlight w:val="none"/>
                <w14:textFill>
                  <w14:solidFill>
                    <w14:schemeClr w14:val="tx1"/>
                  </w14:solidFill>
                </w14:textFill>
              </w:rPr>
              <w:t>、臭气浓度产生量较少，针对</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甲苯、乙苯</w:t>
            </w:r>
            <w:r>
              <w:rPr>
                <w:rFonts w:ascii="Times New Roman" w:hAnsi="Times New Roman" w:eastAsia="宋体" w:cs="Times New Roman"/>
                <w:color w:val="000000" w:themeColor="text1"/>
                <w:sz w:val="24"/>
                <w:highlight w:val="none"/>
                <w14:textFill>
                  <w14:solidFill>
                    <w14:schemeClr w14:val="tx1"/>
                  </w14:solidFill>
                </w14:textFill>
              </w:rPr>
              <w:t>、臭气浓度仅作定性分析。项目以非甲烷总烃为主，主要对非甲烷总烃进行强源分析。</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参考《排放源统计调查产排污核算方法和系数手册 292塑料制品行业系数手册》2929塑料零件及其他塑料制品制造行业系数表—改性粒料—树脂、助剂-造粒—所有规模—废气—挥发性有机物—4.6</w:t>
            </w:r>
            <w:r>
              <w:rPr>
                <w:rFonts w:ascii="Times New Roman" w:hAnsi="Times New Roman" w:eastAsia="宋体" w:cs="Times New Roman"/>
                <w:color w:val="000000" w:themeColor="text1"/>
                <w:sz w:val="24"/>
                <w:highlight w:val="none"/>
                <w14:textFill>
                  <w14:solidFill>
                    <w14:schemeClr w14:val="tx1"/>
                  </w14:solidFill>
                </w14:textFill>
              </w:rPr>
              <w:t>kg/t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产品，项目最终产品量为1000t/a</w:t>
            </w:r>
            <w:r>
              <w:rPr>
                <w:rFonts w:ascii="Times New Roman" w:hAnsi="Times New Roman" w:eastAsia="宋体" w:cs="Times New Roman"/>
                <w:color w:val="000000" w:themeColor="text1"/>
                <w:sz w:val="24"/>
                <w:highlight w:val="none"/>
                <w14:textFill>
                  <w14:solidFill>
                    <w14:schemeClr w14:val="tx1"/>
                  </w14:solidFill>
                </w14:textFill>
              </w:rPr>
              <w:t>，故产生的非甲烷总烃、TVOC量为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4.6</w:t>
            </w:r>
            <w:r>
              <w:rPr>
                <w:rFonts w:ascii="Times New Roman" w:hAnsi="Times New Roman" w:eastAsia="宋体"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p>
          <w:p w14:paraId="23813DBD">
            <w:pPr>
              <w:spacing w:line="480" w:lineRule="exact"/>
              <w:ind w:firstLine="480" w:firstLineChars="200"/>
              <w:rPr>
                <w:rFonts w:hint="eastAsia" w:ascii="Times New Roman" w:hAnsi="Times New Roman" w:eastAsia="宋体" w:cs="Times New Roman"/>
                <w:b/>
                <w:bCs/>
                <w:color w:val="000000" w:themeColor="text1"/>
                <w:sz w:val="24"/>
                <w:highlight w:val="none"/>
                <w:lang w:eastAsia="zh-CN"/>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建设单位拟对</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w:t>
            </w:r>
            <w:r>
              <w:rPr>
                <w:rFonts w:ascii="Times New Roman" w:hAnsi="Times New Roman" w:eastAsia="宋体" w:cs="Times New Roman"/>
                <w:color w:val="000000" w:themeColor="text1"/>
                <w:sz w:val="24"/>
                <w:highlight w:val="none"/>
                <w14:textFill>
                  <w14:solidFill>
                    <w14:schemeClr w14:val="tx1"/>
                  </w14:solidFill>
                </w14:textFill>
              </w:rPr>
              <w:t>工序废气</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经管道收集后</w:t>
            </w:r>
            <w:r>
              <w:rPr>
                <w:rFonts w:ascii="Times New Roman" w:hAnsi="Times New Roman" w:eastAsia="宋体" w:cs="Times New Roman"/>
                <w:color w:val="000000" w:themeColor="text1"/>
                <w:sz w:val="24"/>
                <w:highlight w:val="none"/>
                <w14:textFill>
                  <w14:solidFill>
                    <w14:schemeClr w14:val="tx1"/>
                  </w14:solidFill>
                </w14:textFill>
              </w:rPr>
              <w:t>经二级活性炭吸附装置处理后经离地</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15</w:t>
            </w:r>
            <w:r>
              <w:rPr>
                <w:rFonts w:ascii="Times New Roman" w:hAnsi="Times New Roman" w:eastAsia="宋体" w:cs="Times New Roman"/>
                <w:color w:val="000000" w:themeColor="text1"/>
                <w:sz w:val="24"/>
                <w:highlight w:val="none"/>
                <w14:textFill>
                  <w14:solidFill>
                    <w14:schemeClr w14:val="tx1"/>
                  </w14:solidFill>
                </w14:textFill>
              </w:rPr>
              <w:t>m高排气筒（G</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ascii="Times New Roman" w:hAnsi="Times New Roman" w:eastAsia="宋体" w:cs="Times New Roman"/>
                <w:color w:val="000000" w:themeColor="text1"/>
                <w:sz w:val="24"/>
                <w:highlight w:val="none"/>
                <w14:textFill>
                  <w14:solidFill>
                    <w14:schemeClr w14:val="tx1"/>
                  </w14:solidFill>
                </w14:textFill>
              </w:rPr>
              <w:t>）高空排放。废气收集效率取</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95</w:t>
            </w:r>
            <w:r>
              <w:rPr>
                <w:rFonts w:ascii="Times New Roman" w:hAnsi="Times New Roman" w:eastAsia="宋体" w:cs="Times New Roman"/>
                <w:color w:val="000000" w:themeColor="text1"/>
                <w:sz w:val="24"/>
                <w:highlight w:val="none"/>
                <w14:textFill>
                  <w14:solidFill>
                    <w14:schemeClr w14:val="tx1"/>
                  </w14:solidFill>
                </w14:textFill>
              </w:rPr>
              <w:t>%，有机废气的处理效率取</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8</w:t>
            </w:r>
            <w:r>
              <w:rPr>
                <w:rFonts w:ascii="Times New Roman" w:hAnsi="Times New Roman" w:eastAsia="宋体" w:cs="Times New Roman"/>
                <w:color w:val="000000" w:themeColor="text1"/>
                <w:sz w:val="24"/>
                <w:highlight w:val="none"/>
                <w14:textFill>
                  <w14:solidFill>
                    <w14:schemeClr w14:val="tx1"/>
                  </w14:solidFill>
                </w14:textFill>
              </w:rPr>
              <w:t>0%，风机设计风量约为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10</w:t>
            </w:r>
            <w:r>
              <w:rPr>
                <w:rFonts w:ascii="Times New Roman" w:hAnsi="Times New Roman" w:eastAsia="宋体" w:cs="Times New Roman"/>
                <w:color w:val="000000" w:themeColor="text1"/>
                <w:sz w:val="24"/>
                <w:highlight w:val="none"/>
                <w14:textFill>
                  <w14:solidFill>
                    <w14:schemeClr w14:val="tx1"/>
                  </w14:solidFill>
                </w14:textFill>
              </w:rPr>
              <w:t>000m</w:t>
            </w:r>
            <w:r>
              <w:rPr>
                <w:rFonts w:ascii="Times New Roman" w:hAnsi="Times New Roman" w:eastAsia="宋体" w:cs="Times New Roman"/>
                <w:color w:val="000000" w:themeColor="text1"/>
                <w:sz w:val="24"/>
                <w:highlight w:val="none"/>
                <w:vertAlign w:val="superscript"/>
                <w14:textFill>
                  <w14:solidFill>
                    <w14:schemeClr w14:val="tx1"/>
                  </w14:solidFill>
                </w14:textFill>
              </w:rPr>
              <w:t>3</w:t>
            </w:r>
            <w:r>
              <w:rPr>
                <w:rFonts w:ascii="Times New Roman" w:hAnsi="Times New Roman" w:eastAsia="宋体" w:cs="Times New Roman"/>
                <w:color w:val="000000" w:themeColor="text1"/>
                <w:sz w:val="24"/>
                <w:highlight w:val="none"/>
                <w14:textFill>
                  <w14:solidFill>
                    <w14:schemeClr w14:val="tx1"/>
                  </w14:solidFill>
                </w14:textFill>
              </w:rPr>
              <w:t>/h</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p>
          <w:p w14:paraId="2F7C331B">
            <w:pPr>
              <w:pStyle w:val="4"/>
              <w:keepNext/>
              <w:keepLines/>
              <w:pageBreakBefore w:val="0"/>
              <w:widowControl w:val="0"/>
              <w:numPr>
                <w:ilvl w:val="0"/>
                <w:numId w:val="0"/>
              </w:numPr>
              <w:kinsoku/>
              <w:wordWrap w:val="0"/>
              <w:overflowPunct/>
              <w:topLinePunct w:val="0"/>
              <w:autoSpaceDE/>
              <w:autoSpaceDN/>
              <w:bidi w:val="0"/>
              <w:adjustRightInd w:val="0"/>
              <w:snapToGrid/>
              <w:spacing w:line="360" w:lineRule="auto"/>
              <w:ind w:leftChars="0" w:firstLine="482" w:firstLineChars="200"/>
              <w:jc w:val="left"/>
              <w:textAlignment w:val="auto"/>
              <w:rPr>
                <w:rFonts w:hint="eastAsia" w:cs="Times New Roman"/>
                <w:b w:val="0"/>
                <w:bCs w:val="0"/>
                <w:color w:val="000000" w:themeColor="text1"/>
                <w:sz w:val="24"/>
                <w:szCs w:val="24"/>
                <w:highlight w:val="none"/>
                <w:lang w:val="en-US" w:eastAsia="zh-CN"/>
                <w14:textFill>
                  <w14:solidFill>
                    <w14:schemeClr w14:val="tx1"/>
                  </w14:solidFill>
                </w14:textFill>
              </w:rPr>
            </w:pPr>
            <w:bookmarkStart w:id="30" w:name="_Toc9452"/>
            <w:bookmarkStart w:id="31" w:name="_Toc8190"/>
            <w:bookmarkStart w:id="32" w:name="_Toc5978"/>
            <w:bookmarkStart w:id="33" w:name="_Toc3046"/>
            <w:bookmarkStart w:id="34" w:name="_Toc17539"/>
            <w:bookmarkStart w:id="35" w:name="_Toc2776"/>
            <w:bookmarkStart w:id="36" w:name="_Toc782"/>
            <w:r>
              <w:rPr>
                <w:rFonts w:hint="eastAsia" w:cs="Times New Roman"/>
                <w:b/>
                <w:bCs/>
                <w:color w:val="000000" w:themeColor="text1"/>
                <w:sz w:val="24"/>
                <w:szCs w:val="24"/>
                <w:highlight w:val="none"/>
                <w:lang w:val="en-US" w:eastAsia="zh-CN"/>
                <w14:textFill>
                  <w14:solidFill>
                    <w14:schemeClr w14:val="tx1"/>
                  </w14:solidFill>
                </w14:textFill>
              </w:rPr>
              <w:t>收集效率核算：</w:t>
            </w:r>
            <w:bookmarkEnd w:id="30"/>
            <w:bookmarkEnd w:id="31"/>
            <w:bookmarkEnd w:id="32"/>
            <w:bookmarkEnd w:id="33"/>
            <w:bookmarkEnd w:id="34"/>
            <w:bookmarkEnd w:id="35"/>
            <w:bookmarkEnd w:id="36"/>
          </w:p>
          <w:p w14:paraId="401F614E">
            <w:pPr>
              <w:spacing w:line="480" w:lineRule="exact"/>
              <w:ind w:firstLine="480" w:firstLine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ascii="Times New Roman" w:hAnsi="Times New Roman" w:eastAsia="宋体" w:cs="Times New Roman"/>
                <w:b w:val="0"/>
                <w:bCs w:val="0"/>
                <w:color w:val="000000" w:themeColor="text1"/>
                <w:sz w:val="24"/>
                <w:highlight w:val="none"/>
                <w14:textFill>
                  <w14:solidFill>
                    <w14:schemeClr w14:val="tx1"/>
                  </w14:solidFill>
                </w14:textFill>
              </w:rPr>
              <w:t>根据《广东省生态环境厅关于印发工业源挥发性有机物和氮氧化物减排量核算方法的通知》表3.3-2废气收集集气效率参考值-</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全密封设备/空间-设备废气排口直连-设备有固定排放管(或口)直接与风管连接，设备整体密闭只留产品进出口，且进出口处有废气收集措施，收集系统运行时周边基本无 VOCs 散发-95%，项目挤出生产线为全自动设备，物料通过管道输送，设备密闭，仅留产品进出口，</w:t>
            </w:r>
            <w:r>
              <w:rPr>
                <w:rFonts w:hint="default" w:ascii="Times New Roman" w:hAnsi="Times New Roman" w:cs="Times New Roman"/>
                <w:b w:val="0"/>
                <w:bCs w:val="0"/>
                <w:color w:val="000000" w:themeColor="text1"/>
                <w:sz w:val="24"/>
                <w:szCs w:val="24"/>
                <w:highlight w:val="none"/>
                <w14:textFill>
                  <w14:solidFill>
                    <w14:schemeClr w14:val="tx1"/>
                  </w14:solidFill>
                </w14:textFill>
              </w:rPr>
              <w:t>密闭段设有抽风装置，设备上方设有排气口，项目用收集管与设备上方的排气口进行连接</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故收集效率可取95%。</w:t>
            </w:r>
          </w:p>
          <w:p w14:paraId="5CA846BA">
            <w:pPr>
              <w:pStyle w:val="4"/>
              <w:keepNext/>
              <w:keepLines/>
              <w:pageBreakBefore w:val="0"/>
              <w:widowControl w:val="0"/>
              <w:numPr>
                <w:ilvl w:val="0"/>
                <w:numId w:val="0"/>
              </w:numPr>
              <w:kinsoku/>
              <w:wordWrap w:val="0"/>
              <w:overflowPunct/>
              <w:topLinePunct w:val="0"/>
              <w:autoSpaceDE/>
              <w:autoSpaceDN/>
              <w:bidi w:val="0"/>
              <w:adjustRightInd w:val="0"/>
              <w:snapToGrid/>
              <w:spacing w:line="360" w:lineRule="auto"/>
              <w:ind w:leftChars="0" w:firstLine="482" w:firstLineChars="200"/>
              <w:jc w:val="left"/>
              <w:textAlignment w:val="auto"/>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bookmarkStart w:id="37" w:name="_Toc7586"/>
            <w:bookmarkStart w:id="38" w:name="_Toc9429"/>
            <w:bookmarkStart w:id="39" w:name="_Toc18117"/>
            <w:bookmarkStart w:id="40" w:name="_Toc28640"/>
            <w:bookmarkStart w:id="41" w:name="_Toc25964"/>
            <w:bookmarkStart w:id="42" w:name="_Toc15489"/>
            <w:bookmarkStart w:id="43" w:name="_Toc24940"/>
            <w:r>
              <w:rPr>
                <w:rFonts w:hint="eastAsia" w:cs="Times New Roman"/>
                <w:b/>
                <w:bCs/>
                <w:color w:val="000000" w:themeColor="text1"/>
                <w:sz w:val="24"/>
                <w:szCs w:val="24"/>
                <w:highlight w:val="none"/>
                <w:lang w:val="en-US" w:eastAsia="zh-CN"/>
                <w14:textFill>
                  <w14:solidFill>
                    <w14:schemeClr w14:val="tx1"/>
                  </w14:solidFill>
                </w14:textFill>
              </w:rPr>
              <w:t>风量核算：</w:t>
            </w:r>
            <w:bookmarkEnd w:id="37"/>
            <w:bookmarkEnd w:id="38"/>
            <w:bookmarkEnd w:id="39"/>
            <w:bookmarkEnd w:id="40"/>
            <w:bookmarkEnd w:id="41"/>
            <w:bookmarkEnd w:id="42"/>
            <w:bookmarkEnd w:id="43"/>
          </w:p>
          <w:p w14:paraId="2DC1BC11">
            <w:pPr>
              <w:spacing w:line="480" w:lineRule="exact"/>
              <w:ind w:firstLine="480" w:firstLineChars="200"/>
              <w:rPr>
                <w:rFonts w:hint="default" w:ascii="Times New Roman" w:hAnsi="Times New Roman" w:cs="Times New Roman" w:eastAsiaTheme="minorEastAsia"/>
                <w:b/>
                <w:bCs/>
                <w:color w:val="000000" w:themeColor="text1"/>
                <w:sz w:val="24"/>
                <w:szCs w:val="24"/>
                <w:highlight w:val="none"/>
                <w:lang w:val="en-US" w:eastAsia="zh-CN"/>
                <w14:textFill>
                  <w14:solidFill>
                    <w14:schemeClr w14:val="tx1"/>
                  </w14:solidFill>
                </w14:textFill>
              </w:rPr>
            </w:pPr>
            <w:bookmarkStart w:id="44" w:name="_Toc22257"/>
            <w:bookmarkStart w:id="45" w:name="_Toc14151"/>
            <w:bookmarkStart w:id="46" w:name="_Toc32134"/>
            <w:bookmarkStart w:id="47" w:name="_Toc8582"/>
            <w:bookmarkStart w:id="48" w:name="_Toc5716"/>
            <w:r>
              <w:rPr>
                <w:rFonts w:hint="eastAsia" w:cs="Times New Roman"/>
                <w:b w:val="0"/>
                <w:bCs w:val="0"/>
                <w:color w:val="000000" w:themeColor="text1"/>
                <w:sz w:val="24"/>
                <w:szCs w:val="24"/>
                <w:highlight w:val="none"/>
                <w:lang w:val="en-US" w:eastAsia="zh-CN"/>
                <w14:textFill>
                  <w14:solidFill>
                    <w14:schemeClr w14:val="tx1"/>
                  </w14:solidFill>
                </w14:textFill>
              </w:rPr>
              <w:t>本项目</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挤出生产线</w:t>
            </w:r>
            <w:r>
              <w:rPr>
                <w:rFonts w:hint="default" w:ascii="Times New Roman" w:hAnsi="Times New Roman" w:cs="Times New Roman"/>
                <w:b w:val="0"/>
                <w:bCs w:val="0"/>
                <w:color w:val="000000" w:themeColor="text1"/>
                <w:sz w:val="24"/>
                <w:szCs w:val="24"/>
                <w:highlight w:val="none"/>
                <w14:textFill>
                  <w14:solidFill>
                    <w14:schemeClr w14:val="tx1"/>
                  </w14:solidFill>
                </w14:textFill>
              </w:rPr>
              <w:t>为密封装置，</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挤出</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工序处</w:t>
            </w:r>
            <w:r>
              <w:rPr>
                <w:rFonts w:hint="default" w:ascii="Times New Roman" w:hAnsi="Times New Roman" w:cs="Times New Roman"/>
                <w:b w:val="0"/>
                <w:bCs w:val="0"/>
                <w:color w:val="000000" w:themeColor="text1"/>
                <w:sz w:val="24"/>
                <w:szCs w:val="24"/>
                <w:highlight w:val="none"/>
                <w14:textFill>
                  <w14:solidFill>
                    <w14:schemeClr w14:val="tx1"/>
                  </w14:solidFill>
                </w14:textFill>
              </w:rPr>
              <w:t>上方设有排气口，项目用收集管与设备上方的排气口进行连接，</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排气口的直径约为0.</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38</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m，排气口横截面风速约为4m/s（根据《环境工程设计手册》中工业厂房机械通风-支管-钢板及塑料风管中取值为2~8，本项目取值为4m/s），根据</w:t>
            </w:r>
            <w:r>
              <w:rPr>
                <w:rFonts w:hint="default" w:ascii="Times New Roman" w:hAnsi="Times New Roman" w:eastAsia="宋体" w:cs="Times New Roman"/>
                <w:b w:val="0"/>
                <w:bCs w:val="0"/>
                <w:snapToGrid w:val="0"/>
                <w:color w:val="000000" w:themeColor="text1"/>
                <w:kern w:val="2"/>
                <w:sz w:val="24"/>
                <w:szCs w:val="24"/>
                <w:highlight w:val="none"/>
                <w:lang w:val="en-US" w:eastAsia="zh-CN" w:bidi="ar-SA"/>
                <w14:textFill>
                  <w14:solidFill>
                    <w14:schemeClr w14:val="tx1"/>
                  </w14:solidFill>
                </w14:textFill>
              </w:rPr>
              <w:t>《环境工程设计手册》中圆形风管计算L=3600×（π÷4）×D</w:t>
            </w:r>
            <w:r>
              <w:rPr>
                <w:rFonts w:hint="default" w:ascii="Times New Roman" w:hAnsi="Times New Roman" w:eastAsia="宋体" w:cs="Times New Roman"/>
                <w:b w:val="0"/>
                <w:bCs w:val="0"/>
                <w:snapToGrid w:val="0"/>
                <w:color w:val="000000" w:themeColor="text1"/>
                <w:kern w:val="2"/>
                <w:sz w:val="24"/>
                <w:szCs w:val="24"/>
                <w:highlight w:val="none"/>
                <w:vertAlign w:val="superscript"/>
                <w:lang w:val="en-US" w:eastAsia="zh-CN" w:bidi="ar-SA"/>
                <w14:textFill>
                  <w14:solidFill>
                    <w14:schemeClr w14:val="tx1"/>
                  </w14:solidFill>
                </w14:textFill>
              </w:rPr>
              <w:t>2</w:t>
            </w:r>
            <w:r>
              <w:rPr>
                <w:rFonts w:hint="default" w:ascii="Times New Roman" w:hAnsi="Times New Roman" w:eastAsia="宋体" w:cs="Times New Roman"/>
                <w:b w:val="0"/>
                <w:bCs w:val="0"/>
                <w:snapToGrid w:val="0"/>
                <w:color w:val="000000" w:themeColor="text1"/>
                <w:kern w:val="2"/>
                <w:sz w:val="24"/>
                <w:szCs w:val="24"/>
                <w:highlight w:val="none"/>
                <w:vertAlign w:val="baseline"/>
                <w:lang w:val="en-US" w:eastAsia="zh-CN" w:bidi="ar-SA"/>
                <w14:textFill>
                  <w14:solidFill>
                    <w14:schemeClr w14:val="tx1"/>
                  </w14:solidFill>
                </w14:textFill>
              </w:rPr>
              <w:t>×v</w:t>
            </w:r>
            <w:r>
              <w:rPr>
                <w:rFonts w:hint="default"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（D为风管直径，m；</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v</w:t>
            </w:r>
            <w:r>
              <w:rPr>
                <w:rFonts w:hint="default"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为断面平均风速，m/s），</w:t>
            </w:r>
            <w:r>
              <w:rPr>
                <w:rFonts w:hint="default" w:ascii="Times New Roman" w:hAnsi="Times New Roman" w:cs="Times New Roman"/>
                <w:b w:val="0"/>
                <w:bCs w:val="0"/>
                <w:color w:val="000000" w:themeColor="text1"/>
                <w:sz w:val="24"/>
                <w:szCs w:val="24"/>
                <w:highlight w:val="none"/>
                <w14:textFill>
                  <w14:solidFill>
                    <w14:schemeClr w14:val="tx1"/>
                  </w14:solidFill>
                </w14:textFill>
              </w:rPr>
              <w:t>则</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1条挤出生产线的挤出工序处</w:t>
            </w:r>
            <w:r>
              <w:rPr>
                <w:rFonts w:hint="default" w:ascii="Times New Roman" w:hAnsi="Times New Roman" w:cs="Times New Roman"/>
                <w:b w:val="0"/>
                <w:bCs w:val="0"/>
                <w:color w:val="000000" w:themeColor="text1"/>
                <w:sz w:val="24"/>
                <w:szCs w:val="24"/>
                <w:highlight w:val="none"/>
                <w14:textFill>
                  <w14:solidFill>
                    <w14:schemeClr w14:val="tx1"/>
                  </w14:solidFill>
                </w14:textFill>
              </w:rPr>
              <w:t>所需风量为</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1632</w:t>
            </w:r>
            <w:r>
              <w:rPr>
                <w:rFonts w:hint="default" w:ascii="Times New Roman" w:hAnsi="Times New Roman" w:cs="Times New Roman"/>
                <w:b w:val="0"/>
                <w:bCs w:val="0"/>
                <w:color w:val="000000" w:themeColor="text1"/>
                <w:sz w:val="24"/>
                <w:szCs w:val="24"/>
                <w:highlight w:val="none"/>
                <w14:textFill>
                  <w14:solidFill>
                    <w14:schemeClr w14:val="tx1"/>
                  </w14:solidFill>
                </w14:textFill>
              </w:rPr>
              <w:t>m</w:t>
            </w:r>
            <w:r>
              <w:rPr>
                <w:rFonts w:hint="default" w:ascii="Times New Roman" w:hAnsi="Times New Roman" w:cs="Times New Roman"/>
                <w:b w:val="0"/>
                <w:bCs w:val="0"/>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highlight w:val="none"/>
                <w14:textFill>
                  <w14:solidFill>
                    <w14:schemeClr w14:val="tx1"/>
                  </w14:solidFill>
                </w14:textFill>
              </w:rPr>
              <w:t>/h，项目共</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设有</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6条挤出生产线</w:t>
            </w:r>
            <w:r>
              <w:rPr>
                <w:rFonts w:hint="default" w:ascii="Times New Roman" w:hAnsi="Times New Roman" w:cs="Times New Roman"/>
                <w:b w:val="0"/>
                <w:bCs w:val="0"/>
                <w:color w:val="000000" w:themeColor="text1"/>
                <w:sz w:val="24"/>
                <w:szCs w:val="24"/>
                <w:highlight w:val="none"/>
                <w14:textFill>
                  <w14:solidFill>
                    <w14:schemeClr w14:val="tx1"/>
                  </w14:solidFill>
                </w14:textFill>
              </w:rPr>
              <w:t>，故总需风量为</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9792</w:t>
            </w:r>
            <w:r>
              <w:rPr>
                <w:rFonts w:hint="default" w:ascii="Times New Roman" w:hAnsi="Times New Roman" w:cs="Times New Roman"/>
                <w:b w:val="0"/>
                <w:bCs w:val="0"/>
                <w:color w:val="000000" w:themeColor="text1"/>
                <w:sz w:val="24"/>
                <w:szCs w:val="24"/>
                <w:highlight w:val="none"/>
                <w14:textFill>
                  <w14:solidFill>
                    <w14:schemeClr w14:val="tx1"/>
                  </w14:solidFill>
                </w14:textFill>
              </w:rPr>
              <w:t>m</w:t>
            </w:r>
            <w:r>
              <w:rPr>
                <w:rFonts w:hint="default" w:ascii="Times New Roman" w:hAnsi="Times New Roman" w:cs="Times New Roman"/>
                <w:b w:val="0"/>
                <w:bCs w:val="0"/>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highlight w:val="none"/>
                <w14:textFill>
                  <w14:solidFill>
                    <w14:schemeClr w14:val="tx1"/>
                  </w14:solidFill>
                </w14:textFill>
              </w:rPr>
              <w:t>/h</w:t>
            </w:r>
            <w:bookmarkEnd w:id="44"/>
            <w:bookmarkEnd w:id="45"/>
            <w:bookmarkEnd w:id="46"/>
            <w:bookmarkEnd w:id="47"/>
            <w:bookmarkEnd w:id="48"/>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取整为10000</w:t>
            </w:r>
            <w:r>
              <w:rPr>
                <w:rFonts w:hint="default" w:ascii="Times New Roman" w:hAnsi="Times New Roman" w:cs="Times New Roman"/>
                <w:b w:val="0"/>
                <w:bCs w:val="0"/>
                <w:color w:val="000000" w:themeColor="text1"/>
                <w:sz w:val="24"/>
                <w:szCs w:val="24"/>
                <w:highlight w:val="none"/>
                <w14:textFill>
                  <w14:solidFill>
                    <w14:schemeClr w14:val="tx1"/>
                  </w14:solidFill>
                </w14:textFill>
              </w:rPr>
              <w:t>m</w:t>
            </w:r>
            <w:r>
              <w:rPr>
                <w:rFonts w:hint="default" w:ascii="Times New Roman" w:hAnsi="Times New Roman" w:cs="Times New Roman"/>
                <w:b w:val="0"/>
                <w:bCs w:val="0"/>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highlight w:val="none"/>
                <w14:textFill>
                  <w14:solidFill>
                    <w14:schemeClr w14:val="tx1"/>
                  </w14:solidFill>
                </w14:textFill>
              </w:rPr>
              <w:t>/h</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p>
          <w:p w14:paraId="42062AF7">
            <w:pPr>
              <w:pStyle w:val="5"/>
              <w:spacing w:before="0" w:after="0" w:line="240" w:lineRule="auto"/>
              <w:jc w:val="center"/>
              <w:rPr>
                <w:rFonts w:hint="default" w:ascii="Times New Roman" w:hAnsi="Times New Roman" w:eastAsia="宋体" w:cs="Times New Roman"/>
                <w:b/>
                <w:color w:val="000000" w:themeColor="text1"/>
                <w:sz w:val="2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挤出</w:t>
            </w:r>
            <w:r>
              <w:rPr>
                <w:rFonts w:hint="default" w:ascii="Times New Roman" w:hAnsi="Times New Roman" w:eastAsia="宋体" w:cs="Times New Roman"/>
                <w:b/>
                <w:color w:val="000000" w:themeColor="text1"/>
                <w:sz w:val="21"/>
                <w:highlight w:val="none"/>
                <w:lang w:val="en-US" w:eastAsia="zh-CN"/>
                <w14:textFill>
                  <w14:solidFill>
                    <w14:schemeClr w14:val="tx1"/>
                  </w14:solidFill>
                </w14:textFill>
              </w:rPr>
              <w:t>工序废气产排情况一览表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3051"/>
              <w:gridCol w:w="3628"/>
            </w:tblGrid>
            <w:tr w14:paraId="7B415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836" w:type="pct"/>
                  <w:gridSpan w:val="2"/>
                </w:tcPr>
                <w:p w14:paraId="30F5D388">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排气筒</w:t>
                  </w:r>
                </w:p>
              </w:tc>
              <w:tc>
                <w:tcPr>
                  <w:tcW w:w="2163" w:type="pct"/>
                  <w:vAlign w:val="center"/>
                </w:tcPr>
                <w:p w14:paraId="49F61FAB">
                  <w:pPr>
                    <w:widowControl/>
                    <w:jc w:val="center"/>
                    <w:textAlignment w:val="center"/>
                    <w:rPr>
                      <w:rFonts w:hint="eastAsia" w:ascii="Times New Roman" w:hAnsi="Times New Roman" w:eastAsia="宋体" w:cs="Times New Roman"/>
                      <w:b/>
                      <w:bCs/>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G</w:t>
                  </w:r>
                  <w:r>
                    <w:rPr>
                      <w:rFonts w:hint="eastAsia" w:ascii="Times New Roman" w:hAnsi="Times New Roman" w:eastAsia="宋体" w:cs="Times New Roman"/>
                      <w:b/>
                      <w:bCs/>
                      <w:color w:val="000000" w:themeColor="text1"/>
                      <w:kern w:val="0"/>
                      <w:szCs w:val="21"/>
                      <w:highlight w:val="none"/>
                      <w:lang w:val="en-US" w:eastAsia="zh-CN" w:bidi="ar"/>
                      <w14:textFill>
                        <w14:solidFill>
                          <w14:schemeClr w14:val="tx1"/>
                        </w14:solidFill>
                      </w14:textFill>
                    </w:rPr>
                    <w:t>2</w:t>
                  </w:r>
                </w:p>
              </w:tc>
            </w:tr>
            <w:tr w14:paraId="1DCB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tcPr>
                <w:p w14:paraId="238CC526">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污染物</w:t>
                  </w:r>
                </w:p>
              </w:tc>
              <w:tc>
                <w:tcPr>
                  <w:tcW w:w="2163" w:type="pct"/>
                  <w:vAlign w:val="center"/>
                </w:tcPr>
                <w:p w14:paraId="3E48130A">
                  <w:pPr>
                    <w:widowControl/>
                    <w:jc w:val="center"/>
                    <w:textAlignment w:val="center"/>
                    <w:rPr>
                      <w:rFonts w:hint="eastAsia"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eastAsia" w:ascii="Times New Roman" w:hAnsi="Times New Roman" w:eastAsia="宋体" w:cs="Times New Roman"/>
                      <w:b/>
                      <w:bCs/>
                      <w:color w:val="000000" w:themeColor="text1"/>
                      <w:kern w:val="0"/>
                      <w:szCs w:val="21"/>
                      <w:highlight w:val="none"/>
                      <w:lang w:val="en-US" w:eastAsia="zh-CN" w:bidi="ar"/>
                      <w14:textFill>
                        <w14:solidFill>
                          <w14:schemeClr w14:val="tx1"/>
                        </w14:solidFill>
                      </w14:textFill>
                    </w:rPr>
                    <w:t>非甲烷总烃</w:t>
                  </w:r>
                </w:p>
              </w:tc>
            </w:tr>
            <w:tr w14:paraId="3A97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tcPr>
                <w:p w14:paraId="200B4E7D">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产生量t/a</w:t>
                  </w:r>
                </w:p>
              </w:tc>
              <w:tc>
                <w:tcPr>
                  <w:tcW w:w="2163" w:type="pct"/>
                  <w:vAlign w:val="center"/>
                </w:tcPr>
                <w:p w14:paraId="1091DBA0">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4.6000 </w:t>
                  </w:r>
                </w:p>
              </w:tc>
            </w:tr>
            <w:tr w14:paraId="2A11C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restart"/>
                </w:tcPr>
                <w:p w14:paraId="5C10DEE6">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p w14:paraId="38E6EAB3">
                  <w:pPr>
                    <w:tabs>
                      <w:tab w:val="left" w:pos="6195"/>
                    </w:tabs>
                    <w:spacing w:line="480" w:lineRule="exact"/>
                    <w:rPr>
                      <w:rFonts w:hint="default" w:ascii="Times New Roman" w:hAnsi="Times New Roman" w:eastAsia="宋体" w:cs="Times New Roman"/>
                      <w:b/>
                      <w:bCs/>
                      <w:color w:val="000000" w:themeColor="text1"/>
                      <w:szCs w:val="21"/>
                      <w:highlight w:val="none"/>
                      <w14:textFill>
                        <w14:solidFill>
                          <w14:schemeClr w14:val="tx1"/>
                        </w14:solidFill>
                      </w14:textFill>
                    </w:rPr>
                  </w:pPr>
                </w:p>
                <w:p w14:paraId="1086392E">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有组织</w:t>
                  </w:r>
                </w:p>
              </w:tc>
              <w:tc>
                <w:tcPr>
                  <w:tcW w:w="1819" w:type="pct"/>
                  <w:vAlign w:val="center"/>
                </w:tcPr>
                <w:p w14:paraId="3A91FA05">
                  <w:pPr>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收集量t/a</w:t>
                  </w:r>
                </w:p>
              </w:tc>
              <w:tc>
                <w:tcPr>
                  <w:tcW w:w="2163" w:type="pct"/>
                  <w:vAlign w:val="center"/>
                </w:tcPr>
                <w:p w14:paraId="45544FD0">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4.3700 </w:t>
                  </w:r>
                </w:p>
              </w:tc>
            </w:tr>
            <w:tr w14:paraId="6042E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continue"/>
                </w:tcPr>
                <w:p w14:paraId="6133A7B4">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819" w:type="pct"/>
                  <w:vAlign w:val="center"/>
                </w:tcPr>
                <w:p w14:paraId="2584F69E">
                  <w:pPr>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处理前速率kg/h</w:t>
                  </w:r>
                </w:p>
              </w:tc>
              <w:tc>
                <w:tcPr>
                  <w:tcW w:w="2163" w:type="pct"/>
                  <w:vAlign w:val="center"/>
                </w:tcPr>
                <w:p w14:paraId="5528C7B6">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1.8208 </w:t>
                  </w:r>
                </w:p>
              </w:tc>
            </w:tr>
            <w:tr w14:paraId="3A6D4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continue"/>
                </w:tcPr>
                <w:p w14:paraId="0A6E1B64">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819" w:type="pct"/>
                  <w:vAlign w:val="center"/>
                </w:tcPr>
                <w:p w14:paraId="12BD34BC">
                  <w:pPr>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处理前浓度mg/m</w:t>
                  </w:r>
                  <w:r>
                    <w:rPr>
                      <w:rFonts w:hint="default" w:ascii="Times New Roman" w:hAnsi="Times New Roman" w:cs="Times New Roman"/>
                      <w:b/>
                      <w:bCs/>
                      <w:color w:val="000000" w:themeColor="text1"/>
                      <w:highlight w:val="none"/>
                      <w:vertAlign w:val="superscript"/>
                      <w14:textFill>
                        <w14:solidFill>
                          <w14:schemeClr w14:val="tx1"/>
                        </w14:solidFill>
                      </w14:textFill>
                    </w:rPr>
                    <w:t>3</w:t>
                  </w:r>
                </w:p>
              </w:tc>
              <w:tc>
                <w:tcPr>
                  <w:tcW w:w="2163" w:type="pct"/>
                  <w:vAlign w:val="center"/>
                </w:tcPr>
                <w:p w14:paraId="30BEC241">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182.0833 </w:t>
                  </w:r>
                </w:p>
              </w:tc>
            </w:tr>
            <w:tr w14:paraId="6BAFA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continue"/>
                </w:tcPr>
                <w:p w14:paraId="3AA0F8DB">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819" w:type="pct"/>
                  <w:vAlign w:val="center"/>
                </w:tcPr>
                <w:p w14:paraId="50E91196">
                  <w:pPr>
                    <w:widowControl/>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排放量t/a</w:t>
                  </w:r>
                </w:p>
              </w:tc>
              <w:tc>
                <w:tcPr>
                  <w:tcW w:w="2163" w:type="pct"/>
                  <w:vAlign w:val="center"/>
                </w:tcPr>
                <w:p w14:paraId="0E31E4F1">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0.8740 </w:t>
                  </w:r>
                </w:p>
              </w:tc>
            </w:tr>
            <w:tr w14:paraId="411C5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continue"/>
                </w:tcPr>
                <w:p w14:paraId="16A8FE53">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819" w:type="pct"/>
                  <w:vAlign w:val="center"/>
                </w:tcPr>
                <w:p w14:paraId="2F6CE684">
                  <w:pPr>
                    <w:widowControl/>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排放速率kg/h</w:t>
                  </w:r>
                </w:p>
              </w:tc>
              <w:tc>
                <w:tcPr>
                  <w:tcW w:w="2163" w:type="pct"/>
                  <w:vAlign w:val="center"/>
                </w:tcPr>
                <w:p w14:paraId="394438AF">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0.3642 </w:t>
                  </w:r>
                </w:p>
              </w:tc>
            </w:tr>
            <w:tr w14:paraId="1E133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continue"/>
                </w:tcPr>
                <w:p w14:paraId="3FDAFAA6">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819" w:type="pct"/>
                  <w:vAlign w:val="center"/>
                </w:tcPr>
                <w:p w14:paraId="1561152D">
                  <w:pPr>
                    <w:widowControl/>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排放浓度mg/m</w:t>
                  </w:r>
                  <w:r>
                    <w:rPr>
                      <w:rFonts w:hint="default" w:ascii="Times New Roman" w:hAnsi="Times New Roman" w:eastAsia="宋体" w:cs="Times New Roman"/>
                      <w:b/>
                      <w:bCs/>
                      <w:color w:val="000000" w:themeColor="text1"/>
                      <w:kern w:val="0"/>
                      <w:szCs w:val="21"/>
                      <w:highlight w:val="none"/>
                      <w:vertAlign w:val="superscript"/>
                      <w14:textFill>
                        <w14:solidFill>
                          <w14:schemeClr w14:val="tx1"/>
                        </w14:solidFill>
                      </w14:textFill>
                    </w:rPr>
                    <w:t>3</w:t>
                  </w:r>
                </w:p>
              </w:tc>
              <w:tc>
                <w:tcPr>
                  <w:tcW w:w="2163" w:type="pct"/>
                  <w:vAlign w:val="center"/>
                </w:tcPr>
                <w:p w14:paraId="7049E8C2">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36.4167 </w:t>
                  </w:r>
                </w:p>
              </w:tc>
            </w:tr>
            <w:tr w14:paraId="2FBB9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restart"/>
                </w:tcPr>
                <w:p w14:paraId="0E97A1DE">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无组织</w:t>
                  </w:r>
                </w:p>
              </w:tc>
              <w:tc>
                <w:tcPr>
                  <w:tcW w:w="1819" w:type="pct"/>
                  <w:vAlign w:val="center"/>
                </w:tcPr>
                <w:p w14:paraId="65445F32">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排放量t/a</w:t>
                  </w:r>
                </w:p>
              </w:tc>
              <w:tc>
                <w:tcPr>
                  <w:tcW w:w="2163" w:type="pct"/>
                  <w:vAlign w:val="center"/>
                </w:tcPr>
                <w:p w14:paraId="6362B65A">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0.2300 </w:t>
                  </w:r>
                </w:p>
              </w:tc>
            </w:tr>
            <w:tr w14:paraId="1DDB5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16" w:type="pct"/>
                  <w:vMerge w:val="continue"/>
                </w:tcPr>
                <w:p w14:paraId="74B983FC">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819" w:type="pct"/>
                  <w:vAlign w:val="center"/>
                </w:tcPr>
                <w:p w14:paraId="1A81521C">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排放速率kg/h</w:t>
                  </w:r>
                </w:p>
              </w:tc>
              <w:tc>
                <w:tcPr>
                  <w:tcW w:w="2163" w:type="pct"/>
                  <w:vAlign w:val="center"/>
                </w:tcPr>
                <w:p w14:paraId="496070F4">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0.0958 </w:t>
                  </w:r>
                </w:p>
              </w:tc>
            </w:tr>
            <w:tr w14:paraId="6D4C8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vAlign w:val="center"/>
                </w:tcPr>
                <w:p w14:paraId="512321FD">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总抽风量m</w:t>
                  </w:r>
                  <w:r>
                    <w:rPr>
                      <w:rFonts w:hint="default" w:ascii="Times New Roman" w:hAnsi="Times New Roman" w:eastAsia="宋体" w:cs="Times New Roman"/>
                      <w:b/>
                      <w:bCs/>
                      <w:color w:val="000000" w:themeColor="text1"/>
                      <w:kern w:val="0"/>
                      <w:szCs w:val="21"/>
                      <w:highlight w:val="none"/>
                      <w:vertAlign w:val="superscript"/>
                      <w14:textFill>
                        <w14:solidFill>
                          <w14:schemeClr w14:val="tx1"/>
                        </w14:solidFill>
                      </w14:textFill>
                    </w:rPr>
                    <w:t>3</w:t>
                  </w:r>
                  <w:r>
                    <w:rPr>
                      <w:rFonts w:hint="default" w:ascii="Times New Roman" w:hAnsi="Times New Roman" w:eastAsia="宋体" w:cs="Times New Roman"/>
                      <w:b/>
                      <w:bCs/>
                      <w:color w:val="000000" w:themeColor="text1"/>
                      <w:kern w:val="0"/>
                      <w:szCs w:val="21"/>
                      <w:highlight w:val="none"/>
                      <w14:textFill>
                        <w14:solidFill>
                          <w14:schemeClr w14:val="tx1"/>
                        </w14:solidFill>
                      </w14:textFill>
                    </w:rPr>
                    <w:t>/h</w:t>
                  </w:r>
                </w:p>
              </w:tc>
              <w:tc>
                <w:tcPr>
                  <w:tcW w:w="2163" w:type="pct"/>
                  <w:vAlign w:val="center"/>
                </w:tcPr>
                <w:p w14:paraId="71BD81CD">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10000</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 </w:t>
                  </w:r>
                </w:p>
              </w:tc>
            </w:tr>
            <w:tr w14:paraId="384E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pct"/>
                  <w:gridSpan w:val="2"/>
                  <w:vAlign w:val="center"/>
                </w:tcPr>
                <w:p w14:paraId="53EF993B">
                  <w:pPr>
                    <w:tabs>
                      <w:tab w:val="left" w:pos="6195"/>
                    </w:tabs>
                    <w:spacing w:line="48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工作时间/h</w:t>
                  </w:r>
                </w:p>
              </w:tc>
              <w:tc>
                <w:tcPr>
                  <w:tcW w:w="2163" w:type="pct"/>
                  <w:vAlign w:val="center"/>
                </w:tcPr>
                <w:p w14:paraId="4A9FE9E0">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2400</w:t>
                  </w:r>
                </w:p>
              </w:tc>
            </w:tr>
          </w:tbl>
          <w:p w14:paraId="73626302">
            <w:pPr>
              <w:pStyle w:val="40"/>
              <w:spacing w:line="360" w:lineRule="auto"/>
              <w:ind w:firstLine="480" w:firstLineChars="200"/>
              <w:jc w:val="both"/>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cs="Times New Roman"/>
                <w:b w:val="0"/>
                <w:bCs w:val="0"/>
                <w:color w:val="000000" w:themeColor="text1"/>
                <w:sz w:val="24"/>
                <w:szCs w:val="24"/>
                <w:highlight w:val="none"/>
                <w:lang w:val="en-US" w:eastAsia="zh-CN"/>
                <w14:textFill>
                  <w14:solidFill>
                    <w14:schemeClr w14:val="tx1"/>
                  </w14:solidFill>
                </w14:textFill>
              </w:rPr>
              <w:t>综上，</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苯乙烯</w:t>
            </w:r>
            <w:r>
              <w:rPr>
                <w:rFonts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甲苯、乙苯</w:t>
            </w:r>
            <w:r>
              <w:rPr>
                <w:rFonts w:ascii="Times New Roman" w:hAnsi="Times New Roman" w:eastAsia="宋体" w:cs="Times New Roman"/>
                <w:b w:val="0"/>
                <w:bCs w:val="0"/>
                <w:color w:val="000000" w:themeColor="text1"/>
                <w:sz w:val="24"/>
                <w:szCs w:val="24"/>
                <w:highlight w:val="none"/>
                <w14:textFill>
                  <w14:solidFill>
                    <w14:schemeClr w14:val="tx1"/>
                  </w14:solidFill>
                </w14:textFill>
              </w:rPr>
              <w:t>、非甲烷总烃</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的有组织排放达到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表4 大气污染物排放限值，</w:t>
            </w:r>
            <w:r>
              <w:rPr>
                <w:rFonts w:hint="default" w:ascii="Times New Roman" w:hAnsi="Times New Roman" w:cs="Times New Roman"/>
                <w:b w:val="0"/>
                <w:bCs w:val="0"/>
                <w:color w:val="000000" w:themeColor="text1"/>
                <w:sz w:val="24"/>
                <w:szCs w:val="24"/>
                <w:highlight w:val="none"/>
                <w14:textFill>
                  <w14:solidFill>
                    <w14:schemeClr w14:val="tx1"/>
                  </w14:solidFill>
                </w14:textFill>
              </w:rPr>
              <w:t>臭气浓度有组织排放值可达到《恶臭污染物排放标准》（GB14554-93）中表2恶臭污染物排放标准值</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甲苯、非甲烷总烃</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的无组织排放达到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表9企业边界大气污染物浓度限值，苯乙烯</w:t>
            </w:r>
            <w:r>
              <w:rPr>
                <w:rFonts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default" w:ascii="Times New Roman" w:hAnsi="Times New Roman" w:cs="Times New Roman"/>
                <w:b w:val="0"/>
                <w:bCs w:val="0"/>
                <w:color w:val="000000" w:themeColor="text1"/>
                <w:sz w:val="24"/>
                <w:szCs w:val="24"/>
                <w:highlight w:val="none"/>
                <w14:textFill>
                  <w14:solidFill>
                    <w14:schemeClr w14:val="tx1"/>
                  </w14:solidFill>
                </w14:textFill>
              </w:rPr>
              <w:t>臭气浓度的无组织排放可达到《恶臭污染物排放标准》（GB14554-93）中表1恶臭污染物厂界标准值</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14:textFill>
                  <w14:solidFill>
                    <w14:schemeClr w14:val="tx1"/>
                  </w14:solidFill>
                </w14:textFill>
              </w:rPr>
              <w:t>非甲烷总烃在厂区内的无组织排放浓度满足广东省地方标准《固定污染源挥发性有机物综合排放标准》（DB44/2367-2022）表3厂区内VOCs无组织排放限值。对周围大气无明显影响</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p>
          <w:p w14:paraId="2702A134">
            <w:pPr>
              <w:tabs>
                <w:tab w:val="left" w:pos="6195"/>
              </w:tabs>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ascii="Times New Roman" w:hAnsi="Times New Roman" w:eastAsia="宋体" w:cs="Times New Roman"/>
                <w:b/>
                <w:bCs/>
                <w:color w:val="000000" w:themeColor="text1"/>
                <w:sz w:val="24"/>
                <w:highlight w:val="none"/>
                <w14:textFill>
                  <w14:solidFill>
                    <w14:schemeClr w14:val="tx1"/>
                  </w14:solidFill>
                </w14:textFill>
              </w:rPr>
              <w:t>（</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3</w:t>
            </w:r>
            <w:r>
              <w:rPr>
                <w:rFonts w:ascii="Times New Roman" w:hAnsi="Times New Roman" w:eastAsia="宋体" w:cs="Times New Roman"/>
                <w:b/>
                <w:bCs/>
                <w:color w:val="000000" w:themeColor="text1"/>
                <w:sz w:val="24"/>
                <w:highlight w:val="none"/>
                <w14:textFill>
                  <w14:solidFill>
                    <w14:schemeClr w14:val="tx1"/>
                  </w14:solidFill>
                </w14:textFill>
              </w:rPr>
              <w:t>）</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破碎</w:t>
            </w:r>
            <w:r>
              <w:rPr>
                <w:rFonts w:ascii="Times New Roman" w:hAnsi="Times New Roman" w:eastAsia="宋体" w:cs="Times New Roman"/>
                <w:b/>
                <w:bCs/>
                <w:color w:val="000000" w:themeColor="text1"/>
                <w:sz w:val="24"/>
                <w:highlight w:val="none"/>
                <w14:textFill>
                  <w14:solidFill>
                    <w14:schemeClr w14:val="tx1"/>
                  </w14:solidFill>
                </w14:textFill>
              </w:rPr>
              <w:t>工序</w:t>
            </w:r>
          </w:p>
          <w:p w14:paraId="44F76D69">
            <w:pPr>
              <w:pStyle w:val="6"/>
              <w:spacing w:line="360" w:lineRule="auto"/>
              <w:ind w:left="0" w:leftChars="0"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项目在破碎过程可能会产生少部分废气，主要污染物为颗粒物。</w:t>
            </w:r>
            <w:r>
              <w:rPr>
                <w:rFonts w:ascii="Times New Roman" w:hAnsi="Times New Roman" w:eastAsia="宋体" w:cs="Times New Roman"/>
                <w:b w:val="0"/>
                <w:bCs w:val="0"/>
                <w:color w:val="000000" w:themeColor="text1"/>
                <w:sz w:val="24"/>
                <w:highlight w:val="none"/>
                <w14:textFill>
                  <w14:solidFill>
                    <w14:schemeClr w14:val="tx1"/>
                  </w14:solidFill>
                </w14:textFill>
              </w:rPr>
              <w:t>挤出后的水口料和不良品经破碎机破碎后形成破碎料（颗粒状），继续循环使用</w:t>
            </w:r>
            <w:r>
              <w:rPr>
                <w:rFonts w:hint="eastAsia" w:ascii="Times New Roman" w:hAnsi="Times New Roman" w:eastAsia="宋体" w:cs="Times New Roman"/>
                <w:b w:val="0"/>
                <w:bCs w:val="0"/>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打开破碎机过程可能会有极小部分的粉尘外溢，由于</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日常生产过程中</w:t>
            </w:r>
            <w:r>
              <w:rPr>
                <w:rFonts w:ascii="Times New Roman" w:hAnsi="Times New Roman" w:eastAsia="宋体" w:cs="Times New Roman"/>
                <w:b w:val="0"/>
                <w:bCs w:val="0"/>
                <w:color w:val="000000" w:themeColor="text1"/>
                <w:sz w:val="24"/>
                <w:highlight w:val="none"/>
                <w14:textFill>
                  <w14:solidFill>
                    <w14:schemeClr w14:val="tx1"/>
                  </w14:solidFill>
                </w14:textFill>
              </w:rPr>
              <w:t>破碎机</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基本都是</w:t>
            </w:r>
            <w:r>
              <w:rPr>
                <w:rFonts w:ascii="Times New Roman" w:hAnsi="Times New Roman" w:eastAsia="宋体" w:cs="Times New Roman"/>
                <w:b w:val="0"/>
                <w:bCs w:val="0"/>
                <w:color w:val="000000" w:themeColor="text1"/>
                <w:sz w:val="24"/>
                <w:highlight w:val="none"/>
                <w14:textFill>
                  <w14:solidFill>
                    <w14:schemeClr w14:val="tx1"/>
                  </w14:solidFill>
                </w14:textFill>
              </w:rPr>
              <w:t>处于密闭状态，破碎机</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打开的次数及时间都是非常少的，因此颗粒物的产生量极小，故不对此进行定量分析，只进行定性分析。破碎工序产生的颗粒物无组织排放。颗粒物的无组织排放达到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表9企业边界大气污染物浓度限值</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对周围环境影响不大。</w:t>
            </w:r>
          </w:p>
          <w:p w14:paraId="5F271D67">
            <w:pPr>
              <w:spacing w:line="360" w:lineRule="auto"/>
              <w:ind w:firstLine="482"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ascii="Times New Roman" w:hAnsi="Times New Roman" w:eastAsia="宋体" w:cs="Times New Roman"/>
                <w:b/>
                <w:bCs/>
                <w:color w:val="000000" w:themeColor="text1"/>
                <w:sz w:val="24"/>
                <w:highlight w:val="none"/>
                <w14:textFill>
                  <w14:solidFill>
                    <w14:schemeClr w14:val="tx1"/>
                  </w14:solidFill>
                </w14:textFill>
              </w:rPr>
              <w:t>（</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4</w:t>
            </w:r>
            <w:r>
              <w:rPr>
                <w:rFonts w:ascii="Times New Roman" w:hAnsi="Times New Roman" w:eastAsia="宋体" w:cs="Times New Roman"/>
                <w:b/>
                <w:bCs/>
                <w:color w:val="000000" w:themeColor="text1"/>
                <w:sz w:val="24"/>
                <w:highlight w:val="none"/>
                <w14:textFill>
                  <w14:solidFill>
                    <w14:schemeClr w14:val="tx1"/>
                  </w14:solidFill>
                </w14:textFill>
              </w:rPr>
              <w:t>）</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注塑打样</w:t>
            </w:r>
            <w:r>
              <w:rPr>
                <w:rFonts w:ascii="Times New Roman" w:hAnsi="Times New Roman" w:eastAsia="宋体" w:cs="Times New Roman"/>
                <w:b/>
                <w:bCs/>
                <w:color w:val="000000" w:themeColor="text1"/>
                <w:sz w:val="24"/>
                <w:highlight w:val="none"/>
                <w14:textFill>
                  <w14:solidFill>
                    <w14:schemeClr w14:val="tx1"/>
                  </w14:solidFill>
                </w14:textFill>
              </w:rPr>
              <w:t>工序</w:t>
            </w:r>
          </w:p>
          <w:p w14:paraId="012C5E53">
            <w:pPr>
              <w:pStyle w:val="40"/>
              <w:spacing w:line="360" w:lineRule="auto"/>
              <w:ind w:firstLine="480" w:firstLineChars="200"/>
              <w:jc w:val="both"/>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cs="Times New Roman"/>
                <w:color w:val="000000" w:themeColor="text1"/>
                <w:sz w:val="24"/>
                <w:highlight w:val="none"/>
                <w:lang w:val="en-US" w:eastAsia="zh-CN"/>
                <w14:textFill>
                  <w14:solidFill>
                    <w14:schemeClr w14:val="tx1"/>
                  </w14:solidFill>
                </w14:textFill>
              </w:rPr>
              <w:t>项目在注塑打样过程可能会产生少部分废气，主要污染物为非甲烷总烃和臭气浓度。注塑打样过程主要是抽取少部分的产品，这些产品通过注塑打样机进行注塑打样，用于验证设计和材料是否符合要求，根据生产经验统计，每年所需抽取的产品量约为0.05t/a</w:t>
            </w:r>
            <w:r>
              <w:rPr>
                <w:rFonts w:hint="eastAsia" w:ascii="Times New Roman" w:hAnsi="Times New Roman" w:eastAsia="宋体" w:cs="Times New Roman"/>
                <w:b w:val="0"/>
                <w:bCs w:val="0"/>
                <w:color w:val="000000" w:themeColor="text1"/>
                <w:sz w:val="24"/>
                <w:highlight w:val="none"/>
                <w:lang w:val="en-US" w:eastAsia="zh-CN"/>
                <w14:textFill>
                  <w14:solidFill>
                    <w14:schemeClr w14:val="tx1"/>
                  </w14:solidFill>
                </w14:textFill>
              </w:rPr>
              <w:t>，注塑打样工序年工作时间为150h，由于</w:t>
            </w:r>
            <w:r>
              <w:rPr>
                <w:rFonts w:hint="eastAsia" w:eastAsia="宋体"/>
                <w:color w:val="000000" w:themeColor="text1"/>
                <w:highlight w:val="none"/>
                <w:lang w:val="en-US" w:eastAsia="zh-CN"/>
                <w14:textFill>
                  <w14:solidFill>
                    <w14:schemeClr w14:val="tx1"/>
                  </w14:solidFill>
                </w14:textFill>
              </w:rPr>
              <w:t>注塑打样</w:t>
            </w:r>
            <w:r>
              <w:rPr>
                <w:rFonts w:hint="eastAsia"/>
                <w:color w:val="000000" w:themeColor="text1"/>
                <w:highlight w:val="none"/>
                <w14:textFill>
                  <w14:solidFill>
                    <w14:schemeClr w14:val="tx1"/>
                  </w14:solidFill>
                </w14:textFill>
              </w:rPr>
              <w:t>过程时间短，产生极少量的有机废气，较难定量化，本次评价仅作定性分析，以无组织排放形式排放</w:t>
            </w:r>
            <w:r>
              <w:rPr>
                <w:rFonts w:hint="eastAsia"/>
                <w:color w:val="000000" w:themeColor="text1"/>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14:textFill>
                  <w14:solidFill>
                    <w14:schemeClr w14:val="tx1"/>
                  </w14:solidFill>
                </w14:textFill>
              </w:rPr>
              <w:t>臭气浓度的无组织排放可达到《恶臭污染物排放标准》（GB14554-93）中表1恶臭污染物厂界标准值</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非甲烷总烃</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的无组织排放达到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表9企业边界大气污染物浓度限值。对周围环境无明显影响。</w:t>
            </w:r>
          </w:p>
          <w:p w14:paraId="209904CA">
            <w:pPr>
              <w:pStyle w:val="42"/>
              <w:spacing w:line="360" w:lineRule="auto"/>
              <w:jc w:val="both"/>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（5）</w:t>
            </w: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测试</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废气</w:t>
            </w:r>
          </w:p>
          <w:p w14:paraId="4D6B726B">
            <w:pPr>
              <w:pStyle w:val="44"/>
              <w:widowControl w:val="0"/>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项目对打样品进行实验检测过程中会产生少量的废气，主要污染物为非甲烷总烃和臭气浓度，年工作时间为100h。检测过程主要是为了测试样品的性能是否符合客户所需要求，由于检测过程时间短，</w:t>
            </w:r>
            <w:r>
              <w:rPr>
                <w:rFonts w:hint="default" w:ascii="Times New Roman" w:hAnsi="Times New Roman" w:cs="Times New Roman"/>
                <w:color w:val="000000" w:themeColor="text1"/>
                <w:sz w:val="24"/>
                <w:szCs w:val="24"/>
                <w:highlight w:val="none"/>
                <w14:textFill>
                  <w14:solidFill>
                    <w14:schemeClr w14:val="tx1"/>
                  </w14:solidFill>
                </w14:textFill>
              </w:rPr>
              <w:t>产生极少量的有机废气和粉尘，较难定量化，本次评价仅作定性分析，以无组织排放形式排放</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14:textFill>
                  <w14:solidFill>
                    <w14:schemeClr w14:val="tx1"/>
                  </w14:solidFill>
                </w14:textFill>
              </w:rPr>
              <w:t>臭气浓度的无组织排放可达到《恶臭污染物排放标准》（GB14554-93）中表1恶臭污染物厂界标准值</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非甲烷总烃</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的无组织排放达到</w:t>
            </w:r>
            <w:r>
              <w:rPr>
                <w:rFonts w:hint="default" w:ascii="Times New Roman" w:hAnsi="Times New Roman" w:eastAsia="宋体" w:cs="Times New Roman"/>
                <w:color w:val="000000" w:themeColor="text1"/>
                <w:sz w:val="24"/>
                <w:szCs w:val="24"/>
                <w:highlight w:val="none"/>
                <w14:textFill>
                  <w14:solidFill>
                    <w14:schemeClr w14:val="tx1"/>
                  </w14:solidFill>
                </w14:textFill>
              </w:rPr>
              <w:t>广东省地方标准《大气污染物排放限值》（DB44/27-2001）第二时段无组织排放标准值</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。对周围环境无明显影响。</w:t>
            </w:r>
          </w:p>
          <w:p w14:paraId="4F97A86A">
            <w:pPr>
              <w:tabs>
                <w:tab w:val="left" w:pos="6195"/>
              </w:tabs>
              <w:spacing w:line="360" w:lineRule="auto"/>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2、项目全厂废气排放见下表</w:t>
            </w:r>
          </w:p>
          <w:p w14:paraId="07C75C95">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大气污染物有组织排放核算表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1169"/>
              <w:gridCol w:w="1306"/>
              <w:gridCol w:w="1699"/>
              <w:gridCol w:w="1886"/>
              <w:gridCol w:w="1754"/>
            </w:tblGrid>
            <w:tr w14:paraId="229E5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0"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B7ACBCD">
                  <w:pPr>
                    <w:widowControl/>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序号</w:t>
                  </w:r>
                </w:p>
              </w:tc>
              <w:tc>
                <w:tcPr>
                  <w:tcW w:w="696"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3C02D2F6">
                  <w:pPr>
                    <w:widowControl/>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排放口编号</w:t>
                  </w:r>
                </w:p>
              </w:tc>
              <w:tc>
                <w:tcPr>
                  <w:tcW w:w="779"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6B129B90">
                  <w:pPr>
                    <w:widowControl/>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污染物</w:t>
                  </w:r>
                </w:p>
              </w:tc>
              <w:tc>
                <w:tcPr>
                  <w:tcW w:w="1013"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4B9371D">
                  <w:pPr>
                    <w:widowControl/>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核算排放浓度（</w:t>
                  </w:r>
                  <w:r>
                    <w:rPr>
                      <w:rFonts w:hint="default" w:ascii="Times New Roman" w:hAnsi="Times New Roman" w:eastAsia="宋体" w:cs="Times New Roman"/>
                      <w:b/>
                      <w:color w:val="000000" w:themeColor="text1"/>
                      <w:szCs w:val="21"/>
                      <w:highlight w:val="none"/>
                      <w:lang w:bidi="ar"/>
                      <w14:textFill>
                        <w14:solidFill>
                          <w14:schemeClr w14:val="tx1"/>
                        </w14:solidFill>
                      </w14:textFill>
                    </w:rPr>
                    <w:t>m</w:t>
                  </w: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g/m</w:t>
                  </w:r>
                  <w:r>
                    <w:rPr>
                      <w:rFonts w:hint="default" w:ascii="Times New Roman" w:hAnsi="Times New Roman" w:eastAsia="宋体" w:cs="Times New Roman"/>
                      <w:b/>
                      <w:color w:val="000000" w:themeColor="text1"/>
                      <w:szCs w:val="21"/>
                      <w:highlight w:val="none"/>
                      <w:vertAlign w:val="superscript"/>
                      <w:lang w:val="zh-CN" w:bidi="ar"/>
                      <w14:textFill>
                        <w14:solidFill>
                          <w14:schemeClr w14:val="tx1"/>
                        </w14:solidFill>
                      </w14:textFill>
                    </w:rPr>
                    <w:t>3</w:t>
                  </w: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w:t>
                  </w:r>
                </w:p>
              </w:tc>
              <w:tc>
                <w:tcPr>
                  <w:tcW w:w="1124"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66E8D69C">
                  <w:pPr>
                    <w:widowControl/>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核算排放速率（kg/h）</w:t>
                  </w:r>
                </w:p>
              </w:tc>
              <w:tc>
                <w:tcPr>
                  <w:tcW w:w="1045"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7A906CC">
                  <w:pPr>
                    <w:widowControl/>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核算年排放量（t/a）</w:t>
                  </w:r>
                </w:p>
              </w:tc>
            </w:tr>
            <w:tr w14:paraId="0399A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tcBorders>
                    <w:top w:val="single" w:color="auto" w:sz="4" w:space="0"/>
                    <w:left w:val="single" w:color="auto" w:sz="4" w:space="0"/>
                    <w:bottom w:val="single" w:color="auto" w:sz="4" w:space="0"/>
                    <w:right w:val="single" w:color="auto" w:sz="4" w:space="0"/>
                  </w:tcBorders>
                  <w:vAlign w:val="center"/>
                </w:tcPr>
                <w:p w14:paraId="3DB41A86">
                  <w:pPr>
                    <w:widowControl/>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bidi="ar"/>
                      <w14:textFill>
                        <w14:solidFill>
                          <w14:schemeClr w14:val="tx1"/>
                        </w14:solidFill>
                      </w14:textFill>
                    </w:rPr>
                    <w:t>一般排放口</w:t>
                  </w:r>
                </w:p>
              </w:tc>
            </w:tr>
            <w:tr w14:paraId="63FF0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 w:type="pct"/>
                  <w:tcBorders>
                    <w:top w:val="single" w:color="auto" w:sz="4" w:space="0"/>
                    <w:left w:val="single" w:color="auto" w:sz="4" w:space="0"/>
                    <w:right w:val="single" w:color="auto" w:sz="4" w:space="0"/>
                  </w:tcBorders>
                  <w:vAlign w:val="center"/>
                </w:tcPr>
                <w:p w14:paraId="5DFD40DF">
                  <w:pPr>
                    <w:widowControl/>
                    <w:jc w:val="center"/>
                    <w:textAlignment w:val="center"/>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 xml:space="preserve">1 </w:t>
                  </w:r>
                </w:p>
              </w:tc>
              <w:tc>
                <w:tcPr>
                  <w:tcW w:w="696" w:type="pct"/>
                  <w:tcBorders>
                    <w:top w:val="single" w:color="auto" w:sz="4" w:space="0"/>
                    <w:left w:val="single" w:color="auto" w:sz="4" w:space="0"/>
                    <w:right w:val="single" w:color="auto" w:sz="4" w:space="0"/>
                  </w:tcBorders>
                  <w:vAlign w:val="center"/>
                </w:tcPr>
                <w:p w14:paraId="45BB3A02">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G1</w:t>
                  </w:r>
                </w:p>
              </w:tc>
              <w:tc>
                <w:tcPr>
                  <w:tcW w:w="779" w:type="pct"/>
                  <w:tcBorders>
                    <w:top w:val="single" w:color="auto" w:sz="4" w:space="0"/>
                    <w:left w:val="single" w:color="auto" w:sz="4" w:space="0"/>
                    <w:bottom w:val="single" w:color="auto" w:sz="4" w:space="0"/>
                    <w:right w:val="single" w:color="auto" w:sz="4" w:space="0"/>
                  </w:tcBorders>
                  <w:vAlign w:val="center"/>
                </w:tcPr>
                <w:p w14:paraId="36F8C1A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颗粒物</w:t>
                  </w:r>
                </w:p>
              </w:tc>
              <w:tc>
                <w:tcPr>
                  <w:tcW w:w="1699" w:type="dxa"/>
                  <w:tcBorders>
                    <w:top w:val="single" w:color="auto" w:sz="4" w:space="0"/>
                    <w:left w:val="single" w:color="auto" w:sz="4" w:space="0"/>
                    <w:bottom w:val="single" w:color="auto" w:sz="4" w:space="0"/>
                    <w:right w:val="single" w:color="auto" w:sz="4" w:space="0"/>
                  </w:tcBorders>
                  <w:vAlign w:val="center"/>
                </w:tcPr>
                <w:p w14:paraId="3FB196C9">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0.636</w:t>
                  </w:r>
                </w:p>
              </w:tc>
              <w:tc>
                <w:tcPr>
                  <w:tcW w:w="1886" w:type="dxa"/>
                  <w:tcBorders>
                    <w:top w:val="single" w:color="auto" w:sz="4" w:space="0"/>
                    <w:left w:val="single" w:color="auto" w:sz="4" w:space="0"/>
                    <w:bottom w:val="single" w:color="auto" w:sz="4" w:space="0"/>
                    <w:right w:val="single" w:color="auto" w:sz="4" w:space="0"/>
                  </w:tcBorders>
                  <w:vAlign w:val="center"/>
                </w:tcPr>
                <w:p w14:paraId="3500DA1D">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0.0159</w:t>
                  </w:r>
                </w:p>
              </w:tc>
              <w:tc>
                <w:tcPr>
                  <w:tcW w:w="1754" w:type="dxa"/>
                  <w:tcBorders>
                    <w:top w:val="single" w:color="auto" w:sz="4" w:space="0"/>
                    <w:left w:val="single" w:color="auto" w:sz="4" w:space="0"/>
                    <w:bottom w:val="single" w:color="auto" w:sz="4" w:space="0"/>
                    <w:right w:val="single" w:color="auto" w:sz="4" w:space="0"/>
                  </w:tcBorders>
                  <w:vAlign w:val="center"/>
                </w:tcPr>
                <w:p w14:paraId="3A8BB6A6">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0.0159</w:t>
                  </w:r>
                </w:p>
              </w:tc>
            </w:tr>
            <w:tr w14:paraId="6B5F1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 w:type="pct"/>
                  <w:vMerge w:val="restart"/>
                  <w:tcBorders>
                    <w:left w:val="single" w:color="auto" w:sz="4" w:space="0"/>
                    <w:right w:val="single" w:color="auto" w:sz="4" w:space="0"/>
                  </w:tcBorders>
                  <w:vAlign w:val="center"/>
                </w:tcPr>
                <w:p w14:paraId="5F0C15EF">
                  <w:pPr>
                    <w:jc w:val="center"/>
                    <w:rPr>
                      <w:rFonts w:hint="eastAsia" w:ascii="Times New Roman" w:hAnsi="Times New Roman" w:eastAsia="宋体" w:cs="Times New Roman"/>
                      <w:color w:val="000000" w:themeColor="text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bidi="ar"/>
                      <w14:textFill>
                        <w14:solidFill>
                          <w14:schemeClr w14:val="tx1"/>
                        </w14:solidFill>
                      </w14:textFill>
                    </w:rPr>
                    <w:t>2</w:t>
                  </w:r>
                </w:p>
              </w:tc>
              <w:tc>
                <w:tcPr>
                  <w:tcW w:w="696" w:type="pct"/>
                  <w:vMerge w:val="restart"/>
                  <w:tcBorders>
                    <w:left w:val="single" w:color="auto" w:sz="4" w:space="0"/>
                    <w:right w:val="single" w:color="auto" w:sz="4" w:space="0"/>
                  </w:tcBorders>
                  <w:vAlign w:val="center"/>
                </w:tcPr>
                <w:p w14:paraId="39C16E5C">
                  <w:pPr>
                    <w:jc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G2</w:t>
                  </w:r>
                </w:p>
              </w:tc>
              <w:tc>
                <w:tcPr>
                  <w:tcW w:w="779" w:type="pct"/>
                  <w:tcBorders>
                    <w:top w:val="single" w:color="auto" w:sz="4" w:space="0"/>
                    <w:left w:val="single" w:color="auto" w:sz="4" w:space="0"/>
                    <w:bottom w:val="single" w:color="auto" w:sz="4" w:space="0"/>
                    <w:right w:val="single" w:color="auto" w:sz="4" w:space="0"/>
                  </w:tcBorders>
                  <w:vAlign w:val="center"/>
                </w:tcPr>
                <w:p w14:paraId="401E17B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挥发性有机物（非甲烷总烃）</w:t>
                  </w:r>
                </w:p>
              </w:tc>
              <w:tc>
                <w:tcPr>
                  <w:tcW w:w="1699" w:type="dxa"/>
                  <w:tcBorders>
                    <w:top w:val="single" w:color="auto" w:sz="4" w:space="0"/>
                    <w:left w:val="single" w:color="auto" w:sz="4" w:space="0"/>
                    <w:bottom w:val="single" w:color="auto" w:sz="4" w:space="0"/>
                    <w:right w:val="single" w:color="auto" w:sz="4" w:space="0"/>
                  </w:tcBorders>
                  <w:vAlign w:val="center"/>
                </w:tcPr>
                <w:p w14:paraId="570CFE9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36.4167 </w:t>
                  </w:r>
                </w:p>
              </w:tc>
              <w:tc>
                <w:tcPr>
                  <w:tcW w:w="1886" w:type="dxa"/>
                  <w:tcBorders>
                    <w:top w:val="single" w:color="auto" w:sz="4" w:space="0"/>
                    <w:left w:val="single" w:color="auto" w:sz="4" w:space="0"/>
                    <w:bottom w:val="single" w:color="auto" w:sz="4" w:space="0"/>
                    <w:right w:val="single" w:color="auto" w:sz="4" w:space="0"/>
                  </w:tcBorders>
                  <w:vAlign w:val="center"/>
                </w:tcPr>
                <w:p w14:paraId="7274E8F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0.3642 </w:t>
                  </w:r>
                </w:p>
              </w:tc>
              <w:tc>
                <w:tcPr>
                  <w:tcW w:w="1754" w:type="dxa"/>
                  <w:tcBorders>
                    <w:top w:val="single" w:color="auto" w:sz="4" w:space="0"/>
                    <w:left w:val="single" w:color="auto" w:sz="4" w:space="0"/>
                    <w:bottom w:val="single" w:color="auto" w:sz="4" w:space="0"/>
                    <w:right w:val="single" w:color="auto" w:sz="4" w:space="0"/>
                  </w:tcBorders>
                  <w:vAlign w:val="center"/>
                </w:tcPr>
                <w:p w14:paraId="654A5BE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0.874</w:t>
                  </w:r>
                </w:p>
              </w:tc>
            </w:tr>
            <w:tr w14:paraId="566A4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 w:type="pct"/>
                  <w:vMerge w:val="continue"/>
                  <w:tcBorders>
                    <w:left w:val="single" w:color="auto" w:sz="4" w:space="0"/>
                    <w:right w:val="single" w:color="auto" w:sz="4" w:space="0"/>
                  </w:tcBorders>
                  <w:vAlign w:val="center"/>
                </w:tcPr>
                <w:p w14:paraId="2358D096">
                  <w:pPr>
                    <w:jc w:val="center"/>
                    <w:rPr>
                      <w:rFonts w:hint="eastAsia" w:ascii="Times New Roman" w:hAnsi="Times New Roman" w:eastAsia="宋体" w:cs="Times New Roman"/>
                      <w:color w:val="000000" w:themeColor="text1"/>
                      <w:szCs w:val="21"/>
                      <w:highlight w:val="none"/>
                      <w:lang w:val="en-US" w:eastAsia="zh-CN" w:bidi="ar"/>
                      <w14:textFill>
                        <w14:solidFill>
                          <w14:schemeClr w14:val="tx1"/>
                        </w14:solidFill>
                      </w14:textFill>
                    </w:rPr>
                  </w:pPr>
                </w:p>
              </w:tc>
              <w:tc>
                <w:tcPr>
                  <w:tcW w:w="696" w:type="pct"/>
                  <w:vMerge w:val="continue"/>
                  <w:tcBorders>
                    <w:left w:val="single" w:color="auto" w:sz="4" w:space="0"/>
                    <w:right w:val="single" w:color="auto" w:sz="4" w:space="0"/>
                  </w:tcBorders>
                  <w:vAlign w:val="center"/>
                </w:tcPr>
                <w:p w14:paraId="1F2C8E59">
                  <w:pPr>
                    <w:jc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779" w:type="pct"/>
                  <w:tcBorders>
                    <w:top w:val="single" w:color="auto" w:sz="4" w:space="0"/>
                    <w:left w:val="single" w:color="auto" w:sz="4" w:space="0"/>
                    <w:bottom w:val="single" w:color="auto" w:sz="4" w:space="0"/>
                    <w:right w:val="single" w:color="auto" w:sz="4" w:space="0"/>
                  </w:tcBorders>
                  <w:vAlign w:val="center"/>
                </w:tcPr>
                <w:p w14:paraId="51C2B4E0">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1013" w:type="pct"/>
                  <w:tcBorders>
                    <w:top w:val="single" w:color="auto" w:sz="4" w:space="0"/>
                    <w:left w:val="single" w:color="auto" w:sz="4" w:space="0"/>
                    <w:bottom w:val="single" w:color="auto" w:sz="4" w:space="0"/>
                    <w:right w:val="single" w:color="auto" w:sz="4" w:space="0"/>
                  </w:tcBorders>
                  <w:vAlign w:val="center"/>
                </w:tcPr>
                <w:p w14:paraId="5AB9A27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1124" w:type="pct"/>
                  <w:tcBorders>
                    <w:top w:val="single" w:color="auto" w:sz="4" w:space="0"/>
                    <w:left w:val="single" w:color="auto" w:sz="4" w:space="0"/>
                    <w:bottom w:val="single" w:color="auto" w:sz="4" w:space="0"/>
                    <w:right w:val="single" w:color="auto" w:sz="4" w:space="0"/>
                  </w:tcBorders>
                  <w:vAlign w:val="center"/>
                </w:tcPr>
                <w:p w14:paraId="1142922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1045" w:type="pct"/>
                  <w:tcBorders>
                    <w:top w:val="single" w:color="auto" w:sz="4" w:space="0"/>
                    <w:left w:val="single" w:color="auto" w:sz="4" w:space="0"/>
                    <w:bottom w:val="single" w:color="auto" w:sz="4" w:space="0"/>
                    <w:right w:val="single" w:color="auto" w:sz="4" w:space="0"/>
                  </w:tcBorders>
                  <w:vAlign w:val="center"/>
                </w:tcPr>
                <w:p w14:paraId="1E25990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526E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 w:type="pct"/>
                  <w:vMerge w:val="continue"/>
                  <w:tcBorders>
                    <w:left w:val="single" w:color="auto" w:sz="4" w:space="0"/>
                    <w:right w:val="single" w:color="auto" w:sz="4" w:space="0"/>
                  </w:tcBorders>
                  <w:vAlign w:val="center"/>
                </w:tcPr>
                <w:p w14:paraId="18BD010E">
                  <w:pPr>
                    <w:jc w:val="center"/>
                    <w:rPr>
                      <w:rFonts w:hint="eastAsia" w:ascii="Times New Roman" w:hAnsi="Times New Roman" w:eastAsia="宋体" w:cs="Times New Roman"/>
                      <w:color w:val="000000" w:themeColor="text1"/>
                      <w:szCs w:val="21"/>
                      <w:highlight w:val="none"/>
                      <w:lang w:val="en-US" w:eastAsia="zh-CN" w:bidi="ar"/>
                      <w14:textFill>
                        <w14:solidFill>
                          <w14:schemeClr w14:val="tx1"/>
                        </w14:solidFill>
                      </w14:textFill>
                    </w:rPr>
                  </w:pPr>
                </w:p>
              </w:tc>
              <w:tc>
                <w:tcPr>
                  <w:tcW w:w="696" w:type="pct"/>
                  <w:vMerge w:val="continue"/>
                  <w:tcBorders>
                    <w:left w:val="single" w:color="auto" w:sz="4" w:space="0"/>
                    <w:right w:val="single" w:color="auto" w:sz="4" w:space="0"/>
                  </w:tcBorders>
                  <w:vAlign w:val="center"/>
                </w:tcPr>
                <w:p w14:paraId="43CADB42">
                  <w:pPr>
                    <w:jc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779" w:type="pct"/>
                  <w:tcBorders>
                    <w:top w:val="single" w:color="auto" w:sz="4" w:space="0"/>
                    <w:left w:val="single" w:color="auto" w:sz="4" w:space="0"/>
                    <w:bottom w:val="single" w:color="auto" w:sz="4" w:space="0"/>
                    <w:right w:val="single" w:color="auto" w:sz="4" w:space="0"/>
                  </w:tcBorders>
                  <w:vAlign w:val="center"/>
                </w:tcPr>
                <w:p w14:paraId="2A85A680">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1013" w:type="pct"/>
                  <w:tcBorders>
                    <w:top w:val="single" w:color="auto" w:sz="4" w:space="0"/>
                    <w:left w:val="single" w:color="auto" w:sz="4" w:space="0"/>
                    <w:bottom w:val="single" w:color="auto" w:sz="4" w:space="0"/>
                    <w:right w:val="single" w:color="auto" w:sz="4" w:space="0"/>
                  </w:tcBorders>
                  <w:vAlign w:val="center"/>
                </w:tcPr>
                <w:p w14:paraId="5AC6924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1124" w:type="pct"/>
                  <w:tcBorders>
                    <w:top w:val="single" w:color="auto" w:sz="4" w:space="0"/>
                    <w:left w:val="single" w:color="auto" w:sz="4" w:space="0"/>
                    <w:bottom w:val="single" w:color="auto" w:sz="4" w:space="0"/>
                    <w:right w:val="single" w:color="auto" w:sz="4" w:space="0"/>
                  </w:tcBorders>
                  <w:vAlign w:val="center"/>
                </w:tcPr>
                <w:p w14:paraId="465C375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1045" w:type="pct"/>
                  <w:tcBorders>
                    <w:top w:val="single" w:color="auto" w:sz="4" w:space="0"/>
                    <w:left w:val="single" w:color="auto" w:sz="4" w:space="0"/>
                    <w:bottom w:val="single" w:color="auto" w:sz="4" w:space="0"/>
                    <w:right w:val="single" w:color="auto" w:sz="4" w:space="0"/>
                  </w:tcBorders>
                  <w:vAlign w:val="center"/>
                </w:tcPr>
                <w:p w14:paraId="6F81466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01DEA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 w:type="pct"/>
                  <w:vMerge w:val="continue"/>
                  <w:tcBorders>
                    <w:left w:val="single" w:color="auto" w:sz="4" w:space="0"/>
                    <w:right w:val="single" w:color="auto" w:sz="4" w:space="0"/>
                  </w:tcBorders>
                  <w:vAlign w:val="center"/>
                </w:tcPr>
                <w:p w14:paraId="55D0BAE6">
                  <w:pPr>
                    <w:jc w:val="center"/>
                    <w:rPr>
                      <w:rFonts w:hint="eastAsia" w:ascii="Times New Roman" w:hAnsi="Times New Roman" w:eastAsia="宋体" w:cs="Times New Roman"/>
                      <w:color w:val="000000" w:themeColor="text1"/>
                      <w:szCs w:val="21"/>
                      <w:highlight w:val="none"/>
                      <w:lang w:val="en-US" w:eastAsia="zh-CN" w:bidi="ar"/>
                      <w14:textFill>
                        <w14:solidFill>
                          <w14:schemeClr w14:val="tx1"/>
                        </w14:solidFill>
                      </w14:textFill>
                    </w:rPr>
                  </w:pPr>
                </w:p>
              </w:tc>
              <w:tc>
                <w:tcPr>
                  <w:tcW w:w="696" w:type="pct"/>
                  <w:vMerge w:val="continue"/>
                  <w:tcBorders>
                    <w:left w:val="single" w:color="auto" w:sz="4" w:space="0"/>
                    <w:right w:val="single" w:color="auto" w:sz="4" w:space="0"/>
                  </w:tcBorders>
                  <w:vAlign w:val="center"/>
                </w:tcPr>
                <w:p w14:paraId="4F9039F7">
                  <w:pPr>
                    <w:jc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779" w:type="pct"/>
                  <w:tcBorders>
                    <w:top w:val="single" w:color="auto" w:sz="4" w:space="0"/>
                    <w:left w:val="single" w:color="auto" w:sz="4" w:space="0"/>
                    <w:bottom w:val="single" w:color="auto" w:sz="4" w:space="0"/>
                    <w:right w:val="single" w:color="auto" w:sz="4" w:space="0"/>
                  </w:tcBorders>
                  <w:vAlign w:val="center"/>
                </w:tcPr>
                <w:p w14:paraId="09848F0A">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乙苯</w:t>
                  </w:r>
                </w:p>
              </w:tc>
              <w:tc>
                <w:tcPr>
                  <w:tcW w:w="1013" w:type="pct"/>
                  <w:tcBorders>
                    <w:top w:val="single" w:color="auto" w:sz="4" w:space="0"/>
                    <w:left w:val="single" w:color="auto" w:sz="4" w:space="0"/>
                    <w:bottom w:val="single" w:color="auto" w:sz="4" w:space="0"/>
                    <w:right w:val="single" w:color="auto" w:sz="4" w:space="0"/>
                  </w:tcBorders>
                  <w:vAlign w:val="center"/>
                </w:tcPr>
                <w:p w14:paraId="546384B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1124" w:type="pct"/>
                  <w:tcBorders>
                    <w:top w:val="single" w:color="auto" w:sz="4" w:space="0"/>
                    <w:left w:val="single" w:color="auto" w:sz="4" w:space="0"/>
                    <w:bottom w:val="single" w:color="auto" w:sz="4" w:space="0"/>
                    <w:right w:val="single" w:color="auto" w:sz="4" w:space="0"/>
                  </w:tcBorders>
                  <w:vAlign w:val="center"/>
                </w:tcPr>
                <w:p w14:paraId="6F9EDA9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1045" w:type="pct"/>
                  <w:tcBorders>
                    <w:top w:val="single" w:color="auto" w:sz="4" w:space="0"/>
                    <w:left w:val="single" w:color="auto" w:sz="4" w:space="0"/>
                    <w:bottom w:val="single" w:color="auto" w:sz="4" w:space="0"/>
                    <w:right w:val="single" w:color="auto" w:sz="4" w:space="0"/>
                  </w:tcBorders>
                  <w:vAlign w:val="center"/>
                </w:tcPr>
                <w:p w14:paraId="00934C1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13B29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restart"/>
                  <w:tcBorders>
                    <w:left w:val="single" w:color="auto" w:sz="4" w:space="0"/>
                    <w:right w:val="single" w:color="auto" w:sz="4" w:space="0"/>
                  </w:tcBorders>
                  <w:vAlign w:val="center"/>
                </w:tcPr>
                <w:p w14:paraId="3B2BEA40">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一般排放口</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br w:type="textWrapping"/>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合计</w:t>
                  </w: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4B42BD06">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挥发性有机物（非甲烷总烃）</w:t>
                  </w:r>
                </w:p>
              </w:tc>
              <w:tc>
                <w:tcPr>
                  <w:tcW w:w="1045" w:type="pct"/>
                  <w:tcBorders>
                    <w:top w:val="single" w:color="auto" w:sz="4" w:space="0"/>
                    <w:left w:val="single" w:color="auto" w:sz="4" w:space="0"/>
                    <w:bottom w:val="single" w:color="auto" w:sz="4" w:space="0"/>
                    <w:right w:val="single" w:color="auto" w:sz="4" w:space="0"/>
                  </w:tcBorders>
                  <w:vAlign w:val="center"/>
                </w:tcPr>
                <w:p w14:paraId="40C0CA60">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0.874</w:t>
                  </w:r>
                </w:p>
              </w:tc>
            </w:tr>
            <w:tr w14:paraId="0CF92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77141BC6">
                  <w:pPr>
                    <w:jc w:val="center"/>
                    <w:rPr>
                      <w:rFonts w:hint="default" w:ascii="Times New Roman" w:hAnsi="Times New Roman" w:eastAsia="宋体" w:cs="Times New Roman"/>
                      <w:color w:val="000000" w:themeColor="text1"/>
                      <w:szCs w:val="21"/>
                      <w:highlight w:val="none"/>
                      <w:lang w:val="zh-CN" w:bidi="ar"/>
                      <w14:textFill>
                        <w14:solidFill>
                          <w14:schemeClr w14:val="tx1"/>
                        </w14:solidFill>
                      </w14:textFill>
                    </w:rPr>
                  </w:pP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6FC96E6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颗粒物</w:t>
                  </w:r>
                </w:p>
              </w:tc>
              <w:tc>
                <w:tcPr>
                  <w:tcW w:w="1045" w:type="pct"/>
                  <w:tcBorders>
                    <w:top w:val="single" w:color="auto" w:sz="4" w:space="0"/>
                    <w:left w:val="single" w:color="auto" w:sz="4" w:space="0"/>
                    <w:bottom w:val="single" w:color="auto" w:sz="4" w:space="0"/>
                    <w:right w:val="single" w:color="auto" w:sz="4" w:space="0"/>
                  </w:tcBorders>
                  <w:vAlign w:val="center"/>
                </w:tcPr>
                <w:p w14:paraId="6556B504">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0.0159</w:t>
                  </w:r>
                </w:p>
              </w:tc>
            </w:tr>
            <w:tr w14:paraId="01463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037" w:type="pct"/>
                  <w:gridSpan w:val="2"/>
                  <w:vMerge w:val="continue"/>
                  <w:tcBorders>
                    <w:left w:val="single" w:color="auto" w:sz="4" w:space="0"/>
                    <w:right w:val="single" w:color="auto" w:sz="4" w:space="0"/>
                  </w:tcBorders>
                  <w:vAlign w:val="center"/>
                </w:tcPr>
                <w:p w14:paraId="2F27BF1F">
                  <w:pPr>
                    <w:jc w:val="center"/>
                    <w:rPr>
                      <w:rFonts w:hint="default" w:ascii="Times New Roman" w:hAnsi="Times New Roman" w:eastAsia="宋体" w:cs="Times New Roman"/>
                      <w:color w:val="000000" w:themeColor="text1"/>
                      <w:szCs w:val="21"/>
                      <w:highlight w:val="none"/>
                      <w:lang w:val="zh-CN" w:bidi="ar"/>
                      <w14:textFill>
                        <w14:solidFill>
                          <w14:schemeClr w14:val="tx1"/>
                        </w14:solidFill>
                      </w14:textFill>
                    </w:rPr>
                  </w:pP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566ABFDB">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1045" w:type="pct"/>
                  <w:tcBorders>
                    <w:top w:val="single" w:color="auto" w:sz="4" w:space="0"/>
                    <w:left w:val="single" w:color="auto" w:sz="4" w:space="0"/>
                    <w:bottom w:val="single" w:color="auto" w:sz="4" w:space="0"/>
                    <w:right w:val="single" w:color="auto" w:sz="4" w:space="0"/>
                  </w:tcBorders>
                  <w:vAlign w:val="center"/>
                </w:tcPr>
                <w:p w14:paraId="581F24D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32B70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16A36337">
                  <w:pPr>
                    <w:jc w:val="center"/>
                    <w:rPr>
                      <w:rFonts w:hint="default" w:ascii="Times New Roman" w:hAnsi="Times New Roman" w:eastAsia="宋体" w:cs="Times New Roman"/>
                      <w:color w:val="000000" w:themeColor="text1"/>
                      <w:szCs w:val="21"/>
                      <w:highlight w:val="none"/>
                      <w:lang w:val="zh-CN" w:bidi="ar"/>
                      <w14:textFill>
                        <w14:solidFill>
                          <w14:schemeClr w14:val="tx1"/>
                        </w14:solidFill>
                      </w14:textFill>
                    </w:rPr>
                  </w:pP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793B147A">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1045" w:type="pct"/>
                  <w:tcBorders>
                    <w:top w:val="single" w:color="auto" w:sz="4" w:space="0"/>
                    <w:left w:val="single" w:color="auto" w:sz="4" w:space="0"/>
                    <w:bottom w:val="single" w:color="auto" w:sz="4" w:space="0"/>
                    <w:right w:val="single" w:color="auto" w:sz="4" w:space="0"/>
                  </w:tcBorders>
                  <w:vAlign w:val="center"/>
                </w:tcPr>
                <w:p w14:paraId="799AAB0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2737F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31D89039">
                  <w:pPr>
                    <w:jc w:val="center"/>
                    <w:rPr>
                      <w:rFonts w:hint="default" w:ascii="Times New Roman" w:hAnsi="Times New Roman" w:eastAsia="宋体" w:cs="Times New Roman"/>
                      <w:color w:val="000000" w:themeColor="text1"/>
                      <w:szCs w:val="21"/>
                      <w:highlight w:val="none"/>
                      <w:lang w:val="zh-CN" w:bidi="ar"/>
                      <w14:textFill>
                        <w14:solidFill>
                          <w14:schemeClr w14:val="tx1"/>
                        </w14:solidFill>
                      </w14:textFill>
                    </w:rPr>
                  </w:pP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640D732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乙苯</w:t>
                  </w:r>
                </w:p>
              </w:tc>
              <w:tc>
                <w:tcPr>
                  <w:tcW w:w="1045" w:type="pct"/>
                  <w:tcBorders>
                    <w:top w:val="single" w:color="auto" w:sz="4" w:space="0"/>
                    <w:left w:val="single" w:color="auto" w:sz="4" w:space="0"/>
                    <w:bottom w:val="single" w:color="auto" w:sz="4" w:space="0"/>
                    <w:right w:val="single" w:color="auto" w:sz="4" w:space="0"/>
                  </w:tcBorders>
                  <w:vAlign w:val="center"/>
                </w:tcPr>
                <w:p w14:paraId="4C9E5F0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00191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6"/>
                  <w:tcBorders>
                    <w:left w:val="single" w:color="auto" w:sz="4" w:space="0"/>
                    <w:right w:val="single" w:color="auto" w:sz="4" w:space="0"/>
                  </w:tcBorders>
                  <w:vAlign w:val="center"/>
                </w:tcPr>
                <w:p w14:paraId="2A761C4F">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有组织排放总计</w:t>
                  </w:r>
                </w:p>
              </w:tc>
            </w:tr>
            <w:tr w14:paraId="5F93C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restart"/>
                  <w:tcBorders>
                    <w:left w:val="single" w:color="auto" w:sz="4" w:space="0"/>
                    <w:right w:val="single" w:color="auto" w:sz="4" w:space="0"/>
                  </w:tcBorders>
                  <w:vAlign w:val="center"/>
                </w:tcPr>
                <w:p w14:paraId="069E16DA">
                  <w:pPr>
                    <w:widowControl/>
                    <w:jc w:val="center"/>
                    <w:textAlignment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有组织排放</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br w:type="textWrapping"/>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总计</w:t>
                  </w: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44792078">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挥发性有机物（非甲烷总烃）</w:t>
                  </w:r>
                </w:p>
              </w:tc>
              <w:tc>
                <w:tcPr>
                  <w:tcW w:w="1754" w:type="dxa"/>
                  <w:tcBorders>
                    <w:top w:val="single" w:color="auto" w:sz="4" w:space="0"/>
                    <w:left w:val="single" w:color="auto" w:sz="4" w:space="0"/>
                    <w:bottom w:val="single" w:color="auto" w:sz="4" w:space="0"/>
                    <w:right w:val="single" w:color="auto" w:sz="4" w:space="0"/>
                  </w:tcBorders>
                  <w:vAlign w:val="center"/>
                </w:tcPr>
                <w:p w14:paraId="57E35F4B">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0.874</w:t>
                  </w:r>
                </w:p>
              </w:tc>
            </w:tr>
            <w:tr w14:paraId="0EC94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7A3EA3A6">
                  <w:pPr>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p>
              </w:tc>
              <w:tc>
                <w:tcPr>
                  <w:tcW w:w="2917" w:type="pct"/>
                  <w:gridSpan w:val="3"/>
                  <w:tcBorders>
                    <w:top w:val="single" w:color="auto" w:sz="4" w:space="0"/>
                    <w:left w:val="single" w:color="auto" w:sz="4" w:space="0"/>
                    <w:bottom w:val="single" w:color="auto" w:sz="4" w:space="0"/>
                    <w:right w:val="single" w:color="auto" w:sz="4" w:space="0"/>
                  </w:tcBorders>
                  <w:vAlign w:val="center"/>
                </w:tcPr>
                <w:p w14:paraId="0888479B">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颗粒物</w:t>
                  </w:r>
                </w:p>
              </w:tc>
              <w:tc>
                <w:tcPr>
                  <w:tcW w:w="1754" w:type="dxa"/>
                  <w:tcBorders>
                    <w:top w:val="single" w:color="auto" w:sz="4" w:space="0"/>
                    <w:left w:val="single" w:color="auto" w:sz="4" w:space="0"/>
                    <w:bottom w:val="single" w:color="auto" w:sz="4" w:space="0"/>
                    <w:right w:val="single" w:color="auto" w:sz="4" w:space="0"/>
                  </w:tcBorders>
                  <w:vAlign w:val="center"/>
                </w:tcPr>
                <w:p w14:paraId="75F139F3">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0.0159</w:t>
                  </w:r>
                </w:p>
              </w:tc>
            </w:tr>
            <w:tr w14:paraId="12E95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5B15E00F">
                  <w:pPr>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p>
              </w:tc>
              <w:tc>
                <w:tcPr>
                  <w:tcW w:w="4886" w:type="dxa"/>
                  <w:gridSpan w:val="3"/>
                  <w:tcBorders>
                    <w:top w:val="single" w:color="auto" w:sz="4" w:space="0"/>
                    <w:left w:val="single" w:color="auto" w:sz="4" w:space="0"/>
                    <w:bottom w:val="single" w:color="auto" w:sz="4" w:space="0"/>
                    <w:right w:val="single" w:color="auto" w:sz="4" w:space="0"/>
                  </w:tcBorders>
                  <w:vAlign w:val="center"/>
                </w:tcPr>
                <w:p w14:paraId="731E2916">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1752" w:type="dxa"/>
                  <w:tcBorders>
                    <w:top w:val="single" w:color="auto" w:sz="4" w:space="0"/>
                    <w:left w:val="single" w:color="auto" w:sz="4" w:space="0"/>
                    <w:bottom w:val="single" w:color="auto" w:sz="4" w:space="0"/>
                    <w:right w:val="single" w:color="auto" w:sz="4" w:space="0"/>
                  </w:tcBorders>
                  <w:vAlign w:val="center"/>
                </w:tcPr>
                <w:p w14:paraId="6AED78E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1FC9E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7081CC93">
                  <w:pPr>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p>
              </w:tc>
              <w:tc>
                <w:tcPr>
                  <w:tcW w:w="4886" w:type="dxa"/>
                  <w:gridSpan w:val="3"/>
                  <w:tcBorders>
                    <w:top w:val="single" w:color="auto" w:sz="4" w:space="0"/>
                    <w:left w:val="single" w:color="auto" w:sz="4" w:space="0"/>
                    <w:bottom w:val="single" w:color="auto" w:sz="4" w:space="0"/>
                    <w:right w:val="single" w:color="auto" w:sz="4" w:space="0"/>
                  </w:tcBorders>
                  <w:vAlign w:val="center"/>
                </w:tcPr>
                <w:p w14:paraId="3BECE695">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1752" w:type="dxa"/>
                  <w:tcBorders>
                    <w:top w:val="single" w:color="auto" w:sz="4" w:space="0"/>
                    <w:left w:val="single" w:color="auto" w:sz="4" w:space="0"/>
                    <w:bottom w:val="single" w:color="auto" w:sz="4" w:space="0"/>
                    <w:right w:val="single" w:color="auto" w:sz="4" w:space="0"/>
                  </w:tcBorders>
                  <w:vAlign w:val="center"/>
                </w:tcPr>
                <w:p w14:paraId="19AFDA7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3E4E4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7" w:type="pct"/>
                  <w:gridSpan w:val="2"/>
                  <w:vMerge w:val="continue"/>
                  <w:tcBorders>
                    <w:left w:val="single" w:color="auto" w:sz="4" w:space="0"/>
                    <w:right w:val="single" w:color="auto" w:sz="4" w:space="0"/>
                  </w:tcBorders>
                  <w:vAlign w:val="center"/>
                </w:tcPr>
                <w:p w14:paraId="27CA15B2">
                  <w:pPr>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p>
              </w:tc>
              <w:tc>
                <w:tcPr>
                  <w:tcW w:w="4886" w:type="dxa"/>
                  <w:gridSpan w:val="3"/>
                  <w:tcBorders>
                    <w:top w:val="single" w:color="auto" w:sz="4" w:space="0"/>
                    <w:left w:val="single" w:color="auto" w:sz="4" w:space="0"/>
                    <w:right w:val="single" w:color="auto" w:sz="4" w:space="0"/>
                  </w:tcBorders>
                  <w:vAlign w:val="center"/>
                </w:tcPr>
                <w:p w14:paraId="56F8CB1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乙苯</w:t>
                  </w:r>
                </w:p>
              </w:tc>
              <w:tc>
                <w:tcPr>
                  <w:tcW w:w="1752" w:type="dxa"/>
                  <w:tcBorders>
                    <w:top w:val="single" w:color="auto" w:sz="4" w:space="0"/>
                    <w:left w:val="single" w:color="auto" w:sz="4" w:space="0"/>
                    <w:bottom w:val="single" w:color="auto" w:sz="4" w:space="0"/>
                    <w:right w:val="single" w:color="auto" w:sz="4" w:space="0"/>
                  </w:tcBorders>
                  <w:vAlign w:val="center"/>
                </w:tcPr>
                <w:p w14:paraId="111400A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bl>
          <w:p w14:paraId="68A8E094">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大气污染物无组织排放量核算表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570"/>
              <w:gridCol w:w="869"/>
              <w:gridCol w:w="134"/>
              <w:gridCol w:w="733"/>
              <w:gridCol w:w="1013"/>
              <w:gridCol w:w="2210"/>
              <w:gridCol w:w="1357"/>
              <w:gridCol w:w="1068"/>
            </w:tblGrid>
            <w:tr w14:paraId="0710C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 w:type="pct"/>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5128BD5F">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序号</w:t>
                  </w:r>
                </w:p>
              </w:tc>
              <w:tc>
                <w:tcPr>
                  <w:tcW w:w="339" w:type="pct"/>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5F2AEC25">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排放口编号</w:t>
                  </w:r>
                </w:p>
              </w:tc>
              <w:tc>
                <w:tcPr>
                  <w:tcW w:w="518" w:type="pct"/>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91BD324">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产污环节</w:t>
                  </w:r>
                </w:p>
              </w:tc>
              <w:tc>
                <w:tcPr>
                  <w:tcW w:w="517" w:type="pct"/>
                  <w:gridSpan w:val="2"/>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2EA6F34">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污染物</w:t>
                  </w:r>
                </w:p>
              </w:tc>
              <w:tc>
                <w:tcPr>
                  <w:tcW w:w="604" w:type="pct"/>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1BD1224">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主要污染物防治措施</w:t>
                  </w:r>
                </w:p>
              </w:tc>
              <w:tc>
                <w:tcPr>
                  <w:tcW w:w="2127" w:type="pct"/>
                  <w:gridSpan w:val="2"/>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09028FA1">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国家或地方污染物排放标准</w:t>
                  </w:r>
                </w:p>
              </w:tc>
              <w:tc>
                <w:tcPr>
                  <w:tcW w:w="636" w:type="pct"/>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0919C26">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年排放量（t/a）</w:t>
                  </w:r>
                </w:p>
              </w:tc>
            </w:tr>
            <w:tr w14:paraId="6D98E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3E6155FA">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39" w:type="pct"/>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542916F">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8" w:type="pct"/>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0C98EF98">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7" w:type="pct"/>
                  <w:gridSpan w:val="2"/>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6B3F5D0">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604" w:type="pct"/>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CE167CA">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317"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3B5225B0">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标准名称</w:t>
                  </w:r>
                </w:p>
              </w:tc>
              <w:tc>
                <w:tcPr>
                  <w:tcW w:w="809"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75CC4C5A">
                  <w:pPr>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浓度限值（</w:t>
                  </w:r>
                  <w:r>
                    <w:rPr>
                      <w:rFonts w:hint="default" w:ascii="Times New Roman" w:hAnsi="Times New Roman" w:eastAsia="宋体" w:cs="Times New Roman"/>
                      <w:b/>
                      <w:color w:val="000000" w:themeColor="text1"/>
                      <w:szCs w:val="21"/>
                      <w:highlight w:val="none"/>
                      <w:lang w:bidi="ar"/>
                      <w14:textFill>
                        <w14:solidFill>
                          <w14:schemeClr w14:val="tx1"/>
                        </w14:solidFill>
                      </w14:textFill>
                    </w:rPr>
                    <w:t>m</w:t>
                  </w: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g/m</w:t>
                  </w:r>
                  <w:r>
                    <w:rPr>
                      <w:rFonts w:hint="default" w:ascii="Times New Roman" w:hAnsi="Times New Roman" w:eastAsia="宋体" w:cs="Times New Roman"/>
                      <w:b/>
                      <w:color w:val="000000" w:themeColor="text1"/>
                      <w:szCs w:val="21"/>
                      <w:highlight w:val="none"/>
                      <w:vertAlign w:val="superscript"/>
                      <w:lang w:val="zh-CN" w:bidi="ar"/>
                      <w14:textFill>
                        <w14:solidFill>
                          <w14:schemeClr w14:val="tx1"/>
                        </w14:solidFill>
                      </w14:textFill>
                    </w:rPr>
                    <w:t>3</w:t>
                  </w:r>
                  <w:r>
                    <w:rPr>
                      <w:rFonts w:hint="default" w:ascii="Times New Roman" w:hAnsi="Times New Roman" w:eastAsia="宋体" w:cs="Times New Roman"/>
                      <w:b/>
                      <w:color w:val="000000" w:themeColor="text1"/>
                      <w:szCs w:val="21"/>
                      <w:highlight w:val="none"/>
                      <w:lang w:val="zh-CN" w:bidi="ar"/>
                      <w14:textFill>
                        <w14:solidFill>
                          <w14:schemeClr w14:val="tx1"/>
                        </w14:solidFill>
                      </w14:textFill>
                    </w:rPr>
                    <w:t>）</w:t>
                  </w:r>
                </w:p>
              </w:tc>
              <w:tc>
                <w:tcPr>
                  <w:tcW w:w="636" w:type="pct"/>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361C7AD">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4A9F8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56" w:type="pct"/>
                  <w:vMerge w:val="restart"/>
                  <w:tcBorders>
                    <w:top w:val="single" w:color="auto" w:sz="4" w:space="0"/>
                    <w:left w:val="single" w:color="auto" w:sz="4" w:space="0"/>
                    <w:right w:val="single" w:color="auto" w:sz="4" w:space="0"/>
                  </w:tcBorders>
                  <w:vAlign w:val="center"/>
                </w:tcPr>
                <w:p w14:paraId="3C62EF8F">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1</w:t>
                  </w:r>
                </w:p>
              </w:tc>
              <w:tc>
                <w:tcPr>
                  <w:tcW w:w="339" w:type="pct"/>
                  <w:vMerge w:val="restart"/>
                  <w:tcBorders>
                    <w:top w:val="single" w:color="auto" w:sz="4" w:space="0"/>
                    <w:left w:val="single" w:color="auto" w:sz="4" w:space="0"/>
                    <w:right w:val="single" w:color="auto" w:sz="4" w:space="0"/>
                  </w:tcBorders>
                  <w:vAlign w:val="center"/>
                </w:tcPr>
                <w:p w14:paraId="7C3EF677">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w:t>
                  </w:r>
                </w:p>
              </w:tc>
              <w:tc>
                <w:tcPr>
                  <w:tcW w:w="518" w:type="pct"/>
                  <w:vMerge w:val="restart"/>
                  <w:tcBorders>
                    <w:top w:val="single" w:color="auto" w:sz="4" w:space="0"/>
                    <w:left w:val="single" w:color="auto" w:sz="4" w:space="0"/>
                    <w:right w:val="single" w:color="auto" w:sz="4" w:space="0"/>
                  </w:tcBorders>
                  <w:vAlign w:val="center"/>
                </w:tcPr>
                <w:p w14:paraId="6202C6F8">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投料、挤出、破碎、</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工序</w:t>
                  </w:r>
                </w:p>
              </w:tc>
              <w:tc>
                <w:tcPr>
                  <w:tcW w:w="517" w:type="pct"/>
                  <w:gridSpan w:val="2"/>
                  <w:tcBorders>
                    <w:top w:val="single" w:color="auto" w:sz="4" w:space="0"/>
                    <w:left w:val="single" w:color="auto" w:sz="4" w:space="0"/>
                    <w:right w:val="single" w:color="auto" w:sz="4" w:space="0"/>
                  </w:tcBorders>
                  <w:vAlign w:val="center"/>
                </w:tcPr>
                <w:p w14:paraId="3A810B09">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颗粒物</w:t>
                  </w:r>
                </w:p>
              </w:tc>
              <w:tc>
                <w:tcPr>
                  <w:tcW w:w="604" w:type="pct"/>
                  <w:vMerge w:val="restart"/>
                  <w:tcBorders>
                    <w:top w:val="single" w:color="auto" w:sz="4" w:space="0"/>
                    <w:left w:val="single" w:color="auto" w:sz="4" w:space="0"/>
                    <w:right w:val="single" w:color="auto" w:sz="4" w:space="0"/>
                  </w:tcBorders>
                  <w:vAlign w:val="center"/>
                </w:tcPr>
                <w:p w14:paraId="63468805">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1317" w:type="pct"/>
                  <w:vMerge w:val="restart"/>
                  <w:tcBorders>
                    <w:top w:val="single" w:color="auto" w:sz="4" w:space="0"/>
                    <w:left w:val="single" w:color="auto" w:sz="4" w:space="0"/>
                    <w:right w:val="single" w:color="auto" w:sz="4" w:space="0"/>
                  </w:tcBorders>
                  <w:vAlign w:val="center"/>
                </w:tcPr>
                <w:p w14:paraId="233571FB">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《合成树脂工业污染物排放标准》（</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GB 31572—2015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）表</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企业边界大气污染物浓度限值</w:t>
                  </w:r>
                </w:p>
              </w:tc>
              <w:tc>
                <w:tcPr>
                  <w:tcW w:w="809" w:type="pct"/>
                  <w:tcBorders>
                    <w:top w:val="single" w:color="auto" w:sz="4" w:space="0"/>
                    <w:left w:val="single" w:color="auto" w:sz="4" w:space="0"/>
                    <w:right w:val="single" w:color="auto" w:sz="4" w:space="0"/>
                  </w:tcBorders>
                  <w:vAlign w:val="center"/>
                </w:tcPr>
                <w:p w14:paraId="735E68EF">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636" w:type="pct"/>
                  <w:tcBorders>
                    <w:top w:val="single" w:color="auto" w:sz="4" w:space="0"/>
                    <w:left w:val="single" w:color="auto" w:sz="4" w:space="0"/>
                    <w:right w:val="single" w:color="auto" w:sz="4" w:space="0"/>
                  </w:tcBorders>
                  <w:vAlign w:val="center"/>
                </w:tcPr>
                <w:p w14:paraId="760C54A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0.3127</w:t>
                  </w:r>
                </w:p>
              </w:tc>
            </w:tr>
            <w:tr w14:paraId="62B8B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56" w:type="pct"/>
                  <w:vMerge w:val="continue"/>
                  <w:tcBorders>
                    <w:left w:val="single" w:color="auto" w:sz="4" w:space="0"/>
                    <w:right w:val="single" w:color="auto" w:sz="4" w:space="0"/>
                  </w:tcBorders>
                  <w:vAlign w:val="center"/>
                </w:tcPr>
                <w:p w14:paraId="66E5614B">
                  <w:pPr>
                    <w:widowControl/>
                    <w:jc w:val="center"/>
                    <w:textAlignment w:val="bottom"/>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39" w:type="pct"/>
                  <w:vMerge w:val="continue"/>
                  <w:tcBorders>
                    <w:left w:val="single" w:color="auto" w:sz="4" w:space="0"/>
                    <w:right w:val="single" w:color="auto" w:sz="4" w:space="0"/>
                  </w:tcBorders>
                  <w:vAlign w:val="center"/>
                </w:tcPr>
                <w:p w14:paraId="4F08942E">
                  <w:pPr>
                    <w:widowControl/>
                    <w:jc w:val="center"/>
                    <w:textAlignment w:val="bottom"/>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8" w:type="pct"/>
                  <w:vMerge w:val="continue"/>
                  <w:tcBorders>
                    <w:left w:val="single" w:color="auto" w:sz="4" w:space="0"/>
                    <w:right w:val="single" w:color="auto" w:sz="4" w:space="0"/>
                  </w:tcBorders>
                  <w:vAlign w:val="center"/>
                </w:tcPr>
                <w:p w14:paraId="706D5757">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7" w:type="pct"/>
                  <w:gridSpan w:val="2"/>
                  <w:tcBorders>
                    <w:top w:val="single" w:color="auto" w:sz="4" w:space="0"/>
                    <w:left w:val="single" w:color="auto" w:sz="4" w:space="0"/>
                    <w:right w:val="single" w:color="auto" w:sz="4" w:space="0"/>
                  </w:tcBorders>
                  <w:vAlign w:val="center"/>
                </w:tcPr>
                <w:p w14:paraId="479972F2">
                  <w:pPr>
                    <w:keepNext w:val="0"/>
                    <w:keepLines w:val="0"/>
                    <w:widowControl/>
                    <w:suppressLineNumbers w:val="0"/>
                    <w:jc w:val="center"/>
                    <w:textAlignment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604" w:type="pct"/>
                  <w:vMerge w:val="continue"/>
                  <w:tcBorders>
                    <w:left w:val="single" w:color="auto" w:sz="4" w:space="0"/>
                    <w:right w:val="single" w:color="auto" w:sz="4" w:space="0"/>
                  </w:tcBorders>
                  <w:vAlign w:val="center"/>
                </w:tcPr>
                <w:p w14:paraId="2A445435">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1317" w:type="pct"/>
                  <w:vMerge w:val="continue"/>
                  <w:tcBorders>
                    <w:left w:val="single" w:color="auto" w:sz="4" w:space="0"/>
                    <w:right w:val="single" w:color="auto" w:sz="4" w:space="0"/>
                  </w:tcBorders>
                  <w:vAlign w:val="center"/>
                </w:tcPr>
                <w:p w14:paraId="48035BF8">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809" w:type="pct"/>
                  <w:tcBorders>
                    <w:left w:val="single" w:color="auto" w:sz="4" w:space="0"/>
                    <w:right w:val="single" w:color="auto" w:sz="4" w:space="0"/>
                  </w:tcBorders>
                  <w:vAlign w:val="center"/>
                </w:tcPr>
                <w:p w14:paraId="6826DCBC">
                  <w:pPr>
                    <w:keepNext w:val="0"/>
                    <w:keepLines w:val="0"/>
                    <w:widowControl/>
                    <w:suppressLineNumbers w:val="0"/>
                    <w:jc w:val="center"/>
                    <w:textAlignment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w:t>
                  </w:r>
                </w:p>
              </w:tc>
              <w:tc>
                <w:tcPr>
                  <w:tcW w:w="636" w:type="pct"/>
                  <w:tcBorders>
                    <w:left w:val="single" w:color="auto" w:sz="4" w:space="0"/>
                    <w:right w:val="single" w:color="auto" w:sz="4" w:space="0"/>
                  </w:tcBorders>
                  <w:vAlign w:val="center"/>
                </w:tcPr>
                <w:p w14:paraId="43F52CB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0.23</w:t>
                  </w:r>
                </w:p>
              </w:tc>
            </w:tr>
            <w:tr w14:paraId="0F994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56" w:type="pct"/>
                  <w:vMerge w:val="continue"/>
                  <w:tcBorders>
                    <w:left w:val="single" w:color="auto" w:sz="4" w:space="0"/>
                    <w:right w:val="single" w:color="auto" w:sz="4" w:space="0"/>
                  </w:tcBorders>
                  <w:vAlign w:val="center"/>
                </w:tcPr>
                <w:p w14:paraId="56752A68">
                  <w:pPr>
                    <w:widowControl/>
                    <w:jc w:val="center"/>
                    <w:textAlignment w:val="bottom"/>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39" w:type="pct"/>
                  <w:vMerge w:val="continue"/>
                  <w:tcBorders>
                    <w:left w:val="single" w:color="auto" w:sz="4" w:space="0"/>
                    <w:right w:val="single" w:color="auto" w:sz="4" w:space="0"/>
                  </w:tcBorders>
                  <w:vAlign w:val="center"/>
                </w:tcPr>
                <w:p w14:paraId="5BAF4D88">
                  <w:pPr>
                    <w:widowControl/>
                    <w:jc w:val="center"/>
                    <w:textAlignment w:val="bottom"/>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8" w:type="pct"/>
                  <w:vMerge w:val="continue"/>
                  <w:tcBorders>
                    <w:left w:val="single" w:color="auto" w:sz="4" w:space="0"/>
                    <w:right w:val="single" w:color="auto" w:sz="4" w:space="0"/>
                  </w:tcBorders>
                  <w:vAlign w:val="center"/>
                </w:tcPr>
                <w:p w14:paraId="6640A302">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7" w:type="pct"/>
                  <w:gridSpan w:val="2"/>
                  <w:tcBorders>
                    <w:top w:val="single" w:color="auto" w:sz="4" w:space="0"/>
                    <w:left w:val="single" w:color="auto" w:sz="4" w:space="0"/>
                    <w:right w:val="single" w:color="auto" w:sz="4" w:space="0"/>
                  </w:tcBorders>
                  <w:vAlign w:val="center"/>
                </w:tcPr>
                <w:p w14:paraId="38638524">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甲苯</w:t>
                  </w:r>
                </w:p>
              </w:tc>
              <w:tc>
                <w:tcPr>
                  <w:tcW w:w="604" w:type="pct"/>
                  <w:vMerge w:val="continue"/>
                  <w:tcBorders>
                    <w:left w:val="single" w:color="auto" w:sz="4" w:space="0"/>
                    <w:right w:val="single" w:color="auto" w:sz="4" w:space="0"/>
                  </w:tcBorders>
                  <w:vAlign w:val="center"/>
                </w:tcPr>
                <w:p w14:paraId="10AE429D">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1317" w:type="pct"/>
                  <w:vMerge w:val="continue"/>
                  <w:tcBorders>
                    <w:left w:val="single" w:color="auto" w:sz="4" w:space="0"/>
                    <w:right w:val="single" w:color="auto" w:sz="4" w:space="0"/>
                  </w:tcBorders>
                  <w:vAlign w:val="center"/>
                </w:tcPr>
                <w:p w14:paraId="54A99D2D">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809" w:type="pct"/>
                  <w:tcBorders>
                    <w:left w:val="single" w:color="auto" w:sz="4" w:space="0"/>
                    <w:right w:val="single" w:color="auto" w:sz="4" w:space="0"/>
                  </w:tcBorders>
                  <w:vAlign w:val="center"/>
                </w:tcPr>
                <w:p w14:paraId="6CA23A5B">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0.8</w:t>
                  </w:r>
                </w:p>
              </w:tc>
              <w:tc>
                <w:tcPr>
                  <w:tcW w:w="636" w:type="pct"/>
                  <w:tcBorders>
                    <w:left w:val="single" w:color="auto" w:sz="4" w:space="0"/>
                    <w:right w:val="single" w:color="auto" w:sz="4" w:space="0"/>
                  </w:tcBorders>
                  <w:vAlign w:val="center"/>
                </w:tcPr>
                <w:p w14:paraId="544BB31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少量</w:t>
                  </w:r>
                </w:p>
              </w:tc>
            </w:tr>
            <w:tr w14:paraId="74DD8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56" w:type="pct"/>
                  <w:vMerge w:val="continue"/>
                  <w:tcBorders>
                    <w:left w:val="single" w:color="auto" w:sz="4" w:space="0"/>
                    <w:right w:val="single" w:color="auto" w:sz="4" w:space="0"/>
                  </w:tcBorders>
                  <w:vAlign w:val="center"/>
                </w:tcPr>
                <w:p w14:paraId="408C0927">
                  <w:pPr>
                    <w:widowControl/>
                    <w:jc w:val="center"/>
                    <w:textAlignment w:val="bottom"/>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339" w:type="pct"/>
                  <w:vMerge w:val="continue"/>
                  <w:tcBorders>
                    <w:left w:val="single" w:color="auto" w:sz="4" w:space="0"/>
                    <w:right w:val="single" w:color="auto" w:sz="4" w:space="0"/>
                  </w:tcBorders>
                  <w:vAlign w:val="center"/>
                </w:tcPr>
                <w:p w14:paraId="2D363DC6">
                  <w:pPr>
                    <w:widowControl/>
                    <w:jc w:val="center"/>
                    <w:textAlignment w:val="bottom"/>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8" w:type="pct"/>
                  <w:vMerge w:val="continue"/>
                  <w:tcBorders>
                    <w:left w:val="single" w:color="auto" w:sz="4" w:space="0"/>
                    <w:right w:val="single" w:color="auto" w:sz="4" w:space="0"/>
                  </w:tcBorders>
                  <w:vAlign w:val="center"/>
                </w:tcPr>
                <w:p w14:paraId="16A2AA8D">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17" w:type="pct"/>
                  <w:gridSpan w:val="2"/>
                  <w:tcBorders>
                    <w:top w:val="single" w:color="auto" w:sz="4" w:space="0"/>
                    <w:left w:val="single" w:color="auto" w:sz="4" w:space="0"/>
                    <w:right w:val="single" w:color="auto" w:sz="4" w:space="0"/>
                  </w:tcBorders>
                  <w:vAlign w:val="center"/>
                </w:tcPr>
                <w:p w14:paraId="2FE358CA">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苯乙烯</w:t>
                  </w:r>
                </w:p>
              </w:tc>
              <w:tc>
                <w:tcPr>
                  <w:tcW w:w="604" w:type="pct"/>
                  <w:vMerge w:val="continue"/>
                  <w:tcBorders>
                    <w:left w:val="single" w:color="auto" w:sz="4" w:space="0"/>
                    <w:right w:val="single" w:color="auto" w:sz="4" w:space="0"/>
                  </w:tcBorders>
                  <w:vAlign w:val="center"/>
                </w:tcPr>
                <w:p w14:paraId="56EC858B">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1317" w:type="pct"/>
                  <w:tcBorders>
                    <w:left w:val="single" w:color="auto" w:sz="4" w:space="0"/>
                    <w:right w:val="single" w:color="auto" w:sz="4" w:space="0"/>
                  </w:tcBorders>
                  <w:vAlign w:val="center"/>
                </w:tcPr>
                <w:p w14:paraId="5ED46602">
                  <w:pPr>
                    <w:keepNext w:val="0"/>
                    <w:keepLines w:val="0"/>
                    <w:widowControl/>
                    <w:suppressLineNumbers w:val="0"/>
                    <w:jc w:val="center"/>
                    <w:textAlignment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《恶臭污染物排放标准》（GB14554-93）中表1恶臭污染物厂界标准值</w:t>
                  </w:r>
                </w:p>
              </w:tc>
              <w:tc>
                <w:tcPr>
                  <w:tcW w:w="809" w:type="pct"/>
                  <w:tcBorders>
                    <w:left w:val="single" w:color="auto" w:sz="4" w:space="0"/>
                    <w:right w:val="single" w:color="auto" w:sz="4" w:space="0"/>
                  </w:tcBorders>
                  <w:vAlign w:val="center"/>
                </w:tcPr>
                <w:p w14:paraId="4A8FD7EC">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w:t>
                  </w:r>
                </w:p>
              </w:tc>
              <w:tc>
                <w:tcPr>
                  <w:tcW w:w="636" w:type="pct"/>
                  <w:tcBorders>
                    <w:left w:val="single" w:color="auto" w:sz="4" w:space="0"/>
                    <w:right w:val="single" w:color="auto" w:sz="4" w:space="0"/>
                  </w:tcBorders>
                  <w:vAlign w:val="center"/>
                </w:tcPr>
                <w:p w14:paraId="41B9648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少量</w:t>
                  </w:r>
                </w:p>
              </w:tc>
            </w:tr>
            <w:tr w14:paraId="3AC4D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jc w:val="center"/>
              </w:trPr>
              <w:tc>
                <w:tcPr>
                  <w:tcW w:w="256" w:type="pct"/>
                  <w:tcBorders>
                    <w:left w:val="single" w:color="auto" w:sz="4" w:space="0"/>
                    <w:right w:val="single" w:color="auto" w:sz="4" w:space="0"/>
                  </w:tcBorders>
                  <w:vAlign w:val="center"/>
                </w:tcPr>
                <w:p w14:paraId="0FBBD1C9">
                  <w:pPr>
                    <w:widowControl/>
                    <w:jc w:val="center"/>
                    <w:textAlignment w:val="bottom"/>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w:t>
                  </w:r>
                </w:p>
              </w:tc>
              <w:tc>
                <w:tcPr>
                  <w:tcW w:w="339" w:type="pct"/>
                  <w:tcBorders>
                    <w:left w:val="single" w:color="auto" w:sz="4" w:space="0"/>
                    <w:right w:val="single" w:color="auto" w:sz="4" w:space="0"/>
                  </w:tcBorders>
                  <w:vAlign w:val="center"/>
                </w:tcPr>
                <w:p w14:paraId="3C00A95F">
                  <w:pPr>
                    <w:widowControl/>
                    <w:jc w:val="center"/>
                    <w:textAlignment w:val="bottom"/>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p>
              </w:tc>
              <w:tc>
                <w:tcPr>
                  <w:tcW w:w="518" w:type="pct"/>
                  <w:tcBorders>
                    <w:left w:val="single" w:color="auto" w:sz="4" w:space="0"/>
                    <w:right w:val="single" w:color="auto" w:sz="4" w:space="0"/>
                  </w:tcBorders>
                  <w:vAlign w:val="center"/>
                </w:tcPr>
                <w:p w14:paraId="122CFD7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注塑打样工序</w:t>
                  </w:r>
                </w:p>
              </w:tc>
              <w:tc>
                <w:tcPr>
                  <w:tcW w:w="517" w:type="pct"/>
                  <w:gridSpan w:val="2"/>
                  <w:tcBorders>
                    <w:top w:val="single" w:color="auto" w:sz="4" w:space="0"/>
                    <w:left w:val="single" w:color="auto" w:sz="4" w:space="0"/>
                    <w:right w:val="single" w:color="auto" w:sz="4" w:space="0"/>
                  </w:tcBorders>
                  <w:vAlign w:val="center"/>
                </w:tcPr>
                <w:p w14:paraId="4D80369A">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604" w:type="pct"/>
                  <w:tcBorders>
                    <w:left w:val="single" w:color="auto" w:sz="4" w:space="0"/>
                    <w:right w:val="single" w:color="auto" w:sz="4" w:space="0"/>
                  </w:tcBorders>
                  <w:vAlign w:val="center"/>
                </w:tcPr>
                <w:p w14:paraId="4600FB9E">
                  <w:pPr>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tc>
              <w:tc>
                <w:tcPr>
                  <w:tcW w:w="1317" w:type="pct"/>
                  <w:tcBorders>
                    <w:left w:val="single" w:color="auto" w:sz="4" w:space="0"/>
                    <w:right w:val="single" w:color="auto" w:sz="4" w:space="0"/>
                  </w:tcBorders>
                  <w:vAlign w:val="center"/>
                </w:tcPr>
                <w:p w14:paraId="53323E50">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《合成树脂工业污染物排放标准》（</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GB 31572—2015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）表</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企业边界大气污染物浓度限值</w:t>
                  </w:r>
                </w:p>
              </w:tc>
              <w:tc>
                <w:tcPr>
                  <w:tcW w:w="809" w:type="pct"/>
                  <w:tcBorders>
                    <w:left w:val="single" w:color="auto" w:sz="4" w:space="0"/>
                    <w:right w:val="single" w:color="auto" w:sz="4" w:space="0"/>
                  </w:tcBorders>
                  <w:vAlign w:val="center"/>
                </w:tcPr>
                <w:p w14:paraId="00AF6BA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w:t>
                  </w:r>
                </w:p>
              </w:tc>
              <w:tc>
                <w:tcPr>
                  <w:tcW w:w="636" w:type="pct"/>
                  <w:tcBorders>
                    <w:left w:val="single" w:color="auto" w:sz="4" w:space="0"/>
                    <w:right w:val="single" w:color="auto" w:sz="4" w:space="0"/>
                  </w:tcBorders>
                  <w:vAlign w:val="center"/>
                </w:tcPr>
                <w:p w14:paraId="67AEFAF1">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少量</w:t>
                  </w:r>
                </w:p>
              </w:tc>
            </w:tr>
            <w:tr w14:paraId="0D2A3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56" w:type="pct"/>
                  <w:tcBorders>
                    <w:left w:val="single" w:color="auto" w:sz="4" w:space="0"/>
                    <w:right w:val="single" w:color="auto" w:sz="4" w:space="0"/>
                  </w:tcBorders>
                  <w:vAlign w:val="center"/>
                </w:tcPr>
                <w:p w14:paraId="2187B298">
                  <w:pPr>
                    <w:widowControl/>
                    <w:jc w:val="center"/>
                    <w:textAlignment w:val="bottom"/>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w:t>
                  </w:r>
                </w:p>
              </w:tc>
              <w:tc>
                <w:tcPr>
                  <w:tcW w:w="339" w:type="pct"/>
                  <w:tcBorders>
                    <w:left w:val="single" w:color="auto" w:sz="4" w:space="0"/>
                    <w:right w:val="single" w:color="auto" w:sz="4" w:space="0"/>
                  </w:tcBorders>
                  <w:vAlign w:val="center"/>
                </w:tcPr>
                <w:p w14:paraId="31B64021">
                  <w:pPr>
                    <w:widowControl/>
                    <w:jc w:val="center"/>
                    <w:textAlignment w:val="bottom"/>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p>
              </w:tc>
              <w:tc>
                <w:tcPr>
                  <w:tcW w:w="518" w:type="pct"/>
                  <w:tcBorders>
                    <w:left w:val="single" w:color="auto" w:sz="4" w:space="0"/>
                    <w:right w:val="single" w:color="auto" w:sz="4" w:space="0"/>
                  </w:tcBorders>
                  <w:vAlign w:val="center"/>
                </w:tcPr>
                <w:p w14:paraId="7E0BF90F">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测试工序</w:t>
                  </w:r>
                </w:p>
              </w:tc>
              <w:tc>
                <w:tcPr>
                  <w:tcW w:w="517" w:type="pct"/>
                  <w:gridSpan w:val="2"/>
                  <w:tcBorders>
                    <w:top w:val="single" w:color="auto" w:sz="4" w:space="0"/>
                    <w:left w:val="single" w:color="auto" w:sz="4" w:space="0"/>
                    <w:right w:val="single" w:color="auto" w:sz="4" w:space="0"/>
                  </w:tcBorders>
                  <w:vAlign w:val="center"/>
                </w:tcPr>
                <w:p w14:paraId="3E05FA8C">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604" w:type="pct"/>
                  <w:tcBorders>
                    <w:left w:val="single" w:color="auto" w:sz="4" w:space="0"/>
                    <w:right w:val="single" w:color="auto" w:sz="4" w:space="0"/>
                  </w:tcBorders>
                  <w:vAlign w:val="center"/>
                </w:tcPr>
                <w:p w14:paraId="1BDE4CFF">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w:t>
                  </w:r>
                </w:p>
              </w:tc>
              <w:tc>
                <w:tcPr>
                  <w:tcW w:w="1317" w:type="pct"/>
                  <w:tcBorders>
                    <w:left w:val="single" w:color="auto" w:sz="4" w:space="0"/>
                    <w:right w:val="single" w:color="auto" w:sz="4" w:space="0"/>
                  </w:tcBorders>
                  <w:vAlign w:val="center"/>
                </w:tcPr>
                <w:p w14:paraId="5B0C3B03">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广东省地方标准《大气污染物排放限值》（DB44/27-2001）第二时段无组织排放标准值</w:t>
                  </w:r>
                </w:p>
              </w:tc>
              <w:tc>
                <w:tcPr>
                  <w:tcW w:w="809" w:type="pct"/>
                  <w:tcBorders>
                    <w:left w:val="single" w:color="auto" w:sz="4" w:space="0"/>
                    <w:right w:val="single" w:color="auto" w:sz="4" w:space="0"/>
                  </w:tcBorders>
                  <w:vAlign w:val="center"/>
                </w:tcPr>
                <w:p w14:paraId="3AAC674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w:t>
                  </w:r>
                </w:p>
              </w:tc>
              <w:tc>
                <w:tcPr>
                  <w:tcW w:w="636" w:type="pct"/>
                  <w:tcBorders>
                    <w:left w:val="single" w:color="auto" w:sz="4" w:space="0"/>
                    <w:right w:val="single" w:color="auto" w:sz="4" w:space="0"/>
                  </w:tcBorders>
                  <w:vAlign w:val="center"/>
                </w:tcPr>
                <w:p w14:paraId="561FC913">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少量</w:t>
                  </w:r>
                </w:p>
              </w:tc>
            </w:tr>
            <w:tr w14:paraId="42266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9"/>
                  <w:tcBorders>
                    <w:top w:val="single" w:color="auto" w:sz="4" w:space="0"/>
                    <w:left w:val="single" w:color="auto" w:sz="4" w:space="0"/>
                    <w:bottom w:val="single" w:color="auto" w:sz="4" w:space="0"/>
                    <w:right w:val="single" w:color="auto" w:sz="4" w:space="0"/>
                  </w:tcBorders>
                  <w:vAlign w:val="center"/>
                </w:tcPr>
                <w:p w14:paraId="4CFB9668">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无组织排放总计</w:t>
                  </w:r>
                </w:p>
              </w:tc>
            </w:tr>
            <w:tr w14:paraId="17987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gridSpan w:val="4"/>
                  <w:vMerge w:val="restart"/>
                  <w:tcBorders>
                    <w:top w:val="single" w:color="auto" w:sz="4" w:space="0"/>
                    <w:left w:val="single" w:color="auto" w:sz="4" w:space="0"/>
                    <w:right w:val="single" w:color="auto" w:sz="4" w:space="0"/>
                  </w:tcBorders>
                  <w:vAlign w:val="center"/>
                </w:tcPr>
                <w:p w14:paraId="6F0A5BE9">
                  <w:pPr>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无组织排放总计</w:t>
                  </w:r>
                </w:p>
              </w:tc>
              <w:tc>
                <w:tcPr>
                  <w:tcW w:w="3168" w:type="pct"/>
                  <w:gridSpan w:val="4"/>
                  <w:tcBorders>
                    <w:top w:val="single" w:color="auto" w:sz="4" w:space="0"/>
                    <w:left w:val="single" w:color="auto" w:sz="4" w:space="0"/>
                    <w:bottom w:val="single" w:color="auto" w:sz="4" w:space="0"/>
                    <w:right w:val="single" w:color="auto" w:sz="4" w:space="0"/>
                  </w:tcBorders>
                  <w:vAlign w:val="center"/>
                </w:tcPr>
                <w:p w14:paraId="6D41E4CF">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颗粒物</w:t>
                  </w:r>
                </w:p>
              </w:tc>
              <w:tc>
                <w:tcPr>
                  <w:tcW w:w="636" w:type="pct"/>
                  <w:tcBorders>
                    <w:top w:val="single" w:color="auto" w:sz="4" w:space="0"/>
                    <w:left w:val="single" w:color="auto" w:sz="4" w:space="0"/>
                    <w:bottom w:val="single" w:color="auto" w:sz="4" w:space="0"/>
                    <w:right w:val="single" w:color="auto" w:sz="4" w:space="0"/>
                  </w:tcBorders>
                  <w:vAlign w:val="center"/>
                </w:tcPr>
                <w:p w14:paraId="3BB185B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0.3127</w:t>
                  </w:r>
                </w:p>
              </w:tc>
            </w:tr>
            <w:tr w14:paraId="3D3E2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gridSpan w:val="4"/>
                  <w:vMerge w:val="continue"/>
                  <w:tcBorders>
                    <w:left w:val="single" w:color="auto" w:sz="4" w:space="0"/>
                    <w:right w:val="single" w:color="auto" w:sz="4" w:space="0"/>
                  </w:tcBorders>
                  <w:vAlign w:val="center"/>
                </w:tcPr>
                <w:p w14:paraId="09A7B59F">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3168" w:type="pct"/>
                  <w:gridSpan w:val="4"/>
                  <w:tcBorders>
                    <w:top w:val="single" w:color="auto" w:sz="4" w:space="0"/>
                    <w:left w:val="single" w:color="auto" w:sz="4" w:space="0"/>
                    <w:bottom w:val="single" w:color="auto" w:sz="4" w:space="0"/>
                    <w:right w:val="single" w:color="auto" w:sz="4" w:space="0"/>
                  </w:tcBorders>
                  <w:vAlign w:val="center"/>
                </w:tcPr>
                <w:p w14:paraId="2219F71F">
                  <w:pPr>
                    <w:keepNext w:val="0"/>
                    <w:keepLines w:val="0"/>
                    <w:widowControl/>
                    <w:suppressLineNumbers w:val="0"/>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非甲烷总烃</w:t>
                  </w:r>
                </w:p>
              </w:tc>
              <w:tc>
                <w:tcPr>
                  <w:tcW w:w="636" w:type="pct"/>
                  <w:tcBorders>
                    <w:top w:val="single" w:color="auto" w:sz="4" w:space="0"/>
                    <w:left w:val="single" w:color="auto" w:sz="4" w:space="0"/>
                    <w:bottom w:val="single" w:color="auto" w:sz="4" w:space="0"/>
                    <w:right w:val="single" w:color="auto" w:sz="4" w:space="0"/>
                  </w:tcBorders>
                  <w:vAlign w:val="center"/>
                </w:tcPr>
                <w:p w14:paraId="38BEB51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0.23</w:t>
                  </w:r>
                </w:p>
              </w:tc>
            </w:tr>
            <w:tr w14:paraId="5AB9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gridSpan w:val="4"/>
                  <w:vMerge w:val="continue"/>
                  <w:tcBorders>
                    <w:left w:val="single" w:color="auto" w:sz="4" w:space="0"/>
                    <w:right w:val="single" w:color="auto" w:sz="4" w:space="0"/>
                  </w:tcBorders>
                  <w:vAlign w:val="center"/>
                </w:tcPr>
                <w:p w14:paraId="09134414">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3168" w:type="pct"/>
                  <w:gridSpan w:val="4"/>
                  <w:tcBorders>
                    <w:top w:val="single" w:color="auto" w:sz="4" w:space="0"/>
                    <w:left w:val="single" w:color="auto" w:sz="4" w:space="0"/>
                    <w:bottom w:val="single" w:color="auto" w:sz="4" w:space="0"/>
                    <w:right w:val="single" w:color="auto" w:sz="4" w:space="0"/>
                  </w:tcBorders>
                  <w:vAlign w:val="center"/>
                </w:tcPr>
                <w:p w14:paraId="7FC3485D">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甲苯</w:t>
                  </w:r>
                </w:p>
              </w:tc>
              <w:tc>
                <w:tcPr>
                  <w:tcW w:w="636" w:type="pct"/>
                  <w:tcBorders>
                    <w:top w:val="single" w:color="auto" w:sz="4" w:space="0"/>
                    <w:left w:val="single" w:color="auto" w:sz="4" w:space="0"/>
                    <w:bottom w:val="single" w:color="auto" w:sz="4" w:space="0"/>
                    <w:right w:val="single" w:color="auto" w:sz="4" w:space="0"/>
                  </w:tcBorders>
                  <w:vAlign w:val="center"/>
                </w:tcPr>
                <w:p w14:paraId="31837F5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r w14:paraId="1BA28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gridSpan w:val="4"/>
                  <w:vMerge w:val="continue"/>
                  <w:tcBorders>
                    <w:left w:val="single" w:color="auto" w:sz="4" w:space="0"/>
                    <w:right w:val="single" w:color="auto" w:sz="4" w:space="0"/>
                  </w:tcBorders>
                  <w:vAlign w:val="center"/>
                </w:tcPr>
                <w:p w14:paraId="4565E4B4">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3168" w:type="pct"/>
                  <w:gridSpan w:val="4"/>
                  <w:tcBorders>
                    <w:top w:val="single" w:color="auto" w:sz="4" w:space="0"/>
                    <w:left w:val="single" w:color="auto" w:sz="4" w:space="0"/>
                    <w:bottom w:val="single" w:color="auto" w:sz="4" w:space="0"/>
                    <w:right w:val="single" w:color="auto" w:sz="4" w:space="0"/>
                  </w:tcBorders>
                  <w:vAlign w:val="center"/>
                </w:tcPr>
                <w:p w14:paraId="236DBC7E">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苯乙烯</w:t>
                  </w:r>
                </w:p>
              </w:tc>
              <w:tc>
                <w:tcPr>
                  <w:tcW w:w="636" w:type="pct"/>
                  <w:tcBorders>
                    <w:top w:val="single" w:color="auto" w:sz="4" w:space="0"/>
                    <w:left w:val="single" w:color="auto" w:sz="4" w:space="0"/>
                    <w:bottom w:val="single" w:color="auto" w:sz="4" w:space="0"/>
                    <w:right w:val="single" w:color="auto" w:sz="4" w:space="0"/>
                  </w:tcBorders>
                  <w:vAlign w:val="center"/>
                </w:tcPr>
                <w:p w14:paraId="187E71C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r>
          </w:tbl>
          <w:p w14:paraId="2F1F241D">
            <w:pPr>
              <w:pStyle w:val="5"/>
              <w:spacing w:before="0" w:after="0" w:line="240" w:lineRule="auto"/>
              <w:jc w:val="center"/>
              <w:rPr>
                <w:rFonts w:hint="default" w:ascii="Times New Roman" w:hAnsi="Times New Roman" w:eastAsia="宋体" w:cs="Times New Roman"/>
                <w:b/>
                <w:color w:val="000000" w:themeColor="text1"/>
                <w:sz w:val="21"/>
                <w:highlight w:val="none"/>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大气污染物年排放量核算表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224"/>
              <w:gridCol w:w="4493"/>
            </w:tblGrid>
            <w:tr w14:paraId="3265E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shd w:val="clear" w:color="auto" w:fill="D7D7D7" w:themeFill="background1" w:themeFillShade="D8"/>
                  <w:vAlign w:val="center"/>
                </w:tcPr>
                <w:p w14:paraId="42251F9F">
                  <w:pPr>
                    <w:widowControl/>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val="zh-CN"/>
                      <w14:textFill>
                        <w14:solidFill>
                          <w14:schemeClr w14:val="tx1"/>
                        </w14:solidFill>
                      </w14:textFill>
                    </w:rPr>
                    <w:t>序号</w:t>
                  </w:r>
                </w:p>
              </w:tc>
              <w:tc>
                <w:tcPr>
                  <w:tcW w:w="1326" w:type="pct"/>
                  <w:shd w:val="clear" w:color="auto" w:fill="D7D7D7" w:themeFill="background1" w:themeFillShade="D8"/>
                  <w:vAlign w:val="center"/>
                </w:tcPr>
                <w:p w14:paraId="6FFD5AB7">
                  <w:pPr>
                    <w:widowControl/>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val="zh-CN"/>
                      <w14:textFill>
                        <w14:solidFill>
                          <w14:schemeClr w14:val="tx1"/>
                        </w14:solidFill>
                      </w14:textFill>
                    </w:rPr>
                    <w:t>污染物</w:t>
                  </w:r>
                </w:p>
              </w:tc>
              <w:tc>
                <w:tcPr>
                  <w:tcW w:w="2678" w:type="pct"/>
                  <w:shd w:val="clear" w:color="auto" w:fill="D7D7D7" w:themeFill="background1" w:themeFillShade="D8"/>
                  <w:vAlign w:val="center"/>
                </w:tcPr>
                <w:p w14:paraId="788ED5D7">
                  <w:pPr>
                    <w:widowControl/>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val="zh-CN"/>
                      <w14:textFill>
                        <w14:solidFill>
                          <w14:schemeClr w14:val="tx1"/>
                        </w14:solidFill>
                      </w14:textFill>
                    </w:rPr>
                    <w:t>年排放量</w:t>
                  </w:r>
                  <w:r>
                    <w:rPr>
                      <w:rFonts w:hint="default" w:ascii="Times New Roman" w:hAnsi="Times New Roman" w:eastAsia="宋体" w:cs="Times New Roman"/>
                      <w:b/>
                      <w:color w:val="000000" w:themeColor="text1"/>
                      <w:szCs w:val="21"/>
                      <w:highlight w:val="none"/>
                      <w14:textFill>
                        <w14:solidFill>
                          <w14:schemeClr w14:val="tx1"/>
                        </w14:solidFill>
                      </w14:textFill>
                    </w:rPr>
                    <w:t>（t/a）</w:t>
                  </w:r>
                </w:p>
              </w:tc>
            </w:tr>
            <w:tr w14:paraId="65A7B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vAlign w:val="center"/>
                </w:tcPr>
                <w:p w14:paraId="042E09F7">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w:t>
                  </w:r>
                </w:p>
              </w:tc>
              <w:tc>
                <w:tcPr>
                  <w:tcW w:w="2222" w:type="dxa"/>
                  <w:vAlign w:val="center"/>
                </w:tcPr>
                <w:p w14:paraId="1BD2CC59">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颗粒物</w:t>
                  </w:r>
                </w:p>
              </w:tc>
              <w:tc>
                <w:tcPr>
                  <w:tcW w:w="4491" w:type="dxa"/>
                  <w:vAlign w:val="center"/>
                </w:tcPr>
                <w:p w14:paraId="550E2C7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0.3286</w:t>
                  </w:r>
                </w:p>
              </w:tc>
            </w:tr>
            <w:tr w14:paraId="1D92E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vAlign w:val="center"/>
                </w:tcPr>
                <w:p w14:paraId="5433584C">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2</w:t>
                  </w:r>
                </w:p>
              </w:tc>
              <w:tc>
                <w:tcPr>
                  <w:tcW w:w="2222" w:type="dxa"/>
                  <w:vAlign w:val="center"/>
                </w:tcPr>
                <w:p w14:paraId="597F51E8">
                  <w:pPr>
                    <w:widowControl/>
                    <w:jc w:val="center"/>
                    <w:textAlignment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挥发性有机物（非甲烷总烃）</w:t>
                  </w:r>
                </w:p>
              </w:tc>
              <w:tc>
                <w:tcPr>
                  <w:tcW w:w="4491" w:type="dxa"/>
                  <w:vAlign w:val="center"/>
                </w:tcPr>
                <w:p w14:paraId="6F9AE74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1.104</w:t>
                  </w:r>
                </w:p>
              </w:tc>
            </w:tr>
            <w:tr w14:paraId="07F1E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vAlign w:val="center"/>
                </w:tcPr>
                <w:p w14:paraId="31516899">
                  <w:pPr>
                    <w:widowControl/>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w:t>
                  </w:r>
                </w:p>
              </w:tc>
              <w:tc>
                <w:tcPr>
                  <w:tcW w:w="2222" w:type="dxa"/>
                  <w:vAlign w:val="center"/>
                </w:tcPr>
                <w:p w14:paraId="4D164FD2">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4491" w:type="dxa"/>
                  <w:vAlign w:val="center"/>
                </w:tcPr>
                <w:p w14:paraId="28BF29D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少量</w:t>
                  </w:r>
                </w:p>
              </w:tc>
            </w:tr>
            <w:tr w14:paraId="3F015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vAlign w:val="center"/>
                </w:tcPr>
                <w:p w14:paraId="46DEBD30">
                  <w:pPr>
                    <w:widowControl/>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4</w:t>
                  </w:r>
                </w:p>
              </w:tc>
              <w:tc>
                <w:tcPr>
                  <w:tcW w:w="2222" w:type="dxa"/>
                  <w:vAlign w:val="center"/>
                </w:tcPr>
                <w:p w14:paraId="21A22A6E">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4491" w:type="dxa"/>
                  <w:vAlign w:val="center"/>
                </w:tcPr>
                <w:p w14:paraId="2358717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少量</w:t>
                  </w:r>
                </w:p>
              </w:tc>
            </w:tr>
            <w:tr w14:paraId="123BE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4" w:type="pct"/>
                  <w:vAlign w:val="center"/>
                </w:tcPr>
                <w:p w14:paraId="6BA5E874">
                  <w:pPr>
                    <w:widowControl/>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5</w:t>
                  </w:r>
                </w:p>
              </w:tc>
              <w:tc>
                <w:tcPr>
                  <w:tcW w:w="2222" w:type="dxa"/>
                  <w:vAlign w:val="center"/>
                </w:tcPr>
                <w:p w14:paraId="21B26F95">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乙苯</w:t>
                  </w:r>
                </w:p>
              </w:tc>
              <w:tc>
                <w:tcPr>
                  <w:tcW w:w="4491" w:type="dxa"/>
                  <w:vAlign w:val="center"/>
                </w:tcPr>
                <w:p w14:paraId="2A7E155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少量</w:t>
                  </w:r>
                </w:p>
              </w:tc>
            </w:tr>
          </w:tbl>
          <w:p w14:paraId="7A3D72F4">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非正常排放参数表</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0"/>
              <w:gridCol w:w="1667"/>
              <w:gridCol w:w="1541"/>
              <w:gridCol w:w="1372"/>
              <w:gridCol w:w="1139"/>
              <w:gridCol w:w="709"/>
              <w:gridCol w:w="911"/>
            </w:tblGrid>
            <w:tr w14:paraId="3EBBA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620" w:type="pct"/>
                  <w:vAlign w:val="center"/>
                </w:tcPr>
                <w:p w14:paraId="16C8D6E1">
                  <w:pPr>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污染源</w:t>
                  </w:r>
                </w:p>
              </w:tc>
              <w:tc>
                <w:tcPr>
                  <w:tcW w:w="994" w:type="pct"/>
                  <w:vAlign w:val="center"/>
                </w:tcPr>
                <w:p w14:paraId="58F429EB">
                  <w:pPr>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非正常排放原因</w:t>
                  </w:r>
                </w:p>
              </w:tc>
              <w:tc>
                <w:tcPr>
                  <w:tcW w:w="919" w:type="pct"/>
                  <w:vAlign w:val="center"/>
                </w:tcPr>
                <w:p w14:paraId="69E4AB13">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污染物</w:t>
                  </w:r>
                </w:p>
              </w:tc>
              <w:tc>
                <w:tcPr>
                  <w:tcW w:w="818" w:type="pct"/>
                  <w:vAlign w:val="center"/>
                </w:tcPr>
                <w:p w14:paraId="1BDA7D2A">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非正常排放浓度/(mg/m</w:t>
                  </w:r>
                  <w:r>
                    <w:rPr>
                      <w:rFonts w:hint="default" w:ascii="Times New Roman" w:hAnsi="Times New Roman" w:eastAsia="宋体" w:cs="Times New Roman"/>
                      <w:b/>
                      <w:bCs/>
                      <w:color w:val="000000" w:themeColor="text1"/>
                      <w:kern w:val="0"/>
                      <w:szCs w:val="21"/>
                      <w:highlight w:val="none"/>
                      <w:vertAlign w:val="superscript"/>
                      <w:lang w:bidi="ar"/>
                      <w14:textFill>
                        <w14:solidFill>
                          <w14:schemeClr w14:val="tx1"/>
                        </w14:solidFill>
                      </w14:textFill>
                    </w:rPr>
                    <w:t>3</w:t>
                  </w: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w:t>
                  </w:r>
                </w:p>
              </w:tc>
              <w:tc>
                <w:tcPr>
                  <w:tcW w:w="679" w:type="pct"/>
                  <w:vAlign w:val="center"/>
                </w:tcPr>
                <w:p w14:paraId="732A5B6F">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非正常排放速率/(kg/h）</w:t>
                  </w:r>
                </w:p>
              </w:tc>
              <w:tc>
                <w:tcPr>
                  <w:tcW w:w="423" w:type="pct"/>
                  <w:vAlign w:val="center"/>
                </w:tcPr>
                <w:p w14:paraId="62EF0DE2">
                  <w:pPr>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单次持续时间/h</w:t>
                  </w:r>
                </w:p>
              </w:tc>
              <w:tc>
                <w:tcPr>
                  <w:tcW w:w="543" w:type="pct"/>
                  <w:vAlign w:val="center"/>
                </w:tcPr>
                <w:p w14:paraId="5F9383C7">
                  <w:pPr>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年发生频次/次</w:t>
                  </w:r>
                </w:p>
              </w:tc>
            </w:tr>
            <w:tr w14:paraId="1C051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1" w:hRule="atLeast"/>
                <w:jc w:val="center"/>
              </w:trPr>
              <w:tc>
                <w:tcPr>
                  <w:tcW w:w="620" w:type="pct"/>
                  <w:vAlign w:val="center"/>
                </w:tcPr>
                <w:p w14:paraId="2D683B09">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G1</w:t>
                  </w:r>
                </w:p>
              </w:tc>
              <w:tc>
                <w:tcPr>
                  <w:tcW w:w="994" w:type="pct"/>
                  <w:vAlign w:val="center"/>
                </w:tcPr>
                <w:p w14:paraId="09DDDAA1">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环保设施故障</w:t>
                  </w:r>
                </w:p>
              </w:tc>
              <w:tc>
                <w:tcPr>
                  <w:tcW w:w="919" w:type="pct"/>
                  <w:vAlign w:val="center"/>
                </w:tcPr>
                <w:p w14:paraId="0D49E7E7">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颗粒物</w:t>
                  </w:r>
                </w:p>
              </w:tc>
              <w:tc>
                <w:tcPr>
                  <w:tcW w:w="1372" w:type="dxa"/>
                  <w:vAlign w:val="center"/>
                </w:tcPr>
                <w:p w14:paraId="44862A1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12.72</w:t>
                  </w:r>
                </w:p>
              </w:tc>
              <w:tc>
                <w:tcPr>
                  <w:tcW w:w="1139" w:type="dxa"/>
                  <w:vAlign w:val="center"/>
                </w:tcPr>
                <w:p w14:paraId="1651E3D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0.318</w:t>
                  </w:r>
                </w:p>
              </w:tc>
              <w:tc>
                <w:tcPr>
                  <w:tcW w:w="423" w:type="pct"/>
                  <w:vAlign w:val="center"/>
                </w:tcPr>
                <w:p w14:paraId="07F31FC4">
                  <w:pPr>
                    <w:jc w:val="center"/>
                    <w:textAlignment w:val="cente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t>/</w:t>
                  </w:r>
                </w:p>
              </w:tc>
              <w:tc>
                <w:tcPr>
                  <w:tcW w:w="543" w:type="pct"/>
                  <w:vAlign w:val="center"/>
                </w:tcPr>
                <w:p w14:paraId="120E269C">
                  <w:pPr>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r>
            <w:tr w14:paraId="0B07E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1" w:hRule="atLeast"/>
                <w:jc w:val="center"/>
              </w:trPr>
              <w:tc>
                <w:tcPr>
                  <w:tcW w:w="620" w:type="pct"/>
                  <w:vMerge w:val="restart"/>
                  <w:vAlign w:val="center"/>
                </w:tcPr>
                <w:p w14:paraId="5ABF1B29">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G2</w:t>
                  </w:r>
                </w:p>
              </w:tc>
              <w:tc>
                <w:tcPr>
                  <w:tcW w:w="994" w:type="pct"/>
                  <w:vMerge w:val="restart"/>
                  <w:vAlign w:val="center"/>
                </w:tcPr>
                <w:p w14:paraId="1A737A11">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环保设施故障</w:t>
                  </w:r>
                </w:p>
              </w:tc>
              <w:tc>
                <w:tcPr>
                  <w:tcW w:w="919" w:type="pct"/>
                  <w:vAlign w:val="center"/>
                </w:tcPr>
                <w:p w14:paraId="482B8A55">
                  <w:pPr>
                    <w:widowControl/>
                    <w:jc w:val="center"/>
                    <w:textAlignment w:val="cente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非甲烷总烃</w:t>
                  </w:r>
                </w:p>
              </w:tc>
              <w:tc>
                <w:tcPr>
                  <w:tcW w:w="1372" w:type="dxa"/>
                  <w:vAlign w:val="center"/>
                </w:tcPr>
                <w:p w14:paraId="797FA88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182.0833 </w:t>
                  </w:r>
                </w:p>
              </w:tc>
              <w:tc>
                <w:tcPr>
                  <w:tcW w:w="1139" w:type="dxa"/>
                  <w:vAlign w:val="center"/>
                </w:tcPr>
                <w:p w14:paraId="5321747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1.8208 </w:t>
                  </w:r>
                </w:p>
              </w:tc>
              <w:tc>
                <w:tcPr>
                  <w:tcW w:w="423" w:type="pct"/>
                  <w:vMerge w:val="restart"/>
                  <w:vAlign w:val="center"/>
                </w:tcPr>
                <w:p w14:paraId="336569F6">
                  <w:pPr>
                    <w:jc w:val="center"/>
                    <w:textAlignment w:val="cente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t>/</w:t>
                  </w:r>
                </w:p>
              </w:tc>
              <w:tc>
                <w:tcPr>
                  <w:tcW w:w="543" w:type="pct"/>
                  <w:vMerge w:val="restart"/>
                  <w:vAlign w:val="center"/>
                </w:tcPr>
                <w:p w14:paraId="279EDF90">
                  <w:pPr>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r>
            <w:tr w14:paraId="1DDBB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1" w:hRule="atLeast"/>
                <w:jc w:val="center"/>
              </w:trPr>
              <w:tc>
                <w:tcPr>
                  <w:tcW w:w="620" w:type="pct"/>
                  <w:vMerge w:val="continue"/>
                  <w:vAlign w:val="center"/>
                </w:tcPr>
                <w:p w14:paraId="10F9FC24">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994" w:type="pct"/>
                  <w:vMerge w:val="continue"/>
                  <w:vAlign w:val="center"/>
                </w:tcPr>
                <w:p w14:paraId="5455FD7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919" w:type="pct"/>
                  <w:vAlign w:val="center"/>
                </w:tcPr>
                <w:p w14:paraId="2707B666">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臭气浓度</w:t>
                  </w:r>
                </w:p>
              </w:tc>
              <w:tc>
                <w:tcPr>
                  <w:tcW w:w="818" w:type="pct"/>
                  <w:vAlign w:val="center"/>
                </w:tcPr>
                <w:p w14:paraId="3BFA682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679" w:type="pct"/>
                  <w:vAlign w:val="center"/>
                </w:tcPr>
                <w:p w14:paraId="2EF0CE3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423" w:type="pct"/>
                  <w:vMerge w:val="continue"/>
                  <w:vAlign w:val="center"/>
                </w:tcPr>
                <w:p w14:paraId="5F624CFD">
                  <w:pPr>
                    <w:jc w:val="center"/>
                    <w:textAlignment w:val="cente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pPr>
                </w:p>
              </w:tc>
              <w:tc>
                <w:tcPr>
                  <w:tcW w:w="543" w:type="pct"/>
                  <w:vMerge w:val="continue"/>
                  <w:vAlign w:val="center"/>
                </w:tcPr>
                <w:p w14:paraId="0204AC0B">
                  <w:pPr>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3D05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1" w:hRule="atLeast"/>
                <w:jc w:val="center"/>
              </w:trPr>
              <w:tc>
                <w:tcPr>
                  <w:tcW w:w="620" w:type="pct"/>
                  <w:vMerge w:val="continue"/>
                  <w:vAlign w:val="center"/>
                </w:tcPr>
                <w:p w14:paraId="0014B21B">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994" w:type="pct"/>
                  <w:vMerge w:val="continue"/>
                  <w:vAlign w:val="center"/>
                </w:tcPr>
                <w:p w14:paraId="4B9BEC9B">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919" w:type="pct"/>
                  <w:vAlign w:val="center"/>
                </w:tcPr>
                <w:p w14:paraId="349B316D">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818" w:type="pct"/>
                  <w:vAlign w:val="center"/>
                </w:tcPr>
                <w:p w14:paraId="5068C47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679" w:type="pct"/>
                  <w:vAlign w:val="center"/>
                </w:tcPr>
                <w:p w14:paraId="09C860A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423" w:type="pct"/>
                  <w:vMerge w:val="continue"/>
                  <w:vAlign w:val="center"/>
                </w:tcPr>
                <w:p w14:paraId="2EB64B5D">
                  <w:pPr>
                    <w:jc w:val="center"/>
                    <w:textAlignment w:val="cente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pPr>
                </w:p>
              </w:tc>
              <w:tc>
                <w:tcPr>
                  <w:tcW w:w="543" w:type="pct"/>
                  <w:vMerge w:val="continue"/>
                  <w:vAlign w:val="center"/>
                </w:tcPr>
                <w:p w14:paraId="2039F35C">
                  <w:pPr>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50417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1" w:hRule="atLeast"/>
                <w:jc w:val="center"/>
              </w:trPr>
              <w:tc>
                <w:tcPr>
                  <w:tcW w:w="620" w:type="pct"/>
                  <w:vMerge w:val="continue"/>
                  <w:vAlign w:val="center"/>
                </w:tcPr>
                <w:p w14:paraId="4D4EEC35">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994" w:type="pct"/>
                  <w:vMerge w:val="continue"/>
                  <w:vAlign w:val="center"/>
                </w:tcPr>
                <w:p w14:paraId="6C0BA7D3">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919" w:type="pct"/>
                  <w:vAlign w:val="center"/>
                </w:tcPr>
                <w:p w14:paraId="52B6241B">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818" w:type="pct"/>
                  <w:vAlign w:val="center"/>
                </w:tcPr>
                <w:p w14:paraId="5B6BB3D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679" w:type="pct"/>
                  <w:vAlign w:val="center"/>
                </w:tcPr>
                <w:p w14:paraId="586AFF5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423" w:type="pct"/>
                  <w:vMerge w:val="continue"/>
                  <w:vAlign w:val="center"/>
                </w:tcPr>
                <w:p w14:paraId="28DA87ED">
                  <w:pPr>
                    <w:jc w:val="center"/>
                    <w:textAlignment w:val="cente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pPr>
                </w:p>
              </w:tc>
              <w:tc>
                <w:tcPr>
                  <w:tcW w:w="543" w:type="pct"/>
                  <w:vMerge w:val="continue"/>
                  <w:vAlign w:val="center"/>
                </w:tcPr>
                <w:p w14:paraId="6AA9682A">
                  <w:pPr>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238D2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1" w:hRule="atLeast"/>
                <w:jc w:val="center"/>
              </w:trPr>
              <w:tc>
                <w:tcPr>
                  <w:tcW w:w="620" w:type="pct"/>
                  <w:vMerge w:val="continue"/>
                  <w:vAlign w:val="center"/>
                </w:tcPr>
                <w:p w14:paraId="24C6DA0E">
                  <w:pPr>
                    <w:widowControl/>
                    <w:jc w:val="center"/>
                    <w:textAlignment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p>
              </w:tc>
              <w:tc>
                <w:tcPr>
                  <w:tcW w:w="994" w:type="pct"/>
                  <w:vMerge w:val="continue"/>
                  <w:vAlign w:val="center"/>
                </w:tcPr>
                <w:p w14:paraId="6D5A7DAC">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919" w:type="pct"/>
                  <w:vAlign w:val="center"/>
                </w:tcPr>
                <w:p w14:paraId="750D4EE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乙苯</w:t>
                  </w:r>
                </w:p>
              </w:tc>
              <w:tc>
                <w:tcPr>
                  <w:tcW w:w="818" w:type="pct"/>
                  <w:vAlign w:val="center"/>
                </w:tcPr>
                <w:p w14:paraId="236CF0F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679" w:type="pct"/>
                  <w:vAlign w:val="center"/>
                </w:tcPr>
                <w:p w14:paraId="747D254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少量</w:t>
                  </w:r>
                </w:p>
              </w:tc>
              <w:tc>
                <w:tcPr>
                  <w:tcW w:w="423" w:type="pct"/>
                  <w:vMerge w:val="continue"/>
                  <w:vAlign w:val="center"/>
                </w:tcPr>
                <w:p w14:paraId="7F56CF63">
                  <w:pPr>
                    <w:jc w:val="center"/>
                    <w:textAlignment w:val="center"/>
                    <w:rPr>
                      <w:rFonts w:hint="default" w:ascii="Times New Roman" w:hAnsi="Times New Roman" w:eastAsia="宋体" w:cs="Times New Roman"/>
                      <w:color w:val="000000" w:themeColor="text1"/>
                      <w:kern w:val="0"/>
                      <w:szCs w:val="21"/>
                      <w:highlight w:val="none"/>
                      <w:lang w:val="zh-CN" w:bidi="ar"/>
                      <w14:textFill>
                        <w14:solidFill>
                          <w14:schemeClr w14:val="tx1"/>
                        </w14:solidFill>
                      </w14:textFill>
                    </w:rPr>
                  </w:pPr>
                </w:p>
              </w:tc>
              <w:tc>
                <w:tcPr>
                  <w:tcW w:w="543" w:type="pct"/>
                  <w:vMerge w:val="continue"/>
                  <w:vAlign w:val="center"/>
                </w:tcPr>
                <w:p w14:paraId="4B7F5BFB">
                  <w:pPr>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bl>
          <w:p w14:paraId="3142A5E8">
            <w:pPr>
              <w:rPr>
                <w:rFonts w:hint="default" w:ascii="Times New Roman" w:hAnsi="Times New Roman" w:eastAsia="宋体" w:cs="Times New Roman"/>
                <w:color w:val="000000" w:themeColor="text1"/>
                <w:highlight w:val="none"/>
                <w:lang w:val="zh-CN"/>
                <w14:textFill>
                  <w14:solidFill>
                    <w14:schemeClr w14:val="tx1"/>
                  </w14:solidFill>
                </w14:textFill>
              </w:rPr>
            </w:pPr>
          </w:p>
          <w:p w14:paraId="6069F0BA">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项目排气筒一览表</w:t>
            </w:r>
          </w:p>
          <w:tbl>
            <w:tblPr>
              <w:tblStyle w:val="32"/>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636"/>
              <w:gridCol w:w="999"/>
              <w:gridCol w:w="1206"/>
              <w:gridCol w:w="1109"/>
              <w:gridCol w:w="1084"/>
              <w:gridCol w:w="437"/>
              <w:gridCol w:w="744"/>
              <w:gridCol w:w="456"/>
              <w:gridCol w:w="665"/>
              <w:gridCol w:w="432"/>
            </w:tblGrid>
            <w:tr w14:paraId="7B090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473" w:type="dxa"/>
                  <w:vMerge w:val="restart"/>
                  <w:shd w:val="clear" w:color="auto" w:fill="D7D7D7" w:themeFill="background1" w:themeFillShade="D8"/>
                  <w:vAlign w:val="center"/>
                </w:tcPr>
                <w:p w14:paraId="2CD59A3B">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排放口编号</w:t>
                  </w:r>
                </w:p>
              </w:tc>
              <w:tc>
                <w:tcPr>
                  <w:tcW w:w="636" w:type="dxa"/>
                  <w:vMerge w:val="restart"/>
                  <w:shd w:val="clear" w:color="auto" w:fill="D7D7D7" w:themeFill="background1" w:themeFillShade="D8"/>
                  <w:vAlign w:val="center"/>
                </w:tcPr>
                <w:p w14:paraId="4158C01F">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废气类型</w:t>
                  </w:r>
                </w:p>
              </w:tc>
              <w:tc>
                <w:tcPr>
                  <w:tcW w:w="999" w:type="dxa"/>
                  <w:vMerge w:val="restart"/>
                  <w:shd w:val="clear" w:color="auto" w:fill="D7D7D7" w:themeFill="background1" w:themeFillShade="D8"/>
                  <w:vAlign w:val="center"/>
                </w:tcPr>
                <w:p w14:paraId="308C4762">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污染物种类</w:t>
                  </w:r>
                </w:p>
              </w:tc>
              <w:tc>
                <w:tcPr>
                  <w:tcW w:w="2315" w:type="dxa"/>
                  <w:gridSpan w:val="2"/>
                  <w:shd w:val="clear" w:color="auto" w:fill="D7D7D7" w:themeFill="background1" w:themeFillShade="D8"/>
                  <w:vAlign w:val="center"/>
                </w:tcPr>
                <w:p w14:paraId="13DAA843">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排放口地理坐标</w:t>
                  </w:r>
                </w:p>
              </w:tc>
              <w:tc>
                <w:tcPr>
                  <w:tcW w:w="1084" w:type="dxa"/>
                  <w:vMerge w:val="restart"/>
                  <w:shd w:val="clear" w:color="auto" w:fill="D7D7D7" w:themeFill="background1" w:themeFillShade="D8"/>
                  <w:vAlign w:val="center"/>
                </w:tcPr>
                <w:p w14:paraId="36CB4FA4">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治理措施</w:t>
                  </w:r>
                </w:p>
              </w:tc>
              <w:tc>
                <w:tcPr>
                  <w:tcW w:w="437" w:type="dxa"/>
                  <w:vMerge w:val="restart"/>
                  <w:shd w:val="clear" w:color="auto" w:fill="D7D7D7" w:themeFill="background1" w:themeFillShade="D8"/>
                  <w:vAlign w:val="center"/>
                </w:tcPr>
                <w:p w14:paraId="272597A9">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是否为可行技术</w:t>
                  </w:r>
                </w:p>
              </w:tc>
              <w:tc>
                <w:tcPr>
                  <w:tcW w:w="744" w:type="dxa"/>
                  <w:vMerge w:val="restart"/>
                  <w:shd w:val="clear" w:color="auto" w:fill="D7D7D7" w:themeFill="background1" w:themeFillShade="D8"/>
                  <w:vAlign w:val="center"/>
                </w:tcPr>
                <w:p w14:paraId="400979B5">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排气量/m</w:t>
                  </w:r>
                  <w:r>
                    <w:rPr>
                      <w:rFonts w:hint="default" w:ascii="Times New Roman" w:hAnsi="Times New Roman" w:eastAsia="宋体" w:cs="Times New Roman"/>
                      <w:b/>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b/>
                      <w:color w:val="000000" w:themeColor="text1"/>
                      <w:szCs w:val="21"/>
                      <w:highlight w:val="none"/>
                      <w14:textFill>
                        <w14:solidFill>
                          <w14:schemeClr w14:val="tx1"/>
                        </w14:solidFill>
                      </w14:textFill>
                    </w:rPr>
                    <w:t>/h</w:t>
                  </w:r>
                </w:p>
              </w:tc>
              <w:tc>
                <w:tcPr>
                  <w:tcW w:w="456" w:type="dxa"/>
                  <w:vMerge w:val="restart"/>
                  <w:shd w:val="clear" w:color="auto" w:fill="D7D7D7" w:themeFill="background1" w:themeFillShade="D8"/>
                  <w:vAlign w:val="center"/>
                </w:tcPr>
                <w:p w14:paraId="3C3D51D8">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排气筒高度/m</w:t>
                  </w:r>
                </w:p>
              </w:tc>
              <w:tc>
                <w:tcPr>
                  <w:tcW w:w="665" w:type="dxa"/>
                  <w:vMerge w:val="restart"/>
                  <w:shd w:val="clear" w:color="auto" w:fill="D7D7D7" w:themeFill="background1" w:themeFillShade="D8"/>
                  <w:vAlign w:val="center"/>
                </w:tcPr>
                <w:p w14:paraId="0F6BD449">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排气筒出口内径</w:t>
                  </w:r>
                </w:p>
              </w:tc>
              <w:tc>
                <w:tcPr>
                  <w:tcW w:w="432" w:type="dxa"/>
                  <w:vMerge w:val="restart"/>
                  <w:shd w:val="clear" w:color="auto" w:fill="D7D7D7" w:themeFill="background1" w:themeFillShade="D8"/>
                  <w:vAlign w:val="center"/>
                </w:tcPr>
                <w:p w14:paraId="531B8427">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排气温度</w:t>
                  </w:r>
                </w:p>
              </w:tc>
            </w:tr>
            <w:tr w14:paraId="45030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473" w:type="dxa"/>
                  <w:vMerge w:val="continue"/>
                  <w:vAlign w:val="center"/>
                </w:tcPr>
                <w:p w14:paraId="0C4D511E">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636" w:type="dxa"/>
                  <w:vMerge w:val="continue"/>
                  <w:vAlign w:val="center"/>
                </w:tcPr>
                <w:p w14:paraId="321958A0">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999" w:type="dxa"/>
                  <w:vMerge w:val="continue"/>
                  <w:vAlign w:val="center"/>
                </w:tcPr>
                <w:p w14:paraId="7E8B4E93">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1206" w:type="dxa"/>
                  <w:shd w:val="clear" w:color="auto" w:fill="D7D7D7" w:themeFill="background1" w:themeFillShade="D8"/>
                  <w:vAlign w:val="center"/>
                </w:tcPr>
                <w:p w14:paraId="0066A3D1">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经度</w:t>
                  </w:r>
                </w:p>
              </w:tc>
              <w:tc>
                <w:tcPr>
                  <w:tcW w:w="1109" w:type="dxa"/>
                  <w:shd w:val="clear" w:color="auto" w:fill="D7D7D7" w:themeFill="background1" w:themeFillShade="D8"/>
                  <w:vAlign w:val="center"/>
                </w:tcPr>
                <w:p w14:paraId="01BE8A8A">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纬度</w:t>
                  </w:r>
                </w:p>
              </w:tc>
              <w:tc>
                <w:tcPr>
                  <w:tcW w:w="1084" w:type="dxa"/>
                  <w:vMerge w:val="continue"/>
                  <w:vAlign w:val="center"/>
                </w:tcPr>
                <w:p w14:paraId="3F5DE0BE">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437" w:type="dxa"/>
                  <w:vMerge w:val="continue"/>
                  <w:vAlign w:val="center"/>
                </w:tcPr>
                <w:p w14:paraId="60FC17CD">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744" w:type="dxa"/>
                  <w:vMerge w:val="continue"/>
                  <w:vAlign w:val="center"/>
                </w:tcPr>
                <w:p w14:paraId="2DAF8205">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456" w:type="dxa"/>
                  <w:vMerge w:val="continue"/>
                  <w:vAlign w:val="center"/>
                </w:tcPr>
                <w:p w14:paraId="327F9630">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665" w:type="dxa"/>
                  <w:vMerge w:val="continue"/>
                  <w:vAlign w:val="center"/>
                </w:tcPr>
                <w:p w14:paraId="4ACD4E63">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c>
                <w:tcPr>
                  <w:tcW w:w="432" w:type="dxa"/>
                  <w:vMerge w:val="continue"/>
                  <w:vAlign w:val="center"/>
                </w:tcPr>
                <w:p w14:paraId="630D11DC">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p>
              </w:tc>
            </w:tr>
            <w:tr w14:paraId="6D7C0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473" w:type="dxa"/>
                  <w:vAlign w:val="center"/>
                </w:tcPr>
                <w:p w14:paraId="5D76277C">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G1</w:t>
                  </w:r>
                </w:p>
              </w:tc>
              <w:tc>
                <w:tcPr>
                  <w:tcW w:w="636" w:type="dxa"/>
                  <w:vAlign w:val="center"/>
                </w:tcPr>
                <w:p w14:paraId="5B9ECC36">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投料</w:t>
                  </w:r>
                  <w:r>
                    <w:rPr>
                      <w:rFonts w:hint="default" w:ascii="Times New Roman" w:hAnsi="Times New Roman" w:eastAsia="宋体" w:cs="Times New Roman"/>
                      <w:bCs/>
                      <w:color w:val="000000" w:themeColor="text1"/>
                      <w:szCs w:val="21"/>
                      <w:highlight w:val="none"/>
                      <w14:textFill>
                        <w14:solidFill>
                          <w14:schemeClr w14:val="tx1"/>
                        </w14:solidFill>
                      </w14:textFill>
                    </w:rPr>
                    <w:t>工序废气</w:t>
                  </w:r>
                </w:p>
              </w:tc>
              <w:tc>
                <w:tcPr>
                  <w:tcW w:w="999" w:type="dxa"/>
                  <w:vAlign w:val="center"/>
                </w:tcPr>
                <w:p w14:paraId="0F5CC6E3">
                  <w:pPr>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颗粒物</w:t>
                  </w:r>
                </w:p>
              </w:tc>
              <w:tc>
                <w:tcPr>
                  <w:tcW w:w="1206" w:type="dxa"/>
                  <w:vAlign w:val="center"/>
                </w:tcPr>
                <w:p w14:paraId="46252A71">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113.328322</w:t>
                  </w:r>
                </w:p>
              </w:tc>
              <w:tc>
                <w:tcPr>
                  <w:tcW w:w="1109" w:type="dxa"/>
                  <w:vAlign w:val="center"/>
                </w:tcPr>
                <w:p w14:paraId="3A95684C">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22.584746</w:t>
                  </w:r>
                </w:p>
              </w:tc>
              <w:tc>
                <w:tcPr>
                  <w:tcW w:w="1084" w:type="dxa"/>
                  <w:vAlign w:val="center"/>
                </w:tcPr>
                <w:p w14:paraId="54C5CB1B">
                  <w:pPr>
                    <w:pStyle w:val="67"/>
                    <w:numPr>
                      <w:ilvl w:val="0"/>
                      <w:numId w:val="0"/>
                    </w:numPr>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拟对</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投料</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废气经集气罩收集后经滤芯除尘装置装置处理后经1根</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15</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m高排气筒（G1）高空排放</w:t>
                  </w:r>
                </w:p>
              </w:tc>
              <w:tc>
                <w:tcPr>
                  <w:tcW w:w="437" w:type="dxa"/>
                  <w:vAlign w:val="center"/>
                </w:tcPr>
                <w:p w14:paraId="47085E5F">
                  <w:pPr>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是</w:t>
                  </w:r>
                </w:p>
              </w:tc>
              <w:tc>
                <w:tcPr>
                  <w:tcW w:w="744" w:type="dxa"/>
                  <w:vAlign w:val="center"/>
                </w:tcPr>
                <w:p w14:paraId="353E5556">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bCs/>
                      <w:color w:val="000000" w:themeColor="text1"/>
                      <w:szCs w:val="21"/>
                      <w:highlight w:val="none"/>
                      <w14:textFill>
                        <w14:solidFill>
                          <w14:schemeClr w14:val="tx1"/>
                        </w14:solidFill>
                      </w14:textFill>
                    </w:rPr>
                    <w:t>000</w:t>
                  </w:r>
                </w:p>
              </w:tc>
              <w:tc>
                <w:tcPr>
                  <w:tcW w:w="456" w:type="dxa"/>
                  <w:vAlign w:val="center"/>
                </w:tcPr>
                <w:p w14:paraId="16CB7BE4">
                  <w:pPr>
                    <w:pStyle w:val="67"/>
                    <w:numPr>
                      <w:ilvl w:val="0"/>
                      <w:numId w:val="0"/>
                    </w:numPr>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15</w:t>
                  </w:r>
                </w:p>
              </w:tc>
              <w:tc>
                <w:tcPr>
                  <w:tcW w:w="665" w:type="dxa"/>
                  <w:vAlign w:val="center"/>
                </w:tcPr>
                <w:p w14:paraId="0EB30621">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0.</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8</w:t>
                  </w:r>
                  <w:r>
                    <w:rPr>
                      <w:rFonts w:hint="default" w:ascii="Times New Roman" w:hAnsi="Times New Roman" w:eastAsia="宋体" w:cs="Times New Roman"/>
                      <w:bCs/>
                      <w:color w:val="000000" w:themeColor="text1"/>
                      <w:szCs w:val="21"/>
                      <w:highlight w:val="none"/>
                      <w14:textFill>
                        <w14:solidFill>
                          <w14:schemeClr w14:val="tx1"/>
                        </w14:solidFill>
                      </w14:textFill>
                    </w:rPr>
                    <w:t>m</w:t>
                  </w:r>
                </w:p>
              </w:tc>
              <w:tc>
                <w:tcPr>
                  <w:tcW w:w="432" w:type="dxa"/>
                  <w:vAlign w:val="center"/>
                </w:tcPr>
                <w:p w14:paraId="6FC1C501">
                  <w:pPr>
                    <w:pStyle w:val="67"/>
                    <w:numPr>
                      <w:ilvl w:val="0"/>
                      <w:numId w:val="0"/>
                    </w:numPr>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常温</w:t>
                  </w:r>
                </w:p>
              </w:tc>
            </w:tr>
            <w:tr w14:paraId="2EF7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473" w:type="dxa"/>
                  <w:vAlign w:val="center"/>
                </w:tcPr>
                <w:p w14:paraId="0F0767FC">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G2</w:t>
                  </w:r>
                </w:p>
              </w:tc>
              <w:tc>
                <w:tcPr>
                  <w:tcW w:w="636" w:type="dxa"/>
                  <w:vAlign w:val="center"/>
                </w:tcPr>
                <w:p w14:paraId="014A9497">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挤出工序废气</w:t>
                  </w:r>
                </w:p>
              </w:tc>
              <w:tc>
                <w:tcPr>
                  <w:tcW w:w="999" w:type="dxa"/>
                  <w:vAlign w:val="center"/>
                </w:tcPr>
                <w:p w14:paraId="1A54C30B">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非甲烷总烃、</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苯乙烯、甲苯、乙苯</w:t>
                  </w:r>
                  <w:r>
                    <w:rPr>
                      <w:rFonts w:hint="default" w:ascii="Times New Roman" w:hAnsi="Times New Roman" w:eastAsia="宋体" w:cs="Times New Roman"/>
                      <w:bCs/>
                      <w:color w:val="000000" w:themeColor="text1"/>
                      <w:szCs w:val="21"/>
                      <w:highlight w:val="none"/>
                      <w14:textFill>
                        <w14:solidFill>
                          <w14:schemeClr w14:val="tx1"/>
                        </w14:solidFill>
                      </w14:textFill>
                    </w:rPr>
                    <w:t>、臭气浓度</w:t>
                  </w:r>
                </w:p>
              </w:tc>
              <w:tc>
                <w:tcPr>
                  <w:tcW w:w="1206" w:type="dxa"/>
                  <w:vAlign w:val="center"/>
                </w:tcPr>
                <w:p w14:paraId="00543D24">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113.328282</w:t>
                  </w:r>
                </w:p>
              </w:tc>
              <w:tc>
                <w:tcPr>
                  <w:tcW w:w="1109" w:type="dxa"/>
                  <w:vAlign w:val="center"/>
                </w:tcPr>
                <w:p w14:paraId="25AD9CD2">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22.584784</w:t>
                  </w:r>
                </w:p>
              </w:tc>
              <w:tc>
                <w:tcPr>
                  <w:tcW w:w="1084" w:type="dxa"/>
                  <w:vAlign w:val="center"/>
                </w:tcPr>
                <w:p w14:paraId="143C279A">
                  <w:pPr>
                    <w:pStyle w:val="67"/>
                    <w:numPr>
                      <w:ilvl w:val="0"/>
                      <w:numId w:val="0"/>
                    </w:numPr>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拟对</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挤出</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废气经</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管道</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收集后经</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二级活性炭</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装置处理后经1根</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15</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m高排气筒（G</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）高空排放</w:t>
                  </w:r>
                </w:p>
              </w:tc>
              <w:tc>
                <w:tcPr>
                  <w:tcW w:w="437" w:type="dxa"/>
                  <w:vAlign w:val="center"/>
                </w:tcPr>
                <w:p w14:paraId="51116DE6">
                  <w:pPr>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是</w:t>
                  </w:r>
                </w:p>
              </w:tc>
              <w:tc>
                <w:tcPr>
                  <w:tcW w:w="744" w:type="dxa"/>
                  <w:vAlign w:val="center"/>
                </w:tcPr>
                <w:p w14:paraId="1F1FF2EA">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10000</w:t>
                  </w:r>
                </w:p>
              </w:tc>
              <w:tc>
                <w:tcPr>
                  <w:tcW w:w="456" w:type="dxa"/>
                  <w:vAlign w:val="center"/>
                </w:tcPr>
                <w:p w14:paraId="57D8FD69">
                  <w:pPr>
                    <w:pStyle w:val="67"/>
                    <w:numPr>
                      <w:ilvl w:val="0"/>
                      <w:numId w:val="0"/>
                    </w:numP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16</w:t>
                  </w:r>
                </w:p>
              </w:tc>
              <w:tc>
                <w:tcPr>
                  <w:tcW w:w="665" w:type="dxa"/>
                  <w:vAlign w:val="center"/>
                </w:tcPr>
                <w:p w14:paraId="13852D1B">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0.5m</w:t>
                  </w:r>
                </w:p>
              </w:tc>
              <w:tc>
                <w:tcPr>
                  <w:tcW w:w="432" w:type="dxa"/>
                  <w:vAlign w:val="center"/>
                </w:tcPr>
                <w:p w14:paraId="60676F79">
                  <w:pPr>
                    <w:pStyle w:val="67"/>
                    <w:numPr>
                      <w:ilvl w:val="0"/>
                      <w:numId w:val="0"/>
                    </w:numP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常温</w:t>
                  </w:r>
                </w:p>
              </w:tc>
            </w:tr>
          </w:tbl>
          <w:p w14:paraId="15250BDE">
            <w:pPr>
              <w:spacing w:line="360" w:lineRule="auto"/>
              <w:ind w:firstLine="482" w:firstLineChars="200"/>
              <w:rPr>
                <w:rFonts w:hint="default" w:ascii="Times New Roman" w:hAnsi="Times New Roman" w:eastAsia="宋体" w:cs="Times New Roman"/>
                <w:b/>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w:t>
            </w:r>
            <w:r>
              <w:rPr>
                <w:rFonts w:hint="default" w:ascii="Times New Roman" w:hAnsi="Times New Roman" w:eastAsia="宋体" w:cs="Times New Roman"/>
                <w:b/>
                <w:color w:val="000000" w:themeColor="text1"/>
                <w:sz w:val="24"/>
                <w:highlight w:val="none"/>
                <w14:textFill>
                  <w14:solidFill>
                    <w14:schemeClr w14:val="tx1"/>
                  </w14:solidFill>
                </w14:textFill>
              </w:rPr>
              <w:t>项目废气治理可行性分析</w:t>
            </w:r>
          </w:p>
          <w:p w14:paraId="34A732CA">
            <w:pPr>
              <w:spacing w:line="480" w:lineRule="exact"/>
              <w:ind w:firstLine="482" w:firstLineChars="200"/>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滤芯除尘装置可行性分析：</w:t>
            </w:r>
          </w:p>
          <w:p w14:paraId="4CABA7A8">
            <w:pPr>
              <w:spacing w:line="480" w:lineRule="exact"/>
              <w:ind w:firstLine="480" w:firstLineChars="200"/>
              <w:rPr>
                <w:rFonts w:hint="default" w:ascii="Arial" w:hAnsi="Arial" w:eastAsia="Arial" w:cs="Arial"/>
                <w:i w:val="0"/>
                <w:iCs w:val="0"/>
                <w:caps w:val="0"/>
                <w:color w:val="000000" w:themeColor="text1"/>
                <w:spacing w:val="0"/>
                <w:sz w:val="24"/>
                <w:szCs w:val="24"/>
                <w:highlight w:val="none"/>
                <w:shd w:val="clear" w:fill="FFFFFF"/>
                <w14:textFill>
                  <w14:solidFill>
                    <w14:schemeClr w14:val="tx1"/>
                  </w14:solidFill>
                </w14:textFill>
              </w:rPr>
            </w:pPr>
            <w:r>
              <w:rPr>
                <w:rFonts w:hint="default" w:ascii="Arial" w:hAnsi="Arial" w:eastAsia="Arial" w:cs="Arial"/>
                <w:i w:val="0"/>
                <w:iCs w:val="0"/>
                <w:caps w:val="0"/>
                <w:color w:val="000000" w:themeColor="text1"/>
                <w:spacing w:val="0"/>
                <w:sz w:val="24"/>
                <w:szCs w:val="24"/>
                <w:highlight w:val="none"/>
                <w:shd w:val="clear" w:fill="FFFFFF"/>
                <w14:textFill>
                  <w14:solidFill>
                    <w14:schemeClr w14:val="tx1"/>
                  </w14:solidFill>
                </w14:textFill>
              </w:rPr>
              <w:t>当启动风机时，通过产生的负压作用，含有粉尘的空气从进风口被吸入滤芯除尘器内部。此时，气流速度较快，但随着进入设备内部后逐渐减速，有助于减少对滤芯的冲击。含尘空气经过滤芯时，较大的颗粒物由于惯性作用直接撞击滤芯表面并脱落至灰斗；较小的颗粒则被滤芯表面的微孔截留，形成一层粉尘层。随着时间推移，粉尘层会逐渐增厚，增加了过滤阻力。当滤芯表面的粉尘积累到一定程度时，清灰系统开始工作。以脉冲喷吹为例，压缩空气通过喷吹管以极高速度喷出，诱导周围的空气一同喷入滤芯。这一过程导致滤芯迅速胀缩，使附着在滤芯外壁上的粉尘脱落并落入灰斗。这种瞬间高压喷吹的方式不会破坏滤芯结构，同时能有效恢复其透气性。经过净化后的空气通过出风口排出，减少对周边环境的影响。</w:t>
            </w:r>
          </w:p>
          <w:p w14:paraId="331412D1">
            <w:pPr>
              <w:tabs>
                <w:tab w:val="left" w:pos="960"/>
              </w:tabs>
              <w:spacing w:line="480" w:lineRule="exact"/>
              <w:ind w:firstLine="482" w:firstLineChars="200"/>
              <w:rPr>
                <w:rFonts w:ascii="Times New Roman" w:hAnsi="Times New Roman" w:eastAsia="宋体" w:cs="Times New Roman"/>
                <w:b/>
                <w:color w:val="000000" w:themeColor="text1"/>
                <w:sz w:val="24"/>
                <w:highlight w:val="none"/>
                <w14:textFill>
                  <w14:solidFill>
                    <w14:schemeClr w14:val="tx1"/>
                  </w14:solidFill>
                </w14:textFill>
              </w:rPr>
            </w:pPr>
            <w:r>
              <w:rPr>
                <w:rFonts w:ascii="Times New Roman" w:hAnsi="Times New Roman" w:eastAsia="宋体" w:cs="Times New Roman"/>
                <w:b/>
                <w:color w:val="000000" w:themeColor="text1"/>
                <w:sz w:val="24"/>
                <w:highlight w:val="none"/>
                <w14:textFill>
                  <w14:solidFill>
                    <w14:schemeClr w14:val="tx1"/>
                  </w14:solidFill>
                </w14:textFill>
              </w:rPr>
              <w:t>二级活性炭吸附装置可行性分析：</w:t>
            </w:r>
          </w:p>
          <w:p w14:paraId="42470162">
            <w:pPr>
              <w:tabs>
                <w:tab w:val="left" w:pos="960"/>
              </w:tabs>
              <w:spacing w:line="480" w:lineRule="exact"/>
              <w:ind w:firstLine="480"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参考《排污许可证申请与核发技术规范 橡胶和塑料制品工业》（HJ1066-2019）中表A.2塑料制品工业排污单位废气污染防治可行技术参考表一塑料薄膜制造，塑料板、管、型材制造，塑料丝、绳及编制品制造，泡沫塑料制造，塑料包装箱及容器制造，日用塑料制品制造，人造草坪制造，塑料零件及其他塑料制品制造废气中的挥发性有机物废气的可行性技术分别为“喷淋；吸附；吸附浓缩+热力燃烧/催化燃烧”、臭气浓度和恶臭特征物质的可行性技术分别为“喷淋、吸附、低温等离子体、UV光氧化/光催化、生物法两种及以上组合技术”可知</w:t>
            </w:r>
            <w:r>
              <w:rPr>
                <w:rFonts w:ascii="Times New Roman" w:hAnsi="Times New Roman" w:eastAsia="宋体" w:cs="Times New Roman"/>
                <w:color w:val="000000" w:themeColor="text1"/>
                <w:kern w:val="0"/>
                <w:sz w:val="24"/>
                <w:highlight w:val="none"/>
                <w14:textFill>
                  <w14:solidFill>
                    <w14:schemeClr w14:val="tx1"/>
                  </w14:solidFill>
                </w14:textFill>
              </w:rPr>
              <w:t>，二级活性炭吸附装置</w:t>
            </w:r>
            <w:r>
              <w:rPr>
                <w:rFonts w:ascii="Times New Roman" w:hAnsi="Times New Roman" w:eastAsia="宋体" w:cs="Times New Roman"/>
                <w:color w:val="000000" w:themeColor="text1"/>
                <w:sz w:val="24"/>
                <w:highlight w:val="none"/>
                <w14:textFill>
                  <w14:solidFill>
                    <w14:schemeClr w14:val="tx1"/>
                  </w14:solidFill>
                </w14:textFill>
              </w:rPr>
              <w:t>治理</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有机废气</w:t>
            </w:r>
            <w:r>
              <w:rPr>
                <w:rFonts w:ascii="Times New Roman" w:hAnsi="Times New Roman" w:eastAsia="宋体" w:cs="Times New Roman"/>
                <w:color w:val="000000" w:themeColor="text1"/>
                <w:sz w:val="24"/>
                <w:highlight w:val="none"/>
                <w14:textFill>
                  <w14:solidFill>
                    <w14:schemeClr w14:val="tx1"/>
                  </w14:solidFill>
                </w14:textFill>
              </w:rPr>
              <w:t>、臭气浓度</w:t>
            </w:r>
            <w:r>
              <w:rPr>
                <w:rFonts w:ascii="Times New Roman" w:hAnsi="Times New Roman" w:eastAsia="宋体" w:cs="Times New Roman"/>
                <w:color w:val="000000" w:themeColor="text1"/>
                <w:kern w:val="0"/>
                <w:sz w:val="24"/>
                <w:highlight w:val="none"/>
                <w14:textFill>
                  <w14:solidFill>
                    <w14:schemeClr w14:val="tx1"/>
                  </w14:solidFill>
                </w14:textFill>
              </w:rPr>
              <w:t>为可行技术</w:t>
            </w:r>
            <w:r>
              <w:rPr>
                <w:rFonts w:ascii="Times New Roman" w:hAnsi="Times New Roman" w:eastAsia="宋体" w:cs="Times New Roman"/>
                <w:bCs/>
                <w:color w:val="000000" w:themeColor="text1"/>
                <w:sz w:val="24"/>
                <w:highlight w:val="none"/>
                <w14:textFill>
                  <w14:solidFill>
                    <w14:schemeClr w14:val="tx1"/>
                  </w14:solidFill>
                </w14:textFill>
              </w:rPr>
              <w:t>。</w:t>
            </w:r>
            <w:r>
              <w:rPr>
                <w:rFonts w:hint="default" w:ascii="Arial" w:hAnsi="Arial" w:eastAsia="Arial" w:cs="Arial"/>
                <w:i w:val="0"/>
                <w:iCs w:val="0"/>
                <w:caps w:val="0"/>
                <w:color w:val="000000" w:themeColor="text1"/>
                <w:spacing w:val="0"/>
                <w:sz w:val="21"/>
                <w:szCs w:val="21"/>
                <w:highlight w:val="none"/>
                <w:shd w:val="clear" w:fill="FFFFFF"/>
                <w14:textFill>
                  <w14:solidFill>
                    <w14:schemeClr w14:val="tx1"/>
                  </w14:solidFill>
                </w14:textFill>
              </w:rPr>
              <w:t>‌</w:t>
            </w:r>
          </w:p>
          <w:p w14:paraId="2D78959F">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eastAsia" w:ascii="Times New Roman" w:hAnsi="Times New Roman" w:eastAsia="宋体" w:cs="Times New Roman"/>
                <w:b/>
                <w:color w:val="000000" w:themeColor="text1"/>
                <w:sz w:val="21"/>
                <w:highlight w:val="none"/>
                <w:lang w:val="zh-CN" w:eastAsia="zh-CN"/>
                <w14:textFill>
                  <w14:solidFill>
                    <w14:schemeClr w14:val="tx1"/>
                  </w14:solidFill>
                </w14:textFill>
              </w:rPr>
              <w:t>活性炭废气装置参数一览</w:t>
            </w: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表</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1"/>
              <w:gridCol w:w="4194"/>
            </w:tblGrid>
            <w:tr w14:paraId="5853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599E024F">
                  <w:pPr>
                    <w:keepNext w:val="0"/>
                    <w:keepLines w:val="0"/>
                    <w:widowControl/>
                    <w:suppressLineNumbers w:val="0"/>
                    <w:jc w:val="center"/>
                    <w:textAlignment w:val="center"/>
                    <w:rPr>
                      <w:rFonts w:hint="default" w:ascii="Times New Roman" w:hAnsi="Times New Roman" w:cs="Times New Roman"/>
                      <w:b/>
                      <w:bCs/>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b/>
                      <w:bCs/>
                      <w:i w:val="0"/>
                      <w:iCs w:val="0"/>
                      <w:color w:val="000000" w:themeColor="text1"/>
                      <w:kern w:val="0"/>
                      <w:sz w:val="21"/>
                      <w:szCs w:val="21"/>
                      <w:highlight w:val="none"/>
                      <w:u w:val="none"/>
                      <w:lang w:val="en-US" w:eastAsia="zh-CN" w:bidi="ar"/>
                      <w14:textFill>
                        <w14:solidFill>
                          <w14:schemeClr w14:val="tx1"/>
                        </w14:solidFill>
                      </w14:textFill>
                    </w:rPr>
                    <w:t>指标</w:t>
                  </w:r>
                </w:p>
              </w:tc>
              <w:tc>
                <w:tcPr>
                  <w:tcW w:w="2500" w:type="pct"/>
                </w:tcPr>
                <w:p w14:paraId="2EAA01F8">
                  <w:pPr>
                    <w:jc w:val="cente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活性炭参数</w:t>
                  </w:r>
                </w:p>
              </w:tc>
            </w:tr>
            <w:tr w14:paraId="60F4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6F8A4734">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风量（</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w:t>
                  </w:r>
                  <w:r>
                    <w:rPr>
                      <w:rStyle w:val="87"/>
                      <w:rFonts w:hint="default" w:ascii="Times New Roman" w:hAnsi="Times New Roman" w:eastAsia="宋体" w:cs="Times New Roman"/>
                      <w:color w:val="000000" w:themeColor="text1"/>
                      <w:sz w:val="21"/>
                      <w:szCs w:val="21"/>
                      <w:highlight w:val="none"/>
                      <w:vertAlign w:val="superscript"/>
                      <w:lang w:val="en-US" w:eastAsia="zh-CN" w:bidi="ar"/>
                      <w14:textFill>
                        <w14:solidFill>
                          <w14:schemeClr w14:val="tx1"/>
                        </w14:solidFill>
                      </w14:textFill>
                    </w:rPr>
                    <w:t>3</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/h</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2500" w:type="pct"/>
                </w:tcPr>
                <w:p w14:paraId="51AFB23A">
                  <w:pPr>
                    <w:jc w:val="cente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10000</w:t>
                  </w:r>
                </w:p>
              </w:tc>
            </w:tr>
            <w:tr w14:paraId="458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1EACFBF3">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活性炭箱体参数（</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）：长×宽×高</w:t>
                  </w:r>
                </w:p>
              </w:tc>
              <w:tc>
                <w:tcPr>
                  <w:tcW w:w="4235" w:type="dxa"/>
                  <w:vAlign w:val="center"/>
                </w:tcPr>
                <w:p w14:paraId="71878591">
                  <w:pPr>
                    <w:bidi w:val="0"/>
                    <w:spacing w:line="360" w:lineRule="auto"/>
                    <w:jc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1.8</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m×1m×1.</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w:t>
                  </w:r>
                </w:p>
              </w:tc>
            </w:tr>
            <w:tr w14:paraId="250CB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72FD4B53">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炭层参数（</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）：长×宽</w:t>
                  </w:r>
                </w:p>
              </w:tc>
              <w:tc>
                <w:tcPr>
                  <w:tcW w:w="4235" w:type="dxa"/>
                  <w:vAlign w:val="center"/>
                </w:tcPr>
                <w:p w14:paraId="7AC2C2CC">
                  <w:pPr>
                    <w:bidi w:val="0"/>
                    <w:spacing w:line="360" w:lineRule="auto"/>
                    <w:jc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1.8</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m×1m</w:t>
                  </w:r>
                </w:p>
              </w:tc>
            </w:tr>
            <w:tr w14:paraId="3A34F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2F489E32">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炭层数（层）</w:t>
                  </w:r>
                </w:p>
              </w:tc>
              <w:tc>
                <w:tcPr>
                  <w:tcW w:w="4235" w:type="dxa"/>
                  <w:vAlign w:val="center"/>
                </w:tcPr>
                <w:p w14:paraId="57362006">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w:t>
                  </w:r>
                </w:p>
              </w:tc>
            </w:tr>
            <w:tr w14:paraId="0E75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6E45D1B1">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过滤面积（m</w:t>
                  </w:r>
                  <w:r>
                    <w:rPr>
                      <w:rFonts w:hint="default" w:ascii="Times New Roman" w:hAnsi="Times New Roman" w:eastAsia="宋体" w:cs="Times New Roman"/>
                      <w:i w:val="0"/>
                      <w:iCs w:val="0"/>
                      <w:color w:val="000000" w:themeColor="text1"/>
                      <w:kern w:val="0"/>
                      <w:sz w:val="21"/>
                      <w:szCs w:val="21"/>
                      <w:highlight w:val="none"/>
                      <w:u w:val="none"/>
                      <w:vertAlign w:val="superscript"/>
                      <w:lang w:val="en-US" w:eastAsia="zh-CN" w:bidi="ar"/>
                      <w14:textFill>
                        <w14:solidFill>
                          <w14:schemeClr w14:val="tx1"/>
                        </w14:solidFill>
                      </w14:textFill>
                    </w:rPr>
                    <w:t>2</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4235" w:type="dxa"/>
                  <w:vAlign w:val="center"/>
                </w:tcPr>
                <w:p w14:paraId="273862EE">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1.80 </w:t>
                  </w:r>
                </w:p>
              </w:tc>
            </w:tr>
            <w:tr w14:paraId="540DE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371E8C5A">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单层炭层厚度（</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205E42F0">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0.5</w:t>
                  </w:r>
                </w:p>
              </w:tc>
            </w:tr>
            <w:tr w14:paraId="0355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38F9BAC0">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总炭层厚度（</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60613A87">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r>
            <w:tr w14:paraId="0B71C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0D4121F5">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过滤风速（</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m/s</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7CBCF8F2">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0.77 </w:t>
                  </w:r>
                </w:p>
              </w:tc>
            </w:tr>
            <w:tr w14:paraId="20772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6CA28ED6">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停留时间（</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s</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7FA62613">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1.94 </w:t>
                  </w:r>
                </w:p>
              </w:tc>
            </w:tr>
            <w:tr w14:paraId="4BFF1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3AC8B5D7">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活性炭装填体积（</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m</w:t>
                  </w:r>
                  <w:r>
                    <w:rPr>
                      <w:rStyle w:val="87"/>
                      <w:rFonts w:hint="default" w:ascii="Times New Roman" w:hAnsi="Times New Roman" w:eastAsia="宋体" w:cs="Times New Roman"/>
                      <w:color w:val="000000" w:themeColor="text1"/>
                      <w:sz w:val="21"/>
                      <w:szCs w:val="21"/>
                      <w:highlight w:val="none"/>
                      <w:vertAlign w:val="superscript"/>
                      <w:lang w:val="en-US" w:eastAsia="zh-CN" w:bidi="ar"/>
                      <w14:textFill>
                        <w14:solidFill>
                          <w14:schemeClr w14:val="tx1"/>
                        </w14:solidFill>
                      </w14:textFill>
                    </w:rPr>
                    <w:t>3</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50BCEA86">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1.80 </w:t>
                  </w:r>
                </w:p>
              </w:tc>
            </w:tr>
            <w:tr w14:paraId="77EE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7568A6F8">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填充密度（</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kg/m</w:t>
                  </w:r>
                  <w:r>
                    <w:rPr>
                      <w:rStyle w:val="87"/>
                      <w:rFonts w:hint="default" w:ascii="Times New Roman" w:hAnsi="Times New Roman" w:eastAsia="宋体" w:cs="Times New Roman"/>
                      <w:color w:val="000000" w:themeColor="text1"/>
                      <w:sz w:val="21"/>
                      <w:szCs w:val="21"/>
                      <w:highlight w:val="none"/>
                      <w:vertAlign w:val="superscript"/>
                      <w:lang w:val="en-US" w:eastAsia="zh-CN" w:bidi="ar"/>
                      <w14:textFill>
                        <w14:solidFill>
                          <w14:schemeClr w14:val="tx1"/>
                        </w14:solidFill>
                      </w14:textFill>
                    </w:rPr>
                    <w:t>3</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0F6B4E8C">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550</w:t>
                  </w:r>
                </w:p>
              </w:tc>
            </w:tr>
            <w:tr w14:paraId="2A60A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478A3E9A">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活性炭装置装填量（</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t</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w:t>
                  </w:r>
                </w:p>
              </w:tc>
              <w:tc>
                <w:tcPr>
                  <w:tcW w:w="4235" w:type="dxa"/>
                  <w:vAlign w:val="center"/>
                </w:tcPr>
                <w:p w14:paraId="4CC87417">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0.99 </w:t>
                  </w:r>
                </w:p>
              </w:tc>
            </w:tr>
            <w:tr w14:paraId="61BB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756C5D2D">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活性炭装置数量（个）</w:t>
                  </w:r>
                </w:p>
              </w:tc>
              <w:tc>
                <w:tcPr>
                  <w:tcW w:w="4235" w:type="dxa"/>
                  <w:vAlign w:val="center"/>
                </w:tcPr>
                <w:p w14:paraId="2C355AFC">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w:t>
                  </w:r>
                </w:p>
              </w:tc>
            </w:tr>
            <w:tr w14:paraId="0B45E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center"/>
                </w:tcPr>
                <w:p w14:paraId="244F0D9F">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更换次数（次</w:t>
                  </w:r>
                  <w:r>
                    <w:rPr>
                      <w:rStyle w:val="90"/>
                      <w:rFonts w:hint="default" w:ascii="Times New Roman" w:hAnsi="Times New Roman" w:eastAsia="宋体" w:cs="Times New Roman"/>
                      <w:color w:val="000000" w:themeColor="text1"/>
                      <w:sz w:val="21"/>
                      <w:szCs w:val="21"/>
                      <w:highlight w:val="none"/>
                      <w:lang w:val="en-US" w:eastAsia="zh-CN" w:bidi="ar"/>
                      <w14:textFill>
                        <w14:solidFill>
                          <w14:schemeClr w14:val="tx1"/>
                        </w14:solidFill>
                      </w14:textFill>
                    </w:rPr>
                    <w:t>/</w:t>
                  </w:r>
                  <w:r>
                    <w:rPr>
                      <w:rStyle w:val="91"/>
                      <w:rFonts w:hint="default" w:ascii="Times New Roman" w:hAnsi="Times New Roman" w:cs="Times New Roman"/>
                      <w:color w:val="000000" w:themeColor="text1"/>
                      <w:sz w:val="21"/>
                      <w:szCs w:val="21"/>
                      <w:highlight w:val="none"/>
                      <w:lang w:val="en-US" w:eastAsia="zh-CN" w:bidi="ar"/>
                      <w14:textFill>
                        <w14:solidFill>
                          <w14:schemeClr w14:val="tx1"/>
                        </w14:solidFill>
                      </w14:textFill>
                    </w:rPr>
                    <w:t>年）</w:t>
                  </w:r>
                </w:p>
              </w:tc>
              <w:tc>
                <w:tcPr>
                  <w:tcW w:w="4235" w:type="dxa"/>
                  <w:vAlign w:val="center"/>
                </w:tcPr>
                <w:p w14:paraId="5006D547">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12</w:t>
                  </w:r>
                </w:p>
              </w:tc>
            </w:tr>
            <w:tr w14:paraId="5A8F4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45D01D1E">
                  <w:pPr>
                    <w:jc w:val="cente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废活性炭产生量（t/a）</w:t>
                  </w:r>
                </w:p>
              </w:tc>
              <w:tc>
                <w:tcPr>
                  <w:tcW w:w="4235" w:type="dxa"/>
                  <w:vAlign w:val="center"/>
                </w:tcPr>
                <w:p w14:paraId="74C3874F">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23.76</w:t>
                  </w:r>
                </w:p>
              </w:tc>
            </w:tr>
            <w:tr w14:paraId="64E9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84E82BC">
                  <w:pPr>
                    <w:spacing w:line="360" w:lineRule="auto"/>
                    <w:jc w:val="both"/>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注：</w:t>
                  </w:r>
                </w:p>
                <w:p w14:paraId="576775B6">
                  <w:pPr>
                    <w:spacing w:line="360" w:lineRule="auto"/>
                    <w:jc w:val="both"/>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t>①</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活性炭理论吸附面积=设计风量÷3600s÷气体流速=</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100</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00÷3600÷0.</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77</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3.6</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；G1理论单层过滤面积=</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3.6</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1.8</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；本项目设置单层过滤面积为</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8</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8</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，满足要求，则活性炭装填体积=</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8</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×0.</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5</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层=</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1.8</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w:t>
                  </w:r>
                </w:p>
                <w:p w14:paraId="5AFD9F1E">
                  <w:pPr>
                    <w:spacing w:line="360" w:lineRule="auto"/>
                    <w:jc w:val="both"/>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t>②</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本项目采用蜂窝活性炭，填充密度按550kg/m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t>计，则活性炭的装填量=活性炭装填体积×填充密度；</w:t>
                  </w:r>
                </w:p>
                <w:p w14:paraId="029E069E">
                  <w:pPr>
                    <w:spacing w:line="360" w:lineRule="auto"/>
                    <w:jc w:val="both"/>
                    <w:rPr>
                      <w:rFonts w:hint="default" w:ascii="Times New Roman" w:hAnsi="Times New Roman"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t>③</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本项目设有二级活性炭，因此二级活性炭吸附装置的活性炭装载量为</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1.98</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②</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根据前表可知，二级活性炭可吸附的有机废气量为</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3.496</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t/a，根据</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《广东省生态环境厅关于印发工业源挥发性有机物和氮氧化物减排量核算方法的通知》表 3.3-3 废气治理效率参考值</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-吸附技术-建议直接将“活性炭年更换量×活性炭吸附比例”(活性炭年更换量优先以危废转移量为依据，吸附比例建议取值 15%)作为废气处理设施 VOCs 削减量可知，本项目二级活性炭年更换次数为</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12</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次、</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活性炭装载量为</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1.98</w:t>
                  </w: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t，本项目二级活性炭吸附比例达到15%以上，可满足相关要求。</w:t>
                  </w:r>
                </w:p>
              </w:tc>
            </w:tr>
          </w:tbl>
          <w:p w14:paraId="3B277C05">
            <w:pPr>
              <w:spacing w:line="480" w:lineRule="exact"/>
              <w:ind w:firstLine="482" w:firstLineChars="200"/>
              <w:rPr>
                <w:rFonts w:hint="default" w:eastAsiaTheme="minorEastAsia"/>
                <w:color w:val="000000" w:themeColor="text1"/>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活性炭运行管理要求：</w:t>
            </w:r>
          </w:p>
          <w:p w14:paraId="4525D8A1">
            <w:pPr>
              <w:spacing w:line="480" w:lineRule="exact"/>
              <w:ind w:firstLine="482" w:firstLineChars="200"/>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1）活性炭更换操作：</w:t>
            </w:r>
          </w:p>
          <w:p w14:paraId="6A32EBA9">
            <w:pPr>
              <w:spacing w:line="480" w:lineRule="exact"/>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A、活性炭更换前应关闭整套废气处理系统，将系统的压力降为零。必要时应结合活性炭更换对废气收集处理系统进行检修。</w:t>
            </w:r>
          </w:p>
          <w:p w14:paraId="620D3A82">
            <w:pPr>
              <w:spacing w:line="480" w:lineRule="exact"/>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B、取出活性炭时，观察设备内部是否积水、积尘、破损，活性炭表面是否覆盖粉尘等情况，如有，应尽快对预处理系统进行保养。</w:t>
            </w:r>
          </w:p>
          <w:p w14:paraId="3360B584">
            <w:pPr>
              <w:spacing w:line="480" w:lineRule="exact"/>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C、颗粒活性炭应装填齐整，避免气流短路，蜂窝活性炭应装填紧密，减少空隙活性炭纤维毡与支撑骨架的接触部位应紧密贴合，相邻活性炭纤维毡层之间应紧密贴合，活性炭纤维毡最外层应采用金属丝网固定。</w:t>
            </w:r>
          </w:p>
          <w:p w14:paraId="344D1940">
            <w:pPr>
              <w:spacing w:line="480" w:lineRule="exact"/>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D、活性炭装填完毕后，连接部位必须拧紧，并应进行气密性检查</w:t>
            </w:r>
          </w:p>
          <w:p w14:paraId="402C8D26">
            <w:pPr>
              <w:spacing w:line="480" w:lineRule="exact"/>
              <w:ind w:firstLine="482"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2）运行与维护：</w:t>
            </w:r>
          </w:p>
          <w:p w14:paraId="0AB1FEA2">
            <w:pPr>
              <w:spacing w:line="360" w:lineRule="auto"/>
              <w:ind w:firstLine="480" w:firstLineChars="200"/>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A、做好活性炭吸附装置运行状况、设施维护、活性炭更换记录，建立管理台账，相关记录至少保存三年，现场保留不少于一个月的台账记录。主要记录内容包括</w:t>
            </w:r>
            <w:r>
              <w:rPr>
                <w:rFonts w:hint="eastAsia"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a)活性炭吸附装置的启动、停止时间</w:t>
            </w:r>
            <w:r>
              <w:rPr>
                <w:rFonts w:hint="eastAsia"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b)活性炭的质量分析数据、采购量、使用量、更换量与更换时间</w:t>
            </w:r>
            <w:r>
              <w:rPr>
                <w:rFonts w:hint="eastAsia"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c)活性炭吸附装置运行工艺控制参数，至少包括设备进、出口浓度和吸附装置内温度</w:t>
            </w:r>
            <w:r>
              <w:rPr>
                <w:rFonts w:hint="eastAsia"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d)主要设备维修情况，运行事故及维修情况</w:t>
            </w:r>
            <w:r>
              <w:rPr>
                <w:rFonts w:hint="eastAsia" w:cs="Times New Roman"/>
                <w:b w:val="0"/>
                <w:bCs w:val="0"/>
                <w:color w:val="000000" w:themeColor="text1"/>
                <w:sz w:val="24"/>
                <w:szCs w:val="24"/>
                <w:highlight w:val="none"/>
                <w:lang w:eastAsia="zh-CN"/>
                <w14:textFill>
                  <w14:solidFill>
                    <w14:schemeClr w14:val="tx1"/>
                  </w14:solidFill>
                </w14:textFill>
              </w:rPr>
              <w:t>。</w:t>
            </w:r>
          </w:p>
          <w:p w14:paraId="0E98AA87">
            <w:pPr>
              <w:spacing w:line="360" w:lineRule="auto"/>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C、应当按照监测位置、指标和频次的要求定期对活性炭吸附装置进行自行监测相关记录至少保存三年。</w:t>
            </w:r>
          </w:p>
          <w:p w14:paraId="2781E870">
            <w:pPr>
              <w:spacing w:line="360" w:lineRule="auto"/>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D、维护人员应根据计划定期检查、维护和更换必要的部件和材料，保障活性炭在低颗粒物、低含水率条件下使用。</w:t>
            </w:r>
          </w:p>
          <w:p w14:paraId="059C8F8F">
            <w:pPr>
              <w:spacing w:line="360" w:lineRule="auto"/>
              <w:ind w:firstLine="480" w:firstLineChars="200"/>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E、更换下来的活性炭应装入闭口容器或包装物内贮存，并按</w:t>
            </w:r>
            <w:r>
              <w:rPr>
                <w:rFonts w:hint="eastAsia" w:eastAsia="宋体" w:cs="Times New Roman"/>
                <w:b w:val="0"/>
                <w:bCs w:val="0"/>
                <w:color w:val="000000" w:themeColor="text1"/>
                <w:sz w:val="24"/>
                <w:szCs w:val="24"/>
                <w:highlight w:val="none"/>
                <w:lang w:eastAsia="zh-CN"/>
                <w14:textFill>
                  <w14:solidFill>
                    <w14:schemeClr w14:val="tx1"/>
                  </w14:solidFill>
                </w14:textFill>
              </w:rPr>
              <w:t>要求</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按照危险废物有关要求进行管理处置。</w:t>
            </w:r>
          </w:p>
          <w:p w14:paraId="1382EC7F">
            <w:pPr>
              <w:pStyle w:val="40"/>
              <w:spacing w:line="360" w:lineRule="auto"/>
              <w:jc w:val="both"/>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F、操作及维护人员应按照安全操作规程正确使用及维护活性炭吸附装置，并熟悉活性炭吸附装置突发安全事故应对措施，保证装置的安全性。</w:t>
            </w:r>
          </w:p>
          <w:p w14:paraId="6E6946D8">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5、大气环境监测计划</w:t>
            </w:r>
          </w:p>
          <w:p w14:paraId="2D336A6F">
            <w:pPr>
              <w:pStyle w:val="17"/>
              <w:rPr>
                <w:rFonts w:hint="default"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color w:val="000000" w:themeColor="text1"/>
                <w:highlight w:val="none"/>
                <w14:textFill>
                  <w14:solidFill>
                    <w14:schemeClr w14:val="tx1"/>
                  </w14:solidFill>
                </w14:textFill>
              </w:rPr>
              <w:t>根据</w:t>
            </w:r>
            <w:r>
              <w:rPr>
                <w:rFonts w:hint="eastAsia" w:ascii="Times New Roman" w:hAnsi="Times New Roman" w:eastAsia="宋体" w:cs="Times New Roman"/>
                <w:color w:val="000000" w:themeColor="text1"/>
                <w:highlight w:val="none"/>
                <w14:textFill>
                  <w14:solidFill>
                    <w14:schemeClr w14:val="tx1"/>
                  </w14:solidFill>
                </w14:textFill>
              </w:rPr>
              <w:t>《</w:t>
            </w:r>
            <w:r>
              <w:rPr>
                <w:rFonts w:ascii="Times New Roman" w:hAnsi="Times New Roman" w:eastAsia="宋体" w:cs="Times New Roman"/>
                <w:color w:val="000000" w:themeColor="text1"/>
                <w:highlight w:val="none"/>
                <w14:textFill>
                  <w14:solidFill>
                    <w14:schemeClr w14:val="tx1"/>
                  </w14:solidFill>
                </w14:textFill>
              </w:rPr>
              <w:t>排污单位自行监测技术指南</w:t>
            </w:r>
            <w:r>
              <w:rPr>
                <w:rFonts w:ascii="Times New Roman" w:hAnsi="Times New Roman" w:eastAsia="宋体" w:cs="Times New Roman"/>
                <w:color w:val="000000" w:themeColor="text1"/>
                <w:highlight w:val="none"/>
                <w:lang w:val="en-US"/>
                <w14:textFill>
                  <w14:solidFill>
                    <w14:schemeClr w14:val="tx1"/>
                  </w14:solidFill>
                </w14:textFill>
              </w:rPr>
              <w:t xml:space="preserve"> </w:t>
            </w:r>
            <w:r>
              <w:rPr>
                <w:rFonts w:ascii="Times New Roman" w:hAnsi="Times New Roman" w:eastAsia="宋体" w:cs="Times New Roman"/>
                <w:color w:val="000000" w:themeColor="text1"/>
                <w:highlight w:val="none"/>
                <w14:textFill>
                  <w14:solidFill>
                    <w14:schemeClr w14:val="tx1"/>
                  </w14:solidFill>
                </w14:textFill>
              </w:rPr>
              <w:t>橡胶和塑料制品》（HJ</w:t>
            </w:r>
            <w:r>
              <w:rPr>
                <w:rFonts w:ascii="Times New Roman" w:hAnsi="Times New Roman" w:eastAsia="宋体" w:cs="Times New Roman"/>
                <w:color w:val="000000" w:themeColor="text1"/>
                <w:highlight w:val="none"/>
                <w:lang w:val="en-US"/>
                <w14:textFill>
                  <w14:solidFill>
                    <w14:schemeClr w14:val="tx1"/>
                  </w14:solidFill>
                </w14:textFill>
              </w:rPr>
              <w:t>1207</w:t>
            </w:r>
            <w:r>
              <w:rPr>
                <w:rFonts w:ascii="Times New Roman" w:hAnsi="Times New Roman" w:eastAsia="宋体" w:cs="Times New Roman"/>
                <w:color w:val="000000" w:themeColor="text1"/>
                <w:highlight w:val="none"/>
                <w14:textFill>
                  <w14:solidFill>
                    <w14:schemeClr w14:val="tx1"/>
                  </w14:solidFill>
                </w14:textFill>
              </w:rPr>
              <w:t>-</w:t>
            </w:r>
            <w:r>
              <w:rPr>
                <w:rFonts w:ascii="Times New Roman" w:hAnsi="Times New Roman" w:eastAsia="宋体" w:cs="Times New Roman"/>
                <w:color w:val="000000" w:themeColor="text1"/>
                <w:highlight w:val="none"/>
                <w:lang w:val="en-US"/>
                <w14:textFill>
                  <w14:solidFill>
                    <w14:schemeClr w14:val="tx1"/>
                  </w14:solidFill>
                </w14:textFill>
              </w:rPr>
              <w:t>2021</w:t>
            </w:r>
            <w:r>
              <w:rPr>
                <w:rFonts w:ascii="Times New Roman" w:hAnsi="Times New Roman" w:eastAsia="宋体" w:cs="Times New Roman"/>
                <w:color w:val="000000" w:themeColor="text1"/>
                <w:highlight w:val="none"/>
                <w14:textFill>
                  <w14:solidFill>
                    <w14:schemeClr w14:val="tx1"/>
                  </w14:solidFill>
                </w14:textFill>
              </w:rPr>
              <w:t>）、《排污许可证申请与核发技术规范总则》（HJ 942-2018），项目污染源监测计划见下表。</w:t>
            </w:r>
          </w:p>
          <w:p w14:paraId="2A32A57F">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有组织废气监测方案</w:t>
            </w:r>
          </w:p>
          <w:tbl>
            <w:tblPr>
              <w:tblStyle w:val="32"/>
              <w:tblW w:w="84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423"/>
              <w:gridCol w:w="1150"/>
              <w:gridCol w:w="5061"/>
            </w:tblGrid>
            <w:tr w14:paraId="061E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59"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2E7518CD">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监测点位</w:t>
                  </w:r>
                </w:p>
              </w:tc>
              <w:tc>
                <w:tcPr>
                  <w:tcW w:w="846"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4FD070E3">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监测指标</w:t>
                  </w:r>
                </w:p>
              </w:tc>
              <w:tc>
                <w:tcPr>
                  <w:tcW w:w="684"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06B40701">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监测频次</w:t>
                  </w:r>
                </w:p>
              </w:tc>
              <w:tc>
                <w:tcPr>
                  <w:tcW w:w="3009"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10315C41">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执行排放标准</w:t>
                  </w:r>
                </w:p>
              </w:tc>
            </w:tr>
            <w:tr w14:paraId="70303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459" w:type="pct"/>
                  <w:tcBorders>
                    <w:top w:val="single" w:color="auto" w:sz="4" w:space="0"/>
                    <w:left w:val="single" w:color="auto" w:sz="4" w:space="0"/>
                    <w:right w:val="single" w:color="auto" w:sz="4" w:space="0"/>
                  </w:tcBorders>
                  <w:vAlign w:val="center"/>
                </w:tcPr>
                <w:p w14:paraId="78731DB8">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G1</w:t>
                  </w:r>
                </w:p>
              </w:tc>
              <w:tc>
                <w:tcPr>
                  <w:tcW w:w="846" w:type="pct"/>
                  <w:tcBorders>
                    <w:top w:val="single" w:color="auto" w:sz="4" w:space="0"/>
                    <w:left w:val="single" w:color="auto" w:sz="4" w:space="0"/>
                    <w:bottom w:val="single" w:color="auto" w:sz="4" w:space="0"/>
                    <w:right w:val="single" w:color="auto" w:sz="4" w:space="0"/>
                  </w:tcBorders>
                  <w:vAlign w:val="center"/>
                </w:tcPr>
                <w:p w14:paraId="3D1EC400">
                  <w:pPr>
                    <w:autoSpaceDE w:val="0"/>
                    <w:autoSpaceDN w:val="0"/>
                    <w:adjustRightInd w:val="0"/>
                    <w:jc w:val="center"/>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颗粒物</w:t>
                  </w:r>
                </w:p>
              </w:tc>
              <w:tc>
                <w:tcPr>
                  <w:tcW w:w="684" w:type="pct"/>
                  <w:tcBorders>
                    <w:top w:val="single" w:color="auto" w:sz="4" w:space="0"/>
                    <w:left w:val="single" w:color="auto" w:sz="4" w:space="0"/>
                    <w:right w:val="single" w:color="auto" w:sz="4" w:space="0"/>
                  </w:tcBorders>
                  <w:vAlign w:val="center"/>
                </w:tcPr>
                <w:p w14:paraId="54886AC6">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1次/年</w:t>
                  </w:r>
                </w:p>
              </w:tc>
              <w:tc>
                <w:tcPr>
                  <w:tcW w:w="3009" w:type="pct"/>
                  <w:tcBorders>
                    <w:top w:val="single" w:color="auto" w:sz="4" w:space="0"/>
                    <w:left w:val="single" w:color="auto" w:sz="4" w:space="0"/>
                    <w:right w:val="single" w:color="auto" w:sz="4" w:space="0"/>
                  </w:tcBorders>
                  <w:vAlign w:val="center"/>
                </w:tcPr>
                <w:p w14:paraId="3DA81D0F">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表4 大气污染物排放限值</w:t>
                  </w:r>
                </w:p>
              </w:tc>
            </w:tr>
            <w:tr w14:paraId="45CB7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59" w:type="pct"/>
                  <w:vMerge w:val="restart"/>
                  <w:tcBorders>
                    <w:left w:val="single" w:color="auto" w:sz="4" w:space="0"/>
                    <w:right w:val="single" w:color="auto" w:sz="4" w:space="0"/>
                  </w:tcBorders>
                  <w:vAlign w:val="center"/>
                </w:tcPr>
                <w:p w14:paraId="0EB3008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G2</w:t>
                  </w:r>
                </w:p>
              </w:tc>
              <w:tc>
                <w:tcPr>
                  <w:tcW w:w="846" w:type="pct"/>
                  <w:tcBorders>
                    <w:top w:val="single" w:color="auto" w:sz="4" w:space="0"/>
                    <w:left w:val="single" w:color="auto" w:sz="4" w:space="0"/>
                    <w:bottom w:val="single" w:color="auto" w:sz="4" w:space="0"/>
                    <w:right w:val="single" w:color="auto" w:sz="4" w:space="0"/>
                  </w:tcBorders>
                  <w:vAlign w:val="center"/>
                </w:tcPr>
                <w:p w14:paraId="3785D5B4">
                  <w:pPr>
                    <w:autoSpaceDE w:val="0"/>
                    <w:autoSpaceDN w:val="0"/>
                    <w:adjustRightInd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非甲烷总烃</w:t>
                  </w:r>
                </w:p>
              </w:tc>
              <w:tc>
                <w:tcPr>
                  <w:tcW w:w="684" w:type="pct"/>
                  <w:tcBorders>
                    <w:top w:val="single" w:color="auto" w:sz="4" w:space="0"/>
                    <w:left w:val="single" w:color="auto" w:sz="4" w:space="0"/>
                    <w:bottom w:val="single" w:color="auto" w:sz="4" w:space="0"/>
                    <w:right w:val="single" w:color="auto" w:sz="4" w:space="0"/>
                  </w:tcBorders>
                  <w:vAlign w:val="center"/>
                </w:tcPr>
                <w:p w14:paraId="44F88407">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w:t>
                  </w:r>
                  <w:r>
                    <w:rPr>
                      <w:rFonts w:hint="eastAsia" w:ascii="Times New Roman" w:hAnsi="Times New Roman" w:eastAsia="宋体" w:cs="Times New Roman"/>
                      <w:bCs/>
                      <w:color w:val="000000" w:themeColor="text1"/>
                      <w:szCs w:val="21"/>
                      <w:highlight w:val="none"/>
                      <w:lang w:val="en-US" w:eastAsia="zh-CN" w:bidi="ar"/>
                      <w14:textFill>
                        <w14:solidFill>
                          <w14:schemeClr w14:val="tx1"/>
                        </w14:solidFill>
                      </w14:textFill>
                    </w:rPr>
                    <w:t>半</w:t>
                  </w:r>
                  <w:r>
                    <w:rPr>
                      <w:rFonts w:hint="default" w:ascii="Times New Roman" w:hAnsi="Times New Roman" w:eastAsia="宋体" w:cs="Times New Roman"/>
                      <w:bCs/>
                      <w:color w:val="000000" w:themeColor="text1"/>
                      <w:szCs w:val="21"/>
                      <w:highlight w:val="none"/>
                      <w:lang w:bidi="ar"/>
                      <w14:textFill>
                        <w14:solidFill>
                          <w14:schemeClr w14:val="tx1"/>
                        </w14:solidFill>
                      </w14:textFill>
                    </w:rPr>
                    <w:t>年</w:t>
                  </w:r>
                </w:p>
              </w:tc>
              <w:tc>
                <w:tcPr>
                  <w:tcW w:w="3009" w:type="pct"/>
                  <w:vMerge w:val="restart"/>
                  <w:tcBorders>
                    <w:top w:val="single" w:color="auto" w:sz="4" w:space="0"/>
                    <w:left w:val="single" w:color="auto" w:sz="4" w:space="0"/>
                    <w:right w:val="single" w:color="auto" w:sz="4" w:space="0"/>
                  </w:tcBorders>
                  <w:vAlign w:val="center"/>
                </w:tcPr>
                <w:p w14:paraId="326D454C">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表4 大气污染物排放限值</w:t>
                  </w:r>
                </w:p>
              </w:tc>
            </w:tr>
            <w:tr w14:paraId="3F2A2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59" w:type="pct"/>
                  <w:vMerge w:val="continue"/>
                  <w:tcBorders>
                    <w:left w:val="single" w:color="auto" w:sz="4" w:space="0"/>
                    <w:right w:val="single" w:color="auto" w:sz="4" w:space="0"/>
                  </w:tcBorders>
                  <w:vAlign w:val="center"/>
                </w:tcPr>
                <w:p w14:paraId="165C1B66">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846" w:type="pct"/>
                  <w:tcBorders>
                    <w:top w:val="single" w:color="auto" w:sz="4" w:space="0"/>
                    <w:left w:val="single" w:color="auto" w:sz="4" w:space="0"/>
                    <w:bottom w:val="single" w:color="auto" w:sz="4" w:space="0"/>
                    <w:right w:val="single" w:color="auto" w:sz="4" w:space="0"/>
                  </w:tcBorders>
                  <w:vAlign w:val="center"/>
                </w:tcPr>
                <w:p w14:paraId="7892962A">
                  <w:pPr>
                    <w:autoSpaceDE w:val="0"/>
                    <w:autoSpaceDN w:val="0"/>
                    <w:adjustRightInd w:val="0"/>
                    <w:jc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684" w:type="pct"/>
                  <w:tcBorders>
                    <w:top w:val="single" w:color="auto" w:sz="4" w:space="0"/>
                    <w:left w:val="single" w:color="auto" w:sz="4" w:space="0"/>
                    <w:bottom w:val="single" w:color="auto" w:sz="4" w:space="0"/>
                    <w:right w:val="single" w:color="auto" w:sz="4" w:space="0"/>
                  </w:tcBorders>
                  <w:vAlign w:val="center"/>
                </w:tcPr>
                <w:p w14:paraId="3FCBC57B">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1次/年</w:t>
                  </w:r>
                </w:p>
              </w:tc>
              <w:tc>
                <w:tcPr>
                  <w:tcW w:w="3009" w:type="pct"/>
                  <w:vMerge w:val="continue"/>
                  <w:tcBorders>
                    <w:left w:val="single" w:color="auto" w:sz="4" w:space="0"/>
                    <w:right w:val="single" w:color="auto" w:sz="4" w:space="0"/>
                  </w:tcBorders>
                  <w:vAlign w:val="center"/>
                </w:tcPr>
                <w:p w14:paraId="31F4B322">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56866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59" w:type="pct"/>
                  <w:vMerge w:val="continue"/>
                  <w:tcBorders>
                    <w:left w:val="single" w:color="auto" w:sz="4" w:space="0"/>
                    <w:right w:val="single" w:color="auto" w:sz="4" w:space="0"/>
                  </w:tcBorders>
                  <w:vAlign w:val="center"/>
                </w:tcPr>
                <w:p w14:paraId="05F3C61F">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846" w:type="pct"/>
                  <w:tcBorders>
                    <w:top w:val="single" w:color="auto" w:sz="4" w:space="0"/>
                    <w:left w:val="single" w:color="auto" w:sz="4" w:space="0"/>
                    <w:bottom w:val="single" w:color="auto" w:sz="4" w:space="0"/>
                    <w:right w:val="single" w:color="auto" w:sz="4" w:space="0"/>
                  </w:tcBorders>
                  <w:vAlign w:val="center"/>
                </w:tcPr>
                <w:p w14:paraId="516140C9">
                  <w:pPr>
                    <w:autoSpaceDE w:val="0"/>
                    <w:autoSpaceDN w:val="0"/>
                    <w:adjustRightInd w:val="0"/>
                    <w:jc w:val="cente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乙苯</w:t>
                  </w:r>
                </w:p>
              </w:tc>
              <w:tc>
                <w:tcPr>
                  <w:tcW w:w="684" w:type="pct"/>
                  <w:tcBorders>
                    <w:top w:val="single" w:color="auto" w:sz="4" w:space="0"/>
                    <w:left w:val="single" w:color="auto" w:sz="4" w:space="0"/>
                    <w:bottom w:val="single" w:color="auto" w:sz="4" w:space="0"/>
                    <w:right w:val="single" w:color="auto" w:sz="4" w:space="0"/>
                  </w:tcBorders>
                  <w:vAlign w:val="center"/>
                </w:tcPr>
                <w:p w14:paraId="6F0A6A53">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1次/年</w:t>
                  </w:r>
                </w:p>
              </w:tc>
              <w:tc>
                <w:tcPr>
                  <w:tcW w:w="3009" w:type="pct"/>
                  <w:vMerge w:val="continue"/>
                  <w:tcBorders>
                    <w:left w:val="single" w:color="auto" w:sz="4" w:space="0"/>
                    <w:right w:val="single" w:color="auto" w:sz="4" w:space="0"/>
                  </w:tcBorders>
                  <w:vAlign w:val="center"/>
                </w:tcPr>
                <w:p w14:paraId="6E0B54C7">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32E2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59" w:type="pct"/>
                  <w:vMerge w:val="continue"/>
                  <w:tcBorders>
                    <w:left w:val="single" w:color="auto" w:sz="4" w:space="0"/>
                    <w:right w:val="single" w:color="auto" w:sz="4" w:space="0"/>
                  </w:tcBorders>
                  <w:vAlign w:val="center"/>
                </w:tcPr>
                <w:p w14:paraId="2E238DBF">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846" w:type="pct"/>
                  <w:tcBorders>
                    <w:top w:val="single" w:color="auto" w:sz="4" w:space="0"/>
                    <w:left w:val="single" w:color="auto" w:sz="4" w:space="0"/>
                    <w:bottom w:val="single" w:color="auto" w:sz="4" w:space="0"/>
                    <w:right w:val="single" w:color="auto" w:sz="4" w:space="0"/>
                  </w:tcBorders>
                  <w:vAlign w:val="center"/>
                </w:tcPr>
                <w:p w14:paraId="4F8C06CA">
                  <w:pPr>
                    <w:autoSpaceDE w:val="0"/>
                    <w:autoSpaceDN w:val="0"/>
                    <w:adjustRightInd w:val="0"/>
                    <w:jc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684" w:type="pct"/>
                  <w:tcBorders>
                    <w:top w:val="single" w:color="auto" w:sz="4" w:space="0"/>
                    <w:left w:val="single" w:color="auto" w:sz="4" w:space="0"/>
                    <w:bottom w:val="single" w:color="auto" w:sz="4" w:space="0"/>
                    <w:right w:val="single" w:color="auto" w:sz="4" w:space="0"/>
                  </w:tcBorders>
                  <w:vAlign w:val="center"/>
                </w:tcPr>
                <w:p w14:paraId="339312C4">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1次/年</w:t>
                  </w:r>
                </w:p>
              </w:tc>
              <w:tc>
                <w:tcPr>
                  <w:tcW w:w="3009" w:type="pct"/>
                  <w:vMerge w:val="continue"/>
                  <w:tcBorders>
                    <w:left w:val="single" w:color="auto" w:sz="4" w:space="0"/>
                    <w:bottom w:val="single" w:color="auto" w:sz="4" w:space="0"/>
                    <w:right w:val="single" w:color="auto" w:sz="4" w:space="0"/>
                  </w:tcBorders>
                  <w:vAlign w:val="center"/>
                </w:tcPr>
                <w:p w14:paraId="2EE287FA">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53145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59" w:type="pct"/>
                  <w:vMerge w:val="continue"/>
                  <w:tcBorders>
                    <w:left w:val="single" w:color="auto" w:sz="4" w:space="0"/>
                    <w:right w:val="single" w:color="auto" w:sz="4" w:space="0"/>
                  </w:tcBorders>
                  <w:vAlign w:val="center"/>
                </w:tcPr>
                <w:p w14:paraId="45001D7C">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846" w:type="pct"/>
                  <w:tcBorders>
                    <w:top w:val="single" w:color="auto" w:sz="4" w:space="0"/>
                    <w:left w:val="single" w:color="auto" w:sz="4" w:space="0"/>
                    <w:bottom w:val="single" w:color="auto" w:sz="4" w:space="0"/>
                    <w:right w:val="single" w:color="auto" w:sz="4" w:space="0"/>
                  </w:tcBorders>
                  <w:vAlign w:val="center"/>
                </w:tcPr>
                <w:p w14:paraId="21760EE2">
                  <w:pPr>
                    <w:autoSpaceDE w:val="0"/>
                    <w:autoSpaceDN w:val="0"/>
                    <w:adjustRightInd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臭气浓度</w:t>
                  </w:r>
                </w:p>
              </w:tc>
              <w:tc>
                <w:tcPr>
                  <w:tcW w:w="684" w:type="pct"/>
                  <w:tcBorders>
                    <w:top w:val="single" w:color="auto" w:sz="4" w:space="0"/>
                    <w:left w:val="single" w:color="auto" w:sz="4" w:space="0"/>
                    <w:bottom w:val="single" w:color="auto" w:sz="4" w:space="0"/>
                    <w:right w:val="single" w:color="auto" w:sz="4" w:space="0"/>
                  </w:tcBorders>
                  <w:vAlign w:val="center"/>
                </w:tcPr>
                <w:p w14:paraId="1806A878">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1次/年</w:t>
                  </w:r>
                </w:p>
              </w:tc>
              <w:tc>
                <w:tcPr>
                  <w:tcW w:w="3009" w:type="pct"/>
                  <w:tcBorders>
                    <w:top w:val="single" w:color="auto" w:sz="4" w:space="0"/>
                    <w:left w:val="single" w:color="auto" w:sz="4" w:space="0"/>
                    <w:bottom w:val="single" w:color="auto" w:sz="4" w:space="0"/>
                    <w:right w:val="single" w:color="auto" w:sz="4" w:space="0"/>
                  </w:tcBorders>
                  <w:vAlign w:val="center"/>
                </w:tcPr>
                <w:p w14:paraId="2AC9152E">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《恶臭污染物排放标准》（GB14554－93）表2恶臭污染物排放标准值</w:t>
                  </w:r>
                </w:p>
              </w:tc>
            </w:tr>
          </w:tbl>
          <w:p w14:paraId="3E73C4EC">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无组织废气监测计划表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364"/>
              <w:gridCol w:w="1158"/>
              <w:gridCol w:w="4697"/>
            </w:tblGrid>
            <w:tr w14:paraId="66A87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696"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7D6A7D0A">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监测点位</w:t>
                  </w:r>
                </w:p>
              </w:tc>
              <w:tc>
                <w:tcPr>
                  <w:tcW w:w="813"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48713F7B">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监测指标</w:t>
                  </w:r>
                </w:p>
              </w:tc>
              <w:tc>
                <w:tcPr>
                  <w:tcW w:w="690"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5668EFE0">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监测频次</w:t>
                  </w:r>
                </w:p>
              </w:tc>
              <w:tc>
                <w:tcPr>
                  <w:tcW w:w="2800" w:type="pc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14:paraId="7890E8A0">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bidi="ar"/>
                      <w14:textFill>
                        <w14:solidFill>
                          <w14:schemeClr w14:val="tx1"/>
                        </w14:solidFill>
                      </w14:textFill>
                    </w:rPr>
                    <w:t>执行排放标准</w:t>
                  </w:r>
                </w:p>
              </w:tc>
            </w:tr>
            <w:tr w14:paraId="4976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696" w:type="pct"/>
                  <w:vMerge w:val="restart"/>
                  <w:tcBorders>
                    <w:top w:val="single" w:color="auto" w:sz="4" w:space="0"/>
                    <w:left w:val="single" w:color="auto" w:sz="4" w:space="0"/>
                    <w:right w:val="single" w:color="auto" w:sz="4" w:space="0"/>
                  </w:tcBorders>
                  <w:vAlign w:val="center"/>
                </w:tcPr>
                <w:p w14:paraId="1A2EC3BF">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厂界</w:t>
                  </w:r>
                </w:p>
              </w:tc>
              <w:tc>
                <w:tcPr>
                  <w:tcW w:w="813" w:type="pct"/>
                  <w:tcBorders>
                    <w:top w:val="single" w:color="auto" w:sz="4" w:space="0"/>
                    <w:left w:val="single" w:color="auto" w:sz="4" w:space="0"/>
                    <w:right w:val="single" w:color="auto" w:sz="4" w:space="0"/>
                  </w:tcBorders>
                  <w:shd w:val="clear" w:color="auto" w:fill="auto"/>
                  <w:vAlign w:val="center"/>
                </w:tcPr>
                <w:p w14:paraId="15077900">
                  <w:pPr>
                    <w:autoSpaceDE w:val="0"/>
                    <w:autoSpaceDN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臭气浓度</w:t>
                  </w:r>
                </w:p>
              </w:tc>
              <w:tc>
                <w:tcPr>
                  <w:tcW w:w="690" w:type="pct"/>
                  <w:tcBorders>
                    <w:top w:val="single" w:color="auto" w:sz="4" w:space="0"/>
                    <w:left w:val="single" w:color="auto" w:sz="4" w:space="0"/>
                    <w:right w:val="single" w:color="auto" w:sz="4" w:space="0"/>
                  </w:tcBorders>
                  <w:shd w:val="clear" w:color="auto" w:fill="auto"/>
                  <w:vAlign w:val="center"/>
                </w:tcPr>
                <w:p w14:paraId="24399B5D">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lang w:bidi="ar"/>
                      <w14:textFill>
                        <w14:solidFill>
                          <w14:schemeClr w14:val="tx1"/>
                        </w14:solidFill>
                      </w14:textFill>
                    </w:rPr>
                    <w:t>1次/年</w:t>
                  </w:r>
                </w:p>
              </w:tc>
              <w:tc>
                <w:tcPr>
                  <w:tcW w:w="2800" w:type="pct"/>
                  <w:vMerge w:val="restart"/>
                  <w:tcBorders>
                    <w:top w:val="single" w:color="auto" w:sz="4" w:space="0"/>
                    <w:left w:val="single" w:color="auto" w:sz="4" w:space="0"/>
                    <w:right w:val="single" w:color="auto" w:sz="4" w:space="0"/>
                  </w:tcBorders>
                  <w:vAlign w:val="center"/>
                </w:tcPr>
                <w:p w14:paraId="77AB7676">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bidi="ar"/>
                      <w14:textFill>
                        <w14:solidFill>
                          <w14:schemeClr w14:val="tx1"/>
                        </w14:solidFill>
                      </w14:textFill>
                    </w:rPr>
                    <w:t>《恶臭污染物排放标准》（GB14554-93）表1恶臭污染物厂界标准值</w:t>
                  </w:r>
                </w:p>
              </w:tc>
            </w:tr>
            <w:tr w14:paraId="2722C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696" w:type="pct"/>
                  <w:vMerge w:val="continue"/>
                  <w:tcBorders>
                    <w:left w:val="single" w:color="auto" w:sz="4" w:space="0"/>
                    <w:right w:val="single" w:color="auto" w:sz="4" w:space="0"/>
                  </w:tcBorders>
                  <w:vAlign w:val="center"/>
                </w:tcPr>
                <w:p w14:paraId="257CE059">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p>
              </w:tc>
              <w:tc>
                <w:tcPr>
                  <w:tcW w:w="813" w:type="pct"/>
                  <w:tcBorders>
                    <w:top w:val="single" w:color="auto" w:sz="4" w:space="0"/>
                    <w:left w:val="single" w:color="auto" w:sz="4" w:space="0"/>
                    <w:right w:val="single" w:color="auto" w:sz="4" w:space="0"/>
                  </w:tcBorders>
                  <w:shd w:val="clear" w:color="auto" w:fill="auto"/>
                  <w:vAlign w:val="center"/>
                </w:tcPr>
                <w:p w14:paraId="534114A1">
                  <w:pPr>
                    <w:autoSpaceDE w:val="0"/>
                    <w:autoSpaceDN w:val="0"/>
                    <w:jc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苯乙烯</w:t>
                  </w:r>
                </w:p>
              </w:tc>
              <w:tc>
                <w:tcPr>
                  <w:tcW w:w="690" w:type="pct"/>
                  <w:tcBorders>
                    <w:top w:val="single" w:color="auto" w:sz="4" w:space="0"/>
                    <w:left w:val="single" w:color="auto" w:sz="4" w:space="0"/>
                    <w:right w:val="single" w:color="auto" w:sz="4" w:space="0"/>
                  </w:tcBorders>
                  <w:shd w:val="clear" w:color="auto" w:fill="auto"/>
                  <w:vAlign w:val="center"/>
                </w:tcPr>
                <w:p w14:paraId="2A13989C">
                  <w:pPr>
                    <w:jc w:val="center"/>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lang w:bidi="ar"/>
                      <w14:textFill>
                        <w14:solidFill>
                          <w14:schemeClr w14:val="tx1"/>
                        </w14:solidFill>
                      </w14:textFill>
                    </w:rPr>
                    <w:t>1次/年</w:t>
                  </w:r>
                </w:p>
              </w:tc>
              <w:tc>
                <w:tcPr>
                  <w:tcW w:w="2800" w:type="pct"/>
                  <w:vMerge w:val="continue"/>
                  <w:tcBorders>
                    <w:left w:val="single" w:color="auto" w:sz="4" w:space="0"/>
                    <w:right w:val="single" w:color="auto" w:sz="4" w:space="0"/>
                  </w:tcBorders>
                  <w:vAlign w:val="center"/>
                </w:tcPr>
                <w:p w14:paraId="29CB0EBB">
                  <w:pPr>
                    <w:widowControl/>
                    <w:jc w:val="center"/>
                    <w:rPr>
                      <w:rFonts w:hint="default" w:ascii="Times New Roman" w:hAnsi="Times New Roman" w:eastAsia="宋体" w:cs="Times New Roman"/>
                      <w:color w:val="000000" w:themeColor="text1"/>
                      <w:szCs w:val="21"/>
                      <w:highlight w:val="none"/>
                      <w:lang w:bidi="ar"/>
                      <w14:textFill>
                        <w14:solidFill>
                          <w14:schemeClr w14:val="tx1"/>
                        </w14:solidFill>
                      </w14:textFill>
                    </w:rPr>
                  </w:pPr>
                </w:p>
              </w:tc>
            </w:tr>
            <w:tr w14:paraId="18B8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96" w:type="pct"/>
                  <w:vMerge w:val="continue"/>
                  <w:tcBorders>
                    <w:left w:val="single" w:color="auto" w:sz="4" w:space="0"/>
                    <w:right w:val="single" w:color="auto" w:sz="4" w:space="0"/>
                  </w:tcBorders>
                  <w:vAlign w:val="center"/>
                </w:tcPr>
                <w:p w14:paraId="685A74D3">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p>
              </w:tc>
              <w:tc>
                <w:tcPr>
                  <w:tcW w:w="813" w:type="pct"/>
                  <w:tcBorders>
                    <w:top w:val="single" w:color="auto" w:sz="4" w:space="0"/>
                    <w:left w:val="single" w:color="auto" w:sz="4" w:space="0"/>
                    <w:right w:val="single" w:color="auto" w:sz="4" w:space="0"/>
                  </w:tcBorders>
                  <w:vAlign w:val="center"/>
                </w:tcPr>
                <w:p w14:paraId="0F2722A3">
                  <w:pPr>
                    <w:autoSpaceDE w:val="0"/>
                    <w:autoSpaceDN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非甲烷总烃</w:t>
                  </w:r>
                </w:p>
              </w:tc>
              <w:tc>
                <w:tcPr>
                  <w:tcW w:w="690" w:type="pct"/>
                  <w:tcBorders>
                    <w:top w:val="single" w:color="auto" w:sz="4" w:space="0"/>
                    <w:left w:val="single" w:color="auto" w:sz="4" w:space="0"/>
                    <w:right w:val="single" w:color="auto" w:sz="4" w:space="0"/>
                  </w:tcBorders>
                  <w:vAlign w:val="center"/>
                </w:tcPr>
                <w:p w14:paraId="2081D31C">
                  <w:pPr>
                    <w:jc w:val="center"/>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lang w:bidi="ar"/>
                      <w14:textFill>
                        <w14:solidFill>
                          <w14:schemeClr w14:val="tx1"/>
                        </w14:solidFill>
                      </w14:textFill>
                    </w:rPr>
                    <w:t>1次/年</w:t>
                  </w:r>
                </w:p>
              </w:tc>
              <w:tc>
                <w:tcPr>
                  <w:tcW w:w="2800" w:type="pct"/>
                  <w:tcBorders>
                    <w:top w:val="single" w:color="auto" w:sz="4" w:space="0"/>
                    <w:left w:val="single" w:color="auto" w:sz="4" w:space="0"/>
                    <w:right w:val="single" w:color="auto" w:sz="4" w:space="0"/>
                  </w:tcBorders>
                  <w:vAlign w:val="center"/>
                </w:tcPr>
                <w:p w14:paraId="48DF5838">
                  <w:pPr>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《合成树脂工业污染物排放标准》（</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GB 31572—2015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）表</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企业边界大气污染物浓度限值和</w:t>
                  </w:r>
                  <w:r>
                    <w:rPr>
                      <w:rFonts w:hint="default" w:ascii="Times New Roman" w:hAnsi="Times New Roman" w:eastAsia="宋体" w:cs="Times New Roman"/>
                      <w:color w:val="000000" w:themeColor="text1"/>
                      <w:sz w:val="21"/>
                      <w:szCs w:val="21"/>
                      <w:highlight w:val="none"/>
                      <w14:textFill>
                        <w14:solidFill>
                          <w14:schemeClr w14:val="tx1"/>
                        </w14:solidFill>
                      </w14:textFill>
                    </w:rPr>
                    <w:t>广东省地方标准《大气污染物排放限值》（DB44/27-2001）第二时段无组织排放标准值</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较严值</w:t>
                  </w:r>
                </w:p>
              </w:tc>
            </w:tr>
            <w:tr w14:paraId="63219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96" w:type="pct"/>
                  <w:vMerge w:val="continue"/>
                  <w:tcBorders>
                    <w:left w:val="single" w:color="auto" w:sz="4" w:space="0"/>
                    <w:right w:val="single" w:color="auto" w:sz="4" w:space="0"/>
                  </w:tcBorders>
                  <w:vAlign w:val="center"/>
                </w:tcPr>
                <w:p w14:paraId="530FEA4E">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p>
              </w:tc>
              <w:tc>
                <w:tcPr>
                  <w:tcW w:w="813" w:type="pct"/>
                  <w:tcBorders>
                    <w:top w:val="single" w:color="auto" w:sz="4" w:space="0"/>
                    <w:left w:val="single" w:color="auto" w:sz="4" w:space="0"/>
                    <w:right w:val="single" w:color="auto" w:sz="4" w:space="0"/>
                  </w:tcBorders>
                  <w:vAlign w:val="center"/>
                </w:tcPr>
                <w:p w14:paraId="1B62D881">
                  <w:pPr>
                    <w:autoSpaceDE w:val="0"/>
                    <w:autoSpaceDN w:val="0"/>
                    <w:adjustRightInd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颗粒物</w:t>
                  </w:r>
                </w:p>
              </w:tc>
              <w:tc>
                <w:tcPr>
                  <w:tcW w:w="690" w:type="pct"/>
                  <w:tcBorders>
                    <w:top w:val="single" w:color="auto" w:sz="4" w:space="0"/>
                    <w:left w:val="single" w:color="auto" w:sz="4" w:space="0"/>
                    <w:right w:val="single" w:color="auto" w:sz="4" w:space="0"/>
                  </w:tcBorders>
                  <w:vAlign w:val="center"/>
                </w:tcPr>
                <w:p w14:paraId="524F3F03">
                  <w:pPr>
                    <w:jc w:val="center"/>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Cs w:val="21"/>
                      <w:highlight w:val="none"/>
                      <w:lang w:bidi="ar"/>
                      <w14:textFill>
                        <w14:solidFill>
                          <w14:schemeClr w14:val="tx1"/>
                        </w14:solidFill>
                      </w14:textFill>
                    </w:rPr>
                    <w:t>1次/年</w:t>
                  </w:r>
                </w:p>
              </w:tc>
              <w:tc>
                <w:tcPr>
                  <w:tcW w:w="2800" w:type="pct"/>
                  <w:vMerge w:val="restart"/>
                  <w:tcBorders>
                    <w:left w:val="single" w:color="auto" w:sz="4" w:space="0"/>
                    <w:right w:val="single" w:color="auto" w:sz="4" w:space="0"/>
                  </w:tcBorders>
                  <w:vAlign w:val="center"/>
                </w:tcPr>
                <w:p w14:paraId="674758F9">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《合成树脂工业污染物排放标准》（</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GB 31572—2015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）表</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9</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企业边界大气污染物浓度限值</w:t>
                  </w:r>
                </w:p>
              </w:tc>
            </w:tr>
            <w:tr w14:paraId="51F33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96" w:type="pct"/>
                  <w:vMerge w:val="continue"/>
                  <w:tcBorders>
                    <w:left w:val="single" w:color="auto" w:sz="4" w:space="0"/>
                    <w:right w:val="single" w:color="auto" w:sz="4" w:space="0"/>
                  </w:tcBorders>
                  <w:vAlign w:val="center"/>
                </w:tcPr>
                <w:p w14:paraId="3BDF768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13" w:type="pct"/>
                  <w:tcBorders>
                    <w:top w:val="single" w:color="auto" w:sz="4" w:space="0"/>
                    <w:left w:val="single" w:color="auto" w:sz="4" w:space="0"/>
                    <w:right w:val="single" w:color="auto" w:sz="4" w:space="0"/>
                  </w:tcBorders>
                  <w:vAlign w:val="center"/>
                </w:tcPr>
                <w:p w14:paraId="05FADE82">
                  <w:pPr>
                    <w:autoSpaceDE w:val="0"/>
                    <w:autoSpaceDN w:val="0"/>
                    <w:jc w:val="cente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甲苯</w:t>
                  </w:r>
                </w:p>
              </w:tc>
              <w:tc>
                <w:tcPr>
                  <w:tcW w:w="690" w:type="pct"/>
                  <w:tcBorders>
                    <w:top w:val="single" w:color="auto" w:sz="4" w:space="0"/>
                    <w:left w:val="single" w:color="auto" w:sz="4" w:space="0"/>
                    <w:right w:val="single" w:color="auto" w:sz="4" w:space="0"/>
                  </w:tcBorders>
                  <w:vAlign w:val="center"/>
                </w:tcPr>
                <w:p w14:paraId="457AB82D">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lang w:bidi="ar"/>
                      <w14:textFill>
                        <w14:solidFill>
                          <w14:schemeClr w14:val="tx1"/>
                        </w14:solidFill>
                      </w14:textFill>
                    </w:rPr>
                    <w:t>1次/年</w:t>
                  </w:r>
                </w:p>
              </w:tc>
              <w:tc>
                <w:tcPr>
                  <w:tcW w:w="2800" w:type="pct"/>
                  <w:vMerge w:val="continue"/>
                  <w:tcBorders>
                    <w:left w:val="single" w:color="auto" w:sz="4" w:space="0"/>
                    <w:right w:val="single" w:color="auto" w:sz="4" w:space="0"/>
                  </w:tcBorders>
                  <w:vAlign w:val="center"/>
                </w:tcPr>
                <w:p w14:paraId="6747B9D8">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r>
            <w:tr w14:paraId="76F20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6" w:type="pct"/>
                  <w:tcBorders>
                    <w:left w:val="single" w:color="auto" w:sz="4" w:space="0"/>
                    <w:right w:val="single" w:color="auto" w:sz="4" w:space="0"/>
                  </w:tcBorders>
                  <w:vAlign w:val="center"/>
                </w:tcPr>
                <w:p w14:paraId="65273413">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厂区内</w:t>
                  </w:r>
                </w:p>
              </w:tc>
              <w:tc>
                <w:tcPr>
                  <w:tcW w:w="813" w:type="pct"/>
                  <w:tcBorders>
                    <w:top w:val="single" w:color="auto" w:sz="4" w:space="0"/>
                    <w:left w:val="single" w:color="auto" w:sz="4" w:space="0"/>
                    <w:bottom w:val="single" w:color="auto" w:sz="4" w:space="0"/>
                    <w:right w:val="single" w:color="auto" w:sz="4" w:space="0"/>
                  </w:tcBorders>
                  <w:vAlign w:val="center"/>
                </w:tcPr>
                <w:p w14:paraId="68A53D78">
                  <w:pPr>
                    <w:autoSpaceDE w:val="0"/>
                    <w:autoSpaceDN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非甲烷总烃</w:t>
                  </w:r>
                </w:p>
              </w:tc>
              <w:tc>
                <w:tcPr>
                  <w:tcW w:w="690" w:type="pct"/>
                  <w:tcBorders>
                    <w:left w:val="single" w:color="auto" w:sz="4" w:space="0"/>
                    <w:right w:val="single" w:color="auto" w:sz="4" w:space="0"/>
                  </w:tcBorders>
                  <w:vAlign w:val="center"/>
                </w:tcPr>
                <w:p w14:paraId="2FA230FB">
                  <w:pPr>
                    <w:jc w:val="center"/>
                    <w:rPr>
                      <w:rFonts w:hint="default" w:ascii="Times New Roman" w:hAnsi="Times New Roman" w:eastAsia="宋体" w:cs="Times New Roman"/>
                      <w:bCs/>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lang w:bidi="ar"/>
                      <w14:textFill>
                        <w14:solidFill>
                          <w14:schemeClr w14:val="tx1"/>
                        </w14:solidFill>
                      </w14:textFill>
                    </w:rPr>
                    <w:t>1次/年</w:t>
                  </w:r>
                </w:p>
              </w:tc>
              <w:tc>
                <w:tcPr>
                  <w:tcW w:w="2800" w:type="pct"/>
                  <w:tcBorders>
                    <w:top w:val="single" w:color="auto" w:sz="4" w:space="0"/>
                    <w:left w:val="single" w:color="auto" w:sz="4" w:space="0"/>
                    <w:bottom w:val="single" w:color="auto" w:sz="4" w:space="0"/>
                    <w:right w:val="single" w:color="auto" w:sz="4" w:space="0"/>
                  </w:tcBorders>
                  <w:vAlign w:val="center"/>
                </w:tcPr>
                <w:p w14:paraId="4EC5B42C">
                  <w:pPr>
                    <w:widowControl/>
                    <w:jc w:val="center"/>
                    <w:rPr>
                      <w:rFonts w:hint="default" w:ascii="Times New Roman" w:hAnsi="Times New Roman" w:eastAsia="宋体" w:cs="Times New Roman"/>
                      <w:color w:val="000000" w:themeColor="text1"/>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广东省地方标准《固定污染源挥发性有机物综合排放标准》（DB44/2367-2022）</w:t>
                  </w:r>
                  <w:r>
                    <w:rPr>
                      <w:rFonts w:hint="default" w:ascii="Times New Roman" w:hAnsi="Times New Roman" w:eastAsia="宋体" w:cs="Times New Roman"/>
                      <w:color w:val="000000" w:themeColor="text1"/>
                      <w:szCs w:val="21"/>
                      <w:highlight w:val="none"/>
                      <w:lang w:val="zh-CN"/>
                      <w14:textFill>
                        <w14:solidFill>
                          <w14:schemeClr w14:val="tx1"/>
                        </w14:solidFill>
                      </w14:textFill>
                    </w:rPr>
                    <w:t>表3 厂区内VOCs无组织排放限值</w:t>
                  </w:r>
                </w:p>
              </w:tc>
            </w:tr>
          </w:tbl>
          <w:p w14:paraId="3AF93609">
            <w:pPr>
              <w:pStyle w:val="52"/>
              <w:spacing w:line="480" w:lineRule="exact"/>
              <w:ind w:firstLine="482"/>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6、大气环境影响结论</w:t>
            </w:r>
          </w:p>
          <w:p w14:paraId="4723773A">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根据《中山市202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t>年中山市生态环境质量报告书》，项目所在区域为空气不达标区，不达标因子为臭氧。根据《中山市202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t>年空气质量监测站日均值数据公报》-</w:t>
            </w:r>
            <w:r>
              <w:rPr>
                <w:rFonts w:hint="default" w:ascii="Times New Roman" w:hAnsi="Times New Roman" w:eastAsia="宋体" w:cs="Times New Roman"/>
                <w:color w:val="000000" w:themeColor="text1"/>
                <w:highlight w:val="none"/>
                <w:lang w:val="en-US" w:eastAsia="zh-CN"/>
                <w14:textFill>
                  <w14:solidFill>
                    <w14:schemeClr w14:val="tx1"/>
                  </w14:solidFill>
                </w14:textFill>
              </w:rPr>
              <w:t>民众</w:t>
            </w:r>
            <w:r>
              <w:rPr>
                <w:rFonts w:hint="default" w:ascii="Times New Roman" w:hAnsi="Times New Roman" w:eastAsia="宋体" w:cs="Times New Roman"/>
                <w:color w:val="000000" w:themeColor="text1"/>
                <w:highlight w:val="none"/>
                <w14:textFill>
                  <w14:solidFill>
                    <w14:schemeClr w14:val="tx1"/>
                  </w14:solidFill>
                </w14:textFill>
              </w:rPr>
              <w:t>站，</w:t>
            </w:r>
            <w:r>
              <w:rPr>
                <w:rFonts w:hint="default" w:ascii="Times New Roman" w:hAnsi="Times New Roman" w:eastAsia="宋体" w:cs="Times New Roman"/>
                <w:color w:val="000000" w:themeColor="text1"/>
                <w:sz w:val="24"/>
                <w:szCs w:val="24"/>
                <w:highlight w:val="none"/>
                <w14:textFill>
                  <w14:solidFill>
                    <w14:schemeClr w14:val="tx1"/>
                  </w14:solidFill>
                </w14:textFill>
              </w:rPr>
              <w:t>SO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eastAsia="宋体" w:cs="Times New Roman"/>
                <w:color w:val="000000" w:themeColor="text1"/>
                <w:sz w:val="24"/>
                <w:szCs w:val="24"/>
                <w:highlight w:val="none"/>
                <w14:textFill>
                  <w14:solidFill>
                    <w14:schemeClr w14:val="tx1"/>
                  </w14:solidFill>
                </w14:textFill>
              </w:rPr>
              <w:t>、PM</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eastAsia="宋体" w:cs="Times New Roman"/>
                <w:color w:val="000000" w:themeColor="text1"/>
                <w:sz w:val="24"/>
                <w:szCs w:val="24"/>
                <w:highlight w:val="none"/>
                <w14:textFill>
                  <w14:solidFill>
                    <w14:schemeClr w14:val="tx1"/>
                  </w14:solidFill>
                </w14:textFill>
              </w:rPr>
              <w:t>、CO、O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highlight w:val="none"/>
                <w14:textFill>
                  <w14:solidFill>
                    <w14:schemeClr w14:val="tx1"/>
                  </w14:solidFill>
                </w14:textFill>
              </w:rPr>
              <w:t>均可达标。</w:t>
            </w:r>
          </w:p>
          <w:p w14:paraId="23C85C8F">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根据大气环境保护目标调查情况，厂房最近敏感点为</w:t>
            </w:r>
            <w:r>
              <w:rPr>
                <w:rFonts w:hint="default" w:ascii="Times New Roman" w:hAnsi="Times New Roman" w:eastAsia="宋体" w:cs="Times New Roman"/>
                <w:color w:val="000000" w:themeColor="text1"/>
                <w:highlight w:val="none"/>
                <w:lang w:val="en-US" w:eastAsia="zh-CN"/>
                <w14:textFill>
                  <w14:solidFill>
                    <w14:schemeClr w14:val="tx1"/>
                  </w14:solidFill>
                </w14:textFill>
              </w:rPr>
              <w:t>西</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南</w:t>
            </w:r>
            <w:r>
              <w:rPr>
                <w:rFonts w:hint="default" w:ascii="Times New Roman" w:hAnsi="Times New Roman" w:eastAsia="宋体" w:cs="Times New Roman"/>
                <w:color w:val="000000" w:themeColor="text1"/>
                <w:highlight w:val="none"/>
                <w14:textFill>
                  <w14:solidFill>
                    <w14:schemeClr w14:val="tx1"/>
                  </w14:solidFill>
                </w14:textFill>
              </w:rPr>
              <w:t>面</w:t>
            </w:r>
            <w:r>
              <w:rPr>
                <w:rFonts w:hint="eastAsia" w:ascii="Times New Roman" w:hAnsi="Times New Roman" w:eastAsia="宋体" w:cs="Times New Roman"/>
                <w:color w:val="000000" w:themeColor="text1"/>
                <w:highlight w:val="none"/>
                <w:lang w:val="en-US" w:eastAsia="zh-CN"/>
                <w14:textFill>
                  <w14:solidFill>
                    <w14:schemeClr w14:val="tx1"/>
                  </w14:solidFill>
                </w14:textFill>
              </w:rPr>
              <w:t>隆昌</w:t>
            </w:r>
            <w:r>
              <w:rPr>
                <w:rFonts w:hint="default" w:ascii="Times New Roman" w:hAnsi="Times New Roman" w:eastAsia="宋体" w:cs="Times New Roman"/>
                <w:color w:val="000000" w:themeColor="text1"/>
                <w:highlight w:val="none"/>
                <w14:textFill>
                  <w14:solidFill>
                    <w14:schemeClr w14:val="tx1"/>
                  </w14:solidFill>
                </w14:textFill>
              </w:rPr>
              <w:t>，最近距离约为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169</w:t>
            </w:r>
            <w:r>
              <w:rPr>
                <w:rFonts w:hint="default" w:ascii="Times New Roman" w:hAnsi="Times New Roman" w:eastAsia="宋体" w:cs="Times New Roman"/>
                <w:color w:val="000000" w:themeColor="text1"/>
                <w:highlight w:val="none"/>
                <w14:textFill>
                  <w14:solidFill>
                    <w14:schemeClr w14:val="tx1"/>
                  </w14:solidFill>
                </w14:textFill>
              </w:rPr>
              <w:t>m。</w:t>
            </w:r>
          </w:p>
          <w:p w14:paraId="0C9F1709">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根据废气产排情况分析，</w:t>
            </w:r>
            <w:r>
              <w:rPr>
                <w:rFonts w:ascii="Times New Roman" w:hAnsi="Times New Roman" w:eastAsia="宋体" w:cs="Times New Roman"/>
                <w:color w:val="000000" w:themeColor="text1"/>
                <w:sz w:val="24"/>
                <w:highlight w:val="none"/>
                <w14:textFill>
                  <w14:solidFill>
                    <w14:schemeClr w14:val="tx1"/>
                  </w14:solidFill>
                </w14:textFill>
              </w:rPr>
              <w:t>建设单位拟对投料工序产生的废气采用集气罩收集后经滤芯除尘装置处理后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经15m高排气筒（G1）高空排放</w:t>
            </w:r>
            <w:r>
              <w:rPr>
                <w:rFonts w:hint="default" w:ascii="Times New Roman" w:hAnsi="Times New Roman" w:eastAsia="宋体" w:cs="Times New Roman"/>
                <w:color w:val="000000" w:themeColor="text1"/>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颗粒物的有组织排放达到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表4 大气污染物排放限值</w:t>
            </w:r>
            <w:r>
              <w:rPr>
                <w:rFonts w:hint="default" w:ascii="Times New Roman" w:hAnsi="Times New Roman" w:eastAsia="宋体" w:cs="Times New Roman"/>
                <w:color w:val="000000" w:themeColor="text1"/>
                <w:highlight w:val="none"/>
                <w14:textFill>
                  <w14:solidFill>
                    <w14:schemeClr w14:val="tx1"/>
                  </w14:solidFill>
                </w14:textFill>
              </w:rPr>
              <w:t>；</w:t>
            </w:r>
          </w:p>
          <w:p w14:paraId="2501D53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建设单位拟对</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挤出</w:t>
            </w:r>
            <w:r>
              <w:rPr>
                <w:rFonts w:ascii="Times New Roman" w:hAnsi="Times New Roman" w:eastAsia="宋体" w:cs="Times New Roman"/>
                <w:color w:val="000000" w:themeColor="text1"/>
                <w:sz w:val="24"/>
                <w:highlight w:val="none"/>
                <w14:textFill>
                  <w14:solidFill>
                    <w14:schemeClr w14:val="tx1"/>
                  </w14:solidFill>
                </w14:textFill>
              </w:rPr>
              <w:t>工序废气</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经管道收集后</w:t>
            </w:r>
            <w:r>
              <w:rPr>
                <w:rFonts w:ascii="Times New Roman" w:hAnsi="Times New Roman" w:eastAsia="宋体" w:cs="Times New Roman"/>
                <w:color w:val="000000" w:themeColor="text1"/>
                <w:sz w:val="24"/>
                <w:highlight w:val="none"/>
                <w14:textFill>
                  <w14:solidFill>
                    <w14:schemeClr w14:val="tx1"/>
                  </w14:solidFill>
                </w14:textFill>
              </w:rPr>
              <w:t>经二级活性炭吸附装置处理后经离地</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15</w:t>
            </w:r>
            <w:r>
              <w:rPr>
                <w:rFonts w:ascii="Times New Roman" w:hAnsi="Times New Roman" w:eastAsia="宋体" w:cs="Times New Roman"/>
                <w:color w:val="000000" w:themeColor="text1"/>
                <w:sz w:val="24"/>
                <w:highlight w:val="none"/>
                <w14:textFill>
                  <w14:solidFill>
                    <w14:schemeClr w14:val="tx1"/>
                  </w14:solidFill>
                </w14:textFill>
              </w:rPr>
              <w:t>m高排气筒（G</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ascii="Times New Roman" w:hAnsi="Times New Roman" w:eastAsia="宋体" w:cs="Times New Roman"/>
                <w:color w:val="000000" w:themeColor="text1"/>
                <w:sz w:val="24"/>
                <w:highlight w:val="none"/>
                <w14:textFill>
                  <w14:solidFill>
                    <w14:schemeClr w14:val="tx1"/>
                  </w14:solidFill>
                </w14:textFill>
              </w:rPr>
              <w:t>）高空排放</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苯乙烯</w:t>
            </w:r>
            <w:r>
              <w:rPr>
                <w:rFonts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甲苯、乙苯</w:t>
            </w:r>
            <w:r>
              <w:rPr>
                <w:rFonts w:ascii="Times New Roman" w:hAnsi="Times New Roman" w:eastAsia="宋体" w:cs="Times New Roman"/>
                <w:b w:val="0"/>
                <w:bCs w:val="0"/>
                <w:color w:val="000000" w:themeColor="text1"/>
                <w:sz w:val="24"/>
                <w:szCs w:val="24"/>
                <w:highlight w:val="none"/>
                <w14:textFill>
                  <w14:solidFill>
                    <w14:schemeClr w14:val="tx1"/>
                  </w14:solidFill>
                </w14:textFill>
              </w:rPr>
              <w:t>、非甲烷总烃</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的有组织排放达到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表4 大气污染物排放限值，</w:t>
            </w:r>
            <w:r>
              <w:rPr>
                <w:rFonts w:hint="default" w:ascii="Times New Roman" w:hAnsi="Times New Roman" w:cs="Times New Roman"/>
                <w:b w:val="0"/>
                <w:bCs w:val="0"/>
                <w:color w:val="000000" w:themeColor="text1"/>
                <w:sz w:val="24"/>
                <w:szCs w:val="24"/>
                <w:highlight w:val="none"/>
                <w14:textFill>
                  <w14:solidFill>
                    <w14:schemeClr w14:val="tx1"/>
                  </w14:solidFill>
                </w14:textFill>
              </w:rPr>
              <w:t>臭气浓度有组织排放值可达到《恶臭污染物排放标准》（GB14554-93）中表2恶臭污染物排放标准值</w:t>
            </w:r>
            <w:r>
              <w:rPr>
                <w:rFonts w:hint="default" w:ascii="Times New Roman" w:hAnsi="Times New Roman" w:cs="Times New Roman"/>
                <w:color w:val="000000" w:themeColor="text1"/>
                <w:sz w:val="24"/>
                <w:highlight w:val="none"/>
                <w14:textFill>
                  <w14:solidFill>
                    <w14:schemeClr w14:val="tx1"/>
                  </w14:solidFill>
                </w14:textFill>
              </w:rPr>
              <w:t>；</w:t>
            </w:r>
          </w:p>
          <w:p w14:paraId="454F4F42">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非甲烷总烃的无组织排放达到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表9企业边界大气污染物浓度限值和</w:t>
            </w:r>
            <w:r>
              <w:rPr>
                <w:rFonts w:hint="default" w:ascii="Times New Roman" w:hAnsi="Times New Roman" w:eastAsia="宋体" w:cs="Times New Roman"/>
                <w:color w:val="000000" w:themeColor="text1"/>
                <w:sz w:val="24"/>
                <w:szCs w:val="24"/>
                <w:highlight w:val="none"/>
                <w14:textFill>
                  <w14:solidFill>
                    <w14:schemeClr w14:val="tx1"/>
                  </w14:solidFill>
                </w14:textFill>
              </w:rPr>
              <w:t>广东省地方标准《大气污染物排放限值》（DB44/27-2001）第二时段无组织排放标准值</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较严值</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，颗粒物、甲苯</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的无组织排放达到</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—20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表9企业边界大气污染物浓度限值，苯乙烯</w:t>
            </w:r>
            <w:r>
              <w:rPr>
                <w:rFonts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default" w:ascii="Times New Roman" w:hAnsi="Times New Roman" w:cs="Times New Roman"/>
                <w:b w:val="0"/>
                <w:bCs w:val="0"/>
                <w:color w:val="000000" w:themeColor="text1"/>
                <w:sz w:val="24"/>
                <w:szCs w:val="24"/>
                <w:highlight w:val="none"/>
                <w14:textFill>
                  <w14:solidFill>
                    <w14:schemeClr w14:val="tx1"/>
                  </w14:solidFill>
                </w14:textFill>
              </w:rPr>
              <w:t>臭气浓度的无组织排放可达到《恶臭污染物排放标准》（GB14554-93）中表1恶臭污染物厂界标准值</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14:textFill>
                  <w14:solidFill>
                    <w14:schemeClr w14:val="tx1"/>
                  </w14:solidFill>
                </w14:textFill>
              </w:rPr>
              <w:t>非甲烷总烃在厂区内的无组织排放浓度满足广东省地方标准《固定污染源挥发性有机物综合排放标准》（DB44/2367-2022）表3厂区内VOCs无组织排放限值。对周围大气无明显影响</w:t>
            </w:r>
            <w:r>
              <w:rPr>
                <w:rFonts w:hint="default" w:ascii="Times New Roman" w:hAnsi="Times New Roman" w:eastAsia="宋体" w:cs="Times New Roman"/>
                <w:color w:val="000000" w:themeColor="text1"/>
                <w:highlight w:val="none"/>
                <w14:textFill>
                  <w14:solidFill>
                    <w14:schemeClr w14:val="tx1"/>
                  </w14:solidFill>
                </w14:textFill>
              </w:rPr>
              <w:t>。</w:t>
            </w:r>
          </w:p>
          <w:p w14:paraId="41221AAD">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二、水环境影响分析</w:t>
            </w:r>
          </w:p>
          <w:p w14:paraId="523BFC8E">
            <w:pPr>
              <w:pStyle w:val="52"/>
              <w:spacing w:line="480" w:lineRule="exact"/>
              <w:ind w:firstLine="482"/>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1、废水产排情况</w:t>
            </w:r>
          </w:p>
          <w:p w14:paraId="588FD334">
            <w:pPr>
              <w:pStyle w:val="52"/>
              <w:spacing w:line="480" w:lineRule="exact"/>
              <w:ind w:firstLine="482"/>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（1）生活污水</w:t>
            </w:r>
          </w:p>
          <w:p w14:paraId="5323AF63">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生活污水产生排放量约为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459</w:t>
            </w:r>
            <w:r>
              <w:rPr>
                <w:rFonts w:hint="default" w:ascii="Times New Roman" w:hAnsi="Times New Roman" w:eastAsia="宋体" w:cs="Times New Roman"/>
                <w:color w:val="000000" w:themeColor="text1"/>
                <w:highlight w:val="none"/>
                <w14:textFill>
                  <w14:solidFill>
                    <w14:schemeClr w14:val="tx1"/>
                  </w14:solidFill>
                </w14:textFill>
              </w:rPr>
              <w:t>吨/年。项目所在地已纳入</w:t>
            </w:r>
            <w:r>
              <w:rPr>
                <w:rFonts w:hint="default" w:ascii="Times New Roman" w:hAnsi="Times New Roman" w:eastAsia="宋体" w:cs="Times New Roman"/>
                <w:color w:val="000000" w:themeColor="text1"/>
                <w:spacing w:val="1"/>
                <w:sz w:val="24"/>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pacing w:val="1"/>
                <w:sz w:val="24"/>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pacing w:val="1"/>
                <w:sz w:val="24"/>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highlight w:val="none"/>
                <w14:textFill>
                  <w14:solidFill>
                    <w14:schemeClr w14:val="tx1"/>
                  </w14:solidFill>
                </w14:textFill>
              </w:rPr>
              <w:t>的处理范围之内，项目产生的生活污水经三级化粪池预处理达到广东省《水污染物排放限值》（DB44/26-2001）第二时段三级标准后，排入市政污水管网进入</w:t>
            </w:r>
            <w:r>
              <w:rPr>
                <w:rFonts w:hint="default" w:ascii="Times New Roman" w:hAnsi="Times New Roman" w:eastAsia="宋体" w:cs="Times New Roman"/>
                <w:color w:val="000000" w:themeColor="text1"/>
                <w:spacing w:val="1"/>
                <w:sz w:val="24"/>
                <w:highlight w:val="none"/>
                <w:lang w:val="en-US" w:eastAsia="zh-CN"/>
                <w14:textFill>
                  <w14:solidFill>
                    <w14:schemeClr w14:val="tx1"/>
                  </w14:solidFill>
                </w14:textFill>
              </w:rPr>
              <w:t>中山市</w:t>
            </w:r>
            <w:r>
              <w:rPr>
                <w:rFonts w:hint="eastAsia" w:ascii="Times New Roman" w:hAnsi="Times New Roman" w:eastAsia="宋体" w:cs="Times New Roman"/>
                <w:color w:val="000000" w:themeColor="text1"/>
                <w:spacing w:val="1"/>
                <w:sz w:val="24"/>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pacing w:val="1"/>
                <w:sz w:val="24"/>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highlight w:val="none"/>
                <w14:textFill>
                  <w14:solidFill>
                    <w14:schemeClr w14:val="tx1"/>
                  </w14:solidFill>
                </w14:textFill>
              </w:rPr>
              <w:t>处理达标后排放。</w:t>
            </w:r>
          </w:p>
          <w:p w14:paraId="5D95B1CD">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项目生活水污染物产生排放一览表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2004"/>
              <w:gridCol w:w="910"/>
              <w:gridCol w:w="1024"/>
              <w:gridCol w:w="1059"/>
              <w:gridCol w:w="912"/>
              <w:gridCol w:w="1078"/>
            </w:tblGrid>
            <w:tr w14:paraId="09840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37" w:type="dxa"/>
                  <w:gridSpan w:val="2"/>
                  <w:vAlign w:val="center"/>
                </w:tcPr>
                <w:p w14:paraId="2F503991">
                  <w:pPr>
                    <w:jc w:val="center"/>
                    <w:rPr>
                      <w:rFonts w:hint="default" w:ascii="Times New Roman" w:hAnsi="Times New Roman" w:eastAsia="宋体" w:cs="Times New Roman"/>
                      <w:b/>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color w:val="000000" w:themeColor="text1"/>
                      <w:spacing w:val="10"/>
                      <w:szCs w:val="21"/>
                      <w:highlight w:val="none"/>
                      <w14:textFill>
                        <w14:solidFill>
                          <w14:schemeClr w14:val="tx1"/>
                        </w14:solidFill>
                      </w14:textFill>
                    </w:rPr>
                    <w:t>项目</w:t>
                  </w:r>
                </w:p>
              </w:tc>
              <w:tc>
                <w:tcPr>
                  <w:tcW w:w="840" w:type="dxa"/>
                  <w:vAlign w:val="center"/>
                </w:tcPr>
                <w:p w14:paraId="0C3FC771">
                  <w:pPr>
                    <w:jc w:val="center"/>
                    <w:rPr>
                      <w:rFonts w:hint="default" w:ascii="Times New Roman" w:hAnsi="Times New Roman" w:eastAsia="宋体" w:cs="Times New Roman"/>
                      <w:b/>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color w:val="000000" w:themeColor="text1"/>
                      <w:spacing w:val="10"/>
                      <w:szCs w:val="21"/>
                      <w:highlight w:val="none"/>
                      <w14:textFill>
                        <w14:solidFill>
                          <w14:schemeClr w14:val="tx1"/>
                        </w14:solidFill>
                      </w14:textFill>
                    </w:rPr>
                    <w:t>pH（无量纲）</w:t>
                  </w:r>
                </w:p>
              </w:tc>
              <w:tc>
                <w:tcPr>
                  <w:tcW w:w="945" w:type="dxa"/>
                  <w:vAlign w:val="center"/>
                </w:tcPr>
                <w:p w14:paraId="14768792">
                  <w:pPr>
                    <w:jc w:val="center"/>
                    <w:rPr>
                      <w:rFonts w:hint="default" w:ascii="Times New Roman" w:hAnsi="Times New Roman" w:eastAsia="宋体" w:cs="Times New Roman"/>
                      <w:b/>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color w:val="000000" w:themeColor="text1"/>
                      <w:spacing w:val="10"/>
                      <w:szCs w:val="21"/>
                      <w:highlight w:val="none"/>
                      <w14:textFill>
                        <w14:solidFill>
                          <w14:schemeClr w14:val="tx1"/>
                        </w14:solidFill>
                      </w14:textFill>
                    </w:rPr>
                    <w:t>COD</w:t>
                  </w:r>
                  <w:r>
                    <w:rPr>
                      <w:rFonts w:hint="default" w:ascii="Times New Roman" w:hAnsi="Times New Roman" w:eastAsia="宋体" w:cs="Times New Roman"/>
                      <w:b/>
                      <w:color w:val="000000" w:themeColor="text1"/>
                      <w:spacing w:val="10"/>
                      <w:szCs w:val="21"/>
                      <w:highlight w:val="none"/>
                      <w:vertAlign w:val="subscript"/>
                      <w14:textFill>
                        <w14:solidFill>
                          <w14:schemeClr w14:val="tx1"/>
                        </w14:solidFill>
                      </w14:textFill>
                    </w:rPr>
                    <w:t>Cr</w:t>
                  </w:r>
                </w:p>
              </w:tc>
              <w:tc>
                <w:tcPr>
                  <w:tcW w:w="978" w:type="dxa"/>
                  <w:vAlign w:val="center"/>
                </w:tcPr>
                <w:p w14:paraId="35F30BF5">
                  <w:pPr>
                    <w:jc w:val="center"/>
                    <w:rPr>
                      <w:rFonts w:hint="default" w:ascii="Times New Roman" w:hAnsi="Times New Roman" w:eastAsia="宋体" w:cs="Times New Roman"/>
                      <w:b/>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color w:val="000000" w:themeColor="text1"/>
                      <w:spacing w:val="10"/>
                      <w:szCs w:val="21"/>
                      <w:highlight w:val="none"/>
                      <w14:textFill>
                        <w14:solidFill>
                          <w14:schemeClr w14:val="tx1"/>
                        </w14:solidFill>
                      </w14:textFill>
                    </w:rPr>
                    <w:t>BOD</w:t>
                  </w:r>
                  <w:r>
                    <w:rPr>
                      <w:rFonts w:hint="default" w:ascii="Times New Roman" w:hAnsi="Times New Roman" w:eastAsia="宋体" w:cs="Times New Roman"/>
                      <w:b/>
                      <w:color w:val="000000" w:themeColor="text1"/>
                      <w:spacing w:val="10"/>
                      <w:szCs w:val="21"/>
                      <w:highlight w:val="none"/>
                      <w:vertAlign w:val="subscript"/>
                      <w14:textFill>
                        <w14:solidFill>
                          <w14:schemeClr w14:val="tx1"/>
                        </w14:solidFill>
                      </w14:textFill>
                    </w:rPr>
                    <w:t>5</w:t>
                  </w:r>
                </w:p>
              </w:tc>
              <w:tc>
                <w:tcPr>
                  <w:tcW w:w="842" w:type="dxa"/>
                  <w:vAlign w:val="center"/>
                </w:tcPr>
                <w:p w14:paraId="3F052603">
                  <w:pPr>
                    <w:jc w:val="center"/>
                    <w:rPr>
                      <w:rFonts w:hint="default" w:ascii="Times New Roman" w:hAnsi="Times New Roman" w:eastAsia="宋体" w:cs="Times New Roman"/>
                      <w:b/>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color w:val="000000" w:themeColor="text1"/>
                      <w:spacing w:val="10"/>
                      <w:szCs w:val="21"/>
                      <w:highlight w:val="none"/>
                      <w14:textFill>
                        <w14:solidFill>
                          <w14:schemeClr w14:val="tx1"/>
                        </w14:solidFill>
                      </w14:textFill>
                    </w:rPr>
                    <w:t>SS</w:t>
                  </w:r>
                </w:p>
              </w:tc>
              <w:tc>
                <w:tcPr>
                  <w:tcW w:w="995" w:type="dxa"/>
                  <w:vAlign w:val="center"/>
                </w:tcPr>
                <w:p w14:paraId="0E86A915">
                  <w:pPr>
                    <w:jc w:val="center"/>
                    <w:rPr>
                      <w:rFonts w:hint="default" w:ascii="Times New Roman" w:hAnsi="Times New Roman" w:eastAsia="宋体" w:cs="Times New Roman"/>
                      <w:b/>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color w:val="000000" w:themeColor="text1"/>
                      <w:spacing w:val="10"/>
                      <w:szCs w:val="21"/>
                      <w:highlight w:val="none"/>
                      <w14:textFill>
                        <w14:solidFill>
                          <w14:schemeClr w14:val="tx1"/>
                        </w14:solidFill>
                      </w14:textFill>
                    </w:rPr>
                    <w:t>NH</w:t>
                  </w:r>
                  <w:r>
                    <w:rPr>
                      <w:rFonts w:hint="default" w:ascii="Times New Roman" w:hAnsi="Times New Roman" w:eastAsia="宋体" w:cs="Times New Roman"/>
                      <w:b/>
                      <w:color w:val="000000" w:themeColor="text1"/>
                      <w:spacing w:val="10"/>
                      <w:szCs w:val="21"/>
                      <w:highlight w:val="none"/>
                      <w:vertAlign w:val="subscript"/>
                      <w14:textFill>
                        <w14:solidFill>
                          <w14:schemeClr w14:val="tx1"/>
                        </w14:solidFill>
                      </w14:textFill>
                    </w:rPr>
                    <w:t>3</w:t>
                  </w:r>
                  <w:r>
                    <w:rPr>
                      <w:rFonts w:hint="default" w:ascii="Times New Roman" w:hAnsi="Times New Roman" w:eastAsia="宋体" w:cs="Times New Roman"/>
                      <w:b/>
                      <w:color w:val="000000" w:themeColor="text1"/>
                      <w:spacing w:val="10"/>
                      <w:szCs w:val="21"/>
                      <w:highlight w:val="none"/>
                      <w14:textFill>
                        <w14:solidFill>
                          <w14:schemeClr w14:val="tx1"/>
                        </w14:solidFill>
                      </w14:textFill>
                    </w:rPr>
                    <w:t>-N</w:t>
                  </w:r>
                </w:p>
              </w:tc>
            </w:tr>
            <w:tr w14:paraId="5EAE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7" w:type="dxa"/>
                  <w:vMerge w:val="restart"/>
                  <w:vAlign w:val="center"/>
                </w:tcPr>
                <w:p w14:paraId="75969308">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生活污水（</w:t>
                  </w:r>
                  <w: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t>810</w:t>
                  </w:r>
                  <w:r>
                    <w:rPr>
                      <w:rFonts w:hint="default" w:ascii="Times New Roman" w:hAnsi="Times New Roman" w:eastAsia="宋体" w:cs="Times New Roman"/>
                      <w:color w:val="000000" w:themeColor="text1"/>
                      <w:szCs w:val="21"/>
                      <w:highlight w:val="none"/>
                      <w14:textFill>
                        <w14:solidFill>
                          <w14:schemeClr w14:val="tx1"/>
                        </w14:solidFill>
                      </w14:textFill>
                    </w:rPr>
                    <w:t>t/a）</w:t>
                  </w:r>
                </w:p>
              </w:tc>
              <w:tc>
                <w:tcPr>
                  <w:tcW w:w="1850" w:type="dxa"/>
                  <w:vAlign w:val="center"/>
                </w:tcPr>
                <w:p w14:paraId="35E958B2">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产生浓度（mg/L）</w:t>
                  </w:r>
                </w:p>
              </w:tc>
              <w:tc>
                <w:tcPr>
                  <w:tcW w:w="840" w:type="dxa"/>
                  <w:vAlign w:val="center"/>
                </w:tcPr>
                <w:p w14:paraId="1E5D4BBF">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6~9</w:t>
                  </w:r>
                </w:p>
              </w:tc>
              <w:tc>
                <w:tcPr>
                  <w:tcW w:w="945" w:type="dxa"/>
                  <w:vAlign w:val="center"/>
                </w:tcPr>
                <w:p w14:paraId="2E573BAB">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300</w:t>
                  </w:r>
                </w:p>
              </w:tc>
              <w:tc>
                <w:tcPr>
                  <w:tcW w:w="978" w:type="dxa"/>
                  <w:vAlign w:val="center"/>
                </w:tcPr>
                <w:p w14:paraId="4C10FAF4">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150</w:t>
                  </w:r>
                </w:p>
              </w:tc>
              <w:tc>
                <w:tcPr>
                  <w:tcW w:w="842" w:type="dxa"/>
                  <w:vAlign w:val="center"/>
                </w:tcPr>
                <w:p w14:paraId="04F36F40">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200</w:t>
                  </w:r>
                </w:p>
              </w:tc>
              <w:tc>
                <w:tcPr>
                  <w:tcW w:w="995" w:type="dxa"/>
                  <w:vAlign w:val="center"/>
                </w:tcPr>
                <w:p w14:paraId="75446341">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w:t>
                  </w:r>
                </w:p>
              </w:tc>
            </w:tr>
            <w:tr w14:paraId="098E2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7" w:type="dxa"/>
                  <w:vMerge w:val="continue"/>
                </w:tcPr>
                <w:p w14:paraId="30ACAAD4">
                  <w:pPr>
                    <w:pStyle w:val="40"/>
                    <w:adjustRightInd/>
                    <w:ind w:firstLine="422"/>
                    <w:rPr>
                      <w:rFonts w:hint="default" w:ascii="Times New Roman" w:hAnsi="Times New Roman" w:cs="Times New Roman"/>
                      <w:b/>
                      <w:color w:val="000000" w:themeColor="text1"/>
                      <w:sz w:val="21"/>
                      <w:szCs w:val="21"/>
                      <w:highlight w:val="none"/>
                      <w14:textFill>
                        <w14:solidFill>
                          <w14:schemeClr w14:val="tx1"/>
                        </w14:solidFill>
                      </w14:textFill>
                    </w:rPr>
                  </w:pPr>
                </w:p>
              </w:tc>
              <w:tc>
                <w:tcPr>
                  <w:tcW w:w="1850" w:type="dxa"/>
                  <w:vAlign w:val="center"/>
                </w:tcPr>
                <w:p w14:paraId="2BAE4C04">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产生量（t/a）</w:t>
                  </w:r>
                </w:p>
              </w:tc>
              <w:tc>
                <w:tcPr>
                  <w:tcW w:w="840" w:type="dxa"/>
                  <w:vAlign w:val="center"/>
                </w:tcPr>
                <w:p w14:paraId="4002D346">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945" w:type="dxa"/>
                  <w:vAlign w:val="center"/>
                </w:tcPr>
                <w:p w14:paraId="37F43334">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0.1377 </w:t>
                  </w:r>
                </w:p>
              </w:tc>
              <w:tc>
                <w:tcPr>
                  <w:tcW w:w="978" w:type="dxa"/>
                  <w:vAlign w:val="center"/>
                </w:tcPr>
                <w:p w14:paraId="7E2BC4DE">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0.0689 </w:t>
                  </w:r>
                </w:p>
              </w:tc>
              <w:tc>
                <w:tcPr>
                  <w:tcW w:w="842" w:type="dxa"/>
                  <w:vAlign w:val="center"/>
                </w:tcPr>
                <w:p w14:paraId="5C201248">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0.0918 </w:t>
                  </w:r>
                </w:p>
              </w:tc>
              <w:tc>
                <w:tcPr>
                  <w:tcW w:w="995" w:type="dxa"/>
                  <w:vAlign w:val="center"/>
                </w:tcPr>
                <w:p w14:paraId="7B50CEF7">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0.0138 </w:t>
                  </w:r>
                </w:p>
              </w:tc>
            </w:tr>
            <w:tr w14:paraId="2DFEB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7" w:type="dxa"/>
                  <w:vMerge w:val="continue"/>
                </w:tcPr>
                <w:p w14:paraId="19C24A32">
                  <w:pPr>
                    <w:pStyle w:val="40"/>
                    <w:adjustRightInd/>
                    <w:ind w:firstLine="422"/>
                    <w:rPr>
                      <w:rFonts w:hint="default" w:ascii="Times New Roman" w:hAnsi="Times New Roman" w:cs="Times New Roman"/>
                      <w:b/>
                      <w:color w:val="000000" w:themeColor="text1"/>
                      <w:sz w:val="21"/>
                      <w:szCs w:val="21"/>
                      <w:highlight w:val="none"/>
                      <w14:textFill>
                        <w14:solidFill>
                          <w14:schemeClr w14:val="tx1"/>
                        </w14:solidFill>
                      </w14:textFill>
                    </w:rPr>
                  </w:pPr>
                </w:p>
              </w:tc>
              <w:tc>
                <w:tcPr>
                  <w:tcW w:w="1850" w:type="dxa"/>
                  <w:vAlign w:val="center"/>
                </w:tcPr>
                <w:p w14:paraId="2FF8F43F">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排放浓度（mg/L）</w:t>
                  </w:r>
                </w:p>
              </w:tc>
              <w:tc>
                <w:tcPr>
                  <w:tcW w:w="840" w:type="dxa"/>
                  <w:vAlign w:val="center"/>
                </w:tcPr>
                <w:p w14:paraId="3471E10F">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6~9</w:t>
                  </w:r>
                </w:p>
              </w:tc>
              <w:tc>
                <w:tcPr>
                  <w:tcW w:w="945" w:type="dxa"/>
                  <w:vAlign w:val="center"/>
                </w:tcPr>
                <w:p w14:paraId="2DA1FAAB">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250</w:t>
                  </w:r>
                </w:p>
              </w:tc>
              <w:tc>
                <w:tcPr>
                  <w:tcW w:w="978" w:type="dxa"/>
                  <w:vAlign w:val="center"/>
                </w:tcPr>
                <w:p w14:paraId="017C6FCB">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140</w:t>
                  </w:r>
                </w:p>
              </w:tc>
              <w:tc>
                <w:tcPr>
                  <w:tcW w:w="842" w:type="dxa"/>
                  <w:vAlign w:val="center"/>
                </w:tcPr>
                <w:p w14:paraId="1CEAC7A7">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140</w:t>
                  </w:r>
                </w:p>
              </w:tc>
              <w:tc>
                <w:tcPr>
                  <w:tcW w:w="995" w:type="dxa"/>
                  <w:vAlign w:val="center"/>
                </w:tcPr>
                <w:p w14:paraId="5393670B">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w:t>
                  </w:r>
                </w:p>
              </w:tc>
            </w:tr>
            <w:tr w14:paraId="5B2A9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7" w:type="dxa"/>
                  <w:vMerge w:val="continue"/>
                </w:tcPr>
                <w:p w14:paraId="64505EE8">
                  <w:pPr>
                    <w:pStyle w:val="40"/>
                    <w:adjustRightInd/>
                    <w:ind w:firstLine="422"/>
                    <w:rPr>
                      <w:rFonts w:hint="default" w:ascii="Times New Roman" w:hAnsi="Times New Roman" w:cs="Times New Roman"/>
                      <w:b/>
                      <w:color w:val="000000" w:themeColor="text1"/>
                      <w:sz w:val="21"/>
                      <w:szCs w:val="21"/>
                      <w:highlight w:val="none"/>
                      <w14:textFill>
                        <w14:solidFill>
                          <w14:schemeClr w14:val="tx1"/>
                        </w14:solidFill>
                      </w14:textFill>
                    </w:rPr>
                  </w:pPr>
                </w:p>
              </w:tc>
              <w:tc>
                <w:tcPr>
                  <w:tcW w:w="1850" w:type="dxa"/>
                  <w:vAlign w:val="center"/>
                </w:tcPr>
                <w:p w14:paraId="1D25FF64">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排放量（t/a）</w:t>
                  </w:r>
                </w:p>
              </w:tc>
              <w:tc>
                <w:tcPr>
                  <w:tcW w:w="840" w:type="dxa"/>
                  <w:vAlign w:val="center"/>
                </w:tcPr>
                <w:p w14:paraId="38370DC5">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945" w:type="dxa"/>
                  <w:vAlign w:val="center"/>
                </w:tcPr>
                <w:p w14:paraId="45353CE0">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0.1148 </w:t>
                  </w:r>
                </w:p>
              </w:tc>
              <w:tc>
                <w:tcPr>
                  <w:tcW w:w="978" w:type="dxa"/>
                  <w:vAlign w:val="center"/>
                </w:tcPr>
                <w:p w14:paraId="1381D2C0">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0.0643 </w:t>
                  </w:r>
                </w:p>
              </w:tc>
              <w:tc>
                <w:tcPr>
                  <w:tcW w:w="842" w:type="dxa"/>
                  <w:vAlign w:val="center"/>
                </w:tcPr>
                <w:p w14:paraId="7947E9C9">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0.0643 </w:t>
                  </w:r>
                </w:p>
              </w:tc>
              <w:tc>
                <w:tcPr>
                  <w:tcW w:w="995" w:type="dxa"/>
                  <w:vAlign w:val="center"/>
                </w:tcPr>
                <w:p w14:paraId="77D6922A">
                  <w:pPr>
                    <w:keepNext w:val="0"/>
                    <w:keepLines w:val="0"/>
                    <w:widowControl/>
                    <w:suppressLineNumbers w:val="0"/>
                    <w:jc w:val="center"/>
                    <w:textAlignment w:val="cente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0.0115 </w:t>
                  </w:r>
                </w:p>
              </w:tc>
            </w:tr>
          </w:tbl>
          <w:p w14:paraId="5D68F884">
            <w:pPr>
              <w:pStyle w:val="52"/>
              <w:spacing w:line="480" w:lineRule="exact"/>
              <w:ind w:firstLine="482"/>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（2）生产废水</w:t>
            </w:r>
          </w:p>
          <w:p w14:paraId="4D391E3A">
            <w:pPr>
              <w:pStyle w:val="52"/>
              <w:ind w:firstLine="48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本项目生产废水主要为</w:t>
            </w:r>
            <w:r>
              <w:rPr>
                <w:rFonts w:hint="eastAsia" w:ascii="Times New Roman" w:hAnsi="Times New Roman" w:cs="Times New Roman"/>
                <w:color w:val="000000" w:themeColor="text1"/>
                <w:highlight w:val="none"/>
                <w:lang w:val="en-US" w:eastAsia="zh-CN"/>
                <w14:textFill>
                  <w14:solidFill>
                    <w14:schemeClr w14:val="tx1"/>
                  </w14:solidFill>
                </w14:textFill>
              </w:rPr>
              <w:t>切粒</w:t>
            </w:r>
            <w:r>
              <w:rPr>
                <w:rFonts w:hint="default" w:ascii="Times New Roman" w:hAnsi="Times New Roman" w:cs="Times New Roman"/>
                <w:color w:val="000000" w:themeColor="text1"/>
                <w:highlight w:val="none"/>
                <w14:textFill>
                  <w14:solidFill>
                    <w14:schemeClr w14:val="tx1"/>
                  </w14:solidFill>
                </w14:textFill>
              </w:rPr>
              <w:t>废水</w:t>
            </w:r>
            <w:r>
              <w:rPr>
                <w:rFonts w:hint="eastAsia" w:ascii="Times New Roman" w:hAnsi="Times New Roman" w:cs="Times New Roman"/>
                <w:color w:val="000000" w:themeColor="text1"/>
                <w:highlight w:val="none"/>
                <w:lang w:val="en-US" w:eastAsia="zh-CN"/>
                <w14:textFill>
                  <w14:solidFill>
                    <w14:schemeClr w14:val="tx1"/>
                  </w14:solidFill>
                </w14:textFill>
              </w:rPr>
              <w:t>11.52</w:t>
            </w:r>
            <w:r>
              <w:rPr>
                <w:rFonts w:hint="default" w:ascii="Times New Roman" w:hAnsi="Times New Roman" w:cs="Times New Roman"/>
                <w:color w:val="000000" w:themeColor="text1"/>
                <w:highlight w:val="none"/>
                <w14:textFill>
                  <w14:solidFill>
                    <w14:schemeClr w14:val="tx1"/>
                  </w14:solidFill>
                </w14:textFill>
              </w:rPr>
              <w:t>t/a，废水收集后定期委托给</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有废水处理能力机构</w:t>
            </w:r>
            <w:r>
              <w:rPr>
                <w:rFonts w:hint="default" w:ascii="Times New Roman" w:hAnsi="Times New Roman" w:cs="Times New Roman"/>
                <w:color w:val="000000" w:themeColor="text1"/>
                <w:highlight w:val="none"/>
                <w14:textFill>
                  <w14:solidFill>
                    <w14:schemeClr w14:val="tx1"/>
                  </w14:solidFill>
                </w14:textFill>
              </w:rPr>
              <w:t>转移处理。</w:t>
            </w:r>
          </w:p>
          <w:p w14:paraId="41C4FA9B">
            <w:pPr>
              <w:pStyle w:val="52"/>
              <w:spacing w:line="360" w:lineRule="auto"/>
              <w:ind w:firstLine="482"/>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2、</w:t>
            </w:r>
            <w:r>
              <w:rPr>
                <w:rFonts w:hint="default" w:ascii="Times New Roman" w:hAnsi="Times New Roman" w:eastAsia="宋体" w:cs="Times New Roman"/>
                <w:b/>
                <w:bCs/>
                <w:color w:val="000000" w:themeColor="text1"/>
                <w:highlight w:val="none"/>
                <w:lang w:val="zh-CN"/>
                <w14:textFill>
                  <w14:solidFill>
                    <w14:schemeClr w14:val="tx1"/>
                  </w14:solidFill>
                </w14:textFill>
              </w:rPr>
              <w:t>各环保措施的技术经济可行性分析</w:t>
            </w:r>
          </w:p>
          <w:p w14:paraId="2FE849FA">
            <w:pPr>
              <w:pStyle w:val="52"/>
              <w:spacing w:line="360" w:lineRule="auto"/>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w:t>
            </w:r>
            <w:r>
              <w:rPr>
                <w:rFonts w:hint="default" w:ascii="Times New Roman" w:hAnsi="Times New Roman" w:eastAsia="宋体" w:cs="Times New Roman"/>
                <w:color w:val="000000" w:themeColor="text1"/>
                <w:kern w:val="0"/>
                <w:szCs w:val="20"/>
                <w:highlight w:val="none"/>
                <w14:textFill>
                  <w14:solidFill>
                    <w14:schemeClr w14:val="tx1"/>
                  </w14:solidFill>
                </w14:textFill>
              </w:rPr>
              <w:t>项目生活污水处理方式可行性分析</w:t>
            </w:r>
          </w:p>
          <w:p w14:paraId="036D332D">
            <w:pPr>
              <w:keepNext/>
              <w:keepLines/>
              <w:autoSpaceDE w:val="0"/>
              <w:autoSpaceDN w:val="0"/>
              <w:adjustRightInd w:val="0"/>
              <w:snapToGrid w:val="0"/>
              <w:spacing w:line="360" w:lineRule="auto"/>
              <w:ind w:firstLine="480"/>
              <w:textAlignment w:val="baseline"/>
              <w:outlineLvl w:val="1"/>
              <w:rPr>
                <w:rFonts w:hint="default" w:ascii="Times New Roman" w:hAnsi="Times New Roman" w:cs="Times New Roman"/>
                <w:bCs/>
                <w:color w:val="000000" w:themeColor="text1"/>
                <w:sz w:val="24"/>
                <w:szCs w:val="24"/>
                <w:highlight w:val="none"/>
                <w14:textFill>
                  <w14:solidFill>
                    <w14:schemeClr w14:val="tx1"/>
                  </w14:solidFill>
                </w14:textFill>
              </w:rPr>
            </w:pPr>
            <w:bookmarkStart w:id="49" w:name="_Toc23417"/>
            <w:bookmarkStart w:id="50" w:name="_Toc13604"/>
            <w:r>
              <w:rPr>
                <w:rFonts w:hint="default" w:ascii="Times New Roman" w:hAnsi="Times New Roman" w:cs="Times New Roman"/>
                <w:color w:val="000000" w:themeColor="text1"/>
                <w:kern w:val="0"/>
                <w:sz w:val="24"/>
                <w:highlight w:val="none"/>
                <w14:textFill>
                  <w14:solidFill>
                    <w14:schemeClr w14:val="tx1"/>
                  </w14:solidFill>
                </w14:textFill>
              </w:rPr>
              <w:t>生活污水处理可依托性分</w:t>
            </w:r>
            <w:r>
              <w:rPr>
                <w:rFonts w:hint="default" w:ascii="Times New Roman" w:hAnsi="Times New Roman" w:cs="Times New Roman"/>
                <w:color w:val="000000" w:themeColor="text1"/>
                <w:kern w:val="0"/>
                <w:sz w:val="24"/>
                <w:szCs w:val="24"/>
                <w:highlight w:val="none"/>
                <w14:textFill>
                  <w14:solidFill>
                    <w14:schemeClr w14:val="tx1"/>
                  </w14:solidFill>
                </w14:textFill>
              </w:rPr>
              <w:t>析：</w:t>
            </w:r>
            <w:r>
              <w:rPr>
                <w:rFonts w:hint="default" w:ascii="Times New Roman" w:hAnsi="Times New Roman" w:cs="Times New Roman"/>
                <w:color w:val="000000" w:themeColor="text1"/>
                <w:sz w:val="24"/>
                <w:szCs w:val="24"/>
                <w:highlight w:val="none"/>
                <w:shd w:val="clear" w:color="auto" w:fill="FFFFFF"/>
                <w14:textFill>
                  <w14:solidFill>
                    <w14:schemeClr w14:val="tx1"/>
                  </w14:solidFill>
                </w14:textFill>
              </w:rPr>
              <w:t>中嘉污水处理厂位于沙溪镇秀山村</w:t>
            </w:r>
            <w:r>
              <w:rPr>
                <w:rFonts w:hint="default" w:ascii="Times New Roman" w:hAnsi="Times New Roman" w:cs="Times New Roman"/>
                <w:bCs/>
                <w:color w:val="000000" w:themeColor="text1"/>
                <w:sz w:val="24"/>
                <w:szCs w:val="24"/>
                <w:highlight w:val="none"/>
                <w14:textFill>
                  <w14:solidFill>
                    <w14:schemeClr w14:val="tx1"/>
                  </w14:solidFill>
                </w14:textFill>
              </w:rPr>
              <w:t>，南面是岐江河，占地面积约30公顷。三期扩建工程总投资9.78亿元，建成后将服务8大片区，涵盖沙溪、南区、西区、东区、石岐、五桂山。项目所在地纳入中嘉污水处理厂的处理范围之内，中嘉污水处理厂日处理污水5万吨/日，足以容纳本项目的生活污水量。中嘉污水处理厂一期工程投产以来，平均日处理污水量由投产初期的5万立方米增加到目前近10万立方米，对改善中山市岐江河水质、保护中山水环境发挥了重要作用。该工程处理规模：10×10</w:t>
            </w:r>
            <w:r>
              <w:rPr>
                <w:rFonts w:hint="default" w:ascii="Times New Roman" w:hAnsi="Times New Roman" w:cs="Times New Roman"/>
                <w:bCs/>
                <w:color w:val="000000" w:themeColor="text1"/>
                <w:sz w:val="24"/>
                <w:szCs w:val="24"/>
                <w:highlight w:val="none"/>
                <w:vertAlign w:val="baseline"/>
                <w14:textFill>
                  <w14:solidFill>
                    <w14:schemeClr w14:val="tx1"/>
                  </w14:solidFill>
                </w14:textFill>
              </w:rPr>
              <w:t>4</w:t>
            </w:r>
            <w:r>
              <w:rPr>
                <w:rFonts w:hint="default" w:ascii="Times New Roman" w:hAnsi="Times New Roman" w:cs="Times New Roman"/>
                <w:bCs/>
                <w:color w:val="000000" w:themeColor="text1"/>
                <w:sz w:val="24"/>
                <w:szCs w:val="24"/>
                <w:highlight w:val="none"/>
                <w14:textFill>
                  <w14:solidFill>
                    <w14:schemeClr w14:val="tx1"/>
                  </w14:solidFill>
                </w14:textFill>
              </w:rPr>
              <w:t>m³/d，处理工艺：氧化沟，所需主要 设备：水泵、鼓风机、离心式浓缩脱水机、刮泥机，占地面积：5h</w:t>
            </w:r>
            <w:r>
              <w:rPr>
                <w:rFonts w:hint="default" w:ascii="Times New Roman" w:hAnsi="Times New Roman" w:cs="Times New Roman"/>
                <w:color w:val="000000" w:themeColor="text1"/>
                <w:kern w:val="0"/>
                <w:sz w:val="24"/>
                <w:szCs w:val="24"/>
                <w:highlight w:val="none"/>
                <w14:textFill>
                  <w14:solidFill>
                    <w14:schemeClr w14:val="tx1"/>
                  </w14:solidFill>
                </w14:textFill>
              </w:rPr>
              <w:t>㎡</w:t>
            </w:r>
            <w:r>
              <w:rPr>
                <w:rFonts w:hint="default" w:ascii="Times New Roman" w:hAnsi="Times New Roman" w:cs="Times New Roman"/>
                <w:bCs/>
                <w:color w:val="000000" w:themeColor="text1"/>
                <w:sz w:val="24"/>
                <w:szCs w:val="24"/>
                <w:highlight w:val="none"/>
                <w14:textFill>
                  <w14:solidFill>
                    <w14:schemeClr w14:val="tx1"/>
                  </w14:solidFill>
                </w14:textFill>
              </w:rPr>
              <w:t xml:space="preserve"> 。中嘉污水处理厂二期项目总投资为1.4亿元人民币，项目规模为日处理量10万立方米，主要负责处理城区部分区域的生活污水。在处理工艺上，这个项目采用与一期工程相同的微曝氧化沟生物处理工艺，但在个别的部位做了调整，采用了比过去一期工程更先进的方式。例如氧化沟的曝气方式。原来是采用表面曝气的，现在随着科技的发展，水上曝气变为水下曝气。大大提高了曝气率和节约了能源。中嘉污水处理厂二期工程建成后，对水环境</w:t>
            </w:r>
            <w:r>
              <w:rPr>
                <w:rFonts w:hint="eastAsia" w:ascii="Times New Roman" w:hAnsi="Times New Roman" w:cs="Times New Roman"/>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Cs/>
                <w:color w:val="000000" w:themeColor="text1"/>
                <w:sz w:val="24"/>
                <w:szCs w:val="24"/>
                <w:highlight w:val="none"/>
                <w14:textFill>
                  <w14:solidFill>
                    <w14:schemeClr w14:val="tx1"/>
                  </w14:solidFill>
                </w14:textFill>
              </w:rPr>
              <w:t>对岐江河的水质也能起到一个很好的净化作用。项目生活污水达到广东省《水污染物排放限值》（DB44/26-2001）第二时段三级标准，满足中嘉污水处理厂的纳污要求，具备纳污可行性。本项目生活污水量</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1.53</w:t>
            </w:r>
            <w:r>
              <w:rPr>
                <w:rFonts w:hint="default" w:ascii="Times New Roman" w:hAnsi="Times New Roman" w:cs="Times New Roman"/>
                <w:bCs/>
                <w:color w:val="000000" w:themeColor="text1"/>
                <w:sz w:val="24"/>
                <w:szCs w:val="24"/>
                <w:highlight w:val="none"/>
                <w14:textFill>
                  <w14:solidFill>
                    <w14:schemeClr w14:val="tx1"/>
                  </w14:solidFill>
                </w14:textFill>
              </w:rPr>
              <w:t>t/d，仅</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是</w:t>
            </w:r>
            <w:r>
              <w:rPr>
                <w:rFonts w:hint="default" w:ascii="Times New Roman" w:hAnsi="Times New Roman" w:cs="Times New Roman"/>
                <w:bCs/>
                <w:color w:val="000000" w:themeColor="text1"/>
                <w:sz w:val="24"/>
                <w:szCs w:val="24"/>
                <w:highlight w:val="none"/>
                <w14:textFill>
                  <w14:solidFill>
                    <w14:schemeClr w14:val="tx1"/>
                  </w14:solidFill>
                </w14:textFill>
              </w:rPr>
              <w:t>中嘉污水处理厂一期日处理能力（50000t/d）的0.0</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0</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31</w:t>
            </w:r>
            <w:r>
              <w:rPr>
                <w:rFonts w:hint="default" w:ascii="Times New Roman" w:hAnsi="Times New Roman" w:cs="Times New Roman"/>
                <w:bCs/>
                <w:color w:val="000000" w:themeColor="text1"/>
                <w:sz w:val="24"/>
                <w:szCs w:val="24"/>
                <w:highlight w:val="none"/>
                <w14:textFill>
                  <w14:solidFill>
                    <w14:schemeClr w14:val="tx1"/>
                  </w14:solidFill>
                </w14:textFill>
              </w:rPr>
              <w:t>%，在污水处理厂的处理能力之内，本项目生活污水经市政管网进入中嘉污水处理厂是可行的。</w:t>
            </w:r>
            <w:bookmarkEnd w:id="49"/>
            <w:bookmarkEnd w:id="50"/>
          </w:p>
          <w:p w14:paraId="3E2FBFF4">
            <w:pPr>
              <w:pStyle w:val="52"/>
              <w:spacing w:line="360" w:lineRule="auto"/>
              <w:ind w:firstLine="48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综上，从中嘉污水处理厂的服务范围、处理规模、处理工艺和水质要求来说，项目生活污水排入中嘉污水处理厂处理是可行的。经以上措施处理后，项目建成使用后产生的生活污水不会对周围水环境造成明显的影响。</w:t>
            </w:r>
          </w:p>
          <w:p w14:paraId="161DC1A9">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（2）生产废水</w:t>
            </w:r>
          </w:p>
          <w:p w14:paraId="4ED44E79">
            <w:pPr>
              <w:pStyle w:val="52"/>
              <w:spacing w:line="480" w:lineRule="exact"/>
              <w:ind w:firstLine="48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项目生产废水主要为</w:t>
            </w:r>
            <w:r>
              <w:rPr>
                <w:rFonts w:hint="eastAsia" w:ascii="Times New Roman" w:hAnsi="Times New Roman" w:cs="Times New Roman"/>
                <w:color w:val="000000" w:themeColor="text1"/>
                <w:szCs w:val="21"/>
                <w:highlight w:val="none"/>
                <w:lang w:val="en-US" w:eastAsia="zh-CN"/>
                <w14:textFill>
                  <w14:solidFill>
                    <w14:schemeClr w14:val="tx1"/>
                  </w14:solidFill>
                </w14:textFill>
              </w:rPr>
              <w:t>切粒</w:t>
            </w:r>
            <w:r>
              <w:rPr>
                <w:rFonts w:hint="default" w:ascii="Times New Roman" w:hAnsi="Times New Roman" w:cs="Times New Roman"/>
                <w:color w:val="000000" w:themeColor="text1"/>
                <w:szCs w:val="21"/>
                <w:highlight w:val="none"/>
                <w:lang w:val="en-US" w:eastAsia="zh-CN"/>
                <w14:textFill>
                  <w14:solidFill>
                    <w14:schemeClr w14:val="tx1"/>
                  </w14:solidFill>
                </w14:textFill>
              </w:rPr>
              <w:t>废水，合计</w:t>
            </w:r>
            <w:r>
              <w:rPr>
                <w:rFonts w:hint="default" w:ascii="Times New Roman" w:hAnsi="Times New Roman" w:cs="Times New Roman"/>
                <w:color w:val="000000" w:themeColor="text1"/>
                <w:szCs w:val="21"/>
                <w:highlight w:val="none"/>
                <w14:textFill>
                  <w14:solidFill>
                    <w14:schemeClr w14:val="tx1"/>
                  </w14:solidFill>
                </w14:textFill>
              </w:rPr>
              <w:t>为</w:t>
            </w:r>
            <w:r>
              <w:rPr>
                <w:rFonts w:hint="eastAsia" w:ascii="Times New Roman" w:hAnsi="Times New Roman" w:cs="Times New Roman"/>
                <w:color w:val="000000" w:themeColor="text1"/>
                <w:highlight w:val="none"/>
                <w:lang w:val="en-US" w:eastAsia="zh-CN"/>
                <w14:textFill>
                  <w14:solidFill>
                    <w14:schemeClr w14:val="tx1"/>
                  </w14:solidFill>
                </w14:textFill>
              </w:rPr>
              <w:t>11.5</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t/a，主要污染因子为CODcr</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氨氮</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总氮</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石油类</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总磷</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 xml:space="preserve">pH </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SS</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BOD</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5</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色度</w:t>
            </w:r>
            <w:r>
              <w:rPr>
                <w:rFonts w:hint="default" w:ascii="Times New Roman" w:hAnsi="Times New Roman" w:cs="Times New Roman"/>
                <w:color w:val="000000" w:themeColor="text1"/>
                <w:sz w:val="24"/>
                <w:szCs w:val="24"/>
                <w:highlight w:val="none"/>
                <w14:textFill>
                  <w14:solidFill>
                    <w14:schemeClr w14:val="tx1"/>
                  </w14:solidFill>
                </w14:textFill>
              </w:rPr>
              <w:t>等。</w:t>
            </w:r>
          </w:p>
          <w:p w14:paraId="0DE7B76B">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①</w:t>
            </w:r>
            <w:r>
              <w:rPr>
                <w:rFonts w:hint="eastAsia" w:ascii="Times New Roman" w:hAnsi="Times New Roman" w:eastAsia="宋体" w:cs="Times New Roman"/>
                <w:color w:val="000000" w:themeColor="text1"/>
                <w:highlight w:val="none"/>
                <w:lang w:val="en-US" w:eastAsia="zh-CN"/>
                <w14:textFill>
                  <w14:solidFill>
                    <w14:schemeClr w14:val="tx1"/>
                  </w14:solidFill>
                </w14:textFill>
              </w:rPr>
              <w:t>本项目的冷却废水主要是通过直接接触产品使</w:t>
            </w:r>
            <w:r>
              <w:rPr>
                <w:rFonts w:hint="default" w:ascii="Times New Roman" w:hAnsi="Times New Roman" w:eastAsia="宋体" w:cs="Times New Roman"/>
                <w:color w:val="000000" w:themeColor="text1"/>
                <w:highlight w:val="none"/>
                <w:lang w:val="en-US" w:eastAsia="zh-CN"/>
                <w14:textFill>
                  <w14:solidFill>
                    <w14:schemeClr w14:val="tx1"/>
                  </w14:solidFill>
                </w14:textFill>
              </w:rPr>
              <w:t>其冷却产生的，冷却废水水质类比</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中山市</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生竣达塑料制品有限公司年产HDPE颗粒359吨迁建</w:t>
            </w:r>
            <w:r>
              <w:rPr>
                <w:rFonts w:hint="default" w:ascii="Times New Roman" w:hAnsi="Times New Roman" w:cs="Times New Roman"/>
                <w:color w:val="000000" w:themeColor="text1"/>
                <w:sz w:val="24"/>
                <w:szCs w:val="24"/>
                <w:highlight w:val="none"/>
                <w14:textFill>
                  <w14:solidFill>
                    <w14:schemeClr w14:val="tx1"/>
                  </w14:solidFill>
                </w14:textFill>
              </w:rPr>
              <w:t>项目</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委托</w:t>
            </w:r>
            <w:r>
              <w:rPr>
                <w:rFonts w:hint="default" w:ascii="Times New Roman" w:hAnsi="Times New Roman" w:cs="Times New Roman"/>
                <w:color w:val="000000" w:themeColor="text1"/>
                <w:sz w:val="24"/>
                <w:highlight w:val="none"/>
                <w:lang w:val="en-US" w:eastAsia="zh-CN"/>
                <w14:textFill>
                  <w14:solidFill>
                    <w14:schemeClr w14:val="tx1"/>
                  </w14:solidFill>
                </w14:textFill>
              </w:rPr>
              <w:t>广州市恒力检测股份有限公司对废水进行检测得到的废水监测数据（报告编号：HLED-20240408557、HLED-20240515014）</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p w14:paraId="5001C152">
            <w:pPr>
              <w:pStyle w:val="5"/>
              <w:spacing w:before="0" w:after="0" w:line="240" w:lineRule="auto"/>
              <w:jc w:val="center"/>
              <w:rPr>
                <w:rFonts w:hint="default" w:ascii="Times New Roman" w:hAnsi="Times New Roman" w:eastAsia="宋体" w:cs="Times New Roman"/>
                <w:b/>
                <w:color w:val="000000" w:themeColor="text1"/>
                <w:sz w:val="21"/>
                <w:highlight w:val="none"/>
                <w14:textFill>
                  <w14:solidFill>
                    <w14:schemeClr w14:val="tx1"/>
                  </w14:solidFill>
                </w14:textFill>
              </w:rPr>
            </w:pP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水喷淋</w:t>
            </w:r>
            <w:r>
              <w:rPr>
                <w:rFonts w:hint="default" w:ascii="Times New Roman" w:hAnsi="Times New Roman" w:eastAsia="宋体" w:cs="Times New Roman"/>
                <w:b/>
                <w:color w:val="000000" w:themeColor="text1"/>
                <w:sz w:val="21"/>
                <w:highlight w:val="none"/>
                <w14:textFill>
                  <w14:solidFill>
                    <w14:schemeClr w14:val="tx1"/>
                  </w14:solidFill>
                </w14:textFill>
              </w:rPr>
              <w:t>废水可类比性一览表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096"/>
              <w:gridCol w:w="2096"/>
              <w:gridCol w:w="2094"/>
            </w:tblGrid>
            <w:tr w14:paraId="71B3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top"/>
                </w:tcPr>
                <w:p w14:paraId="485A5BC5">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类比项</w:t>
                  </w:r>
                </w:p>
              </w:tc>
              <w:tc>
                <w:tcPr>
                  <w:tcW w:w="2096" w:type="dxa"/>
                  <w:vAlign w:val="top"/>
                </w:tcPr>
                <w:p w14:paraId="6ACEBB4A">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《中山市生竣达塑料制品有限公司年产HDPE颗粒359吨迁建项目》的废水监测报告</w:t>
                  </w:r>
                </w:p>
              </w:tc>
              <w:tc>
                <w:tcPr>
                  <w:tcW w:w="2096" w:type="dxa"/>
                  <w:vAlign w:val="top"/>
                </w:tcPr>
                <w:p w14:paraId="0E8A3197">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本项目</w:t>
                  </w:r>
                </w:p>
              </w:tc>
              <w:tc>
                <w:tcPr>
                  <w:tcW w:w="2094" w:type="dxa"/>
                  <w:vAlign w:val="top"/>
                </w:tcPr>
                <w:p w14:paraId="34443DC2">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可类比性</w:t>
                  </w:r>
                </w:p>
              </w:tc>
            </w:tr>
            <w:tr w14:paraId="11764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69B3E814">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生产工艺</w:t>
                  </w:r>
                </w:p>
              </w:tc>
              <w:tc>
                <w:tcPr>
                  <w:tcW w:w="2096" w:type="dxa"/>
                </w:tcPr>
                <w:p w14:paraId="5DE47287">
                  <w:pPr>
                    <w:pStyle w:val="52"/>
                    <w:spacing w:line="480" w:lineRule="exact"/>
                    <w:ind w:left="0" w:leftChars="0" w:firstLine="0" w:firstLineChars="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挤出</w:t>
                  </w:r>
                </w:p>
              </w:tc>
              <w:tc>
                <w:tcPr>
                  <w:tcW w:w="2096" w:type="dxa"/>
                </w:tcPr>
                <w:p w14:paraId="57D52D93">
                  <w:pPr>
                    <w:pStyle w:val="52"/>
                    <w:spacing w:line="480" w:lineRule="exact"/>
                    <w:ind w:left="0" w:leftChars="0" w:firstLine="0" w:firstLineChars="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挤出</w:t>
                  </w:r>
                </w:p>
              </w:tc>
              <w:tc>
                <w:tcPr>
                  <w:tcW w:w="2094" w:type="dxa"/>
                </w:tcPr>
                <w:p w14:paraId="150756ED">
                  <w:pPr>
                    <w:pStyle w:val="52"/>
                    <w:spacing w:line="480" w:lineRule="exact"/>
                    <w:ind w:left="0" w:leftChars="0" w:firstLine="0" w:firstLineChars="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生产工艺基本一致，可类比</w:t>
                  </w:r>
                </w:p>
              </w:tc>
            </w:tr>
            <w:tr w14:paraId="6007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5513D60D">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产生的废水种类</w:t>
                  </w:r>
                </w:p>
              </w:tc>
              <w:tc>
                <w:tcPr>
                  <w:tcW w:w="2096" w:type="dxa"/>
                </w:tcPr>
                <w:p w14:paraId="07106D25">
                  <w:pPr>
                    <w:pStyle w:val="52"/>
                    <w:spacing w:line="480" w:lineRule="exact"/>
                    <w:ind w:left="0" w:leftChars="0" w:firstLine="0" w:firstLineChars="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清洗废水、挤出机冷却废水、水喷淋废水</w:t>
                  </w:r>
                </w:p>
              </w:tc>
              <w:tc>
                <w:tcPr>
                  <w:tcW w:w="2096" w:type="dxa"/>
                </w:tcPr>
                <w:p w14:paraId="1609FC20">
                  <w:pPr>
                    <w:pStyle w:val="52"/>
                    <w:spacing w:line="480" w:lineRule="exact"/>
                    <w:ind w:left="0" w:leftChars="0" w:firstLine="0" w:firstLineChars="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冷却废水</w:t>
                  </w:r>
                </w:p>
              </w:tc>
              <w:tc>
                <w:tcPr>
                  <w:tcW w:w="2094" w:type="dxa"/>
                </w:tcPr>
                <w:p w14:paraId="68BC35CB">
                  <w:pPr>
                    <w:pStyle w:val="52"/>
                    <w:spacing w:line="480" w:lineRule="exact"/>
                    <w:ind w:left="0" w:leftChars="0" w:firstLine="0" w:firstLineChars="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产生的废水种类相似，可类比</w:t>
                  </w:r>
                </w:p>
              </w:tc>
            </w:tr>
            <w:tr w14:paraId="3CB2B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14:paraId="2C5C944D">
                  <w:pPr>
                    <w:pStyle w:val="52"/>
                    <w:spacing w:line="480" w:lineRule="exact"/>
                    <w:ind w:left="0" w:leftChars="0" w:firstLine="0" w:firstLineChars="0"/>
                    <w:jc w:val="cente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污染物种类</w:t>
                  </w:r>
                </w:p>
              </w:tc>
              <w:tc>
                <w:tcPr>
                  <w:tcW w:w="2096" w:type="dxa"/>
                </w:tcPr>
                <w:p w14:paraId="17BA645B">
                  <w:pPr>
                    <w:pStyle w:val="52"/>
                    <w:spacing w:line="480" w:lineRule="exact"/>
                    <w:ind w:left="0" w:leftChars="0" w:firstLine="0" w:firstLineChars="0"/>
                    <w:jc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CODcr</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氨氮</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总氮</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石油类</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总磷</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 xml:space="preserve">pH </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SS</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BOD</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5</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色度</w:t>
                  </w:r>
                </w:p>
              </w:tc>
              <w:tc>
                <w:tcPr>
                  <w:tcW w:w="2096" w:type="dxa"/>
                </w:tcPr>
                <w:p w14:paraId="4F5F4EBA">
                  <w:pPr>
                    <w:pStyle w:val="52"/>
                    <w:spacing w:line="480" w:lineRule="exact"/>
                    <w:ind w:left="0" w:leftChars="0" w:firstLine="0" w:firstLineChars="0"/>
                    <w:jc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CODcr</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氨氮</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总氮</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石油类</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总磷</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 xml:space="preserve">pH </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SS</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BOD</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5</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色度</w:t>
                  </w:r>
                </w:p>
              </w:tc>
              <w:tc>
                <w:tcPr>
                  <w:tcW w:w="2094" w:type="dxa"/>
                </w:tcPr>
                <w:p w14:paraId="249AB91E">
                  <w:pPr>
                    <w:pStyle w:val="52"/>
                    <w:spacing w:line="480" w:lineRule="exact"/>
                    <w:ind w:left="0" w:leftChars="0" w:firstLine="0" w:firstLineChars="0"/>
                    <w:jc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主要</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污染物种类</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基本一致，可类比</w:t>
                  </w:r>
                </w:p>
              </w:tc>
            </w:tr>
          </w:tbl>
          <w:p w14:paraId="683EBCCB">
            <w:pPr>
              <w:pStyle w:val="5"/>
              <w:numPr>
                <w:ilvl w:val="0"/>
                <w:numId w:val="0"/>
              </w:numPr>
              <w:spacing w:before="0" w:after="0" w:line="240" w:lineRule="auto"/>
              <w:ind w:left="124" w:leftChars="0"/>
              <w:jc w:val="center"/>
              <w:rPr>
                <w:rFonts w:hint="default" w:ascii="Times New Roman" w:hAnsi="Times New Roman" w:eastAsia="宋体" w:cs="Times New Roman"/>
                <w:b/>
                <w:color w:val="000000" w:themeColor="text1"/>
                <w:sz w:val="21"/>
                <w:highlight w:val="none"/>
                <w:lang w:val="en-US" w:eastAsia="zh-CN"/>
                <w14:textFill>
                  <w14:solidFill>
                    <w14:schemeClr w14:val="tx1"/>
                  </w14:solidFill>
                </w14:textFill>
              </w:rPr>
            </w:pPr>
          </w:p>
          <w:p w14:paraId="15759E12">
            <w:pPr>
              <w:pStyle w:val="5"/>
              <w:spacing w:before="0" w:after="0" w:line="240" w:lineRule="auto"/>
              <w:jc w:val="center"/>
              <w:rPr>
                <w:rFonts w:hint="default" w:ascii="Times New Roman" w:hAnsi="Times New Roman" w:eastAsia="宋体" w:cs="Times New Roman"/>
                <w:b/>
                <w:color w:val="000000" w:themeColor="text1"/>
                <w:sz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highlight w:val="none"/>
                <w14:textFill>
                  <w14:solidFill>
                    <w14:schemeClr w14:val="tx1"/>
                  </w14:solidFill>
                </w14:textFill>
              </w:rPr>
              <w:t>引用监测数据中的</w:t>
            </w:r>
            <w:r>
              <w:rPr>
                <w:rFonts w:hint="eastAsia" w:ascii="Times New Roman" w:hAnsi="Times New Roman" w:eastAsia="宋体" w:cs="Times New Roman"/>
                <w:b/>
                <w:color w:val="000000" w:themeColor="text1"/>
                <w:sz w:val="21"/>
                <w:highlight w:val="none"/>
                <w:lang w:val="en-US" w:eastAsia="zh-CN"/>
                <w14:textFill>
                  <w14:solidFill>
                    <w14:schemeClr w14:val="tx1"/>
                  </w14:solidFill>
                </w14:textFill>
              </w:rPr>
              <w:t>水喷淋</w:t>
            </w:r>
            <w:r>
              <w:rPr>
                <w:rFonts w:hint="default" w:ascii="Times New Roman" w:hAnsi="Times New Roman" w:eastAsia="宋体" w:cs="Times New Roman"/>
                <w:b/>
                <w:color w:val="000000" w:themeColor="text1"/>
                <w:sz w:val="21"/>
                <w:highlight w:val="none"/>
                <w14:textFill>
                  <w14:solidFill>
                    <w14:schemeClr w14:val="tx1"/>
                  </w14:solidFill>
                </w14:textFill>
              </w:rPr>
              <w:t>废水浓度值参照</w:t>
            </w:r>
            <w:r>
              <w:rPr>
                <w:rFonts w:hint="default" w:ascii="Times New Roman" w:hAnsi="Times New Roman" w:eastAsia="宋体" w:cs="Times New Roman"/>
                <w:b/>
                <w:color w:val="000000" w:themeColor="text1"/>
                <w:sz w:val="21"/>
                <w:highlight w:val="none"/>
                <w:lang w:val="zh-CN"/>
                <w14:textFill>
                  <w14:solidFill>
                    <w14:schemeClr w14:val="tx1"/>
                  </w14:solidFill>
                </w14:textFill>
              </w:rPr>
              <w:t>表</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589"/>
              <w:gridCol w:w="846"/>
              <w:gridCol w:w="796"/>
              <w:gridCol w:w="608"/>
              <w:gridCol w:w="752"/>
              <w:gridCol w:w="956"/>
              <w:gridCol w:w="850"/>
              <w:gridCol w:w="584"/>
              <w:gridCol w:w="426"/>
              <w:gridCol w:w="546"/>
            </w:tblGrid>
            <w:tr w14:paraId="0D4A4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15" w:type="dxa"/>
                  <w:gridSpan w:val="2"/>
                  <w:vMerge w:val="restart"/>
                  <w:vAlign w:val="center"/>
                </w:tcPr>
                <w:p w14:paraId="63859F44">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引用文献及本项目类比情况</w:t>
                  </w:r>
                </w:p>
              </w:tc>
              <w:tc>
                <w:tcPr>
                  <w:tcW w:w="6364" w:type="dxa"/>
                  <w:gridSpan w:val="9"/>
                  <w:vAlign w:val="center"/>
                </w:tcPr>
                <w:p w14:paraId="58E5CCFB">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污染物种类及浓度值（mg/L）</w:t>
                  </w:r>
                </w:p>
              </w:tc>
            </w:tr>
            <w:tr w14:paraId="313E2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15" w:type="dxa"/>
                  <w:gridSpan w:val="2"/>
                  <w:vMerge w:val="continue"/>
                  <w:vAlign w:val="center"/>
                </w:tcPr>
                <w:p w14:paraId="2C03216D">
                  <w:pPr>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846" w:type="dxa"/>
                  <w:vAlign w:val="center"/>
                </w:tcPr>
                <w:p w14:paraId="21ED70BD">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COD</w:t>
                  </w:r>
                  <w:r>
                    <w:rPr>
                      <w:rFonts w:ascii="Times New Roman" w:hAnsi="Times New Roman" w:eastAsia="宋体" w:cs="Times New Roman"/>
                      <w:color w:val="000000" w:themeColor="text1"/>
                      <w:szCs w:val="21"/>
                      <w:highlight w:val="none"/>
                      <w:vertAlign w:val="subscript"/>
                      <w14:textFill>
                        <w14:solidFill>
                          <w14:schemeClr w14:val="tx1"/>
                        </w14:solidFill>
                      </w14:textFill>
                    </w:rPr>
                    <w:t>cr</w:t>
                  </w:r>
                </w:p>
              </w:tc>
              <w:tc>
                <w:tcPr>
                  <w:tcW w:w="796" w:type="dxa"/>
                  <w:vAlign w:val="center"/>
                </w:tcPr>
                <w:p w14:paraId="684F70E0">
                  <w:pPr>
                    <w:ind w:right="-57"/>
                    <w:jc w:val="center"/>
                    <w:rPr>
                      <w:rFonts w:hint="default" w:ascii="Times New Roman" w:hAnsi="Times New Roman" w:eastAsia="宋体" w:cs="Times New Roman"/>
                      <w:color w:val="000000" w:themeColor="text1"/>
                      <w:szCs w:val="21"/>
                      <w:highlight w:val="none"/>
                      <w:vertAlign w:val="subscript"/>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BOD</w:t>
                  </w:r>
                  <w:r>
                    <w:rPr>
                      <w:rFonts w:hint="eastAsia" w:ascii="Times New Roman" w:hAnsi="Times New Roman" w:eastAsia="宋体" w:cs="Times New Roman"/>
                      <w:color w:val="000000" w:themeColor="text1"/>
                      <w:szCs w:val="21"/>
                      <w:highlight w:val="none"/>
                      <w:vertAlign w:val="subscript"/>
                      <w:lang w:val="en-US" w:eastAsia="zh-CN"/>
                      <w14:textFill>
                        <w14:solidFill>
                          <w14:schemeClr w14:val="tx1"/>
                        </w14:solidFill>
                      </w14:textFill>
                    </w:rPr>
                    <w:t>5</w:t>
                  </w:r>
                </w:p>
              </w:tc>
              <w:tc>
                <w:tcPr>
                  <w:tcW w:w="608" w:type="dxa"/>
                  <w:vAlign w:val="center"/>
                </w:tcPr>
                <w:p w14:paraId="1AA7BA19">
                  <w:pPr>
                    <w:widowControl/>
                    <w:jc w:val="center"/>
                    <w:textAlignment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SS</w:t>
                  </w:r>
                </w:p>
              </w:tc>
              <w:tc>
                <w:tcPr>
                  <w:tcW w:w="752" w:type="dxa"/>
                  <w:vAlign w:val="center"/>
                </w:tcPr>
                <w:p w14:paraId="69587A47">
                  <w:pPr>
                    <w:ind w:right="-57"/>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NH</w:t>
                  </w:r>
                  <w:r>
                    <w:rPr>
                      <w:rFonts w:ascii="Times New Roman" w:hAnsi="Times New Roman" w:eastAsia="宋体" w:cs="Times New Roman"/>
                      <w:color w:val="000000" w:themeColor="text1"/>
                      <w:szCs w:val="21"/>
                      <w:highlight w:val="none"/>
                      <w:vertAlign w:val="subscript"/>
                      <w14:textFill>
                        <w14:solidFill>
                          <w14:schemeClr w14:val="tx1"/>
                        </w14:solidFill>
                      </w14:textFill>
                    </w:rPr>
                    <w:t>3</w:t>
                  </w:r>
                  <w:r>
                    <w:rPr>
                      <w:rFonts w:ascii="Times New Roman" w:hAnsi="Times New Roman" w:eastAsia="宋体" w:cs="Times New Roman"/>
                      <w:color w:val="000000" w:themeColor="text1"/>
                      <w:szCs w:val="21"/>
                      <w:highlight w:val="none"/>
                      <w14:textFill>
                        <w14:solidFill>
                          <w14:schemeClr w14:val="tx1"/>
                        </w14:solidFill>
                      </w14:textFill>
                    </w:rPr>
                    <w:t>-N</w:t>
                  </w:r>
                </w:p>
              </w:tc>
              <w:tc>
                <w:tcPr>
                  <w:tcW w:w="956" w:type="dxa"/>
                  <w:vAlign w:val="center"/>
                </w:tcPr>
                <w:p w14:paraId="3F07067E">
                  <w:pPr>
                    <w:ind w:right="-57"/>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色度（倍）</w:t>
                  </w:r>
                </w:p>
              </w:tc>
              <w:tc>
                <w:tcPr>
                  <w:tcW w:w="850" w:type="dxa"/>
                  <w:vAlign w:val="center"/>
                </w:tcPr>
                <w:p w14:paraId="7DB9310F">
                  <w:pPr>
                    <w:ind w:right="-57"/>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pH（无量纲）</w:t>
                  </w:r>
                </w:p>
              </w:tc>
              <w:tc>
                <w:tcPr>
                  <w:tcW w:w="584" w:type="dxa"/>
                  <w:vAlign w:val="center"/>
                </w:tcPr>
                <w:p w14:paraId="60C0EEA4">
                  <w:pPr>
                    <w:ind w:right="-57"/>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总氮</w:t>
                  </w:r>
                </w:p>
              </w:tc>
              <w:tc>
                <w:tcPr>
                  <w:tcW w:w="426" w:type="dxa"/>
                  <w:vAlign w:val="center"/>
                </w:tcPr>
                <w:p w14:paraId="5F49F923">
                  <w:pPr>
                    <w:ind w:right="-57"/>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总磷</w:t>
                  </w:r>
                </w:p>
              </w:tc>
              <w:tc>
                <w:tcPr>
                  <w:tcW w:w="546" w:type="dxa"/>
                  <w:vAlign w:val="center"/>
                </w:tcPr>
                <w:p w14:paraId="53FF9A28">
                  <w:pPr>
                    <w:ind w:right="-57"/>
                    <w:jc w:val="center"/>
                    <w:rPr>
                      <w:rFonts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石油类</w:t>
                  </w:r>
                </w:p>
              </w:tc>
            </w:tr>
            <w:tr w14:paraId="770CD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26" w:type="dxa"/>
                  <w:vAlign w:val="center"/>
                </w:tcPr>
                <w:p w14:paraId="60BD9778">
                  <w:pPr>
                    <w:jc w:val="center"/>
                    <w:rPr>
                      <w:rFonts w:hint="eastAsia" w:ascii="Times New Roman" w:hAnsi="Times New Roman" w:eastAsia="宋体" w:cs="Times New Roman"/>
                      <w:b w:val="0"/>
                      <w:bCs w:val="0"/>
                      <w:color w:val="000000" w:themeColor="text1"/>
                      <w:szCs w:val="21"/>
                      <w:highlight w:val="none"/>
                      <w:lang w:eastAsia="zh-CN"/>
                      <w14:textFill>
                        <w14:solidFill>
                          <w14:schemeClr w14:val="tx1"/>
                        </w14:solidFill>
                      </w14:textFill>
                    </w:rPr>
                  </w:pPr>
                  <w:r>
                    <w:rPr>
                      <w:rFonts w:ascii="Times New Roman" w:hAnsi="Times New Roman" w:eastAsia="宋体" w:cs="Times New Roman"/>
                      <w:b w:val="0"/>
                      <w:bCs w:val="0"/>
                      <w:color w:val="000000" w:themeColor="text1"/>
                      <w:szCs w:val="21"/>
                      <w:highlight w:val="none"/>
                      <w14:textFill>
                        <w14:solidFill>
                          <w14:schemeClr w14:val="tx1"/>
                        </w14:solidFill>
                      </w14:textFill>
                    </w:rPr>
                    <w:t>引用</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监测数据</w:t>
                  </w:r>
                </w:p>
              </w:tc>
              <w:tc>
                <w:tcPr>
                  <w:tcW w:w="1589" w:type="dxa"/>
                  <w:vAlign w:val="center"/>
                </w:tcPr>
                <w:p w14:paraId="0390BB3F">
                  <w:pPr>
                    <w:jc w:val="center"/>
                    <w:rPr>
                      <w:rFonts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《中山市生竣达塑料制品有限公司年产HDPE颗粒359吨迁建项目》的废水监测报告</w:t>
                  </w:r>
                </w:p>
              </w:tc>
              <w:tc>
                <w:tcPr>
                  <w:tcW w:w="846" w:type="dxa"/>
                  <w:vAlign w:val="center"/>
                </w:tcPr>
                <w:p w14:paraId="49909AD0">
                  <w:pPr>
                    <w:pStyle w:val="15"/>
                    <w:ind w:firstLine="0" w:firstLineChars="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455</w:t>
                  </w:r>
                </w:p>
              </w:tc>
              <w:tc>
                <w:tcPr>
                  <w:tcW w:w="796" w:type="dxa"/>
                  <w:vAlign w:val="center"/>
                </w:tcPr>
                <w:p w14:paraId="1A10FED1">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323</w:t>
                  </w:r>
                </w:p>
              </w:tc>
              <w:tc>
                <w:tcPr>
                  <w:tcW w:w="608" w:type="dxa"/>
                  <w:vAlign w:val="center"/>
                </w:tcPr>
                <w:p w14:paraId="0AFB7ECB">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296</w:t>
                  </w:r>
                </w:p>
              </w:tc>
              <w:tc>
                <w:tcPr>
                  <w:tcW w:w="752" w:type="dxa"/>
                  <w:vAlign w:val="center"/>
                </w:tcPr>
                <w:p w14:paraId="29E8765E">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23</w:t>
                  </w:r>
                </w:p>
              </w:tc>
              <w:tc>
                <w:tcPr>
                  <w:tcW w:w="956" w:type="dxa"/>
                  <w:vAlign w:val="center"/>
                </w:tcPr>
                <w:p w14:paraId="280A213A">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210</w:t>
                  </w:r>
                </w:p>
              </w:tc>
              <w:tc>
                <w:tcPr>
                  <w:tcW w:w="850" w:type="dxa"/>
                  <w:vAlign w:val="center"/>
                </w:tcPr>
                <w:p w14:paraId="4FAA3C81">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6.6</w:t>
                  </w:r>
                </w:p>
              </w:tc>
              <w:tc>
                <w:tcPr>
                  <w:tcW w:w="584" w:type="dxa"/>
                  <w:vAlign w:val="center"/>
                </w:tcPr>
                <w:p w14:paraId="7BCE0B8F">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35.2</w:t>
                  </w:r>
                </w:p>
              </w:tc>
              <w:tc>
                <w:tcPr>
                  <w:tcW w:w="426" w:type="dxa"/>
                  <w:vAlign w:val="center"/>
                </w:tcPr>
                <w:p w14:paraId="139BCB1C">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24</w:t>
                  </w:r>
                </w:p>
              </w:tc>
              <w:tc>
                <w:tcPr>
                  <w:tcW w:w="546" w:type="dxa"/>
                  <w:vAlign w:val="center"/>
                </w:tcPr>
                <w:p w14:paraId="1AE914EA">
                  <w:pPr>
                    <w:pStyle w:val="15"/>
                    <w:ind w:firstLine="0" w:firstLine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20</w:t>
                  </w:r>
                </w:p>
              </w:tc>
            </w:tr>
            <w:tr w14:paraId="3AD04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015" w:type="dxa"/>
                  <w:gridSpan w:val="2"/>
                  <w:vAlign w:val="center"/>
                </w:tcPr>
                <w:p w14:paraId="13E77566">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本项目生产废水</w:t>
                  </w:r>
                </w:p>
              </w:tc>
              <w:tc>
                <w:tcPr>
                  <w:tcW w:w="846" w:type="dxa"/>
                  <w:vAlign w:val="center"/>
                </w:tcPr>
                <w:p w14:paraId="77044B00">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455</w:t>
                  </w:r>
                </w:p>
              </w:tc>
              <w:tc>
                <w:tcPr>
                  <w:tcW w:w="796" w:type="dxa"/>
                  <w:vAlign w:val="center"/>
                </w:tcPr>
                <w:p w14:paraId="6C1FDA38">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323</w:t>
                  </w:r>
                </w:p>
              </w:tc>
              <w:tc>
                <w:tcPr>
                  <w:tcW w:w="608" w:type="dxa"/>
                  <w:vAlign w:val="center"/>
                </w:tcPr>
                <w:p w14:paraId="23EF358A">
                  <w:pPr>
                    <w:widowControl/>
                    <w:jc w:val="center"/>
                    <w:textAlignment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296</w:t>
                  </w:r>
                </w:p>
              </w:tc>
              <w:tc>
                <w:tcPr>
                  <w:tcW w:w="752" w:type="dxa"/>
                  <w:vAlign w:val="center"/>
                </w:tcPr>
                <w:p w14:paraId="0EE79B41">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23</w:t>
                  </w:r>
                </w:p>
              </w:tc>
              <w:tc>
                <w:tcPr>
                  <w:tcW w:w="956" w:type="dxa"/>
                  <w:vAlign w:val="center"/>
                </w:tcPr>
                <w:p w14:paraId="4FA874B9">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210</w:t>
                  </w:r>
                </w:p>
              </w:tc>
              <w:tc>
                <w:tcPr>
                  <w:tcW w:w="850" w:type="dxa"/>
                  <w:vAlign w:val="center"/>
                </w:tcPr>
                <w:p w14:paraId="10D08D0F">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6.6</w:t>
                  </w:r>
                </w:p>
              </w:tc>
              <w:tc>
                <w:tcPr>
                  <w:tcW w:w="584" w:type="dxa"/>
                  <w:vAlign w:val="center"/>
                </w:tcPr>
                <w:p w14:paraId="582FD312">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35.2</w:t>
                  </w:r>
                </w:p>
              </w:tc>
              <w:tc>
                <w:tcPr>
                  <w:tcW w:w="426" w:type="dxa"/>
                  <w:vAlign w:val="center"/>
                </w:tcPr>
                <w:p w14:paraId="66028D60">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24</w:t>
                  </w:r>
                </w:p>
              </w:tc>
              <w:tc>
                <w:tcPr>
                  <w:tcW w:w="546" w:type="dxa"/>
                  <w:vAlign w:val="center"/>
                </w:tcPr>
                <w:p w14:paraId="78A8003D">
                  <w:pPr>
                    <w:pStyle w:val="15"/>
                    <w:ind w:firstLine="0" w:firstLineChars="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20</w:t>
                  </w:r>
                </w:p>
              </w:tc>
            </w:tr>
          </w:tbl>
          <w:p w14:paraId="0444B917">
            <w:pPr>
              <w:pStyle w:val="40"/>
              <w:rPr>
                <w:rFonts w:hint="default"/>
                <w:color w:val="000000" w:themeColor="text1"/>
                <w:highlight w:val="none"/>
                <w14:textFill>
                  <w14:solidFill>
                    <w14:schemeClr w14:val="tx1"/>
                  </w14:solidFill>
                </w14:textFill>
              </w:rPr>
            </w:pPr>
          </w:p>
          <w:p w14:paraId="179FFA41">
            <w:pPr>
              <w:pStyle w:val="5"/>
              <w:spacing w:before="0" w:after="0" w:line="240" w:lineRule="auto"/>
              <w:jc w:val="center"/>
              <w:rPr>
                <w:rFonts w:hint="default" w:ascii="Times New Roman" w:hAnsi="Times New Roman" w:eastAsia="宋体" w:cs="Times New Roman"/>
                <w:b/>
                <w:color w:val="000000" w:themeColor="text1"/>
                <w:sz w:val="21"/>
                <w:highlight w:val="none"/>
                <w14:textFill>
                  <w14:solidFill>
                    <w14:schemeClr w14:val="tx1"/>
                  </w14:solidFill>
                </w14:textFill>
              </w:rPr>
            </w:pPr>
            <w:r>
              <w:rPr>
                <w:rFonts w:hint="default" w:ascii="Times New Roman" w:hAnsi="Times New Roman" w:eastAsia="宋体" w:cs="Times New Roman"/>
                <w:b/>
                <w:color w:val="000000" w:themeColor="text1"/>
                <w:sz w:val="21"/>
                <w:highlight w:val="none"/>
                <w14:textFill>
                  <w14:solidFill>
                    <w14:schemeClr w14:val="tx1"/>
                  </w14:solidFill>
                </w14:textFill>
              </w:rPr>
              <w:t>与《中山市零散工业废水管理工作指引》的分析</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656"/>
              <w:gridCol w:w="3679"/>
              <w:gridCol w:w="2559"/>
              <w:gridCol w:w="789"/>
            </w:tblGrid>
            <w:tr w14:paraId="4339C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0205F880">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51" w:name="_Toc9295"/>
                  <w:bookmarkStart w:id="52" w:name="_Toc31394"/>
                  <w:bookmarkStart w:id="53" w:name="_Toc11897"/>
                  <w:bookmarkStart w:id="54" w:name="_Toc21769"/>
                  <w:bookmarkStart w:id="55" w:name="_Toc23470"/>
                  <w:bookmarkStart w:id="56" w:name="_Toc1081"/>
                  <w:bookmarkStart w:id="57" w:name="_Toc7027"/>
                  <w:bookmarkStart w:id="58" w:name="_Toc3206"/>
                  <w:r>
                    <w:rPr>
                      <w:rFonts w:hint="default" w:ascii="Times New Roman" w:hAnsi="Times New Roman" w:eastAsia="宋体" w:cs="Times New Roman"/>
                      <w:b w:val="0"/>
                      <w:bCs w:val="0"/>
                      <w:color w:val="000000" w:themeColor="text1"/>
                      <w:szCs w:val="21"/>
                      <w:highlight w:val="none"/>
                      <w14:textFill>
                        <w14:solidFill>
                          <w14:schemeClr w14:val="tx1"/>
                        </w14:solidFill>
                      </w14:textFill>
                    </w:rPr>
                    <w:t>序号</w:t>
                  </w:r>
                  <w:bookmarkEnd w:id="51"/>
                  <w:bookmarkEnd w:id="52"/>
                  <w:bookmarkEnd w:id="53"/>
                  <w:bookmarkEnd w:id="54"/>
                  <w:bookmarkEnd w:id="55"/>
                  <w:bookmarkEnd w:id="56"/>
                  <w:bookmarkEnd w:id="57"/>
                  <w:bookmarkEnd w:id="58"/>
                </w:p>
              </w:tc>
              <w:tc>
                <w:tcPr>
                  <w:tcW w:w="2585" w:type="pct"/>
                  <w:gridSpan w:val="2"/>
                  <w:vAlign w:val="center"/>
                </w:tcPr>
                <w:p w14:paraId="0038591C">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59" w:name="_Toc25296"/>
                  <w:bookmarkStart w:id="60" w:name="_Toc31993"/>
                  <w:bookmarkStart w:id="61" w:name="_Toc16881"/>
                  <w:bookmarkStart w:id="62" w:name="_Toc10418"/>
                  <w:bookmarkStart w:id="63" w:name="_Toc7680"/>
                  <w:bookmarkStart w:id="64" w:name="_Toc8762"/>
                  <w:bookmarkStart w:id="65" w:name="_Toc25357"/>
                  <w:bookmarkStart w:id="66" w:name="_Toc20254"/>
                  <w:r>
                    <w:rPr>
                      <w:rFonts w:hint="default" w:ascii="Times New Roman" w:hAnsi="Times New Roman" w:eastAsia="宋体" w:cs="Times New Roman"/>
                      <w:b w:val="0"/>
                      <w:bCs w:val="0"/>
                      <w:color w:val="000000" w:themeColor="text1"/>
                      <w:szCs w:val="21"/>
                      <w:highlight w:val="none"/>
                      <w14:textFill>
                        <w14:solidFill>
                          <w14:schemeClr w14:val="tx1"/>
                        </w14:solidFill>
                      </w14:textFill>
                    </w:rPr>
                    <w:t>文件要求</w:t>
                  </w:r>
                  <w:bookmarkEnd w:id="59"/>
                  <w:bookmarkEnd w:id="60"/>
                  <w:bookmarkEnd w:id="61"/>
                  <w:bookmarkEnd w:id="62"/>
                  <w:bookmarkEnd w:id="63"/>
                  <w:bookmarkEnd w:id="64"/>
                  <w:bookmarkEnd w:id="65"/>
                  <w:bookmarkEnd w:id="66"/>
                </w:p>
              </w:tc>
              <w:tc>
                <w:tcPr>
                  <w:tcW w:w="1526" w:type="pct"/>
                  <w:vAlign w:val="center"/>
                </w:tcPr>
                <w:p w14:paraId="12478E72">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67" w:name="_Toc6048"/>
                  <w:bookmarkStart w:id="68" w:name="_Toc18196"/>
                  <w:bookmarkStart w:id="69" w:name="_Toc31531"/>
                  <w:bookmarkStart w:id="70" w:name="_Toc809"/>
                  <w:bookmarkStart w:id="71" w:name="_Toc13577"/>
                  <w:bookmarkStart w:id="72" w:name="_Toc16130"/>
                  <w:bookmarkStart w:id="73" w:name="_Toc13414"/>
                  <w:bookmarkStart w:id="74" w:name="_Toc19734"/>
                  <w:r>
                    <w:rPr>
                      <w:rFonts w:hint="default" w:ascii="Times New Roman" w:hAnsi="Times New Roman" w:eastAsia="宋体" w:cs="Times New Roman"/>
                      <w:b w:val="0"/>
                      <w:bCs w:val="0"/>
                      <w:color w:val="000000" w:themeColor="text1"/>
                      <w:szCs w:val="21"/>
                      <w:highlight w:val="none"/>
                      <w14:textFill>
                        <w14:solidFill>
                          <w14:schemeClr w14:val="tx1"/>
                        </w14:solidFill>
                      </w14:textFill>
                    </w:rPr>
                    <w:t>本项目情况</w:t>
                  </w:r>
                  <w:bookmarkEnd w:id="67"/>
                  <w:bookmarkEnd w:id="68"/>
                  <w:bookmarkEnd w:id="69"/>
                  <w:bookmarkEnd w:id="70"/>
                  <w:bookmarkEnd w:id="71"/>
                  <w:bookmarkEnd w:id="72"/>
                  <w:bookmarkEnd w:id="73"/>
                  <w:bookmarkEnd w:id="74"/>
                </w:p>
              </w:tc>
              <w:tc>
                <w:tcPr>
                  <w:tcW w:w="470" w:type="pct"/>
                  <w:vAlign w:val="center"/>
                </w:tcPr>
                <w:p w14:paraId="6211F5FA">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75" w:name="_Toc1578"/>
                  <w:bookmarkStart w:id="76" w:name="_Toc13951"/>
                  <w:bookmarkStart w:id="77" w:name="_Toc22905"/>
                  <w:bookmarkStart w:id="78" w:name="_Toc12480"/>
                  <w:bookmarkStart w:id="79" w:name="_Toc27260"/>
                  <w:bookmarkStart w:id="80" w:name="_Toc21199"/>
                  <w:bookmarkStart w:id="81" w:name="_Toc21645"/>
                  <w:bookmarkStart w:id="82" w:name="_Toc4586"/>
                  <w:r>
                    <w:rPr>
                      <w:rFonts w:hint="default" w:ascii="Times New Roman" w:hAnsi="Times New Roman" w:eastAsia="宋体" w:cs="Times New Roman"/>
                      <w:b w:val="0"/>
                      <w:bCs w:val="0"/>
                      <w:color w:val="000000" w:themeColor="text1"/>
                      <w:szCs w:val="21"/>
                      <w:highlight w:val="none"/>
                      <w14:textFill>
                        <w14:solidFill>
                          <w14:schemeClr w14:val="tx1"/>
                        </w14:solidFill>
                      </w14:textFill>
                    </w:rPr>
                    <w:t>是否符合</w:t>
                  </w:r>
                  <w:bookmarkEnd w:id="75"/>
                  <w:bookmarkEnd w:id="76"/>
                  <w:bookmarkEnd w:id="77"/>
                  <w:bookmarkEnd w:id="78"/>
                  <w:bookmarkEnd w:id="79"/>
                  <w:bookmarkEnd w:id="80"/>
                  <w:bookmarkEnd w:id="81"/>
                  <w:bookmarkEnd w:id="82"/>
                </w:p>
              </w:tc>
            </w:tr>
            <w:tr w14:paraId="480C0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31B9DB69">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83" w:name="_Toc18828"/>
                  <w:bookmarkStart w:id="84" w:name="_Toc31955"/>
                  <w:bookmarkStart w:id="85" w:name="_Toc6934"/>
                  <w:bookmarkStart w:id="86" w:name="_Toc6739"/>
                  <w:bookmarkStart w:id="87" w:name="_Toc3999"/>
                  <w:bookmarkStart w:id="88" w:name="_Toc12700"/>
                  <w:bookmarkStart w:id="89" w:name="_Toc22458"/>
                  <w:bookmarkStart w:id="90" w:name="_Toc16075"/>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bookmarkEnd w:id="83"/>
                  <w:bookmarkEnd w:id="84"/>
                  <w:bookmarkEnd w:id="85"/>
                  <w:bookmarkEnd w:id="86"/>
                  <w:bookmarkEnd w:id="87"/>
                  <w:bookmarkEnd w:id="88"/>
                  <w:bookmarkEnd w:id="89"/>
                  <w:bookmarkEnd w:id="90"/>
                </w:p>
              </w:tc>
              <w:tc>
                <w:tcPr>
                  <w:tcW w:w="391" w:type="pct"/>
                  <w:vAlign w:val="center"/>
                </w:tcPr>
                <w:p w14:paraId="777DB73E">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91" w:name="_Toc5277"/>
                  <w:bookmarkStart w:id="92" w:name="_Toc26036"/>
                  <w:bookmarkStart w:id="93" w:name="_Toc30464"/>
                  <w:bookmarkStart w:id="94" w:name="_Toc22504"/>
                  <w:bookmarkStart w:id="95" w:name="_Toc27340"/>
                  <w:bookmarkStart w:id="96" w:name="_Toc4891"/>
                  <w:bookmarkStart w:id="97" w:name="_Toc7928"/>
                  <w:bookmarkStart w:id="98" w:name="_Toc26725"/>
                  <w:r>
                    <w:rPr>
                      <w:rFonts w:hint="default" w:ascii="Times New Roman" w:hAnsi="Times New Roman" w:eastAsia="宋体" w:cs="Times New Roman"/>
                      <w:b w:val="0"/>
                      <w:bCs w:val="0"/>
                      <w:color w:val="000000" w:themeColor="text1"/>
                      <w:szCs w:val="21"/>
                      <w:highlight w:val="none"/>
                      <w14:textFill>
                        <w14:solidFill>
                          <w14:schemeClr w14:val="tx1"/>
                        </w14:solidFill>
                      </w14:textFill>
                    </w:rPr>
                    <w:t>2.1污染防治要求</w:t>
                  </w:r>
                  <w:bookmarkEnd w:id="91"/>
                  <w:bookmarkEnd w:id="92"/>
                  <w:bookmarkEnd w:id="93"/>
                  <w:bookmarkEnd w:id="94"/>
                  <w:bookmarkEnd w:id="95"/>
                  <w:bookmarkEnd w:id="96"/>
                  <w:bookmarkEnd w:id="97"/>
                  <w:bookmarkEnd w:id="98"/>
                </w:p>
              </w:tc>
              <w:tc>
                <w:tcPr>
                  <w:tcW w:w="2193" w:type="pct"/>
                  <w:vAlign w:val="center"/>
                </w:tcPr>
                <w:p w14:paraId="7F29A045">
                  <w:pPr>
                    <w:adjustRightInd w:val="0"/>
                    <w:snapToGrid w:val="0"/>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零散工业废水的收集、储存设施不得存在滴、漏、渗、溢现象，不得与生活用水、雨水或者其它液体的收集、储存设施相连通。</w:t>
                  </w:r>
                </w:p>
                <w:p w14:paraId="0F693B57">
                  <w:pPr>
                    <w:adjustRightInd w:val="0"/>
                    <w:snapToGrid w:val="0"/>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禁止将其他危险废物、杂物注入零散工业废水中，禁止在零散工业废水收集、储存设施内预设暗口或者安装旁通阀门，禁止在地下铺埋偷排暗管或者铺设偷排暗渠。</w:t>
                  </w:r>
                </w:p>
                <w:p w14:paraId="314E7D25">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零散工业废水产生单位应定期检查收集及储存设备运行情况，及时排查零散工业废水污染风险。</w:t>
                  </w:r>
                </w:p>
              </w:tc>
              <w:tc>
                <w:tcPr>
                  <w:tcW w:w="1526" w:type="pct"/>
                  <w:vAlign w:val="center"/>
                </w:tcPr>
                <w:p w14:paraId="20B15C75">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99" w:name="_Toc31035"/>
                  <w:bookmarkStart w:id="100" w:name="_Toc22335"/>
                  <w:bookmarkStart w:id="101" w:name="_Toc28794"/>
                  <w:bookmarkStart w:id="102" w:name="_Toc20283"/>
                  <w:bookmarkStart w:id="103" w:name="_Toc20601"/>
                  <w:bookmarkStart w:id="104" w:name="_Toc16560"/>
                  <w:bookmarkStart w:id="105" w:name="_Toc7399"/>
                  <w:bookmarkStart w:id="106" w:name="_Toc9065"/>
                  <w:r>
                    <w:rPr>
                      <w:rFonts w:hint="default" w:ascii="Times New Roman" w:hAnsi="Times New Roman" w:eastAsia="宋体" w:cs="Times New Roman"/>
                      <w:b w:val="0"/>
                      <w:bCs w:val="0"/>
                      <w:color w:val="000000" w:themeColor="text1"/>
                      <w:szCs w:val="21"/>
                      <w:highlight w:val="none"/>
                      <w14:textFill>
                        <w14:solidFill>
                          <w14:schemeClr w14:val="tx1"/>
                        </w14:solidFill>
                      </w14:textFill>
                    </w:rPr>
                    <w:t>项目车间地面硬化防渗；生产废水</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通过明管直接接入废水收集桶中单独储存</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；禁止将其他危险废物、杂物注入生产废水中，地面防渗，并在生产废水</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暂存区</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周边设置围堰；定期对废水暂存</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区</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进行检查，</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防止</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废水滴、漏、渗、溢；不在地下铺埋偷排暗管或者铺设偷排暗渠。</w:t>
                  </w:r>
                  <w:bookmarkEnd w:id="99"/>
                  <w:bookmarkEnd w:id="100"/>
                  <w:bookmarkEnd w:id="101"/>
                  <w:bookmarkEnd w:id="102"/>
                  <w:bookmarkEnd w:id="103"/>
                  <w:bookmarkEnd w:id="104"/>
                  <w:bookmarkEnd w:id="105"/>
                  <w:bookmarkEnd w:id="106"/>
                </w:p>
              </w:tc>
              <w:tc>
                <w:tcPr>
                  <w:tcW w:w="470" w:type="pct"/>
                  <w:vAlign w:val="center"/>
                </w:tcPr>
                <w:p w14:paraId="557EE81E">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07" w:name="_Toc20830"/>
                  <w:bookmarkStart w:id="108" w:name="_Toc12399"/>
                  <w:bookmarkStart w:id="109" w:name="_Toc29280"/>
                  <w:bookmarkStart w:id="110" w:name="_Toc23014"/>
                  <w:bookmarkStart w:id="111" w:name="_Toc693"/>
                  <w:bookmarkStart w:id="112" w:name="_Toc18628"/>
                  <w:bookmarkStart w:id="113" w:name="_Toc13770"/>
                  <w:bookmarkStart w:id="114" w:name="_Toc23969"/>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107"/>
                  <w:bookmarkEnd w:id="108"/>
                  <w:bookmarkEnd w:id="109"/>
                  <w:bookmarkEnd w:id="110"/>
                  <w:bookmarkEnd w:id="111"/>
                  <w:bookmarkEnd w:id="112"/>
                  <w:bookmarkEnd w:id="113"/>
                  <w:bookmarkEnd w:id="114"/>
                </w:p>
              </w:tc>
            </w:tr>
            <w:tr w14:paraId="579BB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5D266655">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15" w:name="_Toc32733"/>
                  <w:bookmarkStart w:id="116" w:name="_Toc23133"/>
                  <w:bookmarkStart w:id="117" w:name="_Toc3725"/>
                  <w:bookmarkStart w:id="118" w:name="_Toc21315"/>
                  <w:bookmarkStart w:id="119" w:name="_Toc22473"/>
                  <w:bookmarkStart w:id="120" w:name="_Toc11696"/>
                  <w:bookmarkStart w:id="121" w:name="_Toc10440"/>
                  <w:bookmarkStart w:id="122" w:name="_Toc8016"/>
                  <w:r>
                    <w:rPr>
                      <w:rFonts w:hint="default" w:ascii="Times New Roman" w:hAnsi="Times New Roman" w:eastAsia="宋体" w:cs="Times New Roman"/>
                      <w:b w:val="0"/>
                      <w:bCs w:val="0"/>
                      <w:color w:val="000000" w:themeColor="text1"/>
                      <w:szCs w:val="21"/>
                      <w:highlight w:val="none"/>
                      <w14:textFill>
                        <w14:solidFill>
                          <w14:schemeClr w14:val="tx1"/>
                        </w14:solidFill>
                      </w14:textFill>
                    </w:rPr>
                    <w:t>2</w:t>
                  </w:r>
                  <w:bookmarkEnd w:id="115"/>
                  <w:bookmarkEnd w:id="116"/>
                  <w:bookmarkEnd w:id="117"/>
                  <w:bookmarkEnd w:id="118"/>
                  <w:bookmarkEnd w:id="119"/>
                  <w:bookmarkEnd w:id="120"/>
                  <w:bookmarkEnd w:id="121"/>
                  <w:bookmarkEnd w:id="122"/>
                </w:p>
              </w:tc>
              <w:tc>
                <w:tcPr>
                  <w:tcW w:w="391" w:type="pct"/>
                  <w:vAlign w:val="center"/>
                </w:tcPr>
                <w:p w14:paraId="3638DBF4">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23" w:name="_Toc14879"/>
                  <w:bookmarkStart w:id="124" w:name="_Toc30207"/>
                  <w:bookmarkStart w:id="125" w:name="_Toc10057"/>
                  <w:bookmarkStart w:id="126" w:name="_Toc16013"/>
                  <w:bookmarkStart w:id="127" w:name="_Toc31369"/>
                  <w:bookmarkStart w:id="128" w:name="_Toc10089"/>
                  <w:bookmarkStart w:id="129" w:name="_Toc19140"/>
                  <w:bookmarkStart w:id="130" w:name="_Toc20051"/>
                  <w:r>
                    <w:rPr>
                      <w:rFonts w:hint="default" w:ascii="Times New Roman" w:hAnsi="Times New Roman" w:eastAsia="宋体" w:cs="Times New Roman"/>
                      <w:b w:val="0"/>
                      <w:bCs w:val="0"/>
                      <w:color w:val="000000" w:themeColor="text1"/>
                      <w:szCs w:val="21"/>
                      <w:highlight w:val="none"/>
                      <w14:textFill>
                        <w14:solidFill>
                          <w14:schemeClr w14:val="tx1"/>
                        </w14:solidFill>
                      </w14:textFill>
                    </w:rPr>
                    <w:t>2.2管道、储存设施建设要求</w:t>
                  </w:r>
                  <w:bookmarkEnd w:id="123"/>
                  <w:bookmarkEnd w:id="124"/>
                  <w:bookmarkEnd w:id="125"/>
                  <w:bookmarkEnd w:id="126"/>
                  <w:bookmarkEnd w:id="127"/>
                  <w:bookmarkEnd w:id="128"/>
                  <w:bookmarkEnd w:id="129"/>
                  <w:bookmarkEnd w:id="130"/>
                </w:p>
              </w:tc>
              <w:tc>
                <w:tcPr>
                  <w:tcW w:w="2193" w:type="pct"/>
                  <w:vAlign w:val="center"/>
                </w:tcPr>
                <w:p w14:paraId="54C12EC6">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的储存设施的建造位置应当便于转移运输和观察水位，设施底部和外围及四周应当做好防渗漏、防溢出措施，储存容积原则上不得小于满负荷生产时连续5日的废水产生量；废水收集管道应当以明管的形式与零散工业废水储存设施直接连通；若部分零散工业废水需回用的，应另行设置回用水暂存设施，不得与零散工业废水储存设施连通。</w:t>
                  </w:r>
                </w:p>
              </w:tc>
              <w:tc>
                <w:tcPr>
                  <w:tcW w:w="1526" w:type="pct"/>
                  <w:vAlign w:val="center"/>
                </w:tcPr>
                <w:p w14:paraId="63335960">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31" w:name="_Toc31219"/>
                  <w:bookmarkStart w:id="132" w:name="_Toc25069"/>
                  <w:bookmarkStart w:id="133" w:name="_Toc5293"/>
                  <w:bookmarkStart w:id="134" w:name="_Toc19102"/>
                  <w:bookmarkStart w:id="135" w:name="_Toc19215"/>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本项目废水收集桶设置在便于转移运输和观察水位的地方。废水收集桶用托盘盛放，避免废水溢出。废水产生处设置明管与废水收集桶直连。</w:t>
                  </w:r>
                  <w:bookmarkEnd w:id="131"/>
                  <w:bookmarkEnd w:id="132"/>
                  <w:bookmarkEnd w:id="133"/>
                  <w:bookmarkEnd w:id="134"/>
                  <w:bookmarkEnd w:id="135"/>
                </w:p>
              </w:tc>
              <w:tc>
                <w:tcPr>
                  <w:tcW w:w="470" w:type="pct"/>
                  <w:vAlign w:val="center"/>
                </w:tcPr>
                <w:p w14:paraId="1AF8C0A5">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36" w:name="_Toc21405"/>
                  <w:bookmarkStart w:id="137" w:name="_Toc30463"/>
                  <w:bookmarkStart w:id="138" w:name="_Toc2690"/>
                  <w:bookmarkStart w:id="139" w:name="_Toc12881"/>
                  <w:bookmarkStart w:id="140" w:name="_Toc12905"/>
                  <w:bookmarkStart w:id="141" w:name="_Toc23052"/>
                  <w:bookmarkStart w:id="142" w:name="_Toc14026"/>
                  <w:bookmarkStart w:id="143" w:name="_Toc488"/>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136"/>
                  <w:bookmarkEnd w:id="137"/>
                  <w:bookmarkEnd w:id="138"/>
                  <w:bookmarkEnd w:id="139"/>
                  <w:bookmarkEnd w:id="140"/>
                  <w:bookmarkEnd w:id="141"/>
                  <w:bookmarkEnd w:id="142"/>
                  <w:bookmarkEnd w:id="143"/>
                </w:p>
              </w:tc>
            </w:tr>
            <w:tr w14:paraId="66B9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4F7EAA3D">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44" w:name="_Toc8032"/>
                  <w:bookmarkStart w:id="145" w:name="_Toc17305"/>
                  <w:bookmarkStart w:id="146" w:name="_Toc9431"/>
                  <w:bookmarkStart w:id="147" w:name="_Toc1652"/>
                  <w:bookmarkStart w:id="148" w:name="_Toc4346"/>
                  <w:bookmarkStart w:id="149" w:name="_Toc32470"/>
                  <w:bookmarkStart w:id="150" w:name="_Toc16365"/>
                  <w:bookmarkStart w:id="151" w:name="_Toc4357"/>
                  <w:r>
                    <w:rPr>
                      <w:rFonts w:hint="default" w:ascii="Times New Roman" w:hAnsi="Times New Roman" w:eastAsia="宋体" w:cs="Times New Roman"/>
                      <w:b w:val="0"/>
                      <w:bCs w:val="0"/>
                      <w:color w:val="000000" w:themeColor="text1"/>
                      <w:szCs w:val="21"/>
                      <w:highlight w:val="none"/>
                      <w14:textFill>
                        <w14:solidFill>
                          <w14:schemeClr w14:val="tx1"/>
                        </w14:solidFill>
                      </w14:textFill>
                    </w:rPr>
                    <w:t>3</w:t>
                  </w:r>
                  <w:bookmarkEnd w:id="144"/>
                  <w:bookmarkEnd w:id="145"/>
                  <w:bookmarkEnd w:id="146"/>
                  <w:bookmarkEnd w:id="147"/>
                  <w:bookmarkEnd w:id="148"/>
                  <w:bookmarkEnd w:id="149"/>
                  <w:bookmarkEnd w:id="150"/>
                  <w:bookmarkEnd w:id="151"/>
                </w:p>
              </w:tc>
              <w:tc>
                <w:tcPr>
                  <w:tcW w:w="391" w:type="pct"/>
                  <w:vAlign w:val="center"/>
                </w:tcPr>
                <w:p w14:paraId="234832F0">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52" w:name="_Toc20250"/>
                  <w:bookmarkStart w:id="153" w:name="_Toc2211"/>
                  <w:bookmarkStart w:id="154" w:name="_Toc7849"/>
                  <w:bookmarkStart w:id="155" w:name="_Toc20388"/>
                  <w:bookmarkStart w:id="156" w:name="_Toc12515"/>
                  <w:bookmarkStart w:id="157" w:name="_Toc25057"/>
                  <w:bookmarkStart w:id="158" w:name="_Toc23914"/>
                  <w:bookmarkStart w:id="159" w:name="_Toc31149"/>
                  <w:r>
                    <w:rPr>
                      <w:rFonts w:hint="default" w:ascii="Times New Roman" w:hAnsi="Times New Roman" w:eastAsia="宋体" w:cs="Times New Roman"/>
                      <w:b w:val="0"/>
                      <w:bCs w:val="0"/>
                      <w:color w:val="000000" w:themeColor="text1"/>
                      <w:szCs w:val="21"/>
                      <w:highlight w:val="none"/>
                      <w14:textFill>
                        <w14:solidFill>
                          <w14:schemeClr w14:val="tx1"/>
                        </w14:solidFill>
                      </w14:textFill>
                    </w:rPr>
                    <w:t>2.3计量设备安装要求</w:t>
                  </w:r>
                  <w:bookmarkEnd w:id="152"/>
                  <w:bookmarkEnd w:id="153"/>
                  <w:bookmarkEnd w:id="154"/>
                  <w:bookmarkEnd w:id="155"/>
                  <w:bookmarkEnd w:id="156"/>
                  <w:bookmarkEnd w:id="157"/>
                  <w:bookmarkEnd w:id="158"/>
                  <w:bookmarkEnd w:id="159"/>
                </w:p>
              </w:tc>
              <w:tc>
                <w:tcPr>
                  <w:tcW w:w="2193" w:type="pct"/>
                  <w:vAlign w:val="center"/>
                </w:tcPr>
                <w:p w14:paraId="7065DB27">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 xml:space="preserve">  </w:t>
                  </w:r>
                  <w:bookmarkStart w:id="160" w:name="_Toc7767"/>
                  <w:bookmarkStart w:id="161" w:name="_Toc2645"/>
                  <w:bookmarkStart w:id="162" w:name="_Toc30440"/>
                  <w:bookmarkStart w:id="163" w:name="_Toc3177"/>
                  <w:bookmarkStart w:id="164" w:name="_Toc30692"/>
                  <w:bookmarkStart w:id="165" w:name="_Toc21157"/>
                  <w:bookmarkStart w:id="166" w:name="_Toc19677"/>
                  <w:bookmarkStart w:id="167" w:name="_Toc30303"/>
                  <w:r>
                    <w:rPr>
                      <w:rFonts w:hint="default" w:ascii="Times New Roman" w:hAnsi="Times New Roman" w:eastAsia="宋体" w:cs="Times New Roman"/>
                      <w:b w:val="0"/>
                      <w:bCs w:val="0"/>
                      <w:color w:val="000000" w:themeColor="text1"/>
                      <w:szCs w:val="21"/>
                      <w:highlight w:val="none"/>
                      <w14:textFill>
                        <w14:solidFill>
                          <w14:schemeClr w14:val="tx1"/>
                        </w14:solidFill>
                      </w14:textFill>
                    </w:rPr>
                    <w:t>零散工业废水产生单位应对产生零散废水的工序安装独立的工业用水水表，不与生活用水水表混合使用；在储存设施中安装水量计量装置，监控储存设施的液位情况，如有多个储存设施，每个设施均需安装水量计量装置；在适当位置安装视频监控，要求可以清晰看出储存设施及其周边环境情况。所有计量监控设施预留与生态环境部门进行数据联网的接口，计量设备及联网应满足中山市生态环境局关于印发《2023年中山市重点单位非浓度自动监控设备安装联网工作方案》的通知中技术指南的要求。</w:t>
                  </w:r>
                  <w:bookmarkEnd w:id="160"/>
                  <w:bookmarkEnd w:id="161"/>
                  <w:bookmarkEnd w:id="162"/>
                  <w:bookmarkEnd w:id="163"/>
                  <w:bookmarkEnd w:id="164"/>
                  <w:bookmarkEnd w:id="165"/>
                  <w:bookmarkEnd w:id="166"/>
                  <w:bookmarkEnd w:id="167"/>
                </w:p>
              </w:tc>
              <w:tc>
                <w:tcPr>
                  <w:tcW w:w="1526" w:type="pct"/>
                  <w:vAlign w:val="center"/>
                </w:tcPr>
                <w:p w14:paraId="798DBC8D">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68" w:name="_Toc27460"/>
                  <w:bookmarkStart w:id="169" w:name="_Toc16554"/>
                  <w:bookmarkStart w:id="170" w:name="_Toc16032"/>
                  <w:bookmarkStart w:id="171" w:name="_Toc5955"/>
                  <w:bookmarkStart w:id="172" w:name="_Toc27654"/>
                  <w:bookmarkStart w:id="173" w:name="_Toc12785"/>
                  <w:bookmarkStart w:id="174" w:name="_Toc4358"/>
                  <w:bookmarkStart w:id="175" w:name="_Toc14066"/>
                  <w:r>
                    <w:rPr>
                      <w:rFonts w:hint="default" w:ascii="Times New Roman" w:hAnsi="Times New Roman" w:eastAsia="宋体" w:cs="Times New Roman"/>
                      <w:b w:val="0"/>
                      <w:bCs w:val="0"/>
                      <w:color w:val="000000" w:themeColor="text1"/>
                      <w:szCs w:val="21"/>
                      <w:highlight w:val="none"/>
                      <w14:textFill>
                        <w14:solidFill>
                          <w14:schemeClr w14:val="tx1"/>
                        </w14:solidFill>
                      </w14:textFill>
                    </w:rPr>
                    <w:t>企业安装有单独的生产用水表，废水暂存池安装水量计量装置，企业在废水桶储存区安装摄像头对废水桶进行监控，并预留与生态环境部门进行数据联网的接口。</w:t>
                  </w:r>
                  <w:bookmarkEnd w:id="168"/>
                  <w:bookmarkEnd w:id="169"/>
                  <w:bookmarkEnd w:id="170"/>
                  <w:bookmarkEnd w:id="171"/>
                  <w:bookmarkEnd w:id="172"/>
                  <w:bookmarkEnd w:id="173"/>
                  <w:bookmarkEnd w:id="174"/>
                  <w:bookmarkEnd w:id="175"/>
                </w:p>
              </w:tc>
              <w:tc>
                <w:tcPr>
                  <w:tcW w:w="470" w:type="pct"/>
                  <w:vAlign w:val="center"/>
                </w:tcPr>
                <w:p w14:paraId="2F4529F4">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76" w:name="_Toc27016"/>
                  <w:bookmarkStart w:id="177" w:name="_Toc32442"/>
                  <w:bookmarkStart w:id="178" w:name="_Toc7798"/>
                  <w:bookmarkStart w:id="179" w:name="_Toc24184"/>
                  <w:bookmarkStart w:id="180" w:name="_Toc25360"/>
                  <w:bookmarkStart w:id="181" w:name="_Toc21567"/>
                  <w:bookmarkStart w:id="182" w:name="_Toc1188"/>
                  <w:bookmarkStart w:id="183" w:name="_Toc18141"/>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176"/>
                  <w:bookmarkEnd w:id="177"/>
                  <w:bookmarkEnd w:id="178"/>
                  <w:bookmarkEnd w:id="179"/>
                  <w:bookmarkEnd w:id="180"/>
                  <w:bookmarkEnd w:id="181"/>
                  <w:bookmarkEnd w:id="182"/>
                  <w:bookmarkEnd w:id="183"/>
                </w:p>
              </w:tc>
            </w:tr>
            <w:tr w14:paraId="7E7B5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2B24B80A">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84" w:name="_Toc1631"/>
                  <w:bookmarkStart w:id="185" w:name="_Toc26748"/>
                  <w:bookmarkStart w:id="186" w:name="_Toc25451"/>
                  <w:bookmarkStart w:id="187" w:name="_Toc29054"/>
                  <w:bookmarkStart w:id="188" w:name="_Toc14084"/>
                  <w:bookmarkStart w:id="189" w:name="_Toc416"/>
                  <w:bookmarkStart w:id="190" w:name="_Toc1337"/>
                  <w:bookmarkStart w:id="191" w:name="_Toc32757"/>
                  <w:r>
                    <w:rPr>
                      <w:rFonts w:hint="default" w:ascii="Times New Roman" w:hAnsi="Times New Roman" w:eastAsia="宋体" w:cs="Times New Roman"/>
                      <w:b w:val="0"/>
                      <w:bCs w:val="0"/>
                      <w:color w:val="000000" w:themeColor="text1"/>
                      <w:szCs w:val="21"/>
                      <w:highlight w:val="none"/>
                      <w14:textFill>
                        <w14:solidFill>
                          <w14:schemeClr w14:val="tx1"/>
                        </w14:solidFill>
                      </w14:textFill>
                    </w:rPr>
                    <w:t>4</w:t>
                  </w:r>
                  <w:bookmarkEnd w:id="184"/>
                  <w:bookmarkEnd w:id="185"/>
                  <w:bookmarkEnd w:id="186"/>
                  <w:bookmarkEnd w:id="187"/>
                  <w:bookmarkEnd w:id="188"/>
                  <w:bookmarkEnd w:id="189"/>
                  <w:bookmarkEnd w:id="190"/>
                  <w:bookmarkEnd w:id="191"/>
                </w:p>
              </w:tc>
              <w:tc>
                <w:tcPr>
                  <w:tcW w:w="391" w:type="pct"/>
                  <w:vAlign w:val="center"/>
                </w:tcPr>
                <w:p w14:paraId="72E33F84">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192" w:name="_Toc23614"/>
                  <w:bookmarkStart w:id="193" w:name="_Toc24542"/>
                  <w:bookmarkStart w:id="194" w:name="_Toc18219"/>
                  <w:bookmarkStart w:id="195" w:name="_Toc9870"/>
                  <w:bookmarkStart w:id="196" w:name="_Toc21705"/>
                  <w:bookmarkStart w:id="197" w:name="_Toc17921"/>
                  <w:bookmarkStart w:id="198" w:name="_Toc31186"/>
                  <w:bookmarkStart w:id="199" w:name="_Toc31852"/>
                  <w:r>
                    <w:rPr>
                      <w:rFonts w:hint="default" w:ascii="Times New Roman" w:hAnsi="Times New Roman" w:eastAsia="宋体" w:cs="Times New Roman"/>
                      <w:b w:val="0"/>
                      <w:bCs w:val="0"/>
                      <w:color w:val="000000" w:themeColor="text1"/>
                      <w:szCs w:val="21"/>
                      <w:highlight w:val="none"/>
                      <w14:textFill>
                        <w14:solidFill>
                          <w14:schemeClr w14:val="tx1"/>
                        </w14:solidFill>
                      </w14:textFill>
                    </w:rPr>
                    <w:t>2.4废水储存管理要求</w:t>
                  </w:r>
                  <w:bookmarkEnd w:id="192"/>
                  <w:bookmarkEnd w:id="193"/>
                  <w:bookmarkEnd w:id="194"/>
                  <w:bookmarkEnd w:id="195"/>
                  <w:bookmarkEnd w:id="196"/>
                  <w:bookmarkEnd w:id="197"/>
                  <w:bookmarkEnd w:id="198"/>
                  <w:bookmarkEnd w:id="199"/>
                </w:p>
              </w:tc>
              <w:tc>
                <w:tcPr>
                  <w:tcW w:w="2193" w:type="pct"/>
                  <w:vAlign w:val="center"/>
                </w:tcPr>
                <w:p w14:paraId="20FEFE37">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产生单位应定期观察储存设施的水位情况，当储存水量超过最大容积量80%或剩余储存量不足2天正常生产产水量时，需及时联系零散工业废水接收单位转移。如遇零散工业废水接收单位无故拒绝收运的，应及时向属地生态环境部门反馈。</w:t>
                  </w:r>
                </w:p>
              </w:tc>
              <w:tc>
                <w:tcPr>
                  <w:tcW w:w="1526" w:type="pct"/>
                  <w:vAlign w:val="center"/>
                </w:tcPr>
                <w:p w14:paraId="0E4D575E">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 xml:space="preserve"> </w:t>
                  </w:r>
                  <w:bookmarkStart w:id="200" w:name="_Toc16875"/>
                  <w:bookmarkStart w:id="201" w:name="_Toc32281"/>
                  <w:bookmarkStart w:id="202" w:name="_Toc17167"/>
                  <w:bookmarkStart w:id="203" w:name="_Toc26323"/>
                  <w:bookmarkStart w:id="204" w:name="_Toc18270"/>
                  <w:bookmarkStart w:id="205" w:name="_Toc23657"/>
                  <w:bookmarkStart w:id="206" w:name="_Toc15804"/>
                  <w:bookmarkStart w:id="207" w:name="_Toc12925"/>
                  <w:r>
                    <w:rPr>
                      <w:rFonts w:hint="default" w:ascii="Times New Roman" w:hAnsi="Times New Roman" w:eastAsia="宋体" w:cs="Times New Roman"/>
                      <w:b w:val="0"/>
                      <w:bCs w:val="0"/>
                      <w:color w:val="000000" w:themeColor="text1"/>
                      <w:szCs w:val="21"/>
                      <w:highlight w:val="none"/>
                      <w14:textFill>
                        <w14:solidFill>
                          <w14:schemeClr w14:val="tx1"/>
                        </w14:solidFill>
                      </w14:textFill>
                    </w:rPr>
                    <w:t>项目设置1个有效容积为</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m³的废水暂存</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桶</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，总有效储存量为</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t，定期观察废水桶储存水量情况，当储存水量超过</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0.</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t时，联系</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有废水处理能力机构</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进行转移处理，约20天转移1次。</w:t>
                  </w:r>
                  <w:bookmarkEnd w:id="200"/>
                  <w:bookmarkEnd w:id="201"/>
                  <w:bookmarkEnd w:id="202"/>
                  <w:bookmarkEnd w:id="203"/>
                  <w:bookmarkEnd w:id="204"/>
                  <w:bookmarkEnd w:id="205"/>
                  <w:bookmarkEnd w:id="206"/>
                  <w:bookmarkEnd w:id="207"/>
                </w:p>
              </w:tc>
              <w:tc>
                <w:tcPr>
                  <w:tcW w:w="470" w:type="pct"/>
                  <w:vAlign w:val="center"/>
                </w:tcPr>
                <w:p w14:paraId="77F7845C">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08" w:name="_Toc7523"/>
                  <w:bookmarkStart w:id="209" w:name="_Toc25262"/>
                  <w:bookmarkStart w:id="210" w:name="_Toc10505"/>
                  <w:bookmarkStart w:id="211" w:name="_Toc12498"/>
                  <w:bookmarkStart w:id="212" w:name="_Toc31467"/>
                  <w:bookmarkStart w:id="213" w:name="_Toc7777"/>
                  <w:bookmarkStart w:id="214" w:name="_Toc14295"/>
                  <w:bookmarkStart w:id="215" w:name="_Toc14885"/>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208"/>
                  <w:bookmarkEnd w:id="209"/>
                  <w:bookmarkEnd w:id="210"/>
                  <w:bookmarkEnd w:id="211"/>
                  <w:bookmarkEnd w:id="212"/>
                  <w:bookmarkEnd w:id="213"/>
                  <w:bookmarkEnd w:id="214"/>
                  <w:bookmarkEnd w:id="215"/>
                </w:p>
              </w:tc>
            </w:tr>
            <w:tr w14:paraId="14338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632A640D">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16" w:name="_Toc19912"/>
                  <w:bookmarkStart w:id="217" w:name="_Toc2761"/>
                  <w:bookmarkStart w:id="218" w:name="_Toc22948"/>
                  <w:bookmarkStart w:id="219" w:name="_Toc26429"/>
                  <w:bookmarkStart w:id="220" w:name="_Toc24779"/>
                  <w:bookmarkStart w:id="221" w:name="_Toc14246"/>
                  <w:bookmarkStart w:id="222" w:name="_Toc8937"/>
                  <w:bookmarkStart w:id="223" w:name="_Toc21044"/>
                  <w:r>
                    <w:rPr>
                      <w:rFonts w:hint="default" w:ascii="Times New Roman" w:hAnsi="Times New Roman" w:eastAsia="宋体" w:cs="Times New Roman"/>
                      <w:b w:val="0"/>
                      <w:bCs w:val="0"/>
                      <w:color w:val="000000" w:themeColor="text1"/>
                      <w:szCs w:val="21"/>
                      <w:highlight w:val="none"/>
                      <w14:textFill>
                        <w14:solidFill>
                          <w14:schemeClr w14:val="tx1"/>
                        </w14:solidFill>
                      </w14:textFill>
                    </w:rPr>
                    <w:t>5</w:t>
                  </w:r>
                  <w:bookmarkEnd w:id="216"/>
                  <w:bookmarkEnd w:id="217"/>
                  <w:bookmarkEnd w:id="218"/>
                  <w:bookmarkEnd w:id="219"/>
                  <w:bookmarkEnd w:id="220"/>
                  <w:bookmarkEnd w:id="221"/>
                  <w:bookmarkEnd w:id="222"/>
                  <w:bookmarkEnd w:id="223"/>
                </w:p>
              </w:tc>
              <w:tc>
                <w:tcPr>
                  <w:tcW w:w="391" w:type="pct"/>
                  <w:vAlign w:val="center"/>
                </w:tcPr>
                <w:p w14:paraId="3FC4FF72">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24" w:name="_Toc5952"/>
                  <w:bookmarkStart w:id="225" w:name="_Toc28097"/>
                  <w:bookmarkStart w:id="226" w:name="_Toc20947"/>
                  <w:bookmarkStart w:id="227" w:name="_Toc2194"/>
                  <w:bookmarkStart w:id="228" w:name="_Toc9542"/>
                  <w:bookmarkStart w:id="229" w:name="_Toc19554"/>
                  <w:bookmarkStart w:id="230" w:name="_Toc24070"/>
                  <w:bookmarkStart w:id="231" w:name="_Toc12394"/>
                  <w:r>
                    <w:rPr>
                      <w:rFonts w:hint="default" w:ascii="Times New Roman" w:hAnsi="Times New Roman" w:eastAsia="宋体" w:cs="Times New Roman"/>
                      <w:b w:val="0"/>
                      <w:bCs w:val="0"/>
                      <w:color w:val="000000" w:themeColor="text1"/>
                      <w:szCs w:val="21"/>
                      <w:highlight w:val="none"/>
                      <w14:textFill>
                        <w14:solidFill>
                          <w14:schemeClr w14:val="tx1"/>
                        </w14:solidFill>
                      </w14:textFill>
                    </w:rPr>
                    <w:t>4.1转移联单管理制度</w:t>
                  </w:r>
                  <w:bookmarkEnd w:id="224"/>
                  <w:bookmarkEnd w:id="225"/>
                  <w:bookmarkEnd w:id="226"/>
                  <w:bookmarkEnd w:id="227"/>
                  <w:bookmarkEnd w:id="228"/>
                  <w:bookmarkEnd w:id="229"/>
                  <w:bookmarkEnd w:id="230"/>
                  <w:bookmarkEnd w:id="231"/>
                </w:p>
              </w:tc>
              <w:tc>
                <w:tcPr>
                  <w:tcW w:w="2193" w:type="pct"/>
                  <w:vAlign w:val="center"/>
                </w:tcPr>
                <w:p w14:paraId="013DD523">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接收单位和产生单位应建立转移联单管理制度。零散工业废水接收单位根据联单模板制作《零散工业废水转移联单》（详见附件2），原件一式两份，在接收零散工业废水时，与零散工业废水产生单位核对转移量、转移时间等，填写转移联单。转移联单第一联和第二联副联由零散工业废水产生单位和接收单位分别自留存档。</w:t>
                  </w:r>
                </w:p>
              </w:tc>
              <w:tc>
                <w:tcPr>
                  <w:tcW w:w="1526" w:type="pct"/>
                  <w:vAlign w:val="center"/>
                </w:tcPr>
                <w:p w14:paraId="0C3233CC">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32" w:name="_Toc24749"/>
                  <w:bookmarkStart w:id="233" w:name="_Toc23364"/>
                  <w:bookmarkStart w:id="234" w:name="_Toc924"/>
                  <w:bookmarkStart w:id="235" w:name="_Toc30836"/>
                  <w:bookmarkStart w:id="236" w:name="_Toc16695"/>
                  <w:bookmarkStart w:id="237" w:name="_Toc6323"/>
                  <w:bookmarkStart w:id="238" w:name="_Toc18298"/>
                  <w:bookmarkStart w:id="239" w:name="_Toc13311"/>
                  <w:r>
                    <w:rPr>
                      <w:rFonts w:hint="default" w:ascii="Times New Roman" w:hAnsi="Times New Roman" w:eastAsia="宋体" w:cs="Times New Roman"/>
                      <w:b w:val="0"/>
                      <w:bCs w:val="0"/>
                      <w:color w:val="000000" w:themeColor="text1"/>
                      <w:szCs w:val="21"/>
                      <w:highlight w:val="none"/>
                      <w14:textFill>
                        <w14:solidFill>
                          <w14:schemeClr w14:val="tx1"/>
                        </w14:solidFill>
                      </w14:textFill>
                    </w:rPr>
                    <w:t>废水转移单位在转移废水时根据要求出具《零散工业废水转移联单》，并按要求填写相关信息，一式两份，企业和转移单位各自保留存档。</w:t>
                  </w:r>
                  <w:bookmarkEnd w:id="232"/>
                  <w:bookmarkEnd w:id="233"/>
                  <w:bookmarkEnd w:id="234"/>
                  <w:bookmarkEnd w:id="235"/>
                  <w:bookmarkEnd w:id="236"/>
                  <w:bookmarkEnd w:id="237"/>
                  <w:bookmarkEnd w:id="238"/>
                  <w:bookmarkEnd w:id="239"/>
                </w:p>
              </w:tc>
              <w:tc>
                <w:tcPr>
                  <w:tcW w:w="470" w:type="pct"/>
                  <w:vAlign w:val="center"/>
                </w:tcPr>
                <w:p w14:paraId="42BA8A5B">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40" w:name="_Toc21753"/>
                  <w:bookmarkStart w:id="241" w:name="_Toc11547"/>
                  <w:bookmarkStart w:id="242" w:name="_Toc20273"/>
                  <w:bookmarkStart w:id="243" w:name="_Toc13656"/>
                  <w:bookmarkStart w:id="244" w:name="_Toc29222"/>
                  <w:bookmarkStart w:id="245" w:name="_Toc31792"/>
                  <w:bookmarkStart w:id="246" w:name="_Toc528"/>
                  <w:bookmarkStart w:id="247" w:name="_Toc5010"/>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240"/>
                  <w:bookmarkEnd w:id="241"/>
                  <w:bookmarkEnd w:id="242"/>
                  <w:bookmarkEnd w:id="243"/>
                  <w:bookmarkEnd w:id="244"/>
                  <w:bookmarkEnd w:id="245"/>
                  <w:bookmarkEnd w:id="246"/>
                  <w:bookmarkEnd w:id="247"/>
                </w:p>
              </w:tc>
            </w:tr>
            <w:tr w14:paraId="16FF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5AA26DA1">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48" w:name="_Toc20847"/>
                  <w:bookmarkStart w:id="249" w:name="_Toc21535"/>
                  <w:bookmarkStart w:id="250" w:name="_Toc8654"/>
                  <w:bookmarkStart w:id="251" w:name="_Toc17954"/>
                  <w:bookmarkStart w:id="252" w:name="_Toc29723"/>
                  <w:bookmarkStart w:id="253" w:name="_Toc7155"/>
                  <w:bookmarkStart w:id="254" w:name="_Toc4381"/>
                  <w:bookmarkStart w:id="255" w:name="_Toc10419"/>
                  <w:r>
                    <w:rPr>
                      <w:rFonts w:hint="default" w:ascii="Times New Roman" w:hAnsi="Times New Roman" w:eastAsia="宋体" w:cs="Times New Roman"/>
                      <w:b w:val="0"/>
                      <w:bCs w:val="0"/>
                      <w:color w:val="000000" w:themeColor="text1"/>
                      <w:szCs w:val="21"/>
                      <w:highlight w:val="none"/>
                      <w14:textFill>
                        <w14:solidFill>
                          <w14:schemeClr w14:val="tx1"/>
                        </w14:solidFill>
                      </w14:textFill>
                    </w:rPr>
                    <w:t>6</w:t>
                  </w:r>
                  <w:bookmarkEnd w:id="248"/>
                  <w:bookmarkEnd w:id="249"/>
                  <w:bookmarkEnd w:id="250"/>
                  <w:bookmarkEnd w:id="251"/>
                  <w:bookmarkEnd w:id="252"/>
                  <w:bookmarkEnd w:id="253"/>
                  <w:bookmarkEnd w:id="254"/>
                  <w:bookmarkEnd w:id="255"/>
                </w:p>
              </w:tc>
              <w:tc>
                <w:tcPr>
                  <w:tcW w:w="391" w:type="pct"/>
                  <w:vAlign w:val="center"/>
                </w:tcPr>
                <w:p w14:paraId="7A69D7A1">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56" w:name="_Toc31835"/>
                  <w:bookmarkStart w:id="257" w:name="_Toc22410"/>
                  <w:bookmarkStart w:id="258" w:name="_Toc29171"/>
                  <w:bookmarkStart w:id="259" w:name="_Toc3742"/>
                  <w:bookmarkStart w:id="260" w:name="_Toc5121"/>
                  <w:bookmarkStart w:id="261" w:name="_Toc30435"/>
                  <w:bookmarkStart w:id="262" w:name="_Toc29414"/>
                  <w:bookmarkStart w:id="263" w:name="_Toc18107"/>
                  <w:r>
                    <w:rPr>
                      <w:rFonts w:hint="default" w:ascii="Times New Roman" w:hAnsi="Times New Roman" w:eastAsia="宋体" w:cs="Times New Roman"/>
                      <w:b w:val="0"/>
                      <w:bCs w:val="0"/>
                      <w:color w:val="000000" w:themeColor="text1"/>
                      <w:szCs w:val="21"/>
                      <w:highlight w:val="none"/>
                      <w14:textFill>
                        <w14:solidFill>
                          <w14:schemeClr w14:val="tx1"/>
                        </w14:solidFill>
                      </w14:textFill>
                    </w:rPr>
                    <w:t>4.2废水管理台账</w:t>
                  </w:r>
                  <w:bookmarkEnd w:id="256"/>
                  <w:bookmarkEnd w:id="257"/>
                  <w:bookmarkEnd w:id="258"/>
                  <w:bookmarkEnd w:id="259"/>
                  <w:bookmarkEnd w:id="260"/>
                  <w:bookmarkEnd w:id="261"/>
                  <w:bookmarkEnd w:id="262"/>
                  <w:bookmarkEnd w:id="263"/>
                </w:p>
              </w:tc>
              <w:tc>
                <w:tcPr>
                  <w:tcW w:w="2193" w:type="pct"/>
                  <w:vAlign w:val="center"/>
                </w:tcPr>
                <w:p w14:paraId="0CCA9CB8">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接收单位和产生单位应建立零散工业废水管理台账。其中，接收单位应建立零散工业废水管理台账，如实、完整、准确记录废水产生单位名称、废水类型、收运人员、收运水量、运输车辆等台账信息，并每月汇总情况填写《零散工业废水接收单位废水接收台账月报表》；产生单位应建立零散工业废水管理台账，如实记录日生产用水量、日废水产生量、日存储废水量与转移量和转移时间等台账信息，并每月汇总情况填写《零散工业废水产生单位废水产生转移台账月报表》。</w:t>
                  </w:r>
                </w:p>
              </w:tc>
              <w:tc>
                <w:tcPr>
                  <w:tcW w:w="1526" w:type="pct"/>
                  <w:vAlign w:val="center"/>
                </w:tcPr>
                <w:p w14:paraId="556221D2">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64" w:name="_Toc21547"/>
                  <w:bookmarkStart w:id="265" w:name="_Toc20442"/>
                  <w:bookmarkStart w:id="266" w:name="_Toc24502"/>
                  <w:bookmarkStart w:id="267" w:name="_Toc15008"/>
                  <w:bookmarkStart w:id="268" w:name="_Toc27137"/>
                  <w:bookmarkStart w:id="269" w:name="_Toc1596"/>
                  <w:bookmarkStart w:id="270" w:name="_Toc25096"/>
                  <w:bookmarkStart w:id="271" w:name="_Toc27808"/>
                  <w:r>
                    <w:rPr>
                      <w:rFonts w:hint="default" w:ascii="Times New Roman" w:hAnsi="Times New Roman" w:eastAsia="宋体" w:cs="Times New Roman"/>
                      <w:b w:val="0"/>
                      <w:bCs w:val="0"/>
                      <w:color w:val="000000" w:themeColor="text1"/>
                      <w:szCs w:val="21"/>
                      <w:highlight w:val="none"/>
                      <w14:textFill>
                        <w14:solidFill>
                          <w14:schemeClr w14:val="tx1"/>
                        </w14:solidFill>
                      </w14:textFill>
                    </w:rPr>
                    <w:t>企业建立生产废水管理台账、对每天生产用水量、废水产生量、废水储存量和转移量、转移时间进行记录。并每月填写《零散工业废水接收单位管理台账月报表》，报表企业存档保留。</w:t>
                  </w:r>
                  <w:bookmarkEnd w:id="264"/>
                  <w:bookmarkEnd w:id="265"/>
                  <w:bookmarkEnd w:id="266"/>
                  <w:bookmarkEnd w:id="267"/>
                  <w:bookmarkEnd w:id="268"/>
                  <w:bookmarkEnd w:id="269"/>
                  <w:bookmarkEnd w:id="270"/>
                  <w:bookmarkEnd w:id="271"/>
                </w:p>
              </w:tc>
              <w:tc>
                <w:tcPr>
                  <w:tcW w:w="470" w:type="pct"/>
                  <w:vAlign w:val="center"/>
                </w:tcPr>
                <w:p w14:paraId="4F4CFBF9">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72" w:name="_Toc23652"/>
                  <w:bookmarkStart w:id="273" w:name="_Toc23134"/>
                  <w:bookmarkStart w:id="274" w:name="_Toc19366"/>
                  <w:bookmarkStart w:id="275" w:name="_Toc7194"/>
                  <w:bookmarkStart w:id="276" w:name="_Toc7026"/>
                  <w:bookmarkStart w:id="277" w:name="_Toc19332"/>
                  <w:bookmarkStart w:id="278" w:name="_Toc20688"/>
                  <w:bookmarkStart w:id="279" w:name="_Toc7104"/>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272"/>
                  <w:bookmarkEnd w:id="273"/>
                  <w:bookmarkEnd w:id="274"/>
                  <w:bookmarkEnd w:id="275"/>
                  <w:bookmarkEnd w:id="276"/>
                  <w:bookmarkEnd w:id="277"/>
                  <w:bookmarkEnd w:id="278"/>
                  <w:bookmarkEnd w:id="279"/>
                </w:p>
              </w:tc>
            </w:tr>
            <w:tr w14:paraId="2FE7A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1AC8F014">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80" w:name="_Toc1384"/>
                  <w:bookmarkStart w:id="281" w:name="_Toc16990"/>
                  <w:bookmarkStart w:id="282" w:name="_Toc31700"/>
                  <w:bookmarkStart w:id="283" w:name="_Toc19000"/>
                  <w:bookmarkStart w:id="284" w:name="_Toc31857"/>
                  <w:bookmarkStart w:id="285" w:name="_Toc16978"/>
                  <w:bookmarkStart w:id="286" w:name="_Toc22085"/>
                  <w:bookmarkStart w:id="287" w:name="_Toc13589"/>
                  <w:r>
                    <w:rPr>
                      <w:rFonts w:hint="default" w:ascii="Times New Roman" w:hAnsi="Times New Roman" w:eastAsia="宋体" w:cs="Times New Roman"/>
                      <w:b w:val="0"/>
                      <w:bCs w:val="0"/>
                      <w:color w:val="000000" w:themeColor="text1"/>
                      <w:szCs w:val="21"/>
                      <w:highlight w:val="none"/>
                      <w14:textFill>
                        <w14:solidFill>
                          <w14:schemeClr w14:val="tx1"/>
                        </w14:solidFill>
                      </w14:textFill>
                    </w:rPr>
                    <w:t>7</w:t>
                  </w:r>
                  <w:bookmarkEnd w:id="280"/>
                  <w:bookmarkEnd w:id="281"/>
                  <w:bookmarkEnd w:id="282"/>
                  <w:bookmarkEnd w:id="283"/>
                  <w:bookmarkEnd w:id="284"/>
                  <w:bookmarkEnd w:id="285"/>
                  <w:bookmarkEnd w:id="286"/>
                  <w:bookmarkEnd w:id="287"/>
                </w:p>
              </w:tc>
              <w:tc>
                <w:tcPr>
                  <w:tcW w:w="391" w:type="pct"/>
                  <w:vAlign w:val="center"/>
                </w:tcPr>
                <w:p w14:paraId="6A7546DF">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88" w:name="_Toc17436"/>
                  <w:bookmarkStart w:id="289" w:name="_Toc15510"/>
                  <w:bookmarkStart w:id="290" w:name="_Toc19716"/>
                  <w:bookmarkStart w:id="291" w:name="_Toc23851"/>
                  <w:bookmarkStart w:id="292" w:name="_Toc6377"/>
                  <w:bookmarkStart w:id="293" w:name="_Toc20736"/>
                  <w:bookmarkStart w:id="294" w:name="_Toc4118"/>
                  <w:bookmarkStart w:id="295" w:name="_Toc14754"/>
                  <w:r>
                    <w:rPr>
                      <w:rFonts w:hint="default" w:ascii="Times New Roman" w:hAnsi="Times New Roman" w:eastAsia="宋体" w:cs="Times New Roman"/>
                      <w:b w:val="0"/>
                      <w:bCs w:val="0"/>
                      <w:color w:val="000000" w:themeColor="text1"/>
                      <w:szCs w:val="21"/>
                      <w:highlight w:val="none"/>
                      <w14:textFill>
                        <w14:solidFill>
                          <w14:schemeClr w14:val="tx1"/>
                        </w14:solidFill>
                      </w14:textFill>
                    </w:rPr>
                    <w:t>五、应急管理</w:t>
                  </w:r>
                  <w:bookmarkEnd w:id="288"/>
                  <w:bookmarkEnd w:id="289"/>
                  <w:bookmarkEnd w:id="290"/>
                  <w:bookmarkEnd w:id="291"/>
                  <w:bookmarkEnd w:id="292"/>
                  <w:bookmarkEnd w:id="293"/>
                  <w:bookmarkEnd w:id="294"/>
                  <w:bookmarkEnd w:id="295"/>
                </w:p>
              </w:tc>
              <w:tc>
                <w:tcPr>
                  <w:tcW w:w="2193" w:type="pct"/>
                  <w:vAlign w:val="center"/>
                </w:tcPr>
                <w:p w14:paraId="214CDCC0">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零散工业废水接收单位应编制、备案突发环境事件应急预案，建立环境风险隐患排查制度，落实环境风险防范措施，建立完善的生产管理体系，做好零散工业废水收集处理的运营、应急和安全等管理工作。</w:t>
                  </w:r>
                </w:p>
                <w:p w14:paraId="7870B784">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零散工业废水产生单位应将零散工业废水收集、储存的运营、应急和安全等管理工作纳入企业突发环境事件应急预案，建立环境风险隐患排查制度，落实环境风险防范措施，建立完善的生产管理体系。</w:t>
                  </w:r>
                </w:p>
              </w:tc>
              <w:tc>
                <w:tcPr>
                  <w:tcW w:w="1526" w:type="pct"/>
                  <w:vAlign w:val="center"/>
                </w:tcPr>
                <w:p w14:paraId="60B8B62D">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296" w:name="_Toc6156"/>
                  <w:bookmarkStart w:id="297" w:name="_Toc30723"/>
                  <w:bookmarkStart w:id="298" w:name="_Toc7597"/>
                  <w:bookmarkStart w:id="299" w:name="_Toc20399"/>
                  <w:bookmarkStart w:id="300" w:name="_Toc26521"/>
                  <w:bookmarkStart w:id="301" w:name="_Toc31292"/>
                  <w:bookmarkStart w:id="302" w:name="_Toc9403"/>
                  <w:bookmarkStart w:id="303" w:name="_Toc3829"/>
                  <w:r>
                    <w:rPr>
                      <w:rFonts w:hint="default" w:ascii="Times New Roman" w:hAnsi="Times New Roman" w:eastAsia="宋体" w:cs="Times New Roman"/>
                      <w:b w:val="0"/>
                      <w:bCs w:val="0"/>
                      <w:color w:val="000000" w:themeColor="text1"/>
                      <w:szCs w:val="21"/>
                      <w:highlight w:val="none"/>
                      <w14:textFill>
                        <w14:solidFill>
                          <w14:schemeClr w14:val="tx1"/>
                        </w14:solidFill>
                      </w14:textFill>
                    </w:rPr>
                    <w:t>企业建立生产废水泄漏环境风险隐患排查制度，落实环境风险防范措施，建立完善的生产管理体系。</w:t>
                  </w:r>
                  <w:bookmarkEnd w:id="296"/>
                  <w:bookmarkEnd w:id="297"/>
                  <w:bookmarkEnd w:id="298"/>
                  <w:bookmarkEnd w:id="299"/>
                  <w:bookmarkEnd w:id="300"/>
                  <w:bookmarkEnd w:id="301"/>
                  <w:bookmarkEnd w:id="302"/>
                  <w:bookmarkEnd w:id="303"/>
                </w:p>
              </w:tc>
              <w:tc>
                <w:tcPr>
                  <w:tcW w:w="470" w:type="pct"/>
                  <w:vAlign w:val="center"/>
                </w:tcPr>
                <w:p w14:paraId="26ECED88">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304" w:name="_Toc372"/>
                  <w:bookmarkStart w:id="305" w:name="_Toc28060"/>
                  <w:bookmarkStart w:id="306" w:name="_Toc11228"/>
                  <w:bookmarkStart w:id="307" w:name="_Toc10851"/>
                  <w:bookmarkStart w:id="308" w:name="_Toc31357"/>
                  <w:bookmarkStart w:id="309" w:name="_Toc5140"/>
                  <w:bookmarkStart w:id="310" w:name="_Toc8825"/>
                  <w:bookmarkStart w:id="311" w:name="_Toc21463"/>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304"/>
                  <w:bookmarkEnd w:id="305"/>
                  <w:bookmarkEnd w:id="306"/>
                  <w:bookmarkEnd w:id="307"/>
                  <w:bookmarkEnd w:id="308"/>
                  <w:bookmarkEnd w:id="309"/>
                  <w:bookmarkEnd w:id="310"/>
                  <w:bookmarkEnd w:id="311"/>
                </w:p>
              </w:tc>
            </w:tr>
            <w:tr w14:paraId="374FF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14:paraId="35C6C6AB">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312" w:name="_Toc15127"/>
                  <w:bookmarkStart w:id="313" w:name="_Toc2958"/>
                  <w:bookmarkStart w:id="314" w:name="_Toc15258"/>
                  <w:bookmarkStart w:id="315" w:name="_Toc11127"/>
                  <w:bookmarkStart w:id="316" w:name="_Toc24581"/>
                  <w:bookmarkStart w:id="317" w:name="_Toc16499"/>
                  <w:bookmarkStart w:id="318" w:name="_Toc26603"/>
                  <w:bookmarkStart w:id="319" w:name="_Toc27056"/>
                  <w:r>
                    <w:rPr>
                      <w:rFonts w:hint="default" w:ascii="Times New Roman" w:hAnsi="Times New Roman" w:eastAsia="宋体" w:cs="Times New Roman"/>
                      <w:b w:val="0"/>
                      <w:bCs w:val="0"/>
                      <w:color w:val="000000" w:themeColor="text1"/>
                      <w:szCs w:val="21"/>
                      <w:highlight w:val="none"/>
                      <w14:textFill>
                        <w14:solidFill>
                          <w14:schemeClr w14:val="tx1"/>
                        </w14:solidFill>
                      </w14:textFill>
                    </w:rPr>
                    <w:t>8</w:t>
                  </w:r>
                  <w:bookmarkEnd w:id="312"/>
                  <w:bookmarkEnd w:id="313"/>
                  <w:bookmarkEnd w:id="314"/>
                  <w:bookmarkEnd w:id="315"/>
                  <w:bookmarkEnd w:id="316"/>
                  <w:bookmarkEnd w:id="317"/>
                  <w:bookmarkEnd w:id="318"/>
                  <w:bookmarkEnd w:id="319"/>
                </w:p>
              </w:tc>
              <w:tc>
                <w:tcPr>
                  <w:tcW w:w="391" w:type="pct"/>
                  <w:vAlign w:val="center"/>
                </w:tcPr>
                <w:p w14:paraId="4EBDAC4B">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320" w:name="_Toc11577"/>
                  <w:bookmarkStart w:id="321" w:name="_Toc7669"/>
                  <w:bookmarkStart w:id="322" w:name="_Toc5863"/>
                  <w:bookmarkStart w:id="323" w:name="_Toc30726"/>
                  <w:bookmarkStart w:id="324" w:name="_Toc15976"/>
                  <w:bookmarkStart w:id="325" w:name="_Toc27114"/>
                  <w:bookmarkStart w:id="326" w:name="_Toc23852"/>
                  <w:bookmarkStart w:id="327" w:name="_Toc25155"/>
                  <w:r>
                    <w:rPr>
                      <w:rFonts w:hint="default" w:ascii="Times New Roman" w:hAnsi="Times New Roman" w:eastAsia="宋体" w:cs="Times New Roman"/>
                      <w:b w:val="0"/>
                      <w:bCs w:val="0"/>
                      <w:color w:val="000000" w:themeColor="text1"/>
                      <w:szCs w:val="21"/>
                      <w:highlight w:val="none"/>
                      <w14:textFill>
                        <w14:solidFill>
                          <w14:schemeClr w14:val="tx1"/>
                        </w14:solidFill>
                      </w14:textFill>
                    </w:rPr>
                    <w:t>六、信息报送</w:t>
                  </w:r>
                  <w:bookmarkEnd w:id="320"/>
                  <w:bookmarkEnd w:id="321"/>
                  <w:bookmarkEnd w:id="322"/>
                  <w:bookmarkEnd w:id="323"/>
                  <w:bookmarkEnd w:id="324"/>
                  <w:bookmarkEnd w:id="325"/>
                  <w:bookmarkEnd w:id="326"/>
                  <w:bookmarkEnd w:id="327"/>
                </w:p>
              </w:tc>
              <w:tc>
                <w:tcPr>
                  <w:tcW w:w="2193" w:type="pct"/>
                  <w:vAlign w:val="center"/>
                </w:tcPr>
                <w:p w14:paraId="1CFE39D4">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零散工业废水产生单位每月10日前将上月的《零散工业废水产生单位废水产生转移台账月报表》报送所在镇街生态环境部门。</w:t>
                  </w:r>
                </w:p>
                <w:p w14:paraId="3F0F921E">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零散工业废水接收单位每月10日前将上月的《零散工业废水接收单位废水接收台账月报表》报送所在镇街生态环境部门，并抄报市生态环境局。</w:t>
                  </w:r>
                </w:p>
                <w:p w14:paraId="3E91DD4A">
                  <w:pPr>
                    <w:adjustRightInd w:val="0"/>
                    <w:snapToGrid w:val="0"/>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市生态环境局按信息化建设要求推进零散工业废水监管平台的建设，待监管平台建成启用后，相应信息报送要求按照平台管理要求进行。</w:t>
                  </w:r>
                </w:p>
              </w:tc>
              <w:tc>
                <w:tcPr>
                  <w:tcW w:w="1526" w:type="pct"/>
                  <w:vAlign w:val="center"/>
                </w:tcPr>
                <w:p w14:paraId="34E0DE35">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328" w:name="_Toc23455"/>
                  <w:bookmarkStart w:id="329" w:name="_Toc19991"/>
                  <w:bookmarkStart w:id="330" w:name="_Toc29652"/>
                  <w:bookmarkStart w:id="331" w:name="_Toc5520"/>
                  <w:bookmarkStart w:id="332" w:name="_Toc18182"/>
                  <w:bookmarkStart w:id="333" w:name="_Toc31258"/>
                  <w:bookmarkStart w:id="334" w:name="_Toc12809"/>
                  <w:bookmarkStart w:id="335" w:name="_Toc3534"/>
                  <w:r>
                    <w:rPr>
                      <w:rFonts w:hint="default" w:ascii="Times New Roman" w:hAnsi="Times New Roman" w:eastAsia="宋体" w:cs="Times New Roman"/>
                      <w:b w:val="0"/>
                      <w:bCs w:val="0"/>
                      <w:color w:val="000000" w:themeColor="text1"/>
                      <w:szCs w:val="21"/>
                      <w:highlight w:val="none"/>
                      <w14:textFill>
                        <w14:solidFill>
                          <w14:schemeClr w14:val="tx1"/>
                        </w14:solidFill>
                      </w14:textFill>
                    </w:rPr>
                    <w:t>企业每月10日前将上月的《零散工业废水产生单位废水转移台账月报表》报送所在镇街生态环境部门。</w:t>
                  </w:r>
                  <w:bookmarkEnd w:id="328"/>
                  <w:bookmarkEnd w:id="329"/>
                  <w:bookmarkEnd w:id="330"/>
                  <w:bookmarkEnd w:id="331"/>
                  <w:bookmarkEnd w:id="332"/>
                  <w:bookmarkEnd w:id="333"/>
                  <w:bookmarkEnd w:id="334"/>
                  <w:bookmarkEnd w:id="335"/>
                </w:p>
              </w:tc>
              <w:tc>
                <w:tcPr>
                  <w:tcW w:w="470" w:type="pct"/>
                  <w:vAlign w:val="center"/>
                </w:tcPr>
                <w:p w14:paraId="075B3F5A">
                  <w:pPr>
                    <w:pStyle w:val="4"/>
                    <w:numPr>
                      <w:ilvl w:val="0"/>
                      <w:numId w:val="0"/>
                    </w:num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bookmarkStart w:id="336" w:name="_Toc15939"/>
                  <w:bookmarkStart w:id="337" w:name="_Toc2616"/>
                  <w:bookmarkStart w:id="338" w:name="_Toc21273"/>
                  <w:bookmarkStart w:id="339" w:name="_Toc17876"/>
                  <w:bookmarkStart w:id="340" w:name="_Toc24133"/>
                  <w:bookmarkStart w:id="341" w:name="_Toc19306"/>
                  <w:bookmarkStart w:id="342" w:name="_Toc1645"/>
                  <w:bookmarkStart w:id="343" w:name="_Toc32688"/>
                  <w:r>
                    <w:rPr>
                      <w:rFonts w:hint="default" w:ascii="Times New Roman" w:hAnsi="Times New Roman" w:eastAsia="宋体" w:cs="Times New Roman"/>
                      <w:b w:val="0"/>
                      <w:bCs w:val="0"/>
                      <w:color w:val="000000" w:themeColor="text1"/>
                      <w:szCs w:val="21"/>
                      <w:highlight w:val="none"/>
                      <w14:textFill>
                        <w14:solidFill>
                          <w14:schemeClr w14:val="tx1"/>
                        </w14:solidFill>
                      </w14:textFill>
                    </w:rPr>
                    <w:t>相符</w:t>
                  </w:r>
                  <w:bookmarkEnd w:id="336"/>
                  <w:bookmarkEnd w:id="337"/>
                  <w:bookmarkEnd w:id="338"/>
                  <w:bookmarkEnd w:id="339"/>
                  <w:bookmarkEnd w:id="340"/>
                  <w:bookmarkEnd w:id="341"/>
                  <w:bookmarkEnd w:id="342"/>
                  <w:bookmarkEnd w:id="343"/>
                </w:p>
              </w:tc>
            </w:tr>
          </w:tbl>
          <w:p w14:paraId="165AE40A">
            <w:pPr>
              <w:pStyle w:val="52"/>
              <w:spacing w:line="480" w:lineRule="exact"/>
              <w:ind w:firstLine="480"/>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生产废水委托给</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有废水处理能力单位转移</w:t>
            </w:r>
            <w:r>
              <w:rPr>
                <w:rFonts w:hint="default" w:ascii="Times New Roman" w:hAnsi="Times New Roman" w:eastAsia="宋体" w:cs="Times New Roman"/>
                <w:color w:val="000000" w:themeColor="text1"/>
                <w:highlight w:val="none"/>
                <w14:textFill>
                  <w14:solidFill>
                    <w14:schemeClr w14:val="tx1"/>
                  </w14:solidFill>
                </w14:textFill>
              </w:rPr>
              <w:t>处理。</w:t>
            </w:r>
          </w:p>
          <w:p w14:paraId="65B269A9">
            <w:pPr>
              <w:pStyle w:val="5"/>
              <w:spacing w:before="0" w:after="0" w:line="240" w:lineRule="auto"/>
              <w:jc w:val="center"/>
              <w:rPr>
                <w:rFonts w:hint="default" w:ascii="Times New Roman" w:hAnsi="Times New Roman" w:eastAsia="宋体" w:cs="Times New Roman"/>
                <w:b/>
                <w:color w:val="000000" w:themeColor="text1"/>
                <w:sz w:val="21"/>
                <w:highlight w:val="none"/>
                <w14:textFill>
                  <w14:solidFill>
                    <w14:schemeClr w14:val="tx1"/>
                  </w14:solidFill>
                </w14:textFill>
              </w:rPr>
            </w:pPr>
            <w:r>
              <w:rPr>
                <w:rFonts w:hint="default" w:ascii="Times New Roman" w:hAnsi="Times New Roman" w:eastAsia="宋体" w:cs="Times New Roman"/>
                <w:b/>
                <w:color w:val="000000" w:themeColor="text1"/>
                <w:sz w:val="21"/>
                <w:highlight w:val="none"/>
                <w14:textFill>
                  <w14:solidFill>
                    <w14:schemeClr w14:val="tx1"/>
                  </w14:solidFill>
                </w14:textFill>
              </w:rPr>
              <w:t>中山市有处理能力的废水处理机构名单表</w:t>
            </w:r>
          </w:p>
          <w:tbl>
            <w:tblPr>
              <w:tblStyle w:val="32"/>
              <w:tblW w:w="491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9"/>
              <w:gridCol w:w="1077"/>
              <w:gridCol w:w="1608"/>
              <w:gridCol w:w="982"/>
              <w:gridCol w:w="830"/>
              <w:gridCol w:w="2118"/>
            </w:tblGrid>
            <w:tr w14:paraId="45E4C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29" w:type="dxa"/>
                  <w:noWrap/>
                  <w:vAlign w:val="center"/>
                </w:tcPr>
                <w:p w14:paraId="5600C0B5">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单位名称</w:t>
                  </w:r>
                </w:p>
              </w:tc>
              <w:tc>
                <w:tcPr>
                  <w:tcW w:w="1077" w:type="dxa"/>
                  <w:noWrap w:val="0"/>
                  <w:vAlign w:val="center"/>
                </w:tcPr>
                <w:p w14:paraId="45E2468D">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地址</w:t>
                  </w:r>
                </w:p>
              </w:tc>
              <w:tc>
                <w:tcPr>
                  <w:tcW w:w="1608" w:type="dxa"/>
                  <w:noWrap w:val="0"/>
                  <w:vAlign w:val="center"/>
                </w:tcPr>
                <w:p w14:paraId="5710EAC2">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收集处理能力</w:t>
                  </w:r>
                </w:p>
              </w:tc>
              <w:tc>
                <w:tcPr>
                  <w:tcW w:w="982" w:type="dxa"/>
                  <w:noWrap w:val="0"/>
                  <w:vAlign w:val="center"/>
                </w:tcPr>
                <w:p w14:paraId="3884B14A">
                  <w:pPr>
                    <w:bidi w:val="0"/>
                    <w:jc w:val="center"/>
                    <w:rPr>
                      <w:rFonts w:hint="default" w:ascii="Times New Roman" w:hAnsi="Times New Roman"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处理量</w:t>
                  </w:r>
                </w:p>
              </w:tc>
              <w:tc>
                <w:tcPr>
                  <w:tcW w:w="830" w:type="dxa"/>
                  <w:noWrap w:val="0"/>
                  <w:vAlign w:val="center"/>
                </w:tcPr>
                <w:p w14:paraId="4384D466">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余量</w:t>
                  </w:r>
                </w:p>
              </w:tc>
              <w:tc>
                <w:tcPr>
                  <w:tcW w:w="2118" w:type="dxa"/>
                  <w:noWrap w:val="0"/>
                  <w:vAlign w:val="center"/>
                </w:tcPr>
                <w:p w14:paraId="068EC1AB">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接收水质要求</w:t>
                  </w:r>
                </w:p>
                <w:p w14:paraId="56B0C76F">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mg/L</w:t>
                  </w:r>
                </w:p>
              </w:tc>
            </w:tr>
            <w:tr w14:paraId="6A941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29" w:type="dxa"/>
                  <w:noWrap/>
                  <w:vAlign w:val="center"/>
                </w:tcPr>
                <w:p w14:paraId="2E7010E4">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中山市中丽环境服务有限公司</w:t>
                  </w:r>
                </w:p>
              </w:tc>
              <w:tc>
                <w:tcPr>
                  <w:tcW w:w="1077" w:type="dxa"/>
                  <w:noWrap w:val="0"/>
                  <w:vAlign w:val="center"/>
                </w:tcPr>
                <w:p w14:paraId="42F93BB7">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中山市三角镇高平工业区福泽一街</w:t>
                  </w:r>
                </w:p>
              </w:tc>
              <w:tc>
                <w:tcPr>
                  <w:tcW w:w="1608" w:type="dxa"/>
                  <w:noWrap w:val="0"/>
                  <w:vAlign w:val="center"/>
                </w:tcPr>
                <w:p w14:paraId="5D285D65">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洗染、印刷、印花、涂料、油墨、喷漆及喷淋废水、食品加工废水、日用化工废水、前处理废水、生活污水、一般化工废水等</w:t>
                  </w:r>
                </w:p>
              </w:tc>
              <w:tc>
                <w:tcPr>
                  <w:tcW w:w="982" w:type="dxa"/>
                  <w:noWrap w:val="0"/>
                  <w:vAlign w:val="top"/>
                </w:tcPr>
                <w:p w14:paraId="5E364C12">
                  <w:pPr>
                    <w:bidi w:val="0"/>
                    <w:jc w:val="center"/>
                    <w:rPr>
                      <w:rFonts w:hint="default" w:ascii="Times New Roman" w:hAnsi="Times New Roman" w:cs="Times New Roman"/>
                      <w:color w:val="000000" w:themeColor="text1"/>
                      <w:highlight w:val="none"/>
                      <w14:textFill>
                        <w14:solidFill>
                          <w14:schemeClr w14:val="tx1"/>
                        </w14:solidFill>
                      </w14:textFill>
                    </w:rPr>
                  </w:pPr>
                </w:p>
                <w:p w14:paraId="60CA728B">
                  <w:pPr>
                    <w:bidi w:val="0"/>
                    <w:jc w:val="center"/>
                    <w:rPr>
                      <w:rFonts w:hint="default" w:ascii="Times New Roman" w:hAnsi="Times New Roman" w:cs="Times New Roman"/>
                      <w:color w:val="000000" w:themeColor="text1"/>
                      <w:highlight w:val="none"/>
                      <w14:textFill>
                        <w14:solidFill>
                          <w14:schemeClr w14:val="tx1"/>
                        </w14:solidFill>
                      </w14:textFill>
                    </w:rPr>
                  </w:pPr>
                </w:p>
                <w:p w14:paraId="2BC42B97">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400</w:t>
                  </w:r>
                </w:p>
                <w:p w14:paraId="46382BFA">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吨/天</w:t>
                  </w:r>
                </w:p>
              </w:tc>
              <w:tc>
                <w:tcPr>
                  <w:tcW w:w="830" w:type="dxa"/>
                  <w:noWrap w:val="0"/>
                  <w:vAlign w:val="top"/>
                </w:tcPr>
                <w:p w14:paraId="45B121B6">
                  <w:pPr>
                    <w:bidi w:val="0"/>
                    <w:jc w:val="center"/>
                    <w:rPr>
                      <w:rFonts w:hint="default" w:ascii="Times New Roman" w:hAnsi="Times New Roman" w:cs="Times New Roman"/>
                      <w:color w:val="000000" w:themeColor="text1"/>
                      <w:highlight w:val="none"/>
                      <w14:textFill>
                        <w14:solidFill>
                          <w14:schemeClr w14:val="tx1"/>
                        </w14:solidFill>
                      </w14:textFill>
                    </w:rPr>
                  </w:pPr>
                </w:p>
                <w:p w14:paraId="57D383C1">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200</w:t>
                  </w:r>
                </w:p>
                <w:p w14:paraId="49FD627A">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吨/天</w:t>
                  </w:r>
                </w:p>
              </w:tc>
              <w:tc>
                <w:tcPr>
                  <w:tcW w:w="2118" w:type="dxa"/>
                  <w:noWrap w:val="0"/>
                  <w:vAlign w:val="center"/>
                </w:tcPr>
                <w:p w14:paraId="0377100D">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pH值 4~ 10</w:t>
                  </w:r>
                </w:p>
                <w:p w14:paraId="150056F8">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COD≤5000mg/L BOD</w:t>
                  </w:r>
                  <w:r>
                    <w:rPr>
                      <w:rFonts w:hint="default" w:ascii="Times New Roman" w:hAnsi="Times New Roman" w:cs="Times New Roman"/>
                      <w:color w:val="000000" w:themeColor="text1"/>
                      <w:highlight w:val="none"/>
                      <w:vertAlign w:val="subscript"/>
                      <w14:textFill>
                        <w14:solidFill>
                          <w14:schemeClr w14:val="tx1"/>
                        </w14:solidFill>
                      </w14:textFill>
                    </w:rPr>
                    <w:t>5</w:t>
                  </w:r>
                  <w:r>
                    <w:rPr>
                      <w:rFonts w:hint="default" w:ascii="Times New Roman" w:hAnsi="Times New Roman" w:cs="Times New Roman"/>
                      <w:color w:val="000000" w:themeColor="text1"/>
                      <w:highlight w:val="none"/>
                      <w14:textFill>
                        <w14:solidFill>
                          <w14:schemeClr w14:val="tx1"/>
                        </w14:solidFill>
                      </w14:textFill>
                    </w:rPr>
                    <w:t>≤2000m、</w:t>
                  </w:r>
                </w:p>
                <w:p w14:paraId="21BE2E7E">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氨氮≤30mg/L 、</w:t>
                  </w:r>
                </w:p>
                <w:p w14:paraId="26D9D4FA">
                  <w:pPr>
                    <w:bidi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磷酸盐≤10mg/L、</w:t>
                  </w:r>
                </w:p>
                <w:p w14:paraId="5C35F133">
                  <w:pPr>
                    <w:bidi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SS≤500mg/L</w:t>
                  </w:r>
                </w:p>
                <w:p w14:paraId="1FB0B2A0">
                  <w:pPr>
                    <w:bidi w:val="0"/>
                    <w:jc w:val="center"/>
                    <w:rPr>
                      <w:rFonts w:hint="default" w:ascii="Times New Roman" w:hAnsi="Times New Roman" w:cs="Times New Roman"/>
                      <w:color w:val="000000" w:themeColor="text1"/>
                      <w:highlight w:val="none"/>
                      <w14:textFill>
                        <w14:solidFill>
                          <w14:schemeClr w14:val="tx1"/>
                        </w14:solidFill>
                      </w14:textFill>
                    </w:rPr>
                  </w:pPr>
                </w:p>
              </w:tc>
            </w:tr>
          </w:tbl>
          <w:p w14:paraId="4BA9726C">
            <w:pPr>
              <w:pStyle w:val="5"/>
              <w:numPr>
                <w:ilvl w:val="0"/>
                <w:numId w:val="0"/>
              </w:numPr>
              <w:spacing w:before="0" w:after="0" w:line="240" w:lineRule="auto"/>
              <w:ind w:left="124" w:leftChars="0"/>
              <w:jc w:val="center"/>
              <w:rPr>
                <w:rFonts w:hint="default" w:ascii="Times New Roman" w:hAnsi="Times New Roman" w:eastAsia="宋体" w:cs="Times New Roman"/>
                <w:b/>
                <w:color w:val="000000" w:themeColor="text1"/>
                <w:sz w:val="21"/>
                <w:highlight w:val="none"/>
                <w14:textFill>
                  <w14:solidFill>
                    <w14:schemeClr w14:val="tx1"/>
                  </w14:solidFill>
                </w14:textFill>
              </w:rPr>
            </w:pPr>
          </w:p>
          <w:p w14:paraId="727E3273">
            <w:pPr>
              <w:pStyle w:val="5"/>
              <w:spacing w:before="0" w:after="0" w:line="240" w:lineRule="auto"/>
              <w:jc w:val="center"/>
              <w:rPr>
                <w:rFonts w:hint="default" w:ascii="Times New Roman" w:hAnsi="Times New Roman" w:eastAsia="宋体" w:cs="Times New Roman"/>
                <w:b/>
                <w:color w:val="000000" w:themeColor="text1"/>
                <w:sz w:val="21"/>
                <w:highlight w:val="none"/>
                <w14:textFill>
                  <w14:solidFill>
                    <w14:schemeClr w14:val="tx1"/>
                  </w14:solidFill>
                </w14:textFill>
              </w:rPr>
            </w:pPr>
            <w:r>
              <w:rPr>
                <w:rFonts w:hint="default" w:ascii="Times New Roman" w:hAnsi="Times New Roman" w:eastAsia="宋体" w:cs="Times New Roman"/>
                <w:b/>
                <w:color w:val="000000" w:themeColor="text1"/>
                <w:sz w:val="21"/>
                <w:highlight w:val="none"/>
                <w14:textFill>
                  <w14:solidFill>
                    <w14:schemeClr w14:val="tx1"/>
                  </w14:solidFill>
                </w14:textFill>
              </w:rPr>
              <w:t>废水暂存和废水转移频次一览表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674"/>
              <w:gridCol w:w="1674"/>
              <w:gridCol w:w="1683"/>
              <w:gridCol w:w="1676"/>
            </w:tblGrid>
            <w:tr w14:paraId="5F846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998" w:type="pct"/>
                </w:tcPr>
                <w:p w14:paraId="5DEC2F0C">
                  <w:pPr>
                    <w:pStyle w:val="31"/>
                    <w:spacing w:after="0"/>
                    <w:ind w:left="0" w:leftChars="0" w:firstLine="0" w:firstLineChars="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废水类别</w:t>
                  </w:r>
                </w:p>
              </w:tc>
              <w:tc>
                <w:tcPr>
                  <w:tcW w:w="999" w:type="pct"/>
                </w:tcPr>
                <w:p w14:paraId="6B63ACDB">
                  <w:pPr>
                    <w:pStyle w:val="31"/>
                    <w:spacing w:after="0"/>
                    <w:ind w:left="0" w:leftChars="0" w:firstLine="0" w:firstLineChars="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废水产生量</w:t>
                  </w:r>
                </w:p>
              </w:tc>
              <w:tc>
                <w:tcPr>
                  <w:tcW w:w="999" w:type="pct"/>
                </w:tcPr>
                <w:p w14:paraId="59245ACE">
                  <w:pPr>
                    <w:pStyle w:val="31"/>
                    <w:spacing w:after="0"/>
                    <w:ind w:left="0" w:leftChars="0" w:firstLine="0" w:firstLineChars="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废水最大暂存量</w:t>
                  </w:r>
                </w:p>
              </w:tc>
              <w:tc>
                <w:tcPr>
                  <w:tcW w:w="1002" w:type="pct"/>
                </w:tcPr>
                <w:p w14:paraId="0185ED10">
                  <w:pPr>
                    <w:pStyle w:val="31"/>
                    <w:spacing w:after="0"/>
                    <w:ind w:left="0" w:leftChars="0" w:firstLine="0" w:firstLineChars="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废水转移频次</w:t>
                  </w:r>
                </w:p>
              </w:tc>
              <w:tc>
                <w:tcPr>
                  <w:tcW w:w="1000" w:type="pct"/>
                </w:tcPr>
                <w:p w14:paraId="26B62D86">
                  <w:pPr>
                    <w:pStyle w:val="31"/>
                    <w:spacing w:after="0"/>
                    <w:ind w:left="0" w:leftChars="0" w:firstLine="0" w:firstLineChars="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废水转移量</w:t>
                  </w:r>
                </w:p>
              </w:tc>
            </w:tr>
            <w:tr w14:paraId="1B05F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98" w:type="pct"/>
                </w:tcPr>
                <w:p w14:paraId="1488D709">
                  <w:pPr>
                    <w:pStyle w:val="31"/>
                    <w:spacing w:after="0"/>
                    <w:ind w:left="0" w:leftChars="0" w:firstLine="0" w:firstLine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生产废水</w:t>
                  </w:r>
                </w:p>
              </w:tc>
              <w:tc>
                <w:tcPr>
                  <w:tcW w:w="999" w:type="pct"/>
                </w:tcPr>
                <w:p w14:paraId="4D10528E">
                  <w:pPr>
                    <w:pStyle w:val="31"/>
                    <w:spacing w:after="0"/>
                    <w:ind w:left="0" w:leftChars="0" w:firstLine="0" w:firstLine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11.52</w:t>
                  </w:r>
                  <w:r>
                    <w:rPr>
                      <w:rFonts w:hint="default" w:ascii="Times New Roman" w:hAnsi="Times New Roman" w:eastAsia="宋体" w:cs="Times New Roman"/>
                      <w:color w:val="000000" w:themeColor="text1"/>
                      <w:szCs w:val="21"/>
                      <w:highlight w:val="none"/>
                      <w14:textFill>
                        <w14:solidFill>
                          <w14:schemeClr w14:val="tx1"/>
                        </w14:solidFill>
                      </w14:textFill>
                    </w:rPr>
                    <w:t>吨/年</w:t>
                  </w:r>
                </w:p>
              </w:tc>
              <w:tc>
                <w:tcPr>
                  <w:tcW w:w="999" w:type="pct"/>
                </w:tcPr>
                <w:p w14:paraId="7C026F9E">
                  <w:pPr>
                    <w:pStyle w:val="31"/>
                    <w:spacing w:after="0"/>
                    <w:ind w:left="0" w:leftChars="0" w:firstLine="0" w:firstLine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14:textFill>
                        <w14:solidFill>
                          <w14:schemeClr w14:val="tx1"/>
                        </w14:solidFill>
                      </w14:textFill>
                    </w:rPr>
                    <w:t>吨</w:t>
                  </w:r>
                </w:p>
              </w:tc>
              <w:tc>
                <w:tcPr>
                  <w:tcW w:w="1002" w:type="pct"/>
                </w:tcPr>
                <w:p w14:paraId="6D1D4ECC">
                  <w:pPr>
                    <w:pStyle w:val="31"/>
                    <w:spacing w:after="0"/>
                    <w:ind w:left="0" w:leftChars="0" w:firstLine="0" w:firstLineChars="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Cs w:val="21"/>
                      <w:highlight w:val="none"/>
                      <w14:textFill>
                        <w14:solidFill>
                          <w14:schemeClr w14:val="tx1"/>
                        </w14:solidFill>
                      </w14:textFill>
                    </w:rPr>
                    <w:t>次/年</w:t>
                  </w:r>
                </w:p>
              </w:tc>
              <w:tc>
                <w:tcPr>
                  <w:tcW w:w="1000" w:type="pct"/>
                </w:tcPr>
                <w:p w14:paraId="491405F1">
                  <w:pPr>
                    <w:pStyle w:val="31"/>
                    <w:spacing w:after="0"/>
                    <w:ind w:left="0" w:leftChars="0" w:firstLine="0" w:firstLineChars="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152</w:t>
                  </w:r>
                  <w:r>
                    <w:rPr>
                      <w:rFonts w:hint="default" w:ascii="Times New Roman" w:hAnsi="Times New Roman" w:eastAsia="宋体" w:cs="Times New Roman"/>
                      <w:color w:val="000000" w:themeColor="text1"/>
                      <w:szCs w:val="21"/>
                      <w:highlight w:val="none"/>
                      <w14:textFill>
                        <w14:solidFill>
                          <w14:schemeClr w14:val="tx1"/>
                        </w14:solidFill>
                      </w14:textFill>
                    </w:rPr>
                    <w:t>吨/次</w:t>
                  </w:r>
                </w:p>
              </w:tc>
            </w:tr>
            <w:tr w14:paraId="4278B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4000" w:type="pct"/>
                  <w:gridSpan w:val="4"/>
                </w:tcPr>
                <w:p w14:paraId="382C592D">
                  <w:pPr>
                    <w:pStyle w:val="31"/>
                    <w:spacing w:after="0"/>
                    <w:ind w:left="0" w:leftChars="0" w:firstLine="0" w:firstLine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合计</w:t>
                  </w:r>
                </w:p>
              </w:tc>
              <w:tc>
                <w:tcPr>
                  <w:tcW w:w="1000" w:type="pct"/>
                </w:tcPr>
                <w:p w14:paraId="298B63EE">
                  <w:pPr>
                    <w:pStyle w:val="31"/>
                    <w:spacing w:after="0"/>
                    <w:ind w:left="0" w:leftChars="0" w:firstLine="0" w:firstLineChars="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152</w:t>
                  </w:r>
                  <w:r>
                    <w:rPr>
                      <w:rFonts w:hint="default" w:ascii="Times New Roman" w:hAnsi="Times New Roman" w:eastAsia="宋体" w:cs="Times New Roman"/>
                      <w:color w:val="000000" w:themeColor="text1"/>
                      <w:szCs w:val="21"/>
                      <w:highlight w:val="none"/>
                      <w14:textFill>
                        <w14:solidFill>
                          <w14:schemeClr w14:val="tx1"/>
                        </w14:solidFill>
                      </w14:textFill>
                    </w:rPr>
                    <w:t>吨/次</w:t>
                  </w:r>
                </w:p>
              </w:tc>
            </w:tr>
          </w:tbl>
          <w:p w14:paraId="1A5C1A4E">
            <w:pPr>
              <w:pStyle w:val="47"/>
              <w:ind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照上述所列废水转移单位情况，废水处理单位处理余量约为</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4"/>
                <w:highlight w:val="none"/>
                <w14:textFill>
                  <w14:solidFill>
                    <w14:schemeClr w14:val="tx1"/>
                  </w14:solidFill>
                </w14:textFill>
              </w:rPr>
              <w:t>00吨/日，本项目生产废水每次转移量约为</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152</w:t>
            </w:r>
            <w:r>
              <w:rPr>
                <w:rFonts w:hint="default" w:ascii="Times New Roman" w:hAnsi="Times New Roman" w:eastAsia="宋体" w:cs="Times New Roman"/>
                <w:color w:val="000000" w:themeColor="text1"/>
                <w:szCs w:val="24"/>
                <w:highlight w:val="none"/>
                <w14:textFill>
                  <w14:solidFill>
                    <w14:schemeClr w14:val="tx1"/>
                  </w14:solidFill>
                </w14:textFill>
              </w:rPr>
              <w:t>吨/次，约占日处理余量的0.</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29</w:t>
            </w:r>
            <w:r>
              <w:rPr>
                <w:rFonts w:hint="default" w:ascii="Times New Roman" w:hAnsi="Times New Roman" w:eastAsia="宋体" w:cs="Times New Roman"/>
                <w:color w:val="000000" w:themeColor="text1"/>
                <w:szCs w:val="24"/>
                <w:highlight w:val="none"/>
                <w14:textFill>
                  <w14:solidFill>
                    <w14:schemeClr w14:val="tx1"/>
                  </w14:solidFill>
                </w14:textFill>
              </w:rPr>
              <w:t>%。因此对于生产废水采取集中收集后委托给</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有废水处理能力单位</w:t>
            </w:r>
            <w:r>
              <w:rPr>
                <w:rFonts w:hint="default" w:ascii="Times New Roman" w:hAnsi="Times New Roman" w:eastAsia="宋体" w:cs="Times New Roman"/>
                <w:color w:val="000000" w:themeColor="text1"/>
                <w:szCs w:val="24"/>
                <w:highlight w:val="none"/>
                <w14:textFill>
                  <w14:solidFill>
                    <w14:schemeClr w14:val="tx1"/>
                  </w14:solidFill>
                </w14:textFill>
              </w:rPr>
              <w:t xml:space="preserve">是可行的。        </w:t>
            </w:r>
          </w:p>
          <w:p w14:paraId="6B0E7276">
            <w:pPr>
              <w:pStyle w:val="47"/>
              <w:ind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综上所述，项目运营过程产生的生产废水集中收集后委托给</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有废水处理能力单位</w:t>
            </w:r>
            <w:r>
              <w:rPr>
                <w:rFonts w:hint="default" w:ascii="Times New Roman" w:hAnsi="Times New Roman" w:eastAsia="宋体" w:cs="Times New Roman"/>
                <w:color w:val="000000" w:themeColor="text1"/>
                <w:szCs w:val="24"/>
                <w:highlight w:val="none"/>
                <w14:textFill>
                  <w14:solidFill>
                    <w14:schemeClr w14:val="tx1"/>
                  </w14:solidFill>
                </w14:textFill>
              </w:rPr>
              <w:t xml:space="preserve">处理，对外环境影响不大。 </w:t>
            </w:r>
          </w:p>
          <w:p w14:paraId="2748A518">
            <w:pPr>
              <w:pStyle w:val="52"/>
              <w:spacing w:line="480" w:lineRule="exact"/>
              <w:ind w:firstLine="480"/>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经过以上措施处理，项目营运期对周边的水环境影响较小。因此，项目生产废水转移给</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有废水处理能力单位</w:t>
            </w:r>
            <w:r>
              <w:rPr>
                <w:rFonts w:hint="default" w:ascii="Times New Roman" w:hAnsi="Times New Roman" w:eastAsia="宋体" w:cs="Times New Roman"/>
                <w:color w:val="000000" w:themeColor="text1"/>
                <w:highlight w:val="none"/>
                <w14:textFill>
                  <w14:solidFill>
                    <w14:schemeClr w14:val="tx1"/>
                  </w14:solidFill>
                </w14:textFill>
              </w:rPr>
              <w:t>处理具有可依托性。</w:t>
            </w:r>
          </w:p>
          <w:p w14:paraId="3BEB15AA">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废水类别、污染物及污染治理设施信息表</w:t>
            </w:r>
          </w:p>
          <w:tbl>
            <w:tblPr>
              <w:tblStyle w:val="32"/>
              <w:tblW w:w="83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6"/>
              <w:gridCol w:w="450"/>
              <w:gridCol w:w="847"/>
              <w:gridCol w:w="907"/>
              <w:gridCol w:w="483"/>
              <w:gridCol w:w="653"/>
              <w:gridCol w:w="765"/>
              <w:gridCol w:w="628"/>
              <w:gridCol w:w="589"/>
              <w:gridCol w:w="695"/>
              <w:gridCol w:w="579"/>
              <w:gridCol w:w="1457"/>
            </w:tblGrid>
            <w:tr w14:paraId="62FA5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336" w:type="dxa"/>
                  <w:vMerge w:val="restart"/>
                  <w:shd w:val="clear" w:color="auto" w:fill="D7D7D7" w:themeFill="background1" w:themeFillShade="D8"/>
                  <w:tcMar>
                    <w:top w:w="15" w:type="dxa"/>
                    <w:left w:w="15" w:type="dxa"/>
                    <w:right w:w="15" w:type="dxa"/>
                  </w:tcMar>
                  <w:vAlign w:val="center"/>
                </w:tcPr>
                <w:p w14:paraId="5773E674">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序号</w:t>
                  </w:r>
                </w:p>
              </w:tc>
              <w:tc>
                <w:tcPr>
                  <w:tcW w:w="450" w:type="dxa"/>
                  <w:vMerge w:val="restart"/>
                  <w:shd w:val="clear" w:color="auto" w:fill="D7D7D7" w:themeFill="background1" w:themeFillShade="D8"/>
                  <w:tcMar>
                    <w:top w:w="15" w:type="dxa"/>
                    <w:left w:w="15" w:type="dxa"/>
                    <w:right w:w="15" w:type="dxa"/>
                  </w:tcMar>
                  <w:vAlign w:val="center"/>
                </w:tcPr>
                <w:p w14:paraId="6AEB5FCB">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废水类别</w:t>
                  </w:r>
                </w:p>
              </w:tc>
              <w:tc>
                <w:tcPr>
                  <w:tcW w:w="847" w:type="dxa"/>
                  <w:vMerge w:val="restart"/>
                  <w:shd w:val="clear" w:color="auto" w:fill="D7D7D7" w:themeFill="background1" w:themeFillShade="D8"/>
                  <w:tcMar>
                    <w:top w:w="15" w:type="dxa"/>
                    <w:left w:w="15" w:type="dxa"/>
                    <w:right w:w="15" w:type="dxa"/>
                  </w:tcMar>
                  <w:vAlign w:val="center"/>
                </w:tcPr>
                <w:p w14:paraId="0BFCAD1F">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污染物种类</w:t>
                  </w:r>
                </w:p>
              </w:tc>
              <w:tc>
                <w:tcPr>
                  <w:tcW w:w="907" w:type="dxa"/>
                  <w:vMerge w:val="restart"/>
                  <w:shd w:val="clear" w:color="auto" w:fill="D7D7D7" w:themeFill="background1" w:themeFillShade="D8"/>
                  <w:tcMar>
                    <w:top w:w="15" w:type="dxa"/>
                    <w:left w:w="15" w:type="dxa"/>
                    <w:right w:w="15" w:type="dxa"/>
                  </w:tcMar>
                  <w:vAlign w:val="center"/>
                </w:tcPr>
                <w:p w14:paraId="03EE3712">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排放去向</w:t>
                  </w:r>
                </w:p>
              </w:tc>
              <w:tc>
                <w:tcPr>
                  <w:tcW w:w="483" w:type="dxa"/>
                  <w:vMerge w:val="restart"/>
                  <w:shd w:val="clear" w:color="auto" w:fill="D7D7D7" w:themeFill="background1" w:themeFillShade="D8"/>
                  <w:tcMar>
                    <w:top w:w="15" w:type="dxa"/>
                    <w:left w:w="15" w:type="dxa"/>
                    <w:right w:w="15" w:type="dxa"/>
                  </w:tcMar>
                  <w:vAlign w:val="center"/>
                </w:tcPr>
                <w:p w14:paraId="57D2F7DB">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排放方式</w:t>
                  </w:r>
                </w:p>
              </w:tc>
              <w:tc>
                <w:tcPr>
                  <w:tcW w:w="653" w:type="dxa"/>
                  <w:vMerge w:val="restart"/>
                  <w:shd w:val="clear" w:color="auto" w:fill="D7D7D7" w:themeFill="background1" w:themeFillShade="D8"/>
                  <w:tcMar>
                    <w:top w:w="15" w:type="dxa"/>
                    <w:left w:w="15" w:type="dxa"/>
                    <w:right w:w="15" w:type="dxa"/>
                  </w:tcMar>
                  <w:vAlign w:val="center"/>
                </w:tcPr>
                <w:p w14:paraId="00AE263F">
                  <w:pPr>
                    <w:widowControl/>
                    <w:jc w:val="center"/>
                    <w:textAlignment w:val="cente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排放规律</w:t>
                  </w:r>
                </w:p>
              </w:tc>
              <w:tc>
                <w:tcPr>
                  <w:tcW w:w="1982" w:type="dxa"/>
                  <w:gridSpan w:val="3"/>
                  <w:shd w:val="clear" w:color="auto" w:fill="D7D7D7" w:themeFill="background1" w:themeFillShade="D8"/>
                  <w:tcMar>
                    <w:top w:w="15" w:type="dxa"/>
                    <w:left w:w="15" w:type="dxa"/>
                    <w:right w:w="15" w:type="dxa"/>
                  </w:tcMar>
                  <w:vAlign w:val="center"/>
                </w:tcPr>
                <w:p w14:paraId="496211C2">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污染治理设施</w:t>
                  </w:r>
                </w:p>
              </w:tc>
              <w:tc>
                <w:tcPr>
                  <w:tcW w:w="695" w:type="dxa"/>
                  <w:vMerge w:val="restart"/>
                  <w:shd w:val="clear" w:color="auto" w:fill="D7D7D7" w:themeFill="background1" w:themeFillShade="D8"/>
                  <w:tcMar>
                    <w:top w:w="15" w:type="dxa"/>
                    <w:left w:w="15" w:type="dxa"/>
                    <w:right w:w="15" w:type="dxa"/>
                  </w:tcMar>
                  <w:vAlign w:val="center"/>
                </w:tcPr>
                <w:p w14:paraId="32656AF4">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排放口编号</w:t>
                  </w:r>
                </w:p>
              </w:tc>
              <w:tc>
                <w:tcPr>
                  <w:tcW w:w="579" w:type="dxa"/>
                  <w:vMerge w:val="restart"/>
                  <w:shd w:val="clear" w:color="auto" w:fill="D7D7D7" w:themeFill="background1" w:themeFillShade="D8"/>
                  <w:tcMar>
                    <w:top w:w="15" w:type="dxa"/>
                    <w:left w:w="15" w:type="dxa"/>
                    <w:right w:w="15" w:type="dxa"/>
                  </w:tcMar>
                  <w:vAlign w:val="center"/>
                </w:tcPr>
                <w:p w14:paraId="268E0148">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排放口设置是否符合要求</w:t>
                  </w:r>
                </w:p>
              </w:tc>
              <w:tc>
                <w:tcPr>
                  <w:tcW w:w="1457" w:type="dxa"/>
                  <w:vMerge w:val="restart"/>
                  <w:shd w:val="clear" w:color="auto" w:fill="D7D7D7" w:themeFill="background1" w:themeFillShade="D8"/>
                  <w:tcMar>
                    <w:top w:w="15" w:type="dxa"/>
                    <w:left w:w="15" w:type="dxa"/>
                    <w:right w:w="15" w:type="dxa"/>
                  </w:tcMar>
                  <w:vAlign w:val="center"/>
                </w:tcPr>
                <w:p w14:paraId="659CCDD6">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排放口类型</w:t>
                  </w:r>
                </w:p>
              </w:tc>
            </w:tr>
            <w:tr w14:paraId="2AE84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336" w:type="dxa"/>
                  <w:vMerge w:val="continue"/>
                  <w:tcMar>
                    <w:top w:w="15" w:type="dxa"/>
                    <w:left w:w="15" w:type="dxa"/>
                    <w:right w:w="15" w:type="dxa"/>
                  </w:tcMar>
                  <w:vAlign w:val="center"/>
                </w:tcPr>
                <w:p w14:paraId="3692AAE9">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50" w:type="dxa"/>
                  <w:vMerge w:val="continue"/>
                  <w:tcMar>
                    <w:top w:w="15" w:type="dxa"/>
                    <w:left w:w="15" w:type="dxa"/>
                    <w:right w:w="15" w:type="dxa"/>
                  </w:tcMar>
                  <w:vAlign w:val="center"/>
                </w:tcPr>
                <w:p w14:paraId="50BF31C2">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847" w:type="dxa"/>
                  <w:vMerge w:val="continue"/>
                  <w:tcMar>
                    <w:top w:w="15" w:type="dxa"/>
                    <w:left w:w="15" w:type="dxa"/>
                    <w:right w:w="15" w:type="dxa"/>
                  </w:tcMar>
                  <w:vAlign w:val="center"/>
                </w:tcPr>
                <w:p w14:paraId="07B3FCEF">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907" w:type="dxa"/>
                  <w:vMerge w:val="continue"/>
                  <w:tcMar>
                    <w:top w:w="15" w:type="dxa"/>
                    <w:left w:w="15" w:type="dxa"/>
                    <w:right w:w="15" w:type="dxa"/>
                  </w:tcMar>
                  <w:vAlign w:val="center"/>
                </w:tcPr>
                <w:p w14:paraId="38C2DD3D">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83" w:type="dxa"/>
                  <w:vMerge w:val="continue"/>
                  <w:tcMar>
                    <w:top w:w="15" w:type="dxa"/>
                    <w:left w:w="15" w:type="dxa"/>
                    <w:right w:w="15" w:type="dxa"/>
                  </w:tcMar>
                  <w:vAlign w:val="center"/>
                </w:tcPr>
                <w:p w14:paraId="722C821A">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653" w:type="dxa"/>
                  <w:vMerge w:val="continue"/>
                  <w:tcMar>
                    <w:top w:w="15" w:type="dxa"/>
                    <w:left w:w="15" w:type="dxa"/>
                    <w:right w:w="15" w:type="dxa"/>
                  </w:tcMar>
                  <w:vAlign w:val="center"/>
                </w:tcPr>
                <w:p w14:paraId="2280781D">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765" w:type="dxa"/>
                  <w:shd w:val="clear" w:color="auto" w:fill="D7D7D7" w:themeFill="background1" w:themeFillShade="D8"/>
                  <w:tcMar>
                    <w:top w:w="15" w:type="dxa"/>
                    <w:left w:w="15" w:type="dxa"/>
                    <w:right w:w="15" w:type="dxa"/>
                  </w:tcMar>
                  <w:vAlign w:val="center"/>
                </w:tcPr>
                <w:p w14:paraId="60B4B6CF">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污染治理设施编号</w:t>
                  </w:r>
                </w:p>
              </w:tc>
              <w:tc>
                <w:tcPr>
                  <w:tcW w:w="628" w:type="dxa"/>
                  <w:shd w:val="clear" w:color="auto" w:fill="D7D7D7" w:themeFill="background1" w:themeFillShade="D8"/>
                  <w:tcMar>
                    <w:top w:w="15" w:type="dxa"/>
                    <w:left w:w="15" w:type="dxa"/>
                    <w:right w:w="15" w:type="dxa"/>
                  </w:tcMar>
                  <w:vAlign w:val="center"/>
                </w:tcPr>
                <w:p w14:paraId="6B2716B1">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污染治理设施名称</w:t>
                  </w:r>
                </w:p>
              </w:tc>
              <w:tc>
                <w:tcPr>
                  <w:tcW w:w="589" w:type="dxa"/>
                  <w:shd w:val="clear" w:color="auto" w:fill="D7D7D7" w:themeFill="background1" w:themeFillShade="D8"/>
                  <w:tcMar>
                    <w:top w:w="15" w:type="dxa"/>
                    <w:left w:w="15" w:type="dxa"/>
                    <w:right w:w="15" w:type="dxa"/>
                  </w:tcMar>
                  <w:vAlign w:val="center"/>
                </w:tcPr>
                <w:p w14:paraId="3CCE2114">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污染治理设施工艺</w:t>
                  </w:r>
                </w:p>
              </w:tc>
              <w:tc>
                <w:tcPr>
                  <w:tcW w:w="695" w:type="dxa"/>
                  <w:vMerge w:val="continue"/>
                  <w:tcMar>
                    <w:top w:w="15" w:type="dxa"/>
                    <w:left w:w="15" w:type="dxa"/>
                    <w:right w:w="15" w:type="dxa"/>
                  </w:tcMar>
                  <w:vAlign w:val="center"/>
                </w:tcPr>
                <w:p w14:paraId="76EB94E2">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579" w:type="dxa"/>
                  <w:vMerge w:val="continue"/>
                  <w:tcMar>
                    <w:top w:w="15" w:type="dxa"/>
                    <w:left w:w="15" w:type="dxa"/>
                    <w:right w:w="15" w:type="dxa"/>
                  </w:tcMar>
                  <w:vAlign w:val="center"/>
                </w:tcPr>
                <w:p w14:paraId="1F92A7BB">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1457" w:type="dxa"/>
                  <w:vMerge w:val="continue"/>
                  <w:tcMar>
                    <w:top w:w="15" w:type="dxa"/>
                    <w:left w:w="15" w:type="dxa"/>
                    <w:right w:w="15" w:type="dxa"/>
                  </w:tcMar>
                  <w:vAlign w:val="center"/>
                </w:tcPr>
                <w:p w14:paraId="7DE5A697">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r>
            <w:tr w14:paraId="23D4F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2" w:hRule="atLeast"/>
                <w:jc w:val="center"/>
              </w:trPr>
              <w:tc>
                <w:tcPr>
                  <w:tcW w:w="336" w:type="dxa"/>
                  <w:tcMar>
                    <w:top w:w="15" w:type="dxa"/>
                    <w:left w:w="15" w:type="dxa"/>
                    <w:right w:w="15" w:type="dxa"/>
                  </w:tcMar>
                  <w:vAlign w:val="center"/>
                </w:tcPr>
                <w:p w14:paraId="3BCE2E2F">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1</w:t>
                  </w:r>
                </w:p>
              </w:tc>
              <w:tc>
                <w:tcPr>
                  <w:tcW w:w="450" w:type="dxa"/>
                  <w:tcMar>
                    <w:top w:w="15" w:type="dxa"/>
                    <w:left w:w="15" w:type="dxa"/>
                    <w:right w:w="15" w:type="dxa"/>
                  </w:tcMar>
                  <w:vAlign w:val="center"/>
                </w:tcPr>
                <w:p w14:paraId="2322812D">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生活污水</w:t>
                  </w:r>
                </w:p>
              </w:tc>
              <w:tc>
                <w:tcPr>
                  <w:tcW w:w="847" w:type="dxa"/>
                  <w:tcMar>
                    <w:top w:w="15" w:type="dxa"/>
                    <w:left w:w="15" w:type="dxa"/>
                    <w:right w:w="15" w:type="dxa"/>
                  </w:tcMar>
                  <w:vAlign w:val="center"/>
                </w:tcPr>
                <w:p w14:paraId="77493E06">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pH、CODcr、BOD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5</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、SS及氨氮</w:t>
                  </w:r>
                </w:p>
              </w:tc>
              <w:tc>
                <w:tcPr>
                  <w:tcW w:w="907" w:type="dxa"/>
                  <w:tcMar>
                    <w:top w:w="15" w:type="dxa"/>
                    <w:left w:w="15" w:type="dxa"/>
                    <w:right w:w="15" w:type="dxa"/>
                  </w:tcMar>
                  <w:vAlign w:val="center"/>
                </w:tcPr>
                <w:p w14:paraId="2FF5F31D">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进</w:t>
                  </w:r>
                  <w:r>
                    <w:rPr>
                      <w:rFonts w:hint="default" w:ascii="Times New Roman" w:hAnsi="Times New Roman" w:eastAsia="宋体" w:cs="Times New Roman"/>
                      <w:color w:val="000000" w:themeColor="text1"/>
                      <w:kern w:val="0"/>
                      <w:sz w:val="21"/>
                      <w:szCs w:val="21"/>
                      <w:highlight w:val="none"/>
                      <w:lang w:bidi="ar"/>
                      <w14:textFill>
                        <w14:solidFill>
                          <w14:schemeClr w14:val="tx1"/>
                        </w14:solidFill>
                      </w14:textFill>
                    </w:rPr>
                    <w:t>入</w:t>
                  </w:r>
                  <w:r>
                    <w:rPr>
                      <w:rFonts w:hint="default" w:ascii="Times New Roman" w:hAnsi="Times New Roman" w:cs="Times New Roman"/>
                      <w:bCs/>
                      <w:color w:val="000000" w:themeColor="text1"/>
                      <w:sz w:val="21"/>
                      <w:szCs w:val="21"/>
                      <w:highlight w:val="none"/>
                      <w14:textFill>
                        <w14:solidFill>
                          <w14:schemeClr w14:val="tx1"/>
                        </w14:solidFill>
                      </w14:textFill>
                    </w:rPr>
                    <w:t>中山市中嘉污水处理厂</w:t>
                  </w:r>
                </w:p>
              </w:tc>
              <w:tc>
                <w:tcPr>
                  <w:tcW w:w="483" w:type="dxa"/>
                  <w:tcMar>
                    <w:top w:w="15" w:type="dxa"/>
                    <w:left w:w="15" w:type="dxa"/>
                    <w:right w:w="15" w:type="dxa"/>
                  </w:tcMar>
                  <w:vAlign w:val="center"/>
                </w:tcPr>
                <w:p w14:paraId="406B7938">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间接排放</w:t>
                  </w:r>
                </w:p>
              </w:tc>
              <w:tc>
                <w:tcPr>
                  <w:tcW w:w="653" w:type="dxa"/>
                  <w:tcMar>
                    <w:top w:w="15" w:type="dxa"/>
                    <w:left w:w="15" w:type="dxa"/>
                    <w:right w:w="15" w:type="dxa"/>
                  </w:tcMar>
                  <w:vAlign w:val="center"/>
                </w:tcPr>
                <w:p w14:paraId="405CCE54">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间断排放，排放期间流量稳定</w:t>
                  </w:r>
                </w:p>
              </w:tc>
              <w:tc>
                <w:tcPr>
                  <w:tcW w:w="765" w:type="dxa"/>
                  <w:tcMar>
                    <w:top w:w="15" w:type="dxa"/>
                    <w:left w:w="15" w:type="dxa"/>
                    <w:right w:w="15" w:type="dxa"/>
                  </w:tcMar>
                  <w:vAlign w:val="center"/>
                </w:tcPr>
                <w:p w14:paraId="45536310">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DW001-1</w:t>
                  </w:r>
                </w:p>
              </w:tc>
              <w:tc>
                <w:tcPr>
                  <w:tcW w:w="628" w:type="dxa"/>
                  <w:tcMar>
                    <w:top w:w="15" w:type="dxa"/>
                    <w:left w:w="15" w:type="dxa"/>
                    <w:right w:w="15" w:type="dxa"/>
                  </w:tcMar>
                  <w:vAlign w:val="center"/>
                </w:tcPr>
                <w:p w14:paraId="22097BDA">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三级化粪池</w:t>
                  </w:r>
                </w:p>
              </w:tc>
              <w:tc>
                <w:tcPr>
                  <w:tcW w:w="589" w:type="dxa"/>
                  <w:tcMar>
                    <w:top w:w="15" w:type="dxa"/>
                    <w:left w:w="15" w:type="dxa"/>
                    <w:right w:w="15" w:type="dxa"/>
                  </w:tcMar>
                  <w:vAlign w:val="center"/>
                </w:tcPr>
                <w:p w14:paraId="1CE94A93">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预处理</w:t>
                  </w:r>
                </w:p>
              </w:tc>
              <w:tc>
                <w:tcPr>
                  <w:tcW w:w="695" w:type="dxa"/>
                  <w:tcMar>
                    <w:top w:w="15" w:type="dxa"/>
                    <w:left w:w="15" w:type="dxa"/>
                    <w:right w:w="15" w:type="dxa"/>
                  </w:tcMar>
                  <w:vAlign w:val="center"/>
                </w:tcPr>
                <w:p w14:paraId="59CCD0B4">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DW001</w:t>
                  </w:r>
                </w:p>
              </w:tc>
              <w:tc>
                <w:tcPr>
                  <w:tcW w:w="579" w:type="dxa"/>
                  <w:tcMar>
                    <w:top w:w="15" w:type="dxa"/>
                    <w:left w:w="15" w:type="dxa"/>
                    <w:right w:w="15" w:type="dxa"/>
                  </w:tcMar>
                  <w:vAlign w:val="center"/>
                </w:tcPr>
                <w:p w14:paraId="7D57689A">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☑是</w:t>
                  </w:r>
                </w:p>
                <w:p w14:paraId="3BDAE43A">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□否</w:t>
                  </w:r>
                </w:p>
              </w:tc>
              <w:tc>
                <w:tcPr>
                  <w:tcW w:w="1457" w:type="dxa"/>
                  <w:tcMar>
                    <w:top w:w="15" w:type="dxa"/>
                    <w:left w:w="15" w:type="dxa"/>
                    <w:right w:w="15" w:type="dxa"/>
                  </w:tcMar>
                  <w:vAlign w:val="center"/>
                </w:tcPr>
                <w:p w14:paraId="65FAEBE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☑企业总排</w:t>
                  </w:r>
                </w:p>
                <w:p w14:paraId="2B8E1E92">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□雨水排放</w:t>
                  </w:r>
                </w:p>
                <w:p w14:paraId="476E1FD9">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□清净下水排放</w:t>
                  </w:r>
                </w:p>
                <w:p w14:paraId="206102CD">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□温排水排放</w:t>
                  </w:r>
                </w:p>
                <w:p w14:paraId="7B485177">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□车间或车间处理设施排放口</w:t>
                  </w:r>
                </w:p>
              </w:tc>
            </w:tr>
            <w:tr w14:paraId="605B3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2" w:hRule="atLeast"/>
                <w:jc w:val="center"/>
              </w:trPr>
              <w:tc>
                <w:tcPr>
                  <w:tcW w:w="336" w:type="dxa"/>
                  <w:tcMar>
                    <w:top w:w="15" w:type="dxa"/>
                    <w:left w:w="15" w:type="dxa"/>
                    <w:right w:w="15" w:type="dxa"/>
                  </w:tcMar>
                  <w:vAlign w:val="center"/>
                </w:tcPr>
                <w:p w14:paraId="1222B202">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2</w:t>
                  </w:r>
                </w:p>
              </w:tc>
              <w:tc>
                <w:tcPr>
                  <w:tcW w:w="450" w:type="dxa"/>
                  <w:tcMar>
                    <w:top w:w="15" w:type="dxa"/>
                    <w:left w:w="15" w:type="dxa"/>
                    <w:right w:w="15" w:type="dxa"/>
                  </w:tcMar>
                  <w:vAlign w:val="center"/>
                </w:tcPr>
                <w:p w14:paraId="73790538">
                  <w:pPr>
                    <w:jc w:val="center"/>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切粒</w:t>
                  </w:r>
                </w:p>
                <w:p w14:paraId="5CA8C31F">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废水</w:t>
                  </w:r>
                </w:p>
              </w:tc>
              <w:tc>
                <w:tcPr>
                  <w:tcW w:w="847" w:type="dxa"/>
                  <w:tcMar>
                    <w:top w:w="15" w:type="dxa"/>
                    <w:left w:w="15" w:type="dxa"/>
                    <w:right w:w="15" w:type="dxa"/>
                  </w:tcMar>
                  <w:vAlign w:val="center"/>
                </w:tcPr>
                <w:p w14:paraId="31F82C0F">
                  <w:pPr>
                    <w:wordWrap w:val="0"/>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CODcr</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氨氮</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总氮</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石油类</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总磷</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 xml:space="preserve">pH </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SS</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BOD</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5</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色度</w:t>
                  </w:r>
                </w:p>
              </w:tc>
              <w:tc>
                <w:tcPr>
                  <w:tcW w:w="907" w:type="dxa"/>
                  <w:tcMar>
                    <w:top w:w="15" w:type="dxa"/>
                    <w:left w:w="15" w:type="dxa"/>
                    <w:right w:w="15" w:type="dxa"/>
                  </w:tcMar>
                  <w:vAlign w:val="center"/>
                </w:tcPr>
                <w:p w14:paraId="4497C584">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委托</w:t>
                  </w:r>
                  <w:r>
                    <w:rPr>
                      <w:rFonts w:hint="default" w:ascii="Times New Roman" w:hAnsi="Times New Roman" w:eastAsia="宋体" w:cs="Times New Roman"/>
                      <w:color w:val="000000" w:themeColor="text1"/>
                      <w:sz w:val="21"/>
                      <w:szCs w:val="21"/>
                      <w:highlight w:val="none"/>
                      <w14:textFill>
                        <w14:solidFill>
                          <w14:schemeClr w14:val="tx1"/>
                        </w14:solidFill>
                      </w14:textFill>
                    </w:rPr>
                    <w:t>给</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有废水处理能力单位</w:t>
                  </w:r>
                  <w:r>
                    <w:rPr>
                      <w:rFonts w:hint="default" w:ascii="Times New Roman" w:hAnsi="Times New Roman" w:eastAsia="宋体" w:cs="Times New Roman"/>
                      <w:color w:val="000000" w:themeColor="text1"/>
                      <w:sz w:val="21"/>
                      <w:szCs w:val="21"/>
                      <w:highlight w:val="none"/>
                      <w14:textFill>
                        <w14:solidFill>
                          <w14:schemeClr w14:val="tx1"/>
                        </w14:solidFill>
                      </w14:textFill>
                    </w:rPr>
                    <w:t>处</w:t>
                  </w:r>
                  <w:r>
                    <w:rPr>
                      <w:rFonts w:hint="default" w:ascii="Times New Roman" w:hAnsi="Times New Roman" w:eastAsia="宋体" w:cs="Times New Roman"/>
                      <w:color w:val="000000" w:themeColor="text1"/>
                      <w:szCs w:val="21"/>
                      <w:highlight w:val="none"/>
                      <w14:textFill>
                        <w14:solidFill>
                          <w14:schemeClr w14:val="tx1"/>
                        </w14:solidFill>
                      </w14:textFill>
                    </w:rPr>
                    <w:t>理</w:t>
                  </w:r>
                </w:p>
              </w:tc>
              <w:tc>
                <w:tcPr>
                  <w:tcW w:w="483" w:type="dxa"/>
                  <w:tcMar>
                    <w:top w:w="15" w:type="dxa"/>
                    <w:left w:w="15" w:type="dxa"/>
                    <w:right w:w="15" w:type="dxa"/>
                  </w:tcMar>
                  <w:vAlign w:val="center"/>
                </w:tcPr>
                <w:p w14:paraId="5D07626D">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653" w:type="dxa"/>
                  <w:tcMar>
                    <w:top w:w="15" w:type="dxa"/>
                    <w:left w:w="15" w:type="dxa"/>
                    <w:right w:w="15" w:type="dxa"/>
                  </w:tcMar>
                  <w:vAlign w:val="center"/>
                </w:tcPr>
                <w:p w14:paraId="020228C1">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765" w:type="dxa"/>
                  <w:tcMar>
                    <w:top w:w="15" w:type="dxa"/>
                    <w:left w:w="15" w:type="dxa"/>
                    <w:right w:w="15" w:type="dxa"/>
                  </w:tcMar>
                  <w:vAlign w:val="center"/>
                </w:tcPr>
                <w:p w14:paraId="6D1A049F">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628" w:type="dxa"/>
                  <w:tcMar>
                    <w:top w:w="15" w:type="dxa"/>
                    <w:left w:w="15" w:type="dxa"/>
                    <w:right w:w="15" w:type="dxa"/>
                  </w:tcMar>
                  <w:vAlign w:val="center"/>
                </w:tcPr>
                <w:p w14:paraId="1E2D0575">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589" w:type="dxa"/>
                  <w:tcMar>
                    <w:top w:w="15" w:type="dxa"/>
                    <w:left w:w="15" w:type="dxa"/>
                    <w:right w:w="15" w:type="dxa"/>
                  </w:tcMar>
                  <w:vAlign w:val="center"/>
                </w:tcPr>
                <w:p w14:paraId="298362D4">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695" w:type="dxa"/>
                  <w:tcMar>
                    <w:top w:w="15" w:type="dxa"/>
                    <w:left w:w="15" w:type="dxa"/>
                    <w:right w:w="15" w:type="dxa"/>
                  </w:tcMar>
                  <w:vAlign w:val="center"/>
                </w:tcPr>
                <w:p w14:paraId="435F8016">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579" w:type="dxa"/>
                  <w:tcMar>
                    <w:top w:w="15" w:type="dxa"/>
                    <w:left w:w="15" w:type="dxa"/>
                    <w:right w:w="15" w:type="dxa"/>
                  </w:tcMar>
                  <w:vAlign w:val="center"/>
                </w:tcPr>
                <w:p w14:paraId="609026F3">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□是</w:t>
                  </w:r>
                </w:p>
                <w:p w14:paraId="4554196C">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□否</w:t>
                  </w:r>
                </w:p>
                <w:p w14:paraId="27AAF8FA">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457" w:type="dxa"/>
                  <w:tcMar>
                    <w:top w:w="15" w:type="dxa"/>
                    <w:left w:w="15" w:type="dxa"/>
                    <w:right w:w="15" w:type="dxa"/>
                  </w:tcMar>
                  <w:vAlign w:val="center"/>
                </w:tcPr>
                <w:p w14:paraId="4DE0F5D0">
                  <w:pPr>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□企业总排</w:t>
                  </w:r>
                </w:p>
                <w:p w14:paraId="1320D582">
                  <w:pPr>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□雨水排放</w:t>
                  </w:r>
                </w:p>
                <w:p w14:paraId="66A124FC">
                  <w:pPr>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□清净下水排放</w:t>
                  </w:r>
                </w:p>
                <w:p w14:paraId="3A4E64BE">
                  <w:pPr>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□温排水排放</w:t>
                  </w:r>
                </w:p>
                <w:p w14:paraId="17C7ED24">
                  <w:pPr>
                    <w:jc w:val="left"/>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□或车间处理设施排放</w:t>
                  </w:r>
                </w:p>
              </w:tc>
            </w:tr>
          </w:tbl>
          <w:p w14:paraId="53A17E81">
            <w:pPr>
              <w:pStyle w:val="5"/>
              <w:numPr>
                <w:ilvl w:val="0"/>
                <w:numId w:val="0"/>
              </w:numPr>
              <w:spacing w:before="0" w:after="0" w:line="240" w:lineRule="auto"/>
              <w:rPr>
                <w:rFonts w:hint="default" w:ascii="Times New Roman" w:hAnsi="Times New Roman" w:eastAsia="宋体" w:cs="Times New Roman"/>
                <w:b/>
                <w:color w:val="000000" w:themeColor="text1"/>
                <w:sz w:val="21"/>
                <w:szCs w:val="21"/>
                <w:highlight w:val="none"/>
                <w:lang w:val="zh-CN"/>
                <w14:textFill>
                  <w14:solidFill>
                    <w14:schemeClr w14:val="tx1"/>
                  </w14:solidFill>
                </w14:textFill>
              </w:rPr>
            </w:pPr>
          </w:p>
          <w:p w14:paraId="20F3D58F">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废水间接排放口基本情况表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0"/>
              <w:gridCol w:w="695"/>
              <w:gridCol w:w="693"/>
              <w:gridCol w:w="696"/>
              <w:gridCol w:w="658"/>
              <w:gridCol w:w="938"/>
              <w:gridCol w:w="686"/>
              <w:gridCol w:w="408"/>
              <w:gridCol w:w="698"/>
              <w:gridCol w:w="795"/>
              <w:gridCol w:w="1875"/>
            </w:tblGrid>
            <w:tr w14:paraId="072E2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7" w:hRule="atLeast"/>
                <w:jc w:val="center"/>
              </w:trPr>
              <w:tc>
                <w:tcPr>
                  <w:tcW w:w="143" w:type="pct"/>
                  <w:vMerge w:val="restart"/>
                  <w:shd w:val="clear" w:color="auto" w:fill="D7D7D7" w:themeFill="background1" w:themeFillShade="D8"/>
                  <w:tcMar>
                    <w:top w:w="15" w:type="dxa"/>
                    <w:left w:w="15" w:type="dxa"/>
                    <w:right w:w="15" w:type="dxa"/>
                  </w:tcMar>
                  <w:vAlign w:val="center"/>
                </w:tcPr>
                <w:p w14:paraId="478632E6">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序号</w:t>
                  </w:r>
                </w:p>
              </w:tc>
              <w:tc>
                <w:tcPr>
                  <w:tcW w:w="414" w:type="pct"/>
                  <w:vMerge w:val="restart"/>
                  <w:shd w:val="clear" w:color="auto" w:fill="D7D7D7" w:themeFill="background1" w:themeFillShade="D8"/>
                  <w:tcMar>
                    <w:top w:w="15" w:type="dxa"/>
                    <w:left w:w="15" w:type="dxa"/>
                    <w:right w:w="15" w:type="dxa"/>
                  </w:tcMar>
                  <w:vAlign w:val="center"/>
                </w:tcPr>
                <w:p w14:paraId="42779E0B">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排放口编号</w:t>
                  </w:r>
                </w:p>
              </w:tc>
              <w:tc>
                <w:tcPr>
                  <w:tcW w:w="828" w:type="pct"/>
                  <w:gridSpan w:val="2"/>
                  <w:shd w:val="clear" w:color="auto" w:fill="D7D7D7" w:themeFill="background1" w:themeFillShade="D8"/>
                  <w:tcMar>
                    <w:top w:w="15" w:type="dxa"/>
                    <w:left w:w="15" w:type="dxa"/>
                    <w:right w:w="15" w:type="dxa"/>
                  </w:tcMar>
                  <w:vAlign w:val="center"/>
                </w:tcPr>
                <w:p w14:paraId="3C24B510">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排放口地理坐标</w:t>
                  </w:r>
                </w:p>
              </w:tc>
              <w:tc>
                <w:tcPr>
                  <w:tcW w:w="392" w:type="pct"/>
                  <w:vMerge w:val="restart"/>
                  <w:shd w:val="clear" w:color="auto" w:fill="D7D7D7" w:themeFill="background1" w:themeFillShade="D8"/>
                  <w:tcMar>
                    <w:top w:w="15" w:type="dxa"/>
                    <w:left w:w="15" w:type="dxa"/>
                    <w:right w:w="15" w:type="dxa"/>
                  </w:tcMar>
                  <w:vAlign w:val="center"/>
                </w:tcPr>
                <w:p w14:paraId="00B6080C">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废水排放量/（万t/a）</w:t>
                  </w:r>
                </w:p>
              </w:tc>
              <w:tc>
                <w:tcPr>
                  <w:tcW w:w="559" w:type="pct"/>
                  <w:vMerge w:val="restart"/>
                  <w:shd w:val="clear" w:color="auto" w:fill="D7D7D7" w:themeFill="background1" w:themeFillShade="D8"/>
                  <w:tcMar>
                    <w:top w:w="15" w:type="dxa"/>
                    <w:left w:w="15" w:type="dxa"/>
                    <w:right w:w="15" w:type="dxa"/>
                  </w:tcMar>
                  <w:vAlign w:val="center"/>
                </w:tcPr>
                <w:p w14:paraId="306AAD32">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排放去向</w:t>
                  </w:r>
                </w:p>
              </w:tc>
              <w:tc>
                <w:tcPr>
                  <w:tcW w:w="409" w:type="pct"/>
                  <w:vMerge w:val="restart"/>
                  <w:shd w:val="clear" w:color="auto" w:fill="D7D7D7" w:themeFill="background1" w:themeFillShade="D8"/>
                  <w:tcMar>
                    <w:top w:w="15" w:type="dxa"/>
                    <w:left w:w="15" w:type="dxa"/>
                    <w:right w:w="15" w:type="dxa"/>
                  </w:tcMar>
                  <w:vAlign w:val="center"/>
                </w:tcPr>
                <w:p w14:paraId="6C4F5BF2">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排放规律</w:t>
                  </w:r>
                </w:p>
              </w:tc>
              <w:tc>
                <w:tcPr>
                  <w:tcW w:w="243" w:type="pct"/>
                  <w:vMerge w:val="restart"/>
                  <w:shd w:val="clear" w:color="auto" w:fill="D7D7D7" w:themeFill="background1" w:themeFillShade="D8"/>
                  <w:tcMar>
                    <w:top w:w="15" w:type="dxa"/>
                    <w:left w:w="15" w:type="dxa"/>
                    <w:right w:w="15" w:type="dxa"/>
                  </w:tcMar>
                  <w:vAlign w:val="center"/>
                </w:tcPr>
                <w:p w14:paraId="6899551B">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间歇排放时段</w:t>
                  </w:r>
                </w:p>
              </w:tc>
              <w:tc>
                <w:tcPr>
                  <w:tcW w:w="2007" w:type="pct"/>
                  <w:gridSpan w:val="3"/>
                  <w:vMerge w:val="restart"/>
                  <w:shd w:val="clear" w:color="auto" w:fill="D7D7D7" w:themeFill="background1" w:themeFillShade="D8"/>
                  <w:tcMar>
                    <w:top w:w="15" w:type="dxa"/>
                    <w:left w:w="15" w:type="dxa"/>
                    <w:right w:w="15" w:type="dxa"/>
                  </w:tcMar>
                  <w:vAlign w:val="center"/>
                </w:tcPr>
                <w:p w14:paraId="3808BED2">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受纳污水处理厂信息</w:t>
                  </w:r>
                </w:p>
              </w:tc>
            </w:tr>
            <w:tr w14:paraId="18D98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43" w:type="pct"/>
                  <w:vMerge w:val="continue"/>
                  <w:shd w:val="clear" w:color="auto" w:fill="D7D7D7" w:themeFill="background1" w:themeFillShade="D8"/>
                  <w:tcMar>
                    <w:top w:w="15" w:type="dxa"/>
                    <w:left w:w="15" w:type="dxa"/>
                    <w:right w:w="15" w:type="dxa"/>
                  </w:tcMar>
                  <w:vAlign w:val="center"/>
                </w:tcPr>
                <w:p w14:paraId="2C3B413F">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14" w:type="pct"/>
                  <w:vMerge w:val="continue"/>
                  <w:shd w:val="clear" w:color="auto" w:fill="D7D7D7" w:themeFill="background1" w:themeFillShade="D8"/>
                  <w:tcMar>
                    <w:top w:w="15" w:type="dxa"/>
                    <w:left w:w="15" w:type="dxa"/>
                    <w:right w:w="15" w:type="dxa"/>
                  </w:tcMar>
                  <w:vAlign w:val="center"/>
                </w:tcPr>
                <w:p w14:paraId="79AE7F03">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13" w:type="pct"/>
                  <w:vMerge w:val="restart"/>
                  <w:shd w:val="clear" w:color="auto" w:fill="D7D7D7" w:themeFill="background1" w:themeFillShade="D8"/>
                  <w:tcMar>
                    <w:top w:w="15" w:type="dxa"/>
                    <w:left w:w="15" w:type="dxa"/>
                    <w:right w:w="15" w:type="dxa"/>
                  </w:tcMar>
                  <w:vAlign w:val="center"/>
                </w:tcPr>
                <w:p w14:paraId="3F7AC275">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经度</w:t>
                  </w:r>
                </w:p>
              </w:tc>
              <w:tc>
                <w:tcPr>
                  <w:tcW w:w="414" w:type="pct"/>
                  <w:vMerge w:val="restart"/>
                  <w:shd w:val="clear" w:color="auto" w:fill="D7D7D7" w:themeFill="background1" w:themeFillShade="D8"/>
                  <w:tcMar>
                    <w:top w:w="15" w:type="dxa"/>
                    <w:left w:w="15" w:type="dxa"/>
                    <w:right w:w="15" w:type="dxa"/>
                  </w:tcMar>
                  <w:vAlign w:val="center"/>
                </w:tcPr>
                <w:p w14:paraId="560D6C18">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纬度</w:t>
                  </w:r>
                </w:p>
              </w:tc>
              <w:tc>
                <w:tcPr>
                  <w:tcW w:w="392" w:type="pct"/>
                  <w:vMerge w:val="continue"/>
                  <w:shd w:val="clear" w:color="auto" w:fill="D7D7D7" w:themeFill="background1" w:themeFillShade="D8"/>
                  <w:tcMar>
                    <w:top w:w="15" w:type="dxa"/>
                    <w:left w:w="15" w:type="dxa"/>
                    <w:right w:w="15" w:type="dxa"/>
                  </w:tcMar>
                  <w:vAlign w:val="center"/>
                </w:tcPr>
                <w:p w14:paraId="486E10E7">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559" w:type="pct"/>
                  <w:vMerge w:val="continue"/>
                  <w:shd w:val="clear" w:color="auto" w:fill="D7D7D7" w:themeFill="background1" w:themeFillShade="D8"/>
                  <w:tcMar>
                    <w:top w:w="15" w:type="dxa"/>
                    <w:left w:w="15" w:type="dxa"/>
                    <w:right w:w="15" w:type="dxa"/>
                  </w:tcMar>
                  <w:vAlign w:val="center"/>
                </w:tcPr>
                <w:p w14:paraId="4344C71A">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09" w:type="pct"/>
                  <w:vMerge w:val="continue"/>
                  <w:shd w:val="clear" w:color="auto" w:fill="D7D7D7" w:themeFill="background1" w:themeFillShade="D8"/>
                  <w:tcMar>
                    <w:top w:w="15" w:type="dxa"/>
                    <w:left w:w="15" w:type="dxa"/>
                    <w:right w:w="15" w:type="dxa"/>
                  </w:tcMar>
                  <w:vAlign w:val="center"/>
                </w:tcPr>
                <w:p w14:paraId="2258A373">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243" w:type="pct"/>
                  <w:vMerge w:val="continue"/>
                  <w:shd w:val="clear" w:color="auto" w:fill="D7D7D7" w:themeFill="background1" w:themeFillShade="D8"/>
                  <w:tcMar>
                    <w:top w:w="15" w:type="dxa"/>
                    <w:left w:w="15" w:type="dxa"/>
                    <w:right w:w="15" w:type="dxa"/>
                  </w:tcMar>
                  <w:vAlign w:val="center"/>
                </w:tcPr>
                <w:p w14:paraId="50792A39">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2007" w:type="pct"/>
                  <w:gridSpan w:val="3"/>
                  <w:vMerge w:val="continue"/>
                  <w:shd w:val="clear" w:color="auto" w:fill="D7D7D7" w:themeFill="background1" w:themeFillShade="D8"/>
                  <w:tcMar>
                    <w:top w:w="15" w:type="dxa"/>
                    <w:left w:w="15" w:type="dxa"/>
                    <w:right w:w="15" w:type="dxa"/>
                  </w:tcMar>
                  <w:vAlign w:val="center"/>
                </w:tcPr>
                <w:p w14:paraId="5955B937">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r>
            <w:tr w14:paraId="090F7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jc w:val="center"/>
              </w:trPr>
              <w:tc>
                <w:tcPr>
                  <w:tcW w:w="143" w:type="pct"/>
                  <w:vMerge w:val="continue"/>
                  <w:shd w:val="clear" w:color="auto" w:fill="D7D7D7" w:themeFill="background1" w:themeFillShade="D8"/>
                  <w:tcMar>
                    <w:top w:w="15" w:type="dxa"/>
                    <w:left w:w="15" w:type="dxa"/>
                    <w:right w:w="15" w:type="dxa"/>
                  </w:tcMar>
                  <w:vAlign w:val="center"/>
                </w:tcPr>
                <w:p w14:paraId="284ADFA1">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14" w:type="pct"/>
                  <w:vMerge w:val="continue"/>
                  <w:shd w:val="clear" w:color="auto" w:fill="D7D7D7" w:themeFill="background1" w:themeFillShade="D8"/>
                  <w:tcMar>
                    <w:top w:w="15" w:type="dxa"/>
                    <w:left w:w="15" w:type="dxa"/>
                    <w:right w:w="15" w:type="dxa"/>
                  </w:tcMar>
                  <w:vAlign w:val="center"/>
                </w:tcPr>
                <w:p w14:paraId="083FDCD5">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13" w:type="pct"/>
                  <w:vMerge w:val="continue"/>
                  <w:shd w:val="clear" w:color="auto" w:fill="D7D7D7" w:themeFill="background1" w:themeFillShade="D8"/>
                  <w:tcMar>
                    <w:top w:w="15" w:type="dxa"/>
                    <w:left w:w="15" w:type="dxa"/>
                    <w:right w:w="15" w:type="dxa"/>
                  </w:tcMar>
                  <w:vAlign w:val="center"/>
                </w:tcPr>
                <w:p w14:paraId="4B926D06">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14" w:type="pct"/>
                  <w:vMerge w:val="continue"/>
                  <w:shd w:val="clear" w:color="auto" w:fill="D7D7D7" w:themeFill="background1" w:themeFillShade="D8"/>
                  <w:tcMar>
                    <w:top w:w="15" w:type="dxa"/>
                    <w:left w:w="15" w:type="dxa"/>
                    <w:right w:w="15" w:type="dxa"/>
                  </w:tcMar>
                  <w:vAlign w:val="center"/>
                </w:tcPr>
                <w:p w14:paraId="5F5E9918">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392" w:type="pct"/>
                  <w:vMerge w:val="continue"/>
                  <w:shd w:val="clear" w:color="auto" w:fill="D7D7D7" w:themeFill="background1" w:themeFillShade="D8"/>
                  <w:tcMar>
                    <w:top w:w="15" w:type="dxa"/>
                    <w:left w:w="15" w:type="dxa"/>
                    <w:right w:w="15" w:type="dxa"/>
                  </w:tcMar>
                  <w:vAlign w:val="center"/>
                </w:tcPr>
                <w:p w14:paraId="4A566B7C">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559" w:type="pct"/>
                  <w:vMerge w:val="continue"/>
                  <w:shd w:val="clear" w:color="auto" w:fill="D7D7D7" w:themeFill="background1" w:themeFillShade="D8"/>
                  <w:tcMar>
                    <w:top w:w="15" w:type="dxa"/>
                    <w:left w:w="15" w:type="dxa"/>
                    <w:right w:w="15" w:type="dxa"/>
                  </w:tcMar>
                  <w:vAlign w:val="center"/>
                </w:tcPr>
                <w:p w14:paraId="14EC4B76">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09" w:type="pct"/>
                  <w:vMerge w:val="continue"/>
                  <w:shd w:val="clear" w:color="auto" w:fill="D7D7D7" w:themeFill="background1" w:themeFillShade="D8"/>
                  <w:tcMar>
                    <w:top w:w="15" w:type="dxa"/>
                    <w:left w:w="15" w:type="dxa"/>
                    <w:right w:w="15" w:type="dxa"/>
                  </w:tcMar>
                  <w:vAlign w:val="center"/>
                </w:tcPr>
                <w:p w14:paraId="42E44FED">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243" w:type="pct"/>
                  <w:vMerge w:val="continue"/>
                  <w:shd w:val="clear" w:color="auto" w:fill="D7D7D7" w:themeFill="background1" w:themeFillShade="D8"/>
                  <w:tcMar>
                    <w:top w:w="15" w:type="dxa"/>
                    <w:left w:w="15" w:type="dxa"/>
                    <w:right w:w="15" w:type="dxa"/>
                  </w:tcMar>
                  <w:vAlign w:val="center"/>
                </w:tcPr>
                <w:p w14:paraId="58746862">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p>
              </w:tc>
              <w:tc>
                <w:tcPr>
                  <w:tcW w:w="416" w:type="pct"/>
                  <w:shd w:val="clear" w:color="auto" w:fill="D7D7D7" w:themeFill="background1" w:themeFillShade="D8"/>
                  <w:tcMar>
                    <w:top w:w="15" w:type="dxa"/>
                    <w:left w:w="15" w:type="dxa"/>
                    <w:right w:w="15" w:type="dxa"/>
                  </w:tcMar>
                  <w:vAlign w:val="center"/>
                </w:tcPr>
                <w:p w14:paraId="28D8306B">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名称</w:t>
                  </w:r>
                </w:p>
              </w:tc>
              <w:tc>
                <w:tcPr>
                  <w:tcW w:w="474" w:type="pct"/>
                  <w:shd w:val="clear" w:color="auto" w:fill="D7D7D7" w:themeFill="background1" w:themeFillShade="D8"/>
                  <w:tcMar>
                    <w:top w:w="15" w:type="dxa"/>
                    <w:left w:w="15" w:type="dxa"/>
                    <w:right w:w="15" w:type="dxa"/>
                  </w:tcMar>
                  <w:vAlign w:val="center"/>
                </w:tcPr>
                <w:p w14:paraId="016BBF1E">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污染物种类</w:t>
                  </w:r>
                </w:p>
              </w:tc>
              <w:tc>
                <w:tcPr>
                  <w:tcW w:w="1117" w:type="pct"/>
                  <w:shd w:val="clear" w:color="auto" w:fill="D7D7D7" w:themeFill="background1" w:themeFillShade="D8"/>
                  <w:tcMar>
                    <w:top w:w="15" w:type="dxa"/>
                    <w:left w:w="15" w:type="dxa"/>
                    <w:right w:w="15" w:type="dxa"/>
                  </w:tcMar>
                  <w:vAlign w:val="center"/>
                </w:tcPr>
                <w:p w14:paraId="7E67BED9">
                  <w:pPr>
                    <w:widowControl/>
                    <w:jc w:val="center"/>
                    <w:textAlignment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lang w:bidi="ar"/>
                      <w14:textFill>
                        <w14:solidFill>
                          <w14:schemeClr w14:val="tx1"/>
                        </w14:solidFill>
                      </w14:textFill>
                    </w:rPr>
                    <w:t>国家或地方污染物排放标准浓度限值/(mg/L)</w:t>
                  </w:r>
                </w:p>
              </w:tc>
            </w:tr>
            <w:tr w14:paraId="25C0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5" w:hRule="atLeast"/>
                <w:jc w:val="center"/>
              </w:trPr>
              <w:tc>
                <w:tcPr>
                  <w:tcW w:w="143" w:type="pct"/>
                  <w:tcMar>
                    <w:top w:w="15" w:type="dxa"/>
                    <w:left w:w="15" w:type="dxa"/>
                    <w:right w:w="15" w:type="dxa"/>
                  </w:tcMar>
                  <w:vAlign w:val="center"/>
                </w:tcPr>
                <w:p w14:paraId="081E07F4">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1</w:t>
                  </w:r>
                </w:p>
              </w:tc>
              <w:tc>
                <w:tcPr>
                  <w:tcW w:w="414" w:type="pct"/>
                  <w:tcMar>
                    <w:top w:w="15" w:type="dxa"/>
                    <w:left w:w="15" w:type="dxa"/>
                    <w:right w:w="15" w:type="dxa"/>
                  </w:tcMar>
                  <w:vAlign w:val="center"/>
                </w:tcPr>
                <w:p w14:paraId="5D194DDC">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DW001</w:t>
                  </w:r>
                </w:p>
              </w:tc>
              <w:tc>
                <w:tcPr>
                  <w:tcW w:w="413" w:type="pct"/>
                  <w:tcMar>
                    <w:top w:w="15" w:type="dxa"/>
                    <w:left w:w="15" w:type="dxa"/>
                    <w:right w:w="15" w:type="dxa"/>
                  </w:tcMar>
                  <w:vAlign w:val="center"/>
                </w:tcPr>
                <w:p w14:paraId="6DA7B0C3">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c>
                <w:tcPr>
                  <w:tcW w:w="414" w:type="pct"/>
                  <w:tcMar>
                    <w:top w:w="15" w:type="dxa"/>
                    <w:left w:w="15" w:type="dxa"/>
                    <w:right w:w="15" w:type="dxa"/>
                  </w:tcMar>
                  <w:vAlign w:val="center"/>
                </w:tcPr>
                <w:p w14:paraId="24C2104C">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c>
                <w:tcPr>
                  <w:tcW w:w="392" w:type="pct"/>
                  <w:tcMar>
                    <w:top w:w="15" w:type="dxa"/>
                    <w:left w:w="15" w:type="dxa"/>
                    <w:right w:w="15" w:type="dxa"/>
                  </w:tcMar>
                  <w:vAlign w:val="center"/>
                </w:tcPr>
                <w:p w14:paraId="631E0D93">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0.0</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459</w:t>
                  </w:r>
                </w:p>
              </w:tc>
              <w:tc>
                <w:tcPr>
                  <w:tcW w:w="559" w:type="pct"/>
                  <w:tcMar>
                    <w:top w:w="15" w:type="dxa"/>
                    <w:left w:w="15" w:type="dxa"/>
                    <w:right w:w="15" w:type="dxa"/>
                  </w:tcMar>
                  <w:vAlign w:val="center"/>
                </w:tcPr>
                <w:p w14:paraId="07C6004E">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经三级化粪池预处理后进入</w:t>
                  </w:r>
                  <w:r>
                    <w:rPr>
                      <w:rFonts w:hint="default" w:ascii="Times New Roman" w:hAnsi="Times New Roman" w:cs="Times New Roman"/>
                      <w:bCs/>
                      <w:color w:val="000000" w:themeColor="text1"/>
                      <w:sz w:val="21"/>
                      <w:szCs w:val="21"/>
                      <w:highlight w:val="none"/>
                      <w14:textFill>
                        <w14:solidFill>
                          <w14:schemeClr w14:val="tx1"/>
                        </w14:solidFill>
                      </w14:textFill>
                    </w:rPr>
                    <w:t>中山市中嘉污水处理厂</w:t>
                  </w:r>
                </w:p>
              </w:tc>
              <w:tc>
                <w:tcPr>
                  <w:tcW w:w="409" w:type="pct"/>
                  <w:tcMar>
                    <w:top w:w="15" w:type="dxa"/>
                    <w:left w:w="15" w:type="dxa"/>
                    <w:right w:w="15" w:type="dxa"/>
                  </w:tcMar>
                  <w:vAlign w:val="center"/>
                </w:tcPr>
                <w:p w14:paraId="29B35448">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间断排放，排放期间流量稳定</w:t>
                  </w:r>
                </w:p>
              </w:tc>
              <w:tc>
                <w:tcPr>
                  <w:tcW w:w="243" w:type="pct"/>
                  <w:tcMar>
                    <w:top w:w="15" w:type="dxa"/>
                    <w:left w:w="15" w:type="dxa"/>
                    <w:right w:w="15" w:type="dxa"/>
                  </w:tcMar>
                  <w:vAlign w:val="center"/>
                </w:tcPr>
                <w:p w14:paraId="56BCABE6">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c>
                <w:tcPr>
                  <w:tcW w:w="416" w:type="pct"/>
                  <w:tcMar>
                    <w:top w:w="15" w:type="dxa"/>
                    <w:left w:w="15" w:type="dxa"/>
                    <w:right w:w="15" w:type="dxa"/>
                  </w:tcMar>
                  <w:vAlign w:val="center"/>
                </w:tcPr>
                <w:p w14:paraId="1152100A">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中山市中嘉污水处理厂</w:t>
                  </w:r>
                </w:p>
              </w:tc>
              <w:tc>
                <w:tcPr>
                  <w:tcW w:w="474" w:type="pct"/>
                  <w:tcMar>
                    <w:top w:w="15" w:type="dxa"/>
                    <w:left w:w="15" w:type="dxa"/>
                    <w:right w:w="15" w:type="dxa"/>
                  </w:tcMar>
                  <w:vAlign w:val="center"/>
                </w:tcPr>
                <w:p w14:paraId="54C30C3A">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CODcr</w:t>
                  </w:r>
                </w:p>
                <w:p w14:paraId="7F311ED0">
                  <w:pPr>
                    <w:widowControl/>
                    <w:jc w:val="center"/>
                    <w:textAlignment w:val="center"/>
                    <w:rPr>
                      <w:rStyle w:val="73"/>
                      <w:rFonts w:hint="default" w:ascii="Times New Roman" w:hAnsi="Times New Roman" w:cs="Times New Roman"/>
                      <w:color w:val="000000" w:themeColor="text1"/>
                      <w:highlight w:val="none"/>
                      <w:vertAlign w:val="subscript"/>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BOD</w:t>
                  </w:r>
                  <w:r>
                    <w:rPr>
                      <w:rStyle w:val="73"/>
                      <w:rFonts w:hint="default" w:ascii="Times New Roman" w:hAnsi="Times New Roman" w:cs="Times New Roman"/>
                      <w:color w:val="000000" w:themeColor="text1"/>
                      <w:highlight w:val="none"/>
                      <w:vertAlign w:val="subscript"/>
                      <w:lang w:bidi="ar"/>
                      <w14:textFill>
                        <w14:solidFill>
                          <w14:schemeClr w14:val="tx1"/>
                        </w14:solidFill>
                      </w14:textFill>
                    </w:rPr>
                    <w:t>5</w:t>
                  </w:r>
                </w:p>
                <w:p w14:paraId="01D408F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SS</w:t>
                  </w:r>
                </w:p>
                <w:p w14:paraId="2AE261B2">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氨氮</w:t>
                  </w:r>
                </w:p>
              </w:tc>
              <w:tc>
                <w:tcPr>
                  <w:tcW w:w="1117" w:type="pct"/>
                  <w:tcMar>
                    <w:top w:w="15" w:type="dxa"/>
                    <w:left w:w="15" w:type="dxa"/>
                    <w:right w:w="15" w:type="dxa"/>
                  </w:tcMar>
                  <w:vAlign w:val="center"/>
                </w:tcPr>
                <w:p w14:paraId="71EF78D2">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pH6~9</w:t>
                  </w:r>
                </w:p>
                <w:p w14:paraId="2638FC46">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CODcr≤40mg/L，BOD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5</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≤10mg/L，SS≤10mg/L，NH</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3</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-N≤5mg/L</w:t>
                  </w:r>
                </w:p>
              </w:tc>
            </w:tr>
          </w:tbl>
          <w:p w14:paraId="65BBFA69">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废水污染物排放执行标准表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
              <w:gridCol w:w="1266"/>
              <w:gridCol w:w="1080"/>
              <w:gridCol w:w="1958"/>
              <w:gridCol w:w="3657"/>
            </w:tblGrid>
            <w:tr w14:paraId="7258D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 w:type="pct"/>
                  <w:vMerge w:val="restart"/>
                  <w:shd w:val="clear" w:color="auto" w:fill="D7D7D7" w:themeFill="background1" w:themeFillShade="D8"/>
                  <w:vAlign w:val="center"/>
                </w:tcPr>
                <w:p w14:paraId="3C19EA39">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序号</w:t>
                  </w:r>
                </w:p>
              </w:tc>
              <w:tc>
                <w:tcPr>
                  <w:tcW w:w="755" w:type="pct"/>
                  <w:vMerge w:val="restart"/>
                  <w:shd w:val="clear" w:color="auto" w:fill="D7D7D7" w:themeFill="background1" w:themeFillShade="D8"/>
                  <w:vAlign w:val="center"/>
                </w:tcPr>
                <w:p w14:paraId="4DC41EB4">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排放口编号</w:t>
                  </w:r>
                </w:p>
              </w:tc>
              <w:tc>
                <w:tcPr>
                  <w:tcW w:w="644" w:type="pct"/>
                  <w:vMerge w:val="restart"/>
                  <w:shd w:val="clear" w:color="auto" w:fill="D7D7D7" w:themeFill="background1" w:themeFillShade="D8"/>
                  <w:vAlign w:val="center"/>
                </w:tcPr>
                <w:p w14:paraId="3AE60DAD">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污染物种类</w:t>
                  </w:r>
                </w:p>
              </w:tc>
              <w:tc>
                <w:tcPr>
                  <w:tcW w:w="3347" w:type="pct"/>
                  <w:gridSpan w:val="2"/>
                  <w:shd w:val="clear" w:color="auto" w:fill="D7D7D7" w:themeFill="background1" w:themeFillShade="D8"/>
                  <w:vAlign w:val="center"/>
                </w:tcPr>
                <w:p w14:paraId="544B4FC2">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国家或地方污染物排放标准及其他按规定商定的排放协议</w:t>
                  </w:r>
                </w:p>
              </w:tc>
            </w:tr>
            <w:tr w14:paraId="510F1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 w:type="pct"/>
                  <w:vMerge w:val="continue"/>
                  <w:shd w:val="clear" w:color="auto" w:fill="D7D7D7" w:themeFill="background1" w:themeFillShade="D8"/>
                  <w:vAlign w:val="center"/>
                </w:tcPr>
                <w:p w14:paraId="0635F196">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p>
              </w:tc>
              <w:tc>
                <w:tcPr>
                  <w:tcW w:w="755" w:type="pct"/>
                  <w:vMerge w:val="continue"/>
                  <w:shd w:val="clear" w:color="auto" w:fill="D7D7D7" w:themeFill="background1" w:themeFillShade="D8"/>
                  <w:vAlign w:val="center"/>
                </w:tcPr>
                <w:p w14:paraId="14E734CC">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p>
              </w:tc>
              <w:tc>
                <w:tcPr>
                  <w:tcW w:w="644" w:type="pct"/>
                  <w:vMerge w:val="continue"/>
                  <w:shd w:val="clear" w:color="auto" w:fill="D7D7D7" w:themeFill="background1" w:themeFillShade="D8"/>
                  <w:vAlign w:val="center"/>
                </w:tcPr>
                <w:p w14:paraId="1A3E6E1D">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p>
              </w:tc>
              <w:tc>
                <w:tcPr>
                  <w:tcW w:w="1167" w:type="pct"/>
                  <w:shd w:val="clear" w:color="auto" w:fill="D7D7D7" w:themeFill="background1" w:themeFillShade="D8"/>
                  <w:vAlign w:val="center"/>
                </w:tcPr>
                <w:p w14:paraId="37C9E5D9">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名称</w:t>
                  </w:r>
                </w:p>
              </w:tc>
              <w:tc>
                <w:tcPr>
                  <w:tcW w:w="2179" w:type="pct"/>
                  <w:shd w:val="clear" w:color="auto" w:fill="D7D7D7" w:themeFill="background1" w:themeFillShade="D8"/>
                  <w:vAlign w:val="center"/>
                </w:tcPr>
                <w:p w14:paraId="73F2DEEB">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浓度限值/(mg/L）</w:t>
                  </w:r>
                </w:p>
              </w:tc>
            </w:tr>
            <w:tr w14:paraId="60D3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 w:type="pct"/>
                  <w:vMerge w:val="restart"/>
                  <w:vAlign w:val="center"/>
                </w:tcPr>
                <w:p w14:paraId="49432D1B">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1</w:t>
                  </w:r>
                </w:p>
              </w:tc>
              <w:tc>
                <w:tcPr>
                  <w:tcW w:w="755" w:type="pct"/>
                  <w:vMerge w:val="restart"/>
                  <w:vAlign w:val="center"/>
                </w:tcPr>
                <w:p w14:paraId="2BFD3928">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DW001</w:t>
                  </w:r>
                </w:p>
              </w:tc>
              <w:tc>
                <w:tcPr>
                  <w:tcW w:w="644" w:type="pct"/>
                  <w:vMerge w:val="restart"/>
                  <w:vAlign w:val="center"/>
                </w:tcPr>
                <w:p w14:paraId="4E261C05">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生活污水</w:t>
                  </w:r>
                </w:p>
              </w:tc>
              <w:tc>
                <w:tcPr>
                  <w:tcW w:w="1167" w:type="pct"/>
                  <w:vAlign w:val="center"/>
                </w:tcPr>
                <w:p w14:paraId="2462262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CODcr</w:t>
                  </w:r>
                </w:p>
              </w:tc>
              <w:tc>
                <w:tcPr>
                  <w:tcW w:w="2179" w:type="pct"/>
                  <w:vAlign w:val="center"/>
                </w:tcPr>
                <w:p w14:paraId="75A6294C">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500</w:t>
                  </w:r>
                </w:p>
              </w:tc>
            </w:tr>
            <w:tr w14:paraId="5B679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 w:type="pct"/>
                  <w:vMerge w:val="continue"/>
                  <w:vAlign w:val="center"/>
                </w:tcPr>
                <w:p w14:paraId="6B490EA0">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755" w:type="pct"/>
                  <w:vMerge w:val="continue"/>
                  <w:vAlign w:val="center"/>
                </w:tcPr>
                <w:p w14:paraId="2911C4A0">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644" w:type="pct"/>
                  <w:vMerge w:val="continue"/>
                  <w:vAlign w:val="center"/>
                </w:tcPr>
                <w:p w14:paraId="2789FCA8">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167" w:type="pct"/>
                  <w:vAlign w:val="center"/>
                </w:tcPr>
                <w:p w14:paraId="22C908CD">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BOD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5</w:t>
                  </w:r>
                </w:p>
              </w:tc>
              <w:tc>
                <w:tcPr>
                  <w:tcW w:w="2179" w:type="pct"/>
                  <w:vAlign w:val="center"/>
                </w:tcPr>
                <w:p w14:paraId="03EE95D1">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300</w:t>
                  </w:r>
                </w:p>
              </w:tc>
            </w:tr>
            <w:tr w14:paraId="6F74B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 w:type="pct"/>
                  <w:vMerge w:val="continue"/>
                  <w:vAlign w:val="center"/>
                </w:tcPr>
                <w:p w14:paraId="50E06285">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755" w:type="pct"/>
                  <w:vMerge w:val="continue"/>
                  <w:vAlign w:val="center"/>
                </w:tcPr>
                <w:p w14:paraId="7A0F42FE">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644" w:type="pct"/>
                  <w:vMerge w:val="continue"/>
                  <w:vAlign w:val="center"/>
                </w:tcPr>
                <w:p w14:paraId="087294BD">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167" w:type="pct"/>
                  <w:vAlign w:val="center"/>
                </w:tcPr>
                <w:p w14:paraId="208354C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SS</w:t>
                  </w:r>
                </w:p>
              </w:tc>
              <w:tc>
                <w:tcPr>
                  <w:tcW w:w="2179" w:type="pct"/>
                  <w:vAlign w:val="center"/>
                </w:tcPr>
                <w:p w14:paraId="30DAF4D1">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400</w:t>
                  </w:r>
                </w:p>
              </w:tc>
            </w:tr>
            <w:tr w14:paraId="601DC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 w:type="pct"/>
                  <w:vMerge w:val="continue"/>
                  <w:vAlign w:val="center"/>
                </w:tcPr>
                <w:p w14:paraId="46CD1786">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755" w:type="pct"/>
                  <w:vMerge w:val="continue"/>
                  <w:vAlign w:val="center"/>
                </w:tcPr>
                <w:p w14:paraId="33F86C2D">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644" w:type="pct"/>
                  <w:vMerge w:val="continue"/>
                  <w:vAlign w:val="center"/>
                </w:tcPr>
                <w:p w14:paraId="26DB6DA6">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167" w:type="pct"/>
                  <w:vAlign w:val="center"/>
                </w:tcPr>
                <w:p w14:paraId="63E5B4C8">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NH</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3</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w:t>
                  </w:r>
                </w:p>
              </w:tc>
              <w:tc>
                <w:tcPr>
                  <w:tcW w:w="2179" w:type="pct"/>
                  <w:vAlign w:val="center"/>
                </w:tcPr>
                <w:p w14:paraId="4EEDFC22">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r>
          </w:tbl>
          <w:p w14:paraId="7C3D7DC6">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废水污染物排放信息表</w:t>
            </w:r>
          </w:p>
          <w:tbl>
            <w:tblPr>
              <w:tblStyle w:val="32"/>
              <w:tblW w:w="48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1664"/>
              <w:gridCol w:w="1630"/>
              <w:gridCol w:w="1166"/>
              <w:gridCol w:w="1502"/>
              <w:gridCol w:w="967"/>
            </w:tblGrid>
            <w:tr w14:paraId="4F3FD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4" w:type="pct"/>
                  <w:vAlign w:val="center"/>
                </w:tcPr>
                <w:p w14:paraId="58D8599F">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序号</w:t>
                  </w:r>
                </w:p>
              </w:tc>
              <w:tc>
                <w:tcPr>
                  <w:tcW w:w="1011" w:type="pct"/>
                  <w:vAlign w:val="center"/>
                </w:tcPr>
                <w:p w14:paraId="70ACDCE6">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排放口编号</w:t>
                  </w:r>
                </w:p>
              </w:tc>
              <w:tc>
                <w:tcPr>
                  <w:tcW w:w="991" w:type="pct"/>
                  <w:vAlign w:val="center"/>
                </w:tcPr>
                <w:p w14:paraId="139654BA">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污染物种类</w:t>
                  </w:r>
                </w:p>
              </w:tc>
              <w:tc>
                <w:tcPr>
                  <w:tcW w:w="709" w:type="pct"/>
                  <w:vAlign w:val="center"/>
                </w:tcPr>
                <w:p w14:paraId="1E04959F">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排放浓度（mg/L）</w:t>
                  </w:r>
                </w:p>
              </w:tc>
              <w:tc>
                <w:tcPr>
                  <w:tcW w:w="913" w:type="pct"/>
                  <w:vAlign w:val="center"/>
                </w:tcPr>
                <w:p w14:paraId="4C8C390B">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日排放量（t/d）</w:t>
                  </w:r>
                </w:p>
              </w:tc>
              <w:tc>
                <w:tcPr>
                  <w:tcW w:w="588" w:type="pct"/>
                  <w:vAlign w:val="center"/>
                </w:tcPr>
                <w:p w14:paraId="4340A572">
                  <w:pPr>
                    <w:widowControl/>
                    <w:jc w:val="center"/>
                    <w:textAlignment w:val="cente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年排放量（t/a）</w:t>
                  </w:r>
                </w:p>
              </w:tc>
            </w:tr>
            <w:tr w14:paraId="0CD1E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4" w:type="pct"/>
                  <w:vMerge w:val="restart"/>
                  <w:vAlign w:val="center"/>
                </w:tcPr>
                <w:p w14:paraId="11C85623">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1</w:t>
                  </w:r>
                </w:p>
              </w:tc>
              <w:tc>
                <w:tcPr>
                  <w:tcW w:w="1011" w:type="pct"/>
                  <w:vMerge w:val="restart"/>
                  <w:vAlign w:val="center"/>
                </w:tcPr>
                <w:p w14:paraId="50191700">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DW001（生活污水）</w:t>
                  </w:r>
                </w:p>
              </w:tc>
              <w:tc>
                <w:tcPr>
                  <w:tcW w:w="991" w:type="pct"/>
                  <w:vAlign w:val="center"/>
                </w:tcPr>
                <w:p w14:paraId="5F05CFA9">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pH值</w:t>
                  </w:r>
                </w:p>
              </w:tc>
              <w:tc>
                <w:tcPr>
                  <w:tcW w:w="709" w:type="pct"/>
                  <w:vAlign w:val="center"/>
                </w:tcPr>
                <w:p w14:paraId="3F3C2B36">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6-9</w:t>
                  </w:r>
                </w:p>
              </w:tc>
              <w:tc>
                <w:tcPr>
                  <w:tcW w:w="913" w:type="pct"/>
                  <w:vAlign w:val="center"/>
                </w:tcPr>
                <w:p w14:paraId="2C1E730B">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c>
                <w:tcPr>
                  <w:tcW w:w="588" w:type="pct"/>
                  <w:vAlign w:val="center"/>
                </w:tcPr>
                <w:p w14:paraId="5EFEC2CA">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r>
            <w:tr w14:paraId="4D702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4" w:type="pct"/>
                  <w:vMerge w:val="continue"/>
                  <w:vAlign w:val="center"/>
                </w:tcPr>
                <w:p w14:paraId="2EC1F738">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011" w:type="pct"/>
                  <w:vMerge w:val="continue"/>
                  <w:vAlign w:val="center"/>
                </w:tcPr>
                <w:p w14:paraId="6A8C684A">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630" w:type="dxa"/>
                  <w:vAlign w:val="center"/>
                </w:tcPr>
                <w:p w14:paraId="2DC016FD">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COD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Cr</w:t>
                  </w:r>
                </w:p>
              </w:tc>
              <w:tc>
                <w:tcPr>
                  <w:tcW w:w="1166" w:type="dxa"/>
                  <w:vAlign w:val="center"/>
                </w:tcPr>
                <w:p w14:paraId="1D533F2C">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250</w:t>
                  </w:r>
                </w:p>
              </w:tc>
              <w:tc>
                <w:tcPr>
                  <w:tcW w:w="1502" w:type="dxa"/>
                  <w:vAlign w:val="center"/>
                </w:tcPr>
                <w:p w14:paraId="6650386D">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0.00038 </w:t>
                  </w:r>
                </w:p>
              </w:tc>
              <w:tc>
                <w:tcPr>
                  <w:tcW w:w="967" w:type="dxa"/>
                  <w:vAlign w:val="center"/>
                </w:tcPr>
                <w:p w14:paraId="7CBE0B90">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0.11475 </w:t>
                  </w:r>
                </w:p>
              </w:tc>
            </w:tr>
            <w:tr w14:paraId="7E63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4" w:type="pct"/>
                  <w:vMerge w:val="continue"/>
                  <w:vAlign w:val="center"/>
                </w:tcPr>
                <w:p w14:paraId="12F609F0">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011" w:type="pct"/>
                  <w:vMerge w:val="continue"/>
                  <w:vAlign w:val="center"/>
                </w:tcPr>
                <w:p w14:paraId="7269ED5F">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630" w:type="dxa"/>
                  <w:vAlign w:val="center"/>
                </w:tcPr>
                <w:p w14:paraId="38B86C48">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BOD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5</w:t>
                  </w:r>
                </w:p>
              </w:tc>
              <w:tc>
                <w:tcPr>
                  <w:tcW w:w="1166" w:type="dxa"/>
                  <w:vAlign w:val="center"/>
                </w:tcPr>
                <w:p w14:paraId="39D2D017">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140</w:t>
                  </w:r>
                </w:p>
              </w:tc>
              <w:tc>
                <w:tcPr>
                  <w:tcW w:w="1502" w:type="dxa"/>
                  <w:vAlign w:val="center"/>
                </w:tcPr>
                <w:p w14:paraId="20B1A483">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0.00021 </w:t>
                  </w:r>
                </w:p>
              </w:tc>
              <w:tc>
                <w:tcPr>
                  <w:tcW w:w="967" w:type="dxa"/>
                  <w:vAlign w:val="center"/>
                </w:tcPr>
                <w:p w14:paraId="7D30ED38">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0.06426 </w:t>
                  </w:r>
                </w:p>
              </w:tc>
            </w:tr>
            <w:tr w14:paraId="4B72C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4" w:type="pct"/>
                  <w:vMerge w:val="continue"/>
                  <w:vAlign w:val="center"/>
                </w:tcPr>
                <w:p w14:paraId="4FE77DEA">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011" w:type="pct"/>
                  <w:vMerge w:val="continue"/>
                  <w:vAlign w:val="center"/>
                </w:tcPr>
                <w:p w14:paraId="5E32B2E8">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630" w:type="dxa"/>
                  <w:vAlign w:val="center"/>
                </w:tcPr>
                <w:p w14:paraId="7DE1CCF3">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SS</w:t>
                  </w:r>
                </w:p>
              </w:tc>
              <w:tc>
                <w:tcPr>
                  <w:tcW w:w="1166" w:type="dxa"/>
                  <w:vAlign w:val="center"/>
                </w:tcPr>
                <w:p w14:paraId="282E7D97">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140</w:t>
                  </w:r>
                </w:p>
              </w:tc>
              <w:tc>
                <w:tcPr>
                  <w:tcW w:w="1502" w:type="dxa"/>
                  <w:vAlign w:val="center"/>
                </w:tcPr>
                <w:p w14:paraId="0F8A409C">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0.00021 </w:t>
                  </w:r>
                </w:p>
              </w:tc>
              <w:tc>
                <w:tcPr>
                  <w:tcW w:w="967" w:type="dxa"/>
                  <w:vAlign w:val="center"/>
                </w:tcPr>
                <w:p w14:paraId="661A7F0B">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0.06426 </w:t>
                  </w:r>
                </w:p>
              </w:tc>
            </w:tr>
            <w:tr w14:paraId="578C9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4" w:type="pct"/>
                  <w:vMerge w:val="continue"/>
                  <w:vAlign w:val="center"/>
                </w:tcPr>
                <w:p w14:paraId="6DDADEAC">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011" w:type="pct"/>
                  <w:vMerge w:val="continue"/>
                  <w:vAlign w:val="center"/>
                </w:tcPr>
                <w:p w14:paraId="7132DBDC">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1630" w:type="dxa"/>
                  <w:vAlign w:val="center"/>
                </w:tcPr>
                <w:p w14:paraId="0A941CB0">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NH</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3</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w:t>
                  </w:r>
                </w:p>
              </w:tc>
              <w:tc>
                <w:tcPr>
                  <w:tcW w:w="1166" w:type="dxa"/>
                  <w:vAlign w:val="center"/>
                </w:tcPr>
                <w:p w14:paraId="7900DDDD">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25</w:t>
                  </w:r>
                </w:p>
              </w:tc>
              <w:tc>
                <w:tcPr>
                  <w:tcW w:w="1502" w:type="dxa"/>
                  <w:vAlign w:val="center"/>
                </w:tcPr>
                <w:p w14:paraId="70D5BE26">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0.00004 </w:t>
                  </w:r>
                </w:p>
              </w:tc>
              <w:tc>
                <w:tcPr>
                  <w:tcW w:w="967" w:type="dxa"/>
                  <w:vAlign w:val="center"/>
                </w:tcPr>
                <w:p w14:paraId="12AFF3DF">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0.01148 </w:t>
                  </w:r>
                </w:p>
              </w:tc>
            </w:tr>
            <w:tr w14:paraId="2528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796" w:type="pct"/>
                  <w:gridSpan w:val="2"/>
                  <w:vMerge w:val="restart"/>
                  <w:vAlign w:val="center"/>
                </w:tcPr>
                <w:p w14:paraId="4D0BF65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全厂排放口合计</w:t>
                  </w:r>
                </w:p>
              </w:tc>
              <w:tc>
                <w:tcPr>
                  <w:tcW w:w="4298" w:type="dxa"/>
                  <w:gridSpan w:val="3"/>
                  <w:vAlign w:val="center"/>
                </w:tcPr>
                <w:p w14:paraId="1B02277B">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pH值</w:t>
                  </w:r>
                </w:p>
              </w:tc>
              <w:tc>
                <w:tcPr>
                  <w:tcW w:w="967" w:type="dxa"/>
                  <w:vAlign w:val="center"/>
                </w:tcPr>
                <w:p w14:paraId="2BFFEEF4">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w:t>
                  </w:r>
                </w:p>
              </w:tc>
            </w:tr>
            <w:tr w14:paraId="641C0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796" w:type="pct"/>
                  <w:gridSpan w:val="2"/>
                  <w:vMerge w:val="continue"/>
                  <w:vAlign w:val="center"/>
                </w:tcPr>
                <w:p w14:paraId="54F22C8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4298" w:type="dxa"/>
                  <w:gridSpan w:val="3"/>
                  <w:vAlign w:val="center"/>
                </w:tcPr>
                <w:p w14:paraId="1A29908A">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COD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Cr</w:t>
                  </w:r>
                </w:p>
              </w:tc>
              <w:tc>
                <w:tcPr>
                  <w:tcW w:w="967" w:type="dxa"/>
                  <w:vAlign w:val="center"/>
                </w:tcPr>
                <w:p w14:paraId="17EBB40D">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0.11475 </w:t>
                  </w:r>
                </w:p>
              </w:tc>
            </w:tr>
            <w:tr w14:paraId="7079D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796" w:type="pct"/>
                  <w:gridSpan w:val="2"/>
                  <w:vMerge w:val="continue"/>
                  <w:vAlign w:val="center"/>
                </w:tcPr>
                <w:p w14:paraId="6A4E7EC1">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4298" w:type="dxa"/>
                  <w:gridSpan w:val="3"/>
                  <w:vAlign w:val="center"/>
                </w:tcPr>
                <w:p w14:paraId="6FB4B17E">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BOD</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5</w:t>
                  </w:r>
                </w:p>
              </w:tc>
              <w:tc>
                <w:tcPr>
                  <w:tcW w:w="967" w:type="dxa"/>
                  <w:vAlign w:val="center"/>
                </w:tcPr>
                <w:p w14:paraId="31C483A2">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0.06426 </w:t>
                  </w:r>
                </w:p>
              </w:tc>
            </w:tr>
            <w:tr w14:paraId="62F1C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796" w:type="pct"/>
                  <w:gridSpan w:val="2"/>
                  <w:vMerge w:val="continue"/>
                  <w:vAlign w:val="center"/>
                </w:tcPr>
                <w:p w14:paraId="2D30FB7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4298" w:type="dxa"/>
                  <w:gridSpan w:val="3"/>
                  <w:vAlign w:val="center"/>
                </w:tcPr>
                <w:p w14:paraId="09DA9CC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SS</w:t>
                  </w:r>
                </w:p>
              </w:tc>
              <w:tc>
                <w:tcPr>
                  <w:tcW w:w="967" w:type="dxa"/>
                  <w:vAlign w:val="center"/>
                </w:tcPr>
                <w:p w14:paraId="1E1EC4B8">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0.06426 </w:t>
                  </w:r>
                </w:p>
              </w:tc>
            </w:tr>
            <w:tr w14:paraId="66A1A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796" w:type="pct"/>
                  <w:gridSpan w:val="2"/>
                  <w:vMerge w:val="continue"/>
                  <w:vAlign w:val="center"/>
                </w:tcPr>
                <w:p w14:paraId="7DD0A09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p>
              </w:tc>
              <w:tc>
                <w:tcPr>
                  <w:tcW w:w="4298" w:type="dxa"/>
                  <w:gridSpan w:val="3"/>
                  <w:vAlign w:val="center"/>
                </w:tcPr>
                <w:p w14:paraId="62A11863">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NH</w:t>
                  </w:r>
                  <w:r>
                    <w:rPr>
                      <w:rFonts w:hint="default" w:ascii="Times New Roman" w:hAnsi="Times New Roman" w:eastAsia="宋体" w:cs="Times New Roman"/>
                      <w:color w:val="000000" w:themeColor="text1"/>
                      <w:kern w:val="0"/>
                      <w:szCs w:val="21"/>
                      <w:highlight w:val="none"/>
                      <w:vertAlign w:val="subscript"/>
                      <w:lang w:bidi="ar"/>
                      <w14:textFill>
                        <w14:solidFill>
                          <w14:schemeClr w14:val="tx1"/>
                        </w14:solidFill>
                      </w14:textFill>
                    </w:rPr>
                    <w:t>3</w:t>
                  </w: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-N</w:t>
                  </w:r>
                </w:p>
              </w:tc>
              <w:tc>
                <w:tcPr>
                  <w:tcW w:w="967" w:type="dxa"/>
                  <w:vAlign w:val="center"/>
                </w:tcPr>
                <w:p w14:paraId="3075E940">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 xml:space="preserve">0.01148 </w:t>
                  </w:r>
                </w:p>
              </w:tc>
            </w:tr>
          </w:tbl>
          <w:p w14:paraId="53D3F069">
            <w:pPr>
              <w:pStyle w:val="52"/>
              <w:spacing w:line="480" w:lineRule="exact"/>
              <w:ind w:firstLine="48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综上所述，外排废水对纳污水体及周边水环境影响不大。</w:t>
            </w:r>
          </w:p>
          <w:p w14:paraId="7FDC5857">
            <w:pPr>
              <w:spacing w:before="156" w:beforeLines="50" w:line="360" w:lineRule="auto"/>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三、噪声环境影响分析</w:t>
            </w:r>
          </w:p>
          <w:p w14:paraId="5058202B">
            <w:pPr>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bookmarkStart w:id="344" w:name="_Toc18367"/>
            <w:r>
              <w:rPr>
                <w:rFonts w:hint="default" w:ascii="Times New Roman" w:hAnsi="Times New Roman" w:cs="Times New Roman"/>
                <w:color w:val="000000" w:themeColor="text1"/>
                <w:sz w:val="24"/>
                <w:highlight w:val="none"/>
                <w14:textFill>
                  <w14:solidFill>
                    <w14:schemeClr w14:val="tx1"/>
                  </w14:solidFill>
                </w14:textFill>
              </w:rPr>
              <w:t>项目生产设备在运行过程中产生噪声，</w:t>
            </w:r>
            <w:bookmarkEnd w:id="344"/>
            <w:r>
              <w:rPr>
                <w:rFonts w:hint="default" w:ascii="Times New Roman" w:hAnsi="Times New Roman" w:cs="Times New Roman"/>
                <w:color w:val="000000" w:themeColor="text1"/>
                <w:sz w:val="24"/>
                <w:highlight w:val="none"/>
                <w14:textFill>
                  <w14:solidFill>
                    <w14:schemeClr w14:val="tx1"/>
                  </w14:solidFill>
                </w14:textFill>
              </w:rPr>
              <w:t>噪声声压级约在</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70</w:t>
            </w:r>
            <w:r>
              <w:rPr>
                <w:rFonts w:hint="default" w:ascii="Times New Roman" w:hAnsi="Times New Roman" w:eastAsia="宋体" w:cs="Times New Roman"/>
                <w:color w:val="000000" w:themeColor="text1"/>
                <w:sz w:val="24"/>
                <w:highlight w:val="none"/>
                <w14:textFill>
                  <w14:solidFill>
                    <w14:schemeClr w14:val="tx1"/>
                  </w14:solidFill>
                </w14:textFill>
              </w:rPr>
              <w:t>-90dB（A）之间。</w:t>
            </w:r>
          </w:p>
          <w:p w14:paraId="5727ED16">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噪声污染源源强核算结果及相关参数一览表</w:t>
            </w:r>
          </w:p>
          <w:tbl>
            <w:tblPr>
              <w:tblStyle w:val="32"/>
              <w:tblW w:w="442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4"/>
              <w:gridCol w:w="1504"/>
              <w:gridCol w:w="1024"/>
              <w:gridCol w:w="1723"/>
              <w:gridCol w:w="1094"/>
              <w:gridCol w:w="1094"/>
            </w:tblGrid>
            <w:tr w14:paraId="2473F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56" w:type="pct"/>
                  <w:vMerge w:val="restart"/>
                  <w:vAlign w:val="center"/>
                </w:tcPr>
                <w:p w14:paraId="7E9B3A6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序号</w:t>
                  </w:r>
                </w:p>
              </w:tc>
              <w:tc>
                <w:tcPr>
                  <w:tcW w:w="1014" w:type="pct"/>
                  <w:vMerge w:val="restart"/>
                  <w:vAlign w:val="center"/>
                </w:tcPr>
                <w:p w14:paraId="335085E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设备名称</w:t>
                  </w:r>
                </w:p>
              </w:tc>
              <w:tc>
                <w:tcPr>
                  <w:tcW w:w="690" w:type="pct"/>
                  <w:vMerge w:val="restart"/>
                  <w:vAlign w:val="center"/>
                </w:tcPr>
                <w:p w14:paraId="3EEDEC2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数量（台）</w:t>
                  </w:r>
                </w:p>
              </w:tc>
              <w:tc>
                <w:tcPr>
                  <w:tcW w:w="1162" w:type="pct"/>
                  <w:vMerge w:val="restart"/>
                  <w:vAlign w:val="center"/>
                </w:tcPr>
                <w:p w14:paraId="0A28551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声源类型</w:t>
                  </w:r>
                </w:p>
              </w:tc>
              <w:tc>
                <w:tcPr>
                  <w:tcW w:w="737" w:type="pct"/>
                  <w:vAlign w:val="center"/>
                </w:tcPr>
                <w:p w14:paraId="67D6BE0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噪声源强</w:t>
                  </w:r>
                </w:p>
              </w:tc>
              <w:tc>
                <w:tcPr>
                  <w:tcW w:w="737" w:type="pct"/>
                  <w:vMerge w:val="restart"/>
                  <w:vAlign w:val="center"/>
                </w:tcPr>
                <w:p w14:paraId="0A39284F">
                  <w:pPr>
                    <w:jc w:val="center"/>
                    <w:rPr>
                      <w:rFonts w:hint="default"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备注</w:t>
                  </w:r>
                </w:p>
              </w:tc>
            </w:tr>
            <w:tr w14:paraId="5FC4F9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56" w:type="pct"/>
                  <w:vMerge w:val="continue"/>
                  <w:vAlign w:val="center"/>
                </w:tcPr>
                <w:p w14:paraId="47D049F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14" w:type="pct"/>
                  <w:vMerge w:val="continue"/>
                  <w:vAlign w:val="center"/>
                </w:tcPr>
                <w:p w14:paraId="0AA8B92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90" w:type="pct"/>
                  <w:vMerge w:val="continue"/>
                  <w:vAlign w:val="center"/>
                </w:tcPr>
                <w:p w14:paraId="2ABFBD1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62" w:type="pct"/>
                  <w:vMerge w:val="continue"/>
                  <w:vAlign w:val="center"/>
                </w:tcPr>
                <w:p w14:paraId="01E9DC9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37" w:type="pct"/>
                  <w:vAlign w:val="center"/>
                </w:tcPr>
                <w:p w14:paraId="031C3AC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噪声值/dB（A）</w:t>
                  </w:r>
                </w:p>
              </w:tc>
              <w:tc>
                <w:tcPr>
                  <w:tcW w:w="737" w:type="pct"/>
                  <w:vMerge w:val="continue"/>
                  <w:vAlign w:val="center"/>
                </w:tcPr>
                <w:p w14:paraId="150D847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819B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56" w:type="pct"/>
                  <w:vAlign w:val="center"/>
                </w:tcPr>
                <w:p w14:paraId="305B5C1C">
                  <w:pPr>
                    <w:numPr>
                      <w:ilvl w:val="0"/>
                      <w:numId w:val="10"/>
                    </w:num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014" w:type="pct"/>
                  <w:vAlign w:val="center"/>
                </w:tcPr>
                <w:p w14:paraId="3CED2726">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挤出生产线</w:t>
                  </w:r>
                </w:p>
              </w:tc>
              <w:tc>
                <w:tcPr>
                  <w:tcW w:w="690" w:type="pct"/>
                  <w:vAlign w:val="center"/>
                </w:tcPr>
                <w:p w14:paraId="0F17825E">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6条</w:t>
                  </w:r>
                </w:p>
              </w:tc>
              <w:tc>
                <w:tcPr>
                  <w:tcW w:w="1162" w:type="pct"/>
                  <w:vAlign w:val="center"/>
                </w:tcPr>
                <w:p w14:paraId="03EF257F">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频发</w:t>
                  </w:r>
                </w:p>
              </w:tc>
              <w:tc>
                <w:tcPr>
                  <w:tcW w:w="737" w:type="pct"/>
                  <w:vAlign w:val="center"/>
                </w:tcPr>
                <w:p w14:paraId="77333711">
                  <w:pPr>
                    <w:widowControl/>
                    <w:jc w:val="center"/>
                    <w:textAlignment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70</w:t>
                  </w:r>
                </w:p>
              </w:tc>
              <w:tc>
                <w:tcPr>
                  <w:tcW w:w="737" w:type="pct"/>
                  <w:vAlign w:val="center"/>
                </w:tcPr>
                <w:p w14:paraId="4C64B032">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室内</w:t>
                  </w:r>
                </w:p>
              </w:tc>
            </w:tr>
            <w:tr w14:paraId="3E36A8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56" w:type="pct"/>
                  <w:vAlign w:val="center"/>
                </w:tcPr>
                <w:p w14:paraId="4075F2D6">
                  <w:pPr>
                    <w:numPr>
                      <w:ilvl w:val="0"/>
                      <w:numId w:val="10"/>
                    </w:num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014" w:type="pct"/>
                  <w:vAlign w:val="center"/>
                </w:tcPr>
                <w:p w14:paraId="14369296">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破碎机</w:t>
                  </w:r>
                </w:p>
              </w:tc>
              <w:tc>
                <w:tcPr>
                  <w:tcW w:w="690" w:type="pct"/>
                  <w:vAlign w:val="center"/>
                </w:tcPr>
                <w:p w14:paraId="5BE49A3D">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1162" w:type="pct"/>
                  <w:vAlign w:val="center"/>
                </w:tcPr>
                <w:p w14:paraId="1476D203">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频发</w:t>
                  </w:r>
                </w:p>
              </w:tc>
              <w:tc>
                <w:tcPr>
                  <w:tcW w:w="737" w:type="pct"/>
                  <w:vAlign w:val="center"/>
                </w:tcPr>
                <w:p w14:paraId="12767E9A">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80</w:t>
                  </w:r>
                </w:p>
              </w:tc>
              <w:tc>
                <w:tcPr>
                  <w:tcW w:w="737" w:type="pct"/>
                  <w:vAlign w:val="center"/>
                </w:tcPr>
                <w:p w14:paraId="46850BB7">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室内</w:t>
                  </w:r>
                </w:p>
              </w:tc>
            </w:tr>
            <w:tr w14:paraId="22426B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56" w:type="pct"/>
                  <w:vAlign w:val="center"/>
                </w:tcPr>
                <w:p w14:paraId="2CFE557A">
                  <w:pPr>
                    <w:numPr>
                      <w:ilvl w:val="0"/>
                      <w:numId w:val="10"/>
                    </w:num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014" w:type="pct"/>
                  <w:vAlign w:val="center"/>
                </w:tcPr>
                <w:p w14:paraId="05578757">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冷却水塔</w:t>
                  </w:r>
                </w:p>
              </w:tc>
              <w:tc>
                <w:tcPr>
                  <w:tcW w:w="690" w:type="pct"/>
                  <w:vAlign w:val="center"/>
                </w:tcPr>
                <w:p w14:paraId="2E412170">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1162" w:type="pct"/>
                  <w:vAlign w:val="center"/>
                </w:tcPr>
                <w:p w14:paraId="23AB655E">
                  <w:pPr>
                    <w:widowControl/>
                    <w:jc w:val="center"/>
                    <w:textAlignment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频发</w:t>
                  </w:r>
                </w:p>
              </w:tc>
              <w:tc>
                <w:tcPr>
                  <w:tcW w:w="737" w:type="pct"/>
                  <w:vAlign w:val="center"/>
                </w:tcPr>
                <w:p w14:paraId="68FB86EE">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90</w:t>
                  </w:r>
                </w:p>
              </w:tc>
              <w:tc>
                <w:tcPr>
                  <w:tcW w:w="737" w:type="pct"/>
                  <w:vAlign w:val="center"/>
                </w:tcPr>
                <w:p w14:paraId="0D480268">
                  <w:pPr>
                    <w:widowControl/>
                    <w:jc w:val="center"/>
                    <w:textAlignment w:val="center"/>
                    <w:rPr>
                      <w:rFonts w:hint="default" w:ascii="Times New Roman" w:hAnsi="Times New Roman" w:eastAsia="宋体" w:cs="Times New Roman"/>
                      <w:color w:val="000000" w:themeColor="text1"/>
                      <w:kern w:val="0"/>
                      <w:szCs w:val="21"/>
                      <w:highlight w:val="none"/>
                      <w:lang w:val="en-US"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室外</w:t>
                  </w:r>
                </w:p>
              </w:tc>
            </w:tr>
            <w:tr w14:paraId="2B3F3E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56" w:type="pct"/>
                  <w:vAlign w:val="center"/>
                </w:tcPr>
                <w:p w14:paraId="3400AE58">
                  <w:pPr>
                    <w:numPr>
                      <w:ilvl w:val="0"/>
                      <w:numId w:val="10"/>
                    </w:num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014" w:type="pct"/>
                  <w:vAlign w:val="center"/>
                </w:tcPr>
                <w:p w14:paraId="01F5D438">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风机</w:t>
                  </w:r>
                </w:p>
              </w:tc>
              <w:tc>
                <w:tcPr>
                  <w:tcW w:w="690" w:type="pct"/>
                  <w:vAlign w:val="center"/>
                </w:tcPr>
                <w:p w14:paraId="4C9776BD">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2</w:t>
                  </w:r>
                </w:p>
              </w:tc>
              <w:tc>
                <w:tcPr>
                  <w:tcW w:w="1162" w:type="pct"/>
                  <w:vAlign w:val="center"/>
                </w:tcPr>
                <w:p w14:paraId="6D40896E">
                  <w:pPr>
                    <w:widowControl/>
                    <w:jc w:val="center"/>
                    <w:textAlignment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频发</w:t>
                  </w:r>
                </w:p>
              </w:tc>
              <w:tc>
                <w:tcPr>
                  <w:tcW w:w="737" w:type="pct"/>
                  <w:vAlign w:val="center"/>
                </w:tcPr>
                <w:p w14:paraId="58314925">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90</w:t>
                  </w:r>
                </w:p>
              </w:tc>
              <w:tc>
                <w:tcPr>
                  <w:tcW w:w="737" w:type="pct"/>
                  <w:vAlign w:val="center"/>
                </w:tcPr>
                <w:p w14:paraId="7CFCCA93">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t>室外</w:t>
                  </w:r>
                </w:p>
              </w:tc>
            </w:tr>
          </w:tbl>
          <w:p w14:paraId="4F60E093">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项目拟采用的噪声污染物防治措施包括：</w:t>
            </w:r>
          </w:p>
          <w:p w14:paraId="23D9AD5D">
            <w:p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优化平面布置</w:t>
            </w:r>
          </w:p>
          <w:p w14:paraId="782312F4">
            <w:pPr>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w:t>
            </w: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厂界</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距离最近的环境保护目标约为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169</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w:t>
            </w: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企业厂区进行合理布局，</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办公楼位于厂区的南面，注塑打样区和检测区位于办公楼一楼的中部，仓库与生产车间共墙并位于厂区的中部，</w:t>
            </w:r>
            <w:r>
              <w:rPr>
                <w:rFonts w:hint="default" w:ascii="Times New Roman" w:hAnsi="Times New Roman" w:eastAsia="宋体" w:cs="Times New Roman"/>
                <w:color w:val="000000" w:themeColor="text1"/>
                <w:sz w:val="24"/>
                <w:highlight w:val="none"/>
                <w14:textFill>
                  <w14:solidFill>
                    <w14:schemeClr w14:val="tx1"/>
                  </w14:solidFill>
                </w14:textFill>
              </w:rPr>
              <w:t>对于项目生产车间，</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西北侧为破碎区，北侧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为</w:t>
            </w: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投料、挤出、冷却、切粒、分选区</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排气筒G</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、G2</w:t>
            </w:r>
            <w:r>
              <w:rPr>
                <w:rFonts w:hint="default" w:ascii="Times New Roman" w:hAnsi="Times New Roman" w:cs="Times New Roman"/>
                <w:color w:val="000000" w:themeColor="text1"/>
                <w:sz w:val="24"/>
                <w:szCs w:val="24"/>
                <w:highlight w:val="none"/>
                <w14:textFill>
                  <w14:solidFill>
                    <w14:schemeClr w14:val="tx1"/>
                  </w14:solidFill>
                </w14:textFill>
              </w:rPr>
              <w:t>位于</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厂区的西北</w:t>
            </w:r>
            <w:r>
              <w:rPr>
                <w:rFonts w:hint="default" w:ascii="Times New Roman" w:hAnsi="Times New Roman" w:eastAsia="宋体" w:cs="Times New Roman"/>
                <w:color w:val="000000" w:themeColor="text1"/>
                <w:sz w:val="24"/>
                <w:szCs w:val="24"/>
                <w:highlight w:val="none"/>
                <w14:textFill>
                  <w14:solidFill>
                    <w14:schemeClr w14:val="tx1"/>
                  </w14:solidFill>
                </w14:textFill>
              </w:rPr>
              <w:t>侧</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排气筒尽量远离敏感点</w:t>
            </w: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，主要生产车间</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距离最近的环境保护目标约为</w:t>
            </w:r>
            <w:r>
              <w:rPr>
                <w:rFonts w:hint="eastAsia" w:ascii="Times New Roman" w:hAnsi="Times New Roman" w:cs="Times New Roman"/>
                <w:color w:val="000000" w:themeColor="text1"/>
                <w:kern w:val="2"/>
                <w:sz w:val="24"/>
                <w:szCs w:val="24"/>
                <w:highlight w:val="none"/>
                <w:lang w:val="en-US" w:eastAsia="zh-CN" w:bidi="ar-SA"/>
                <w14:textFill>
                  <w14:solidFill>
                    <w14:schemeClr w14:val="tx1"/>
                  </w14:solidFill>
                </w14:textFill>
              </w:rPr>
              <w:t>243</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w:t>
            </w: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，高噪声</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设备距离西</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南</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面敏感点最近距离为</w:t>
            </w:r>
            <w:r>
              <w:rPr>
                <w:rFonts w:hint="eastAsia" w:ascii="Times New Roman" w:hAnsi="Times New Roman" w:cs="Times New Roman"/>
                <w:color w:val="000000" w:themeColor="text1"/>
                <w:kern w:val="2"/>
                <w:sz w:val="24"/>
                <w:szCs w:val="24"/>
                <w:highlight w:val="none"/>
                <w:lang w:val="en-US" w:eastAsia="zh-CN" w:bidi="ar-SA"/>
                <w14:textFill>
                  <w14:solidFill>
                    <w14:schemeClr w14:val="tx1"/>
                  </w14:solidFill>
                </w14:textFill>
              </w:rPr>
              <w:t>250</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m，新建排气筒距离西</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南</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面敏感点最近距离为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275</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w:t>
            </w: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尽量</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远离环境保护目标，</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靠近敏感点一侧的门窗仅用于采光不打开，</w:t>
            </w: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通过</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距离衰减并利用厂房建筑物隔声，减少对敏感目标的影响</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7DC5F8EC">
            <w:pPr>
              <w:pStyle w:val="40"/>
              <w:spacing w:line="360" w:lineRule="auto"/>
              <w:ind w:firstLine="480" w:firstLineChars="200"/>
              <w:jc w:val="both"/>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选用低噪声设备、隔声、减震等措施</w:t>
            </w:r>
          </w:p>
          <w:p w14:paraId="1CAC223A">
            <w:pPr>
              <w:spacing w:line="360" w:lineRule="auto"/>
              <w:ind w:firstLine="476" w:firstLineChars="200"/>
              <w:rPr>
                <w:rFonts w:hint="default" w:ascii="Times New Roman" w:hAnsi="Times New Roman" w:eastAsia="宋体" w:cs="Times New Roman"/>
                <w:color w:val="000000" w:themeColor="text1"/>
                <w:spacing w:val="-1"/>
                <w:sz w:val="24"/>
                <w:szCs w:val="24"/>
                <w:highlight w:val="none"/>
                <w14:textFill>
                  <w14:solidFill>
                    <w14:schemeClr w14:val="tx1"/>
                  </w14:solidFill>
                </w14:textFill>
              </w:rPr>
            </w:pP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本项目新增的设备主要包括</w:t>
            </w:r>
            <w:r>
              <w:rPr>
                <w:rFonts w:hint="eastAsia" w:ascii="Times New Roman" w:hAnsi="Times New Roman" w:eastAsia="宋体" w:cs="Times New Roman"/>
                <w:color w:val="000000" w:themeColor="text1"/>
                <w:spacing w:val="-1"/>
                <w:sz w:val="24"/>
                <w:szCs w:val="24"/>
                <w:highlight w:val="none"/>
                <w:lang w:val="en-US" w:eastAsia="zh-CN"/>
                <w14:textFill>
                  <w14:solidFill>
                    <w14:schemeClr w14:val="tx1"/>
                  </w14:solidFill>
                </w14:textFill>
              </w:rPr>
              <w:t>挤出生产线、破碎</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废气治理设施等设备。本项目新增设备均为符合产品要求的低噪声设备。对于产生噪声设备通过安装减震垫进行基础减震，并将设备布置在厂房内，利用建筑物进行隔声，</w:t>
            </w:r>
            <w:r>
              <w:rPr>
                <w:rFonts w:hint="default" w:ascii="Times New Roman" w:hAnsi="Times New Roman" w:eastAsia="宋体" w:cs="Times New Roman"/>
                <w:color w:val="000000" w:themeColor="text1"/>
                <w:spacing w:val="-1"/>
                <w:sz w:val="24"/>
                <w:szCs w:val="24"/>
                <w:highlight w:val="none"/>
                <w:lang w:val="en-US" w:eastAsia="zh-CN"/>
                <w14:textFill>
                  <w14:solidFill>
                    <w14:schemeClr w14:val="tx1"/>
                  </w14:solidFill>
                </w14:textFill>
              </w:rPr>
              <w:t>室外</w:t>
            </w: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风机</w:t>
            </w:r>
            <w:r>
              <w:rPr>
                <w:rFonts w:hint="eastAsia" w:ascii="Times New Roman" w:hAnsi="Times New Roman" w:eastAsia="宋体" w:cs="Times New Roman"/>
                <w:color w:val="000000" w:themeColor="text1"/>
                <w:spacing w:val="-1"/>
                <w:sz w:val="24"/>
                <w:szCs w:val="24"/>
                <w:highlight w:val="none"/>
                <w:lang w:val="en-US" w:eastAsia="zh-CN"/>
                <w14:textFill>
                  <w14:solidFill>
                    <w14:schemeClr w14:val="tx1"/>
                  </w14:solidFill>
                </w14:textFill>
              </w:rPr>
              <w:t>和</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冷却塔</w:t>
            </w:r>
            <w:r>
              <w:rPr>
                <w:rFonts w:hint="default" w:ascii="Times New Roman" w:hAnsi="Times New Roman" w:eastAsia="宋体" w:cs="Times New Roman"/>
                <w:bCs/>
                <w:color w:val="000000" w:themeColor="text1"/>
                <w:sz w:val="24"/>
                <w:highlight w:val="none"/>
                <w:lang w:val="en-US" w:eastAsia="zh-CN"/>
                <w14:textFill>
                  <w14:solidFill>
                    <w14:schemeClr w14:val="tx1"/>
                  </w14:solidFill>
                </w14:textFill>
              </w:rPr>
              <w:t>安装中效隔音罩、</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采用减震垫和隔震橡胶，</w:t>
            </w: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通过优化位置布设，或</w:t>
            </w:r>
            <w:r>
              <w:rPr>
                <w:rFonts w:hint="default" w:ascii="Times New Roman" w:hAnsi="Times New Roman" w:eastAsia="宋体" w:cs="Times New Roman"/>
                <w:color w:val="000000" w:themeColor="text1"/>
                <w:spacing w:val="-1"/>
                <w:sz w:val="24"/>
                <w:szCs w:val="24"/>
                <w:highlight w:val="none"/>
                <w:lang w:val="en-US" w:eastAsia="zh-CN"/>
                <w14:textFill>
                  <w14:solidFill>
                    <w14:schemeClr w14:val="tx1"/>
                  </w14:solidFill>
                </w14:textFill>
              </w:rPr>
              <w:t>安装</w:t>
            </w: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吸声装置，减少对敏感目标的影响。</w:t>
            </w:r>
          </w:p>
          <w:p w14:paraId="19179948">
            <w:p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加强生产设备的管理</w:t>
            </w:r>
          </w:p>
          <w:p w14:paraId="5D1B087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项目不进行夜间生产，</w:t>
            </w:r>
            <w:r>
              <w:rPr>
                <w:rFonts w:hint="default" w:ascii="Times New Roman" w:hAnsi="Times New Roman" w:cs="Times New Roman"/>
                <w:color w:val="000000" w:themeColor="text1"/>
                <w:sz w:val="24"/>
                <w:highlight w:val="none"/>
                <w14:textFill>
                  <w14:solidFill>
                    <w14:schemeClr w14:val="tx1"/>
                  </w14:solidFill>
                </w14:textFill>
              </w:rPr>
              <w:t>定期对设备进行巡查，加强设备维护，确保设备处于良好的运转状态，杜绝因设备不正常运转时产生的高噪声现象。建设单位应按照监测计划对厂界噪声进行监测，一旦发现厂界噪声超标，应立即对厂区内的生产设备进行排查，排除设备异常运行对噪声的影响。同时建立高噪声设备台账，加强高噪声设备的日常维护。</w:t>
            </w:r>
          </w:p>
          <w:p w14:paraId="7A5B1C0B">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根据《噪声与振动控制手册》（机械工业出版社），加装减振底座的降声量5~8dB(A)（本项目取7dB(A)），墙体隔声效果可以降噪10~30dB(A)（本项目所使用厂房为钢筋混凝土结构厂房，降噪值取2</w:t>
            </w:r>
            <w:r>
              <w:rPr>
                <w:rFonts w:hint="default" w:ascii="Times New Roman" w:hAnsi="Times New Roman" w:cs="Times New Roman"/>
                <w:bCs/>
                <w:color w:val="000000" w:themeColor="text1"/>
                <w:sz w:val="24"/>
                <w:highlight w:val="none"/>
                <w:lang w:val="en-US" w:eastAsia="zh-CN"/>
                <w14:textFill>
                  <w14:solidFill>
                    <w14:schemeClr w14:val="tx1"/>
                  </w14:solidFill>
                </w14:textFill>
              </w:rPr>
              <w:t>5</w:t>
            </w:r>
            <w:r>
              <w:rPr>
                <w:rFonts w:hint="default" w:ascii="Times New Roman" w:hAnsi="Times New Roman" w:cs="Times New Roman"/>
                <w:bCs/>
                <w:color w:val="000000" w:themeColor="text1"/>
                <w:sz w:val="24"/>
                <w:highlight w:val="none"/>
                <w14:textFill>
                  <w14:solidFill>
                    <w14:schemeClr w14:val="tx1"/>
                  </w14:solidFill>
                </w14:textFill>
              </w:rPr>
              <w:t>dB(A)），即加装减振底座</w:t>
            </w:r>
            <w:r>
              <w:rPr>
                <w:rFonts w:hint="default" w:ascii="Times New Roman" w:hAnsi="Times New Roman" w:cs="Times New Roman"/>
                <w:bCs/>
                <w:color w:val="000000" w:themeColor="text1"/>
                <w:sz w:val="24"/>
                <w:szCs w:val="24"/>
                <w:highlight w:val="none"/>
                <w14:textFill>
                  <w14:solidFill>
                    <w14:schemeClr w14:val="tx1"/>
                  </w14:solidFill>
                </w14:textFill>
              </w:rPr>
              <w:t>和墙体隔声共可降噪</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32</w:t>
            </w:r>
            <w:r>
              <w:rPr>
                <w:rFonts w:hint="default" w:ascii="Times New Roman" w:hAnsi="Times New Roman" w:cs="Times New Roman"/>
                <w:bCs/>
                <w:color w:val="000000" w:themeColor="text1"/>
                <w:sz w:val="24"/>
                <w:szCs w:val="24"/>
                <w:highlight w:val="none"/>
                <w14:textFill>
                  <w14:solidFill>
                    <w14:schemeClr w14:val="tx1"/>
                  </w14:solidFill>
                </w14:textFill>
              </w:rPr>
              <w:t>dB(A)。</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室外风机及废气处理设施优先选取先进低噪声设备，并在</w:t>
            </w:r>
            <w:r>
              <w:rPr>
                <w:rFonts w:hint="default" w:ascii="Times New Roman" w:hAnsi="Times New Roman" w:eastAsia="宋体" w:cs="Times New Roman"/>
                <w:color w:val="000000" w:themeColor="text1"/>
                <w:kern w:val="2"/>
                <w:sz w:val="24"/>
                <w:szCs w:val="24"/>
                <w:highlight w:val="none"/>
                <w:lang w:val="zh-CN" w:eastAsia="zh-CN" w:bidi="ar-SA"/>
                <w14:textFill>
                  <w14:solidFill>
                    <w14:schemeClr w14:val="tx1"/>
                  </w14:solidFill>
                </w14:textFill>
              </w:rPr>
              <w:t>安装过程中铺装减震基座、减震垫等设施，根据《噪声与振动控制手册》（机械工业出版社）加装减振底座的综合降噪效果为5~8dB（A），本项目取8dB（A）。</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同时设置隔声罩，</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根据《环境工程设计手册》（魏先勋），普通级隔声罩隔声量为10~20dB（A），中效级隔声罩隔声量为20~30dB（A），按匹配的主机外形尺寸大小和安装、维修的实际需要对室外风机安装中效级隔声罩，</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隔音效果取中间值30dB（A）。</w:t>
            </w:r>
            <w:r>
              <w:rPr>
                <w:rFonts w:hint="default" w:ascii="Times New Roman" w:hAnsi="Times New Roman" w:cs="Times New Roman"/>
                <w:color w:val="000000" w:themeColor="text1"/>
                <w:sz w:val="24"/>
                <w:szCs w:val="24"/>
                <w:highlight w:val="none"/>
                <w14:textFill>
                  <w14:solidFill>
                    <w14:schemeClr w14:val="tx1"/>
                  </w14:solidFill>
                </w14:textFill>
              </w:rPr>
              <w:t>采取以上噪声防治措施及距离衰减后，</w:t>
            </w:r>
            <w:r>
              <w:rPr>
                <w:rFonts w:hint="default" w:ascii="Times New Roman" w:hAnsi="Times New Roman" w:cs="Times New Roman"/>
                <w:color w:val="000000" w:themeColor="text1"/>
                <w:sz w:val="24"/>
                <w:szCs w:val="24"/>
                <w:highlight w:val="none"/>
                <w:lang w:val="en-US"/>
                <w14:textFill>
                  <w14:solidFill>
                    <w14:schemeClr w14:val="tx1"/>
                  </w14:solidFill>
                </w14:textFill>
              </w:rPr>
              <w:t>项目</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东面、</w:t>
            </w:r>
            <w:r>
              <w:rPr>
                <w:rFonts w:hint="default" w:ascii="Times New Roman" w:hAnsi="Times New Roman" w:cs="Times New Roman"/>
                <w:color w:val="000000" w:themeColor="text1"/>
                <w:sz w:val="24"/>
                <w:szCs w:val="24"/>
                <w:highlight w:val="none"/>
                <w:lang w:val="en-US"/>
                <w14:textFill>
                  <w14:solidFill>
                    <w14:schemeClr w14:val="tx1"/>
                  </w14:solidFill>
                </w14:textFill>
              </w:rPr>
              <w:t>南面</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、西面</w:t>
            </w:r>
            <w:r>
              <w:rPr>
                <w:rFonts w:hint="default" w:ascii="Times New Roman" w:hAnsi="Times New Roman" w:cs="Times New Roman"/>
                <w:color w:val="000000" w:themeColor="text1"/>
                <w:sz w:val="24"/>
                <w:szCs w:val="24"/>
                <w:highlight w:val="none"/>
                <w:lang w:val="en-US"/>
                <w14:textFill>
                  <w14:solidFill>
                    <w14:schemeClr w14:val="tx1"/>
                  </w14:solidFill>
                </w14:textFill>
              </w:rPr>
              <w:t>和北面厂界外1米处</w:t>
            </w:r>
            <w:r>
              <w:rPr>
                <w:rFonts w:hint="default" w:ascii="Times New Roman" w:hAnsi="Times New Roman" w:cs="Times New Roman"/>
                <w:color w:val="000000" w:themeColor="text1"/>
                <w:sz w:val="24"/>
                <w:szCs w:val="24"/>
                <w:highlight w:val="none"/>
                <w14:textFill>
                  <w14:solidFill>
                    <w14:schemeClr w14:val="tx1"/>
                  </w14:solidFill>
                </w14:textFill>
              </w:rPr>
              <w:t>噪声可达到《工业企业厂界环境噪声排放标准》(GB12348－2008)中</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类标准</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因此</w:t>
            </w:r>
            <w:r>
              <w:rPr>
                <w:rFonts w:hint="default" w:ascii="Times New Roman" w:hAnsi="Times New Roman" w:cs="Times New Roman"/>
                <w:color w:val="000000" w:themeColor="text1"/>
                <w:sz w:val="24"/>
                <w:szCs w:val="21"/>
                <w:highlight w:val="none"/>
                <w14:textFill>
                  <w14:solidFill>
                    <w14:schemeClr w14:val="tx1"/>
                  </w14:solidFill>
                </w14:textFill>
              </w:rPr>
              <w:t>项目噪声对周围环境影响不明显。</w:t>
            </w:r>
          </w:p>
          <w:p w14:paraId="4D4CD0BA">
            <w:pPr>
              <w:pStyle w:val="56"/>
              <w:adjustRightInd/>
              <w:spacing w:line="480" w:lineRule="exact"/>
              <w:ind w:left="0" w:right="0"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根据《排污单位自行监测技术指南总则》（HJ 819-2017）、《排污许可证申请与核发技术规范总则》（HJ 942-2018），本项目污染源监测计划见下表。</w:t>
            </w:r>
          </w:p>
          <w:p w14:paraId="0D404E08">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噪声监测计划</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2215"/>
              <w:gridCol w:w="1568"/>
              <w:gridCol w:w="2034"/>
              <w:gridCol w:w="2046"/>
            </w:tblGrid>
            <w:tr w14:paraId="0FA5F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1" w:type="pct"/>
                  <w:shd w:val="clear" w:color="000000" w:fill="D7D7D7" w:themeFill="background1" w:themeFillShade="D8"/>
                  <w:vAlign w:val="center"/>
                </w:tcPr>
                <w:p w14:paraId="59126E41">
                  <w:pPr>
                    <w:jc w:val="center"/>
                    <w:rPr>
                      <w:rFonts w:hint="default" w:ascii="Times New Roman" w:hAnsi="Times New Roman" w:eastAsia="宋体" w:cs="Times New Roman"/>
                      <w:b/>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bCs/>
                      <w:color w:val="000000" w:themeColor="text1"/>
                      <w:spacing w:val="10"/>
                      <w:szCs w:val="21"/>
                      <w:highlight w:val="none"/>
                      <w14:textFill>
                        <w14:solidFill>
                          <w14:schemeClr w14:val="tx1"/>
                        </w14:solidFill>
                      </w14:textFill>
                    </w:rPr>
                    <w:t>序号</w:t>
                  </w:r>
                </w:p>
              </w:tc>
              <w:tc>
                <w:tcPr>
                  <w:tcW w:w="1320" w:type="pct"/>
                  <w:shd w:val="clear" w:color="000000" w:fill="D7D7D7" w:themeFill="background1" w:themeFillShade="D8"/>
                  <w:vAlign w:val="center"/>
                </w:tcPr>
                <w:p w14:paraId="0C6D1454">
                  <w:pPr>
                    <w:jc w:val="center"/>
                    <w:rPr>
                      <w:rFonts w:hint="default" w:ascii="Times New Roman" w:hAnsi="Times New Roman" w:eastAsia="宋体" w:cs="Times New Roman"/>
                      <w:b/>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bCs/>
                      <w:color w:val="000000" w:themeColor="text1"/>
                      <w:spacing w:val="10"/>
                      <w:szCs w:val="21"/>
                      <w:highlight w:val="none"/>
                      <w14:textFill>
                        <w14:solidFill>
                          <w14:schemeClr w14:val="tx1"/>
                        </w14:solidFill>
                      </w14:textFill>
                    </w:rPr>
                    <w:t>监测点位</w:t>
                  </w:r>
                </w:p>
              </w:tc>
              <w:tc>
                <w:tcPr>
                  <w:tcW w:w="934" w:type="pct"/>
                  <w:shd w:val="clear" w:color="000000" w:fill="D7D7D7" w:themeFill="background1" w:themeFillShade="D8"/>
                  <w:vAlign w:val="center"/>
                </w:tcPr>
                <w:p w14:paraId="602578CF">
                  <w:pPr>
                    <w:jc w:val="center"/>
                    <w:rPr>
                      <w:rFonts w:hint="default" w:ascii="Times New Roman" w:hAnsi="Times New Roman" w:eastAsia="宋体" w:cs="Times New Roman"/>
                      <w:b/>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bCs/>
                      <w:color w:val="000000" w:themeColor="text1"/>
                      <w:spacing w:val="10"/>
                      <w:szCs w:val="21"/>
                      <w:highlight w:val="none"/>
                      <w14:textFill>
                        <w14:solidFill>
                          <w14:schemeClr w14:val="tx1"/>
                        </w14:solidFill>
                      </w14:textFill>
                    </w:rPr>
                    <w:t>监测频次</w:t>
                  </w:r>
                </w:p>
              </w:tc>
              <w:tc>
                <w:tcPr>
                  <w:tcW w:w="1212" w:type="pct"/>
                  <w:shd w:val="clear" w:color="000000" w:fill="D7D7D7" w:themeFill="background1" w:themeFillShade="D8"/>
                  <w:vAlign w:val="center"/>
                </w:tcPr>
                <w:p w14:paraId="6A485BB0">
                  <w:pPr>
                    <w:jc w:val="center"/>
                    <w:rPr>
                      <w:rFonts w:hint="default" w:ascii="Times New Roman" w:hAnsi="Times New Roman" w:eastAsia="宋体" w:cs="Times New Roman"/>
                      <w:b/>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bCs/>
                      <w:color w:val="000000" w:themeColor="text1"/>
                      <w:spacing w:val="10"/>
                      <w:szCs w:val="21"/>
                      <w:highlight w:val="none"/>
                      <w14:textFill>
                        <w14:solidFill>
                          <w14:schemeClr w14:val="tx1"/>
                        </w14:solidFill>
                      </w14:textFill>
                    </w:rPr>
                    <w:t>排放限值</w:t>
                  </w:r>
                </w:p>
              </w:tc>
              <w:tc>
                <w:tcPr>
                  <w:tcW w:w="1219" w:type="pct"/>
                  <w:shd w:val="clear" w:color="000000" w:fill="D7D7D7" w:themeFill="background1" w:themeFillShade="D8"/>
                  <w:vAlign w:val="center"/>
                </w:tcPr>
                <w:p w14:paraId="34E44E07">
                  <w:pPr>
                    <w:jc w:val="center"/>
                    <w:rPr>
                      <w:rFonts w:hint="default" w:ascii="Times New Roman" w:hAnsi="Times New Roman" w:eastAsia="宋体" w:cs="Times New Roman"/>
                      <w:b/>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
                      <w:bCs/>
                      <w:color w:val="000000" w:themeColor="text1"/>
                      <w:spacing w:val="10"/>
                      <w:szCs w:val="21"/>
                      <w:highlight w:val="none"/>
                      <w14:textFill>
                        <w14:solidFill>
                          <w14:schemeClr w14:val="tx1"/>
                        </w14:solidFill>
                      </w14:textFill>
                    </w:rPr>
                    <w:t>执行排放标准</w:t>
                  </w:r>
                </w:p>
              </w:tc>
            </w:tr>
            <w:tr w14:paraId="701F6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311" w:type="pct"/>
                  <w:shd w:val="clear" w:color="000000" w:fill="auto"/>
                  <w:vAlign w:val="center"/>
                </w:tcPr>
                <w:p w14:paraId="75BCD04F">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1</w:t>
                  </w:r>
                </w:p>
              </w:tc>
              <w:tc>
                <w:tcPr>
                  <w:tcW w:w="1320" w:type="pct"/>
                  <w:shd w:val="clear" w:color="000000" w:fill="auto"/>
                  <w:vAlign w:val="center"/>
                </w:tcPr>
                <w:p w14:paraId="11B22227">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东面厂界外1m</w:t>
                  </w:r>
                </w:p>
              </w:tc>
              <w:tc>
                <w:tcPr>
                  <w:tcW w:w="934" w:type="pct"/>
                  <w:vMerge w:val="restart"/>
                  <w:shd w:val="clear" w:color="000000" w:fill="auto"/>
                  <w:vAlign w:val="center"/>
                </w:tcPr>
                <w:p w14:paraId="1BE5B7AE">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1季度/次</w:t>
                  </w:r>
                </w:p>
              </w:tc>
              <w:tc>
                <w:tcPr>
                  <w:tcW w:w="1212" w:type="pct"/>
                  <w:vMerge w:val="restart"/>
                  <w:shd w:val="clear" w:color="000000" w:fill="auto"/>
                  <w:vAlign w:val="center"/>
                </w:tcPr>
                <w:p w14:paraId="45B0D338">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《工业企业厂界环境噪声排放标准》（GB12348-2008）的3类标准</w:t>
                  </w:r>
                </w:p>
              </w:tc>
              <w:tc>
                <w:tcPr>
                  <w:tcW w:w="1219" w:type="pct"/>
                  <w:vMerge w:val="restart"/>
                  <w:shd w:val="clear" w:color="000000" w:fill="auto"/>
                  <w:vAlign w:val="center"/>
                </w:tcPr>
                <w:p w14:paraId="46AF3C1B">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昼间≤65dB(A）</w:t>
                  </w:r>
                </w:p>
              </w:tc>
            </w:tr>
            <w:tr w14:paraId="3B661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311" w:type="pct"/>
                  <w:shd w:val="clear" w:color="000000" w:fill="auto"/>
                  <w:vAlign w:val="center"/>
                </w:tcPr>
                <w:p w14:paraId="25F39C53">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w:t>
                  </w:r>
                </w:p>
              </w:tc>
              <w:tc>
                <w:tcPr>
                  <w:tcW w:w="1320" w:type="pct"/>
                  <w:shd w:val="clear" w:color="000000" w:fill="auto"/>
                  <w:vAlign w:val="center"/>
                </w:tcPr>
                <w:p w14:paraId="6760ADB5">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南面厂界外1m</w:t>
                  </w:r>
                </w:p>
              </w:tc>
              <w:tc>
                <w:tcPr>
                  <w:tcW w:w="934" w:type="pct"/>
                  <w:vMerge w:val="continue"/>
                  <w:shd w:val="clear" w:color="000000" w:fill="auto"/>
                  <w:vAlign w:val="center"/>
                </w:tcPr>
                <w:p w14:paraId="5EC89EA4">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c>
                <w:tcPr>
                  <w:tcW w:w="1212" w:type="pct"/>
                  <w:vMerge w:val="continue"/>
                  <w:shd w:val="clear" w:color="000000" w:fill="auto"/>
                  <w:vAlign w:val="center"/>
                </w:tcPr>
                <w:p w14:paraId="751D7485">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c>
                <w:tcPr>
                  <w:tcW w:w="1219" w:type="pct"/>
                  <w:vMerge w:val="continue"/>
                  <w:shd w:val="clear" w:color="000000" w:fill="auto"/>
                  <w:vAlign w:val="center"/>
                </w:tcPr>
                <w:p w14:paraId="04AC4139">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r>
            <w:tr w14:paraId="4151A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311" w:type="pct"/>
                  <w:shd w:val="clear" w:color="000000" w:fill="auto"/>
                  <w:vAlign w:val="center"/>
                </w:tcPr>
                <w:p w14:paraId="0FA4D991">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3</w:t>
                  </w:r>
                </w:p>
              </w:tc>
              <w:tc>
                <w:tcPr>
                  <w:tcW w:w="1320" w:type="pct"/>
                  <w:shd w:val="clear" w:color="000000" w:fill="auto"/>
                  <w:vAlign w:val="center"/>
                </w:tcPr>
                <w:p w14:paraId="18E007C8">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西面厂界外1m</w:t>
                  </w:r>
                </w:p>
              </w:tc>
              <w:tc>
                <w:tcPr>
                  <w:tcW w:w="934" w:type="pct"/>
                  <w:vMerge w:val="continue"/>
                  <w:shd w:val="clear" w:color="000000" w:fill="auto"/>
                  <w:vAlign w:val="center"/>
                </w:tcPr>
                <w:p w14:paraId="5C871300">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c>
                <w:tcPr>
                  <w:tcW w:w="1212" w:type="pct"/>
                  <w:vMerge w:val="continue"/>
                  <w:shd w:val="clear" w:color="000000" w:fill="auto"/>
                  <w:vAlign w:val="center"/>
                </w:tcPr>
                <w:p w14:paraId="58246001">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c>
                <w:tcPr>
                  <w:tcW w:w="1219" w:type="pct"/>
                  <w:vMerge w:val="continue"/>
                  <w:shd w:val="clear" w:color="000000" w:fill="auto"/>
                  <w:vAlign w:val="center"/>
                </w:tcPr>
                <w:p w14:paraId="1B3327AB">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r>
            <w:tr w14:paraId="68177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311" w:type="pct"/>
                  <w:shd w:val="clear" w:color="000000" w:fill="auto"/>
                  <w:vAlign w:val="center"/>
                </w:tcPr>
                <w:p w14:paraId="2A7A5CC6">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4</w:t>
                  </w:r>
                </w:p>
              </w:tc>
              <w:tc>
                <w:tcPr>
                  <w:tcW w:w="1320" w:type="pct"/>
                  <w:shd w:val="clear" w:color="000000" w:fill="auto"/>
                  <w:vAlign w:val="center"/>
                </w:tcPr>
                <w:p w14:paraId="00FB3F4A">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r>
                    <w:rPr>
                      <w:rFonts w:hint="default" w:ascii="Times New Roman" w:hAnsi="Times New Roman" w:eastAsia="宋体" w:cs="Times New Roman"/>
                      <w:color w:val="000000" w:themeColor="text1"/>
                      <w:spacing w:val="10"/>
                      <w:szCs w:val="21"/>
                      <w:highlight w:val="none"/>
                      <w14:textFill>
                        <w14:solidFill>
                          <w14:schemeClr w14:val="tx1"/>
                        </w14:solidFill>
                      </w14:textFill>
                    </w:rPr>
                    <w:t>北面厂界外1m</w:t>
                  </w:r>
                </w:p>
              </w:tc>
              <w:tc>
                <w:tcPr>
                  <w:tcW w:w="934" w:type="pct"/>
                  <w:vMerge w:val="continue"/>
                  <w:shd w:val="clear" w:color="000000" w:fill="auto"/>
                  <w:vAlign w:val="center"/>
                </w:tcPr>
                <w:p w14:paraId="38CA6FFE">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c>
                <w:tcPr>
                  <w:tcW w:w="1212" w:type="pct"/>
                  <w:vMerge w:val="continue"/>
                  <w:shd w:val="clear" w:color="000000" w:fill="auto"/>
                  <w:vAlign w:val="center"/>
                </w:tcPr>
                <w:p w14:paraId="42400E5D">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c>
                <w:tcPr>
                  <w:tcW w:w="1219" w:type="pct"/>
                  <w:vMerge w:val="continue"/>
                  <w:shd w:val="clear" w:color="000000" w:fill="auto"/>
                  <w:vAlign w:val="center"/>
                </w:tcPr>
                <w:p w14:paraId="7AB03D63">
                  <w:pPr>
                    <w:jc w:val="center"/>
                    <w:rPr>
                      <w:rFonts w:hint="default" w:ascii="Times New Roman" w:hAnsi="Times New Roman" w:eastAsia="宋体" w:cs="Times New Roman"/>
                      <w:color w:val="000000" w:themeColor="text1"/>
                      <w:spacing w:val="10"/>
                      <w:szCs w:val="21"/>
                      <w:highlight w:val="none"/>
                      <w14:textFill>
                        <w14:solidFill>
                          <w14:schemeClr w14:val="tx1"/>
                        </w14:solidFill>
                      </w14:textFill>
                    </w:rPr>
                  </w:pPr>
                </w:p>
              </w:tc>
            </w:tr>
          </w:tbl>
          <w:p w14:paraId="6B026748">
            <w:pPr>
              <w:spacing w:line="480" w:lineRule="exact"/>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四、固体废物影响分析</w:t>
            </w:r>
          </w:p>
          <w:p w14:paraId="1AC5B709">
            <w:pPr>
              <w:pStyle w:val="56"/>
              <w:adjustRightInd/>
              <w:spacing w:line="480" w:lineRule="exact"/>
              <w:ind w:left="0" w:right="0" w:firstLineChars="200"/>
              <w:rPr>
                <w:rFonts w:hint="default" w:ascii="Times New Roman" w:hAnsi="Times New Roman" w:eastAsia="宋体" w:cs="Times New Roman"/>
                <w:b/>
                <w:bCs/>
                <w:color w:val="000000" w:themeColor="text1"/>
                <w:szCs w:val="24"/>
                <w:highlight w:val="none"/>
                <w14:textFill>
                  <w14:solidFill>
                    <w14:schemeClr w14:val="tx1"/>
                  </w14:solidFill>
                </w14:textFill>
              </w:rPr>
            </w:pPr>
            <w:r>
              <w:rPr>
                <w:rFonts w:hint="default" w:ascii="Times New Roman" w:hAnsi="Times New Roman" w:eastAsia="宋体" w:cs="Times New Roman"/>
                <w:b/>
                <w:bCs/>
                <w:color w:val="000000" w:themeColor="text1"/>
                <w:szCs w:val="24"/>
                <w:highlight w:val="none"/>
                <w14:textFill>
                  <w14:solidFill>
                    <w14:schemeClr w14:val="tx1"/>
                  </w14:solidFill>
                </w14:textFill>
              </w:rPr>
              <w:t>1、固废产生情况</w:t>
            </w:r>
          </w:p>
          <w:p w14:paraId="75E232B9">
            <w:pPr>
              <w:pStyle w:val="56"/>
              <w:adjustRightInd/>
              <w:spacing w:line="480" w:lineRule="exact"/>
              <w:ind w:left="0" w:right="0" w:firstLineChars="200"/>
              <w:rPr>
                <w:rFonts w:hint="default" w:ascii="Times New Roman" w:hAnsi="Times New Roman" w:eastAsia="宋体" w:cs="Times New Roman"/>
                <w:b/>
                <w:bCs/>
                <w:color w:val="000000" w:themeColor="text1"/>
                <w:szCs w:val="24"/>
                <w:highlight w:val="none"/>
                <w14:textFill>
                  <w14:solidFill>
                    <w14:schemeClr w14:val="tx1"/>
                  </w14:solidFill>
                </w14:textFill>
              </w:rPr>
            </w:pPr>
            <w:r>
              <w:rPr>
                <w:rFonts w:hint="default" w:ascii="Times New Roman" w:hAnsi="Times New Roman" w:eastAsia="宋体" w:cs="Times New Roman"/>
                <w:b/>
                <w:bCs/>
                <w:color w:val="000000" w:themeColor="text1"/>
                <w:szCs w:val="24"/>
                <w:highlight w:val="none"/>
                <w14:textFill>
                  <w14:solidFill>
                    <w14:schemeClr w14:val="tx1"/>
                  </w14:solidFill>
                </w14:textFill>
              </w:rPr>
              <w:t>A、生活垃圾</w:t>
            </w:r>
          </w:p>
          <w:p w14:paraId="6614626B">
            <w:pPr>
              <w:pStyle w:val="56"/>
              <w:adjustRightInd/>
              <w:spacing w:line="480" w:lineRule="exact"/>
              <w:ind w:left="0" w:right="0"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项目共有员工</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51</w:t>
            </w:r>
            <w:r>
              <w:rPr>
                <w:rFonts w:hint="default" w:ascii="Times New Roman" w:hAnsi="Times New Roman" w:eastAsia="宋体" w:cs="Times New Roman"/>
                <w:color w:val="000000" w:themeColor="text1"/>
                <w:szCs w:val="24"/>
                <w:highlight w:val="none"/>
                <w14:textFill>
                  <w14:solidFill>
                    <w14:schemeClr w14:val="tx1"/>
                  </w14:solidFill>
                </w14:textFill>
              </w:rPr>
              <w:t>人，均不在厂内食宿，非住宿员工按0.5kg/人·d计算员工生活垃圾产生量，项目生活垃圾产生量为</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7.65</w:t>
            </w:r>
            <w:r>
              <w:rPr>
                <w:rFonts w:hint="default" w:ascii="Times New Roman" w:hAnsi="Times New Roman" w:eastAsia="宋体" w:cs="Times New Roman"/>
                <w:color w:val="000000" w:themeColor="text1"/>
                <w:szCs w:val="24"/>
                <w:highlight w:val="none"/>
                <w14:textFill>
                  <w14:solidFill>
                    <w14:schemeClr w14:val="tx1"/>
                  </w14:solidFill>
                </w14:textFill>
              </w:rPr>
              <w:t>t/a。生活垃圾交由环卫部门处理。</w:t>
            </w:r>
          </w:p>
          <w:p w14:paraId="301B4FD5">
            <w:pPr>
              <w:pStyle w:val="56"/>
              <w:adjustRightInd/>
              <w:spacing w:line="480" w:lineRule="exact"/>
              <w:ind w:left="0" w:right="0" w:firstLineChars="200"/>
              <w:rPr>
                <w:rFonts w:hint="default" w:ascii="Times New Roman" w:hAnsi="Times New Roman" w:eastAsia="宋体" w:cs="Times New Roman"/>
                <w:b/>
                <w:bCs/>
                <w:color w:val="000000" w:themeColor="text1"/>
                <w:szCs w:val="24"/>
                <w:highlight w:val="none"/>
                <w14:textFill>
                  <w14:solidFill>
                    <w14:schemeClr w14:val="tx1"/>
                  </w14:solidFill>
                </w14:textFill>
              </w:rPr>
            </w:pPr>
            <w:r>
              <w:rPr>
                <w:rFonts w:hint="default" w:ascii="Times New Roman" w:hAnsi="Times New Roman" w:eastAsia="宋体" w:cs="Times New Roman"/>
                <w:b/>
                <w:bCs/>
                <w:color w:val="000000" w:themeColor="text1"/>
                <w:szCs w:val="24"/>
                <w:highlight w:val="none"/>
                <w14:textFill>
                  <w14:solidFill>
                    <w14:schemeClr w14:val="tx1"/>
                  </w14:solidFill>
                </w14:textFill>
              </w:rPr>
              <w:t>B、一般固废</w:t>
            </w:r>
          </w:p>
          <w:p w14:paraId="078ACACA">
            <w:pPr>
              <w:pStyle w:val="18"/>
              <w:spacing w:line="480" w:lineRule="exact"/>
              <w:ind w:firstLine="480" w:firstLineChars="200"/>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14:textFill>
                  <w14:solidFill>
                    <w14:schemeClr w14:val="tx1"/>
                  </w14:solidFill>
                </w14:textFill>
              </w:rPr>
              <w:instrText xml:space="preserve"> = 1 \* GB2 \* MERGEFORMAT </w:instrText>
            </w:r>
            <w:r>
              <w:rPr>
                <w:rFonts w:hint="default" w:ascii="Times New Roman" w:hAnsi="Times New Roman" w:eastAsia="宋体" w:cs="Times New Roman"/>
                <w:color w:val="000000" w:themeColor="text1"/>
                <w:szCs w:val="24"/>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⑴</w:t>
            </w:r>
            <w:r>
              <w:rPr>
                <w:rFonts w:hint="default" w:ascii="Times New Roman" w:hAnsi="Times New Roman" w:eastAsia="宋体" w:cs="Times New Roman"/>
                <w:color w:val="000000" w:themeColor="text1"/>
                <w:szCs w:val="24"/>
                <w:highlight w:val="none"/>
                <w14:textFill>
                  <w14:solidFill>
                    <w14:schemeClr w14:val="tx1"/>
                  </w14:solidFill>
                </w14:textFill>
              </w:rPr>
              <w:fldChar w:fldCharType="end"/>
            </w:r>
            <w:r>
              <w:rPr>
                <w:rFonts w:ascii="Times New Roman" w:hAnsi="Times New Roman" w:eastAsia="宋体" w:cs="Times New Roman"/>
                <w:color w:val="000000" w:themeColor="text1"/>
                <w:szCs w:val="24"/>
                <w:highlight w:val="none"/>
                <w14:textFill>
                  <w14:solidFill>
                    <w14:schemeClr w14:val="tx1"/>
                  </w14:solidFill>
                </w14:textFill>
              </w:rPr>
              <w:t>废弃包装物</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r>
              <w:rPr>
                <w:rFonts w:ascii="Times New Roman" w:hAnsi="Times New Roman" w:eastAsia="宋体" w:cs="Times New Roman"/>
                <w:color w:val="000000" w:themeColor="text1"/>
                <w:szCs w:val="24"/>
                <w:highlight w:val="none"/>
                <w14:textFill>
                  <w14:solidFill>
                    <w14:schemeClr w14:val="tx1"/>
                  </w14:solidFill>
                </w14:textFill>
              </w:rPr>
              <w:t>包装物为原辅材料的包装袋。根据</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前表</w:t>
            </w:r>
            <w:r>
              <w:rPr>
                <w:rFonts w:ascii="Times New Roman" w:hAnsi="Times New Roman" w:eastAsia="宋体" w:cs="Times New Roman"/>
                <w:color w:val="000000" w:themeColor="text1"/>
                <w:szCs w:val="24"/>
                <w:highlight w:val="none"/>
                <w14:textFill>
                  <w14:solidFill>
                    <w14:schemeClr w14:val="tx1"/>
                  </w14:solidFill>
                </w14:textFill>
              </w:rPr>
              <w:t>，</w:t>
            </w:r>
            <w:r>
              <w:rPr>
                <w:rFonts w:hint="eastAsia"/>
                <w:color w:val="000000" w:themeColor="text1"/>
                <w:highlight w:val="none"/>
                <w14:textFill>
                  <w14:solidFill>
                    <w14:schemeClr w14:val="tx1"/>
                  </w14:solidFill>
                </w14:textFill>
              </w:rPr>
              <w:t>苯乙烯-丁二烯-苯乙烯共聚合物</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SBS</w:t>
            </w:r>
            <w:r>
              <w:rPr>
                <w:rFonts w:hint="eastAsia"/>
                <w:color w:val="000000" w:themeColor="text1"/>
                <w:highlight w:val="none"/>
                <w:lang w:eastAsia="zh-CN"/>
                <w14:textFill>
                  <w14:solidFill>
                    <w14:schemeClr w14:val="tx1"/>
                  </w14:solidFill>
                </w14:textFill>
              </w:rPr>
              <w:t>）</w:t>
            </w:r>
            <w:r>
              <w:rPr>
                <w:rFonts w:ascii="Times New Roman" w:hAnsi="Times New Roman" w:eastAsia="宋体" w:cs="Times New Roman"/>
                <w:color w:val="000000" w:themeColor="text1"/>
                <w:szCs w:val="24"/>
                <w:highlight w:val="none"/>
                <w14:textFill>
                  <w14:solidFill>
                    <w14:schemeClr w14:val="tx1"/>
                  </w14:solidFill>
                </w14:textFill>
              </w:rPr>
              <w:t>、碳酸钙、</w:t>
            </w:r>
            <w:r>
              <w:rPr>
                <w:rFonts w:hint="eastAsia"/>
                <w:color w:val="000000" w:themeColor="text1"/>
                <w:highlight w:val="none"/>
                <w14:textFill>
                  <w14:solidFill>
                    <w14:schemeClr w14:val="tx1"/>
                  </w14:solidFill>
                </w14:textFill>
              </w:rPr>
              <w:t>聚苯乙烯</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PS</w:t>
            </w:r>
            <w:r>
              <w:rPr>
                <w:rFonts w:hint="eastAsia"/>
                <w:color w:val="000000" w:themeColor="text1"/>
                <w:highlight w:val="none"/>
                <w:lang w:eastAsia="zh-CN"/>
                <w14:textFill>
                  <w14:solidFill>
                    <w14:schemeClr w14:val="tx1"/>
                  </w14:solidFill>
                </w14:textFill>
              </w:rPr>
              <w:t>）</w:t>
            </w:r>
            <w:r>
              <w:rPr>
                <w:rFonts w:ascii="Times New Roman" w:hAnsi="Times New Roman" w:eastAsia="宋体" w:cs="Times New Roman"/>
                <w:color w:val="000000" w:themeColor="text1"/>
                <w:szCs w:val="24"/>
                <w:highlight w:val="none"/>
                <w14:textFill>
                  <w14:solidFill>
                    <w14:schemeClr w14:val="tx1"/>
                  </w14:solidFill>
                </w14:textFill>
              </w:rPr>
              <w:t>物料年用量共为</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906</w:t>
            </w:r>
            <w:r>
              <w:rPr>
                <w:rFonts w:ascii="Times New Roman" w:hAnsi="Times New Roman" w:eastAsia="宋体" w:cs="Times New Roman"/>
                <w:color w:val="000000" w:themeColor="text1"/>
                <w:szCs w:val="24"/>
                <w:highlight w:val="none"/>
                <w14:textFill>
                  <w14:solidFill>
                    <w14:schemeClr w14:val="tx1"/>
                  </w14:solidFill>
                </w14:textFill>
              </w:rPr>
              <w:t>吨/年，物料包装规格为25kg/袋，则产生包装袋为</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36240</w:t>
            </w:r>
            <w:r>
              <w:rPr>
                <w:rFonts w:ascii="Times New Roman" w:hAnsi="Times New Roman" w:eastAsia="宋体" w:cs="Times New Roman"/>
                <w:color w:val="000000" w:themeColor="text1"/>
                <w:szCs w:val="24"/>
                <w:highlight w:val="none"/>
                <w14:textFill>
                  <w14:solidFill>
                    <w14:schemeClr w14:val="tx1"/>
                  </w14:solidFill>
                </w14:textFill>
              </w:rPr>
              <w:t>个，单个包装袋约重0.1kg，则废弃包装袋产生量约为</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3.624</w:t>
            </w:r>
            <w:r>
              <w:rPr>
                <w:rFonts w:ascii="Times New Roman" w:hAnsi="Times New Roman" w:eastAsia="宋体" w:cs="Times New Roman"/>
                <w:color w:val="000000" w:themeColor="text1"/>
                <w:szCs w:val="24"/>
                <w:highlight w:val="none"/>
                <w14:textFill>
                  <w14:solidFill>
                    <w14:schemeClr w14:val="tx1"/>
                  </w14:solidFill>
                </w14:textFill>
              </w:rPr>
              <w:t>吨/年</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收集后交给有一般工业固废处理能力的单位处理</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p>
          <w:p w14:paraId="7E69DA67">
            <w:pPr>
              <w:pStyle w:val="18"/>
              <w:spacing w:line="480" w:lineRule="exact"/>
              <w:ind w:firstLine="480" w:firstLineChars="200"/>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⑵</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车间沉降粉尘：根据前表可知投料过程颗粒物的产生量为1.06t/a，</w:t>
            </w:r>
            <w:r>
              <w:rPr>
                <w:rFonts w:ascii="Times New Roman" w:hAnsi="Times New Roman" w:eastAsia="宋体" w:cs="Times New Roman"/>
                <w:color w:val="000000" w:themeColor="text1"/>
                <w:sz w:val="24"/>
                <w:highlight w:val="none"/>
                <w14:textFill>
                  <w14:solidFill>
                    <w14:schemeClr w14:val="tx1"/>
                  </w14:solidFill>
                </w14:textFill>
              </w:rPr>
              <w:t>拟对投料工序产生的废气采用集气罩收集后经滤芯除尘装置处理后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经15m高排气筒（G1）高空排放，粉尘</w:t>
            </w:r>
            <w:r>
              <w:rPr>
                <w:rFonts w:ascii="Times New Roman" w:hAnsi="Times New Roman" w:eastAsia="宋体" w:cs="Times New Roman"/>
                <w:color w:val="000000" w:themeColor="text1"/>
                <w:sz w:val="24"/>
                <w:highlight w:val="none"/>
                <w14:textFill>
                  <w14:solidFill>
                    <w14:schemeClr w14:val="tx1"/>
                  </w14:solidFill>
                </w14:textFill>
              </w:rPr>
              <w:t>收集效率约为30%，逸散的粉尘约60%可自然沉降在车间内，</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车间沉降量=1.06</w:t>
            </w:r>
            <w:r>
              <w:rPr>
                <w:rFonts w:ascii="Times New Roman" w:hAnsi="Times New Roman" w:eastAsia="宋体" w:cs="Times New Roman"/>
                <w:color w:val="000000" w:themeColor="text1"/>
                <w:sz w:val="24"/>
                <w:highlight w:val="none"/>
                <w14:textFill>
                  <w14:solidFill>
                    <w14:schemeClr w14:val="tx1"/>
                  </w14:solidFill>
                </w14:textFill>
              </w:rPr>
              <w:t>×（1-30%）×60%=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0.4452</w:t>
            </w:r>
            <w:r>
              <w:rPr>
                <w:rFonts w:ascii="Times New Roman" w:hAnsi="Times New Roman" w:eastAsia="宋体"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收集后交给有一般工业固废处理能力的单位处理</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p>
          <w:p w14:paraId="4A1B8402">
            <w:pPr>
              <w:pStyle w:val="18"/>
              <w:spacing w:line="480" w:lineRule="exact"/>
              <w:ind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⑶</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废滤芯：为保证滤芯除尘装置处理效率，滤芯除尘装置的滤芯需要定期更换，项目每半年更换一次，单次更换产生废滤芯2个，单个质量约0.005t，则产生废滤芯约0.02t/a</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收集后交给有一般工业固废处理能力的单位处理</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p>
          <w:p w14:paraId="517725DD">
            <w:pPr>
              <w:pStyle w:val="18"/>
              <w:spacing w:line="360" w:lineRule="auto"/>
              <w:ind w:firstLine="480" w:firstLineChars="200"/>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⑷</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滤芯收集粉尘：根据前表可知，</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投料</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工序颗粒物的产生量为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1.06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t/a，</w:t>
            </w:r>
            <w:r>
              <w:rPr>
                <w:rFonts w:ascii="Times New Roman" w:hAnsi="Times New Roman" w:eastAsia="宋体" w:cs="Times New Roman"/>
                <w:color w:val="000000" w:themeColor="text1"/>
                <w:sz w:val="24"/>
                <w:highlight w:val="none"/>
                <w14:textFill>
                  <w14:solidFill>
                    <w14:schemeClr w14:val="tx1"/>
                  </w14:solidFill>
                </w14:textFill>
              </w:rPr>
              <w:t>拟对投料工序产生的废气采用集气罩收集后经滤芯除尘装置处理后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经15m高排气筒（G1）高空排放，粉尘</w:t>
            </w:r>
            <w:r>
              <w:rPr>
                <w:rFonts w:ascii="Times New Roman" w:hAnsi="Times New Roman" w:eastAsia="宋体" w:cs="Times New Roman"/>
                <w:color w:val="000000" w:themeColor="text1"/>
                <w:sz w:val="24"/>
                <w:highlight w:val="none"/>
                <w14:textFill>
                  <w14:solidFill>
                    <w14:schemeClr w14:val="tx1"/>
                  </w14:solidFill>
                </w14:textFill>
              </w:rPr>
              <w:t>收集效率约为30%，处理效率约为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95</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故滤芯收集粉尘产生量=1.06</w:t>
            </w:r>
            <w:r>
              <w:rPr>
                <w:rFonts w:ascii="Times New Roman" w:hAnsi="Times New Roman" w:eastAsia="宋体" w:cs="Times New Roman"/>
                <w:color w:val="000000" w:themeColor="text1"/>
                <w:sz w:val="24"/>
                <w:highlight w:val="none"/>
                <w14:textFill>
                  <w14:solidFill>
                    <w14:schemeClr w14:val="tx1"/>
                  </w14:solidFill>
                </w14:textFill>
              </w:rPr>
              <w:t>×30%×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95</w:t>
            </w:r>
            <w:r>
              <w:rPr>
                <w:rFonts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0.3021</w:t>
            </w:r>
            <w:r>
              <w:rPr>
                <w:rFonts w:ascii="Times New Roman" w:hAnsi="Times New Roman" w:eastAsia="宋体"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。收集后回用生产。</w:t>
            </w:r>
          </w:p>
          <w:p w14:paraId="4DE9D153">
            <w:pPr>
              <w:pStyle w:val="19"/>
              <w:spacing w:line="360" w:lineRule="auto"/>
              <w:ind w:left="0" w:leftChars="0" w:firstLine="480" w:firstLineChars="200"/>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14:textFill>
                  <w14:solidFill>
                    <w14:schemeClr w14:val="tx1"/>
                  </w14:solidFill>
                </w14:textFill>
              </w:rPr>
              <w:t>⑸</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打样废品：根据前表8可知，打样废品的年</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产量约为</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0.05</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t/a。</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收集后交给有一般工业固废处理能力的单位处理</w:t>
            </w:r>
            <w:r>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t>。</w:t>
            </w:r>
          </w:p>
          <w:p w14:paraId="0A79E138">
            <w:pPr>
              <w:pStyle w:val="56"/>
              <w:adjustRightInd/>
              <w:spacing w:line="480" w:lineRule="exact"/>
              <w:ind w:left="0" w:right="0" w:firstLineChars="200"/>
              <w:rPr>
                <w:rFonts w:hint="default" w:ascii="Times New Roman" w:hAnsi="Times New Roman" w:eastAsia="宋体" w:cs="Times New Roman"/>
                <w:b/>
                <w:bCs/>
                <w:color w:val="000000" w:themeColor="text1"/>
                <w:szCs w:val="24"/>
                <w:highlight w:val="none"/>
                <w14:textFill>
                  <w14:solidFill>
                    <w14:schemeClr w14:val="tx1"/>
                  </w14:solidFill>
                </w14:textFill>
              </w:rPr>
            </w:pPr>
            <w:r>
              <w:rPr>
                <w:rFonts w:hint="default" w:ascii="Times New Roman" w:hAnsi="Times New Roman" w:eastAsia="宋体" w:cs="Times New Roman"/>
                <w:b/>
                <w:bCs/>
                <w:color w:val="000000" w:themeColor="text1"/>
                <w:szCs w:val="24"/>
                <w:highlight w:val="none"/>
                <w14:textFill>
                  <w14:solidFill>
                    <w14:schemeClr w14:val="tx1"/>
                  </w14:solidFill>
                </w14:textFill>
              </w:rPr>
              <w:t>C、危险废物</w:t>
            </w:r>
          </w:p>
          <w:p w14:paraId="3A6B18BD">
            <w:pPr>
              <w:pStyle w:val="18"/>
              <w:spacing w:line="480" w:lineRule="exact"/>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废饱和活性炭：项目饱和活性炭来自1套二级活性炭吸附设施，对废气进行吸附处理。</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二级</w:t>
            </w:r>
            <w:r>
              <w:rPr>
                <w:rFonts w:hint="default" w:ascii="Times New Roman" w:hAnsi="Times New Roman" w:eastAsia="宋体" w:cs="Times New Roman"/>
                <w:color w:val="000000" w:themeColor="text1"/>
                <w:szCs w:val="24"/>
                <w:highlight w:val="none"/>
                <w14:textFill>
                  <w14:solidFill>
                    <w14:schemeClr w14:val="tx1"/>
                  </w14:solidFill>
                </w14:textFill>
              </w:rPr>
              <w:t>活性炭箱活性炭的装填量为</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1.98</w:t>
            </w:r>
            <w:r>
              <w:rPr>
                <w:rFonts w:hint="default" w:ascii="Times New Roman" w:hAnsi="Times New Roman" w:eastAsia="宋体" w:cs="Times New Roman"/>
                <w:color w:val="000000" w:themeColor="text1"/>
                <w:szCs w:val="24"/>
                <w:highlight w:val="none"/>
                <w14:textFill>
                  <w14:solidFill>
                    <w14:schemeClr w14:val="tx1"/>
                  </w14:solidFill>
                </w14:textFill>
              </w:rPr>
              <w:t>t，每年更换</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Cs w:val="24"/>
                <w:highlight w:val="none"/>
                <w14:textFill>
                  <w14:solidFill>
                    <w14:schemeClr w14:val="tx1"/>
                  </w14:solidFill>
                </w14:textFill>
              </w:rPr>
              <w:t>次，饱和活性炭的年使用量为</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23.76</w:t>
            </w:r>
            <w:r>
              <w:rPr>
                <w:rFonts w:hint="default" w:ascii="Times New Roman" w:hAnsi="Times New Roman" w:eastAsia="宋体" w:cs="Times New Roman"/>
                <w:color w:val="000000" w:themeColor="text1"/>
                <w:szCs w:val="24"/>
                <w:highlight w:val="none"/>
                <w14:textFill>
                  <w14:solidFill>
                    <w14:schemeClr w14:val="tx1"/>
                  </w14:solidFill>
                </w14:textFill>
              </w:rPr>
              <w:t>t，有机废气吸附量为</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3.496</w:t>
            </w:r>
            <w:r>
              <w:rPr>
                <w:rFonts w:hint="default" w:ascii="Times New Roman" w:hAnsi="Times New Roman" w:eastAsia="宋体" w:cs="Times New Roman"/>
                <w:color w:val="000000" w:themeColor="text1"/>
                <w:szCs w:val="24"/>
                <w:highlight w:val="none"/>
                <w14:textFill>
                  <w14:solidFill>
                    <w14:schemeClr w14:val="tx1"/>
                  </w14:solidFill>
                </w14:textFill>
              </w:rPr>
              <w:t>t，则环保设备废饱和活性炭的产生量约为</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27.256</w:t>
            </w:r>
            <w:r>
              <w:rPr>
                <w:rFonts w:hint="default" w:ascii="Times New Roman" w:hAnsi="Times New Roman" w:eastAsia="宋体" w:cs="Times New Roman"/>
                <w:color w:val="000000" w:themeColor="text1"/>
                <w:szCs w:val="24"/>
                <w:highlight w:val="none"/>
                <w14:textFill>
                  <w14:solidFill>
                    <w14:schemeClr w14:val="tx1"/>
                  </w14:solidFill>
                </w14:textFill>
              </w:rPr>
              <w:t>吨/年</w:t>
            </w:r>
            <w:r>
              <w:rPr>
                <w:rFonts w:hint="default" w:ascii="Times New Roman" w:hAnsi="Times New Roman" w:eastAsia="宋体" w:cs="Times New Roman"/>
                <w:color w:val="000000" w:themeColor="text1"/>
                <w:highlight w:val="none"/>
                <w14:textFill>
                  <w14:solidFill>
                    <w14:schemeClr w14:val="tx1"/>
                  </w14:solidFill>
                </w14:textFill>
              </w:rPr>
              <w:t>；</w:t>
            </w:r>
          </w:p>
          <w:p w14:paraId="6E75453F">
            <w:pPr>
              <w:pStyle w:val="18"/>
              <w:spacing w:line="480" w:lineRule="exact"/>
              <w:ind w:firstLine="480" w:firstLineChars="200"/>
              <w:rPr>
                <w:rFonts w:hint="eastAsia" w:ascii="Times New Roman" w:hAnsi="Times New Roman" w:eastAsia="宋体" w:cs="Times New Roman"/>
                <w:color w:val="000000" w:themeColor="text1"/>
                <w:szCs w:val="24"/>
                <w:highlight w:val="none"/>
                <w:lang w:eastAsia="zh-CN"/>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2</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油及其包装物：废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油产生量约为使用量的10%，</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油年用量为0.1t，则废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油产生量为0.01t/a；废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油包装物，项目</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油的包装规格为100kg/桶，项目</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油用量为0.1吨/年，则产生包装桶1个，单个包装桶约10kg，则产生的废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油包装物为0.01t/a</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p>
          <w:p w14:paraId="7015CCBC">
            <w:pPr>
              <w:pStyle w:val="56"/>
              <w:adjustRightInd/>
              <w:spacing w:line="480" w:lineRule="exact"/>
              <w:ind w:left="0" w:right="0"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危险废物交由具有相关危险废物经营许可证的单位处理。</w:t>
            </w:r>
          </w:p>
          <w:p w14:paraId="2CEAE68D">
            <w:pPr>
              <w:pStyle w:val="56"/>
              <w:adjustRightInd/>
              <w:spacing w:line="480" w:lineRule="exact"/>
              <w:ind w:left="0" w:right="0" w:firstLineChars="200"/>
              <w:rPr>
                <w:rFonts w:hint="default" w:ascii="Times New Roman" w:hAnsi="Times New Roman" w:eastAsia="宋体" w:cs="Times New Roman"/>
                <w:b/>
                <w:bCs/>
                <w:color w:val="000000" w:themeColor="text1"/>
                <w:szCs w:val="24"/>
                <w:highlight w:val="none"/>
                <w14:textFill>
                  <w14:solidFill>
                    <w14:schemeClr w14:val="tx1"/>
                  </w14:solidFill>
                </w14:textFill>
              </w:rPr>
            </w:pPr>
            <w:r>
              <w:rPr>
                <w:rFonts w:hint="default" w:ascii="Times New Roman" w:hAnsi="Times New Roman" w:eastAsia="宋体" w:cs="Times New Roman"/>
                <w:b/>
                <w:bCs/>
                <w:color w:val="000000" w:themeColor="text1"/>
                <w:szCs w:val="24"/>
                <w:highlight w:val="none"/>
                <w14:textFill>
                  <w14:solidFill>
                    <w14:schemeClr w14:val="tx1"/>
                  </w14:solidFill>
                </w14:textFill>
              </w:rPr>
              <w:t>2、固体废物处理措施</w:t>
            </w:r>
          </w:p>
          <w:p w14:paraId="033116F4">
            <w:pPr>
              <w:pStyle w:val="56"/>
              <w:adjustRightInd/>
              <w:spacing w:line="480" w:lineRule="exact"/>
              <w:ind w:left="0" w:right="0" w:firstLine="480" w:firstLineChars="200"/>
              <w:rPr>
                <w:rFonts w:hint="default" w:ascii="Times New Roman" w:hAnsi="Times New Roman" w:eastAsia="宋体" w:cs="Times New Roman"/>
                <w:color w:val="000000" w:themeColor="text1"/>
                <w:szCs w:val="24"/>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14:textFill>
                  <w14:solidFill>
                    <w14:schemeClr w14:val="tx1"/>
                  </w14:solidFill>
                </w14:textFill>
              </w:rPr>
              <w:t>项目产生的固体废物有生活垃圾、一般固废</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废弃包装物、车间沉降粉尘、废滤芯、滤芯收集粉尘、打样废品</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和危险废物</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废饱和活性炭、</w:t>
            </w:r>
            <w:r>
              <w:rPr>
                <w:rFonts w:hint="default" w:ascii="Times New Roman" w:hAnsi="Times New Roman" w:eastAsia="宋体" w:cs="Times New Roman"/>
                <w:color w:val="000000" w:themeColor="text1"/>
                <w:szCs w:val="24"/>
                <w:highlight w:val="none"/>
                <w14:textFill>
                  <w14:solidFill>
                    <w14:schemeClr w14:val="tx1"/>
                  </w14:solidFill>
                </w14:textFill>
              </w:rPr>
              <w:t>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油及其包装物</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4"/>
                <w:highlight w:val="none"/>
                <w14:textFill>
                  <w14:solidFill>
                    <w14:schemeClr w14:val="tx1"/>
                  </w14:solidFill>
                </w14:textFill>
              </w:rPr>
              <w:t>，</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其中，</w:t>
            </w:r>
            <w:r>
              <w:rPr>
                <w:rFonts w:hint="default" w:ascii="Times New Roman" w:hAnsi="Times New Roman" w:eastAsia="宋体" w:cs="Times New Roman"/>
                <w:color w:val="000000" w:themeColor="text1"/>
                <w:szCs w:val="24"/>
                <w:highlight w:val="none"/>
                <w14:textFill>
                  <w14:solidFill>
                    <w14:schemeClr w14:val="tx1"/>
                  </w14:solidFill>
                </w14:textFill>
              </w:rPr>
              <w:t>生活垃圾交由环卫部门处理，</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废弃包装物、车间沉降粉尘、废滤芯、打样废品</w:t>
            </w:r>
            <w:r>
              <w:rPr>
                <w:rFonts w:hint="default" w:ascii="Times New Roman" w:hAnsi="Times New Roman" w:eastAsia="宋体" w:cs="Times New Roman"/>
                <w:color w:val="000000" w:themeColor="text1"/>
                <w:szCs w:val="24"/>
                <w:highlight w:val="none"/>
                <w14:textFill>
                  <w14:solidFill>
                    <w14:schemeClr w14:val="tx1"/>
                  </w14:solidFill>
                </w14:textFill>
              </w:rPr>
              <w:t>收集后交给有一般工业固废处理能力的单位处理，</w:t>
            </w:r>
            <w:r>
              <w:rPr>
                <w:rFonts w:hint="eastAsia" w:ascii="Times New Roman" w:hAnsi="Times New Roman" w:eastAsia="宋体" w:cs="Times New Roman"/>
                <w:color w:val="000000" w:themeColor="text1"/>
                <w:szCs w:val="24"/>
                <w:highlight w:val="none"/>
                <w:lang w:val="en-US" w:eastAsia="zh-CN"/>
                <w14:textFill>
                  <w14:solidFill>
                    <w14:schemeClr w14:val="tx1"/>
                  </w14:solidFill>
                </w14:textFill>
              </w:rPr>
              <w:t>滤芯收集粉尘收集后回用生产，废饱和活性炭、</w:t>
            </w:r>
            <w:r>
              <w:rPr>
                <w:rFonts w:hint="default" w:ascii="Times New Roman" w:hAnsi="Times New Roman" w:eastAsia="宋体" w:cs="Times New Roman"/>
                <w:color w:val="000000" w:themeColor="text1"/>
                <w:szCs w:val="24"/>
                <w:highlight w:val="none"/>
                <w14:textFill>
                  <w14:solidFill>
                    <w14:schemeClr w14:val="tx1"/>
                  </w14:solidFill>
                </w14:textFill>
              </w:rPr>
              <w:t>废</w: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4"/>
                <w:highlight w:val="none"/>
                <w14:textFill>
                  <w14:solidFill>
                    <w14:schemeClr w14:val="tx1"/>
                  </w14:solidFill>
                </w14:textFill>
              </w:rPr>
              <w:t>油及其包装物交由具有相关危险废物经营许可证的单位处理。项目在危险废物贮存场所的地面用坚固、防渗的材料建造，设置防渗漏的地面，且表面无裂隙。</w:t>
            </w:r>
          </w:p>
          <w:p w14:paraId="2099847B">
            <w:pPr>
              <w:pStyle w:val="56"/>
              <w:adjustRightInd/>
              <w:spacing w:line="480" w:lineRule="exact"/>
              <w:ind w:left="0" w:right="0" w:firstLineChars="200"/>
              <w:rPr>
                <w:rFonts w:hint="default" w:ascii="Times New Roman" w:hAnsi="Times New Roman" w:eastAsia="宋体" w:cs="Times New Roman"/>
                <w:b/>
                <w:bCs/>
                <w:color w:val="000000" w:themeColor="text1"/>
                <w:szCs w:val="24"/>
                <w:highlight w:val="none"/>
                <w14:textFill>
                  <w14:solidFill>
                    <w14:schemeClr w14:val="tx1"/>
                  </w14:solidFill>
                </w14:textFill>
              </w:rPr>
            </w:pPr>
            <w:r>
              <w:rPr>
                <w:rFonts w:hint="default" w:ascii="Times New Roman" w:hAnsi="Times New Roman" w:eastAsia="宋体" w:cs="Times New Roman"/>
                <w:b/>
                <w:bCs/>
                <w:color w:val="000000" w:themeColor="text1"/>
                <w:szCs w:val="24"/>
                <w:highlight w:val="none"/>
                <w14:textFill>
                  <w14:solidFill>
                    <w14:schemeClr w14:val="tx1"/>
                  </w14:solidFill>
                </w14:textFill>
              </w:rPr>
              <w:t>3、固体废物临时贮存设施的管理要求</w:t>
            </w:r>
          </w:p>
          <w:p w14:paraId="0C56F4C6">
            <w:pPr>
              <w:widowControl/>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A、生活垃圾：生活垃圾交由环卫部门运走处理。生活垃圾必须按照指定地点进行堆放，并在厂区内设置生活垃圾堆放点，每日由环卫部门清理运走，并对堆放点进行定期的清洁消毒，杀灭害虫，以净化周围卫生与环境。</w:t>
            </w:r>
          </w:p>
          <w:p w14:paraId="7C1212FE">
            <w:pPr>
              <w:widowControl/>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B、一般工业固废：项目生产过程中产生的一般工业固废交由有处理能力的一般固废处理机构处理。</w:t>
            </w:r>
          </w:p>
          <w:p w14:paraId="697F41F3">
            <w:pPr>
              <w:widowControl/>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C、危险废物：危险废物需暂存于危险废物临时贮存区，并交由具有相关危险废物经营许可证的单位处理</w:t>
            </w:r>
          </w:p>
          <w:p w14:paraId="6060E7A0">
            <w:pPr>
              <w:widowControl/>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（1）一般固体废物</w:t>
            </w:r>
          </w:p>
          <w:p w14:paraId="271BDBC6">
            <w:pPr>
              <w:widowControl/>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按照一般固体废物储存相关要求在生产车间内设置一般固体废物的临时贮存区，且做好防泄漏、防洒落措施，防雨、防风、防渗漏措施，防止二次污染：贮存区堆放一般工业固体废物的类别相一致，设置于厂房内并作防扬散处置，一般工业固体废物贮存区禁止危险废物和生活垃圾混入，建立检查维护制度，贮存区的地面与裙脚用坚固、防渗的材料建造，设置耐漏的地面，且表面无裂隙，不得擅自倾倒、堆放、丢弃、遗撒一般工业固体废物。</w:t>
            </w:r>
          </w:p>
          <w:p w14:paraId="1C1005BA">
            <w:pPr>
              <w:spacing w:line="480" w:lineRule="exact"/>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（2）危险废物</w:t>
            </w:r>
          </w:p>
          <w:p w14:paraId="4A35AAC3">
            <w:pPr>
              <w:widowControl/>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危险废物的厂内贮存措施需要严格执行《危险废物贮存污染控制标准》（GB18597-2023）中的有关标准，项目设置危险废物</w:t>
            </w:r>
            <w:r>
              <w:rPr>
                <w:rFonts w:hint="default" w:ascii="Times New Roman" w:hAnsi="Times New Roman" w:eastAsia="宋体" w:cs="Times New Roman"/>
                <w:color w:val="000000" w:themeColor="text1"/>
                <w:kern w:val="0"/>
                <w:sz w:val="24"/>
                <w:highlight w:val="none"/>
                <w14:textFill>
                  <w14:solidFill>
                    <w14:schemeClr w14:val="tx1"/>
                  </w14:solidFill>
                </w14:textFill>
              </w:rPr>
              <w:t>贮存场所</w:t>
            </w:r>
            <w:r>
              <w:rPr>
                <w:rFonts w:hint="default" w:ascii="Times New Roman" w:hAnsi="Times New Roman" w:eastAsia="宋体" w:cs="Times New Roman"/>
                <w:color w:val="000000" w:themeColor="text1"/>
                <w:sz w:val="24"/>
                <w:highlight w:val="none"/>
                <w14:textFill>
                  <w14:solidFill>
                    <w14:schemeClr w14:val="tx1"/>
                  </w14:solidFill>
                </w14:textFill>
              </w:rPr>
              <w:t>，需要做到以下几点：</w:t>
            </w:r>
          </w:p>
          <w:p w14:paraId="1543938A">
            <w:pPr>
              <w:spacing w:line="480" w:lineRule="exact"/>
              <w:ind w:firstLine="480" w:firstLineChars="200"/>
              <w:rPr>
                <w:rFonts w:hint="default" w:ascii="Times New Roman" w:hAnsi="Times New Roman" w:cs="Times New Roman" w:eastAsiaTheme="minorEastAsia"/>
                <w:color w:val="000000" w:themeColor="text1"/>
                <w:kern w:val="0"/>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①项目</w:t>
            </w:r>
            <w:r>
              <w:rPr>
                <w:rFonts w:hint="default" w:ascii="Times New Roman" w:hAnsi="Times New Roman" w:eastAsia="宋体" w:cs="Times New Roman"/>
                <w:color w:val="000000" w:themeColor="text1"/>
                <w:kern w:val="0"/>
                <w:sz w:val="24"/>
                <w:highlight w:val="none"/>
                <w14:textFill>
                  <w14:solidFill>
                    <w14:schemeClr w14:val="tx1"/>
                  </w14:solidFill>
                </w14:textFill>
              </w:rPr>
              <w:t>危险废物贮存场所</w:t>
            </w:r>
            <w:r>
              <w:rPr>
                <w:rFonts w:hint="default" w:ascii="Times New Roman" w:hAnsi="Times New Roman" w:eastAsia="宋体" w:cs="Times New Roman"/>
                <w:color w:val="000000" w:themeColor="text1"/>
                <w:sz w:val="24"/>
                <w:highlight w:val="none"/>
                <w14:textFill>
                  <w14:solidFill>
                    <w14:schemeClr w14:val="tx1"/>
                  </w14:solidFill>
                </w14:textFill>
              </w:rPr>
              <w:t>对各类危险废物的堆存要求较严，</w:t>
            </w:r>
            <w:r>
              <w:rPr>
                <w:rFonts w:hint="default" w:ascii="Times New Roman" w:hAnsi="Times New Roman" w:eastAsia="宋体" w:cs="Times New Roman"/>
                <w:color w:val="000000" w:themeColor="text1"/>
                <w:kern w:val="0"/>
                <w:sz w:val="24"/>
                <w:highlight w:val="none"/>
                <w14:textFill>
                  <w14:solidFill>
                    <w14:schemeClr w14:val="tx1"/>
                  </w14:solidFill>
                </w14:textFill>
              </w:rPr>
              <w:t>危险废物贮存场所</w:t>
            </w:r>
            <w:r>
              <w:rPr>
                <w:rFonts w:hint="default" w:ascii="Times New Roman" w:hAnsi="Times New Roman" w:eastAsia="宋体" w:cs="Times New Roman"/>
                <w:color w:val="000000" w:themeColor="text1"/>
                <w:sz w:val="24"/>
                <w:highlight w:val="none"/>
                <w14:textFill>
                  <w14:solidFill>
                    <w14:schemeClr w14:val="tx1"/>
                  </w14:solidFill>
                </w14:textFill>
              </w:rPr>
              <w:t>应根据不同性质的危废进行分区堆放储存；桶装危险废物可集中堆放在某区块，但必须用标签标明该桶所装危险废物名称，且不相容废物不得混合装在同一桶内；废包装桶单独堆放，也需用指示牌标明。各分区之间须有明确的界限，并做好防渗、消防等防范措施，储存区必须严格按照《危险废物贮存污染控制标准》（GB18597-2023）建设和维护使用</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42C087C2">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②在常温、常压下易燃、易爆及排出有毒气体的危险废物必须进行预处理，使之稳定后贮存；</w:t>
            </w:r>
          </w:p>
          <w:p w14:paraId="66EF7B25">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③应使用符合标准的容器装危险废物；</w:t>
            </w:r>
          </w:p>
          <w:p w14:paraId="58332167">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④不相</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容的</w:t>
            </w:r>
            <w:r>
              <w:rPr>
                <w:rFonts w:hint="default" w:ascii="Times New Roman" w:hAnsi="Times New Roman" w:eastAsia="宋体" w:cs="Times New Roman"/>
                <w:color w:val="000000" w:themeColor="text1"/>
                <w:sz w:val="24"/>
                <w:highlight w:val="none"/>
                <w14:textFill>
                  <w14:solidFill>
                    <w14:schemeClr w14:val="tx1"/>
                  </w14:solidFill>
                </w14:textFill>
              </w:rPr>
              <w:t>危险废物必须分开存放，并设置隔离带；</w:t>
            </w:r>
          </w:p>
          <w:p w14:paraId="2CDC3ABD">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⑤危险废物贮存前应进行检查，并注册登记，做好记录，记录上需注明危险废物的名称、来源、数量、入库日期、存放位置、出库日期及去向；</w:t>
            </w:r>
          </w:p>
          <w:p w14:paraId="3551F5B4">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⑥建立档案管理制度，长期保存供随时查阅；</w:t>
            </w:r>
          </w:p>
          <w:p w14:paraId="0F8631DA">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⑦必须定期对贮存危险废物的容器及设施进行检查，发现破损应及时采取措施清理更换，并做好记录；</w:t>
            </w:r>
          </w:p>
          <w:p w14:paraId="51560804">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⑧建设单位必须严格遵守有关危险废物有关储存的规定，建立一套完整的仓库管理体制，危险固废应按广东省《危险废物转移联单管理办法》做好申报转移记录。</w:t>
            </w:r>
          </w:p>
          <w:p w14:paraId="5CB63187">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危险废物汇总样表</w:t>
            </w:r>
          </w:p>
          <w:tbl>
            <w:tblPr>
              <w:tblStyle w:val="32"/>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925"/>
              <w:gridCol w:w="776"/>
              <w:gridCol w:w="1196"/>
              <w:gridCol w:w="732"/>
              <w:gridCol w:w="569"/>
              <w:gridCol w:w="427"/>
              <w:gridCol w:w="807"/>
              <w:gridCol w:w="658"/>
              <w:gridCol w:w="578"/>
              <w:gridCol w:w="517"/>
              <w:gridCol w:w="704"/>
            </w:tblGrid>
            <w:tr w14:paraId="44AA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6" w:hRule="atLeast"/>
                <w:jc w:val="center"/>
              </w:trPr>
              <w:tc>
                <w:tcPr>
                  <w:tcW w:w="427" w:type="dxa"/>
                  <w:shd w:val="clear" w:color="auto" w:fill="D7D7D7" w:themeFill="background1" w:themeFillShade="D8"/>
                  <w:vAlign w:val="center"/>
                </w:tcPr>
                <w:p w14:paraId="50D0EDBC">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序号</w:t>
                  </w:r>
                </w:p>
              </w:tc>
              <w:tc>
                <w:tcPr>
                  <w:tcW w:w="925" w:type="dxa"/>
                  <w:shd w:val="clear" w:color="auto" w:fill="D7D7D7" w:themeFill="background1" w:themeFillShade="D8"/>
                  <w:vAlign w:val="center"/>
                </w:tcPr>
                <w:p w14:paraId="39FF2264">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危险废物名称</w:t>
                  </w:r>
                </w:p>
              </w:tc>
              <w:tc>
                <w:tcPr>
                  <w:tcW w:w="776" w:type="dxa"/>
                  <w:shd w:val="clear" w:color="auto" w:fill="D7D7D7" w:themeFill="background1" w:themeFillShade="D8"/>
                  <w:vAlign w:val="center"/>
                </w:tcPr>
                <w:p w14:paraId="6343B004">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危险废物类别</w:t>
                  </w:r>
                </w:p>
              </w:tc>
              <w:tc>
                <w:tcPr>
                  <w:tcW w:w="1196" w:type="dxa"/>
                  <w:shd w:val="clear" w:color="auto" w:fill="D7D7D7" w:themeFill="background1" w:themeFillShade="D8"/>
                  <w:vAlign w:val="center"/>
                </w:tcPr>
                <w:p w14:paraId="0E33E967">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危险废物代码</w:t>
                  </w:r>
                </w:p>
              </w:tc>
              <w:tc>
                <w:tcPr>
                  <w:tcW w:w="732" w:type="dxa"/>
                  <w:shd w:val="clear" w:color="auto" w:fill="D7D7D7" w:themeFill="background1" w:themeFillShade="D8"/>
                  <w:vAlign w:val="center"/>
                </w:tcPr>
                <w:p w14:paraId="4241C896">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产生量（吨/年）</w:t>
                  </w:r>
                </w:p>
              </w:tc>
              <w:tc>
                <w:tcPr>
                  <w:tcW w:w="569" w:type="dxa"/>
                  <w:shd w:val="clear" w:color="auto" w:fill="D7D7D7" w:themeFill="background1" w:themeFillShade="D8"/>
                  <w:vAlign w:val="center"/>
                </w:tcPr>
                <w:p w14:paraId="70E8448D">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产生工序及装置</w:t>
                  </w:r>
                </w:p>
              </w:tc>
              <w:tc>
                <w:tcPr>
                  <w:tcW w:w="427" w:type="dxa"/>
                  <w:shd w:val="clear" w:color="auto" w:fill="D7D7D7" w:themeFill="background1" w:themeFillShade="D8"/>
                  <w:vAlign w:val="center"/>
                </w:tcPr>
                <w:p w14:paraId="0B7CF30C">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形态</w:t>
                  </w:r>
                </w:p>
              </w:tc>
              <w:tc>
                <w:tcPr>
                  <w:tcW w:w="807" w:type="dxa"/>
                  <w:shd w:val="clear" w:color="auto" w:fill="D7D7D7" w:themeFill="background1" w:themeFillShade="D8"/>
                  <w:vAlign w:val="center"/>
                </w:tcPr>
                <w:p w14:paraId="6602235E">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主要成分</w:t>
                  </w:r>
                </w:p>
              </w:tc>
              <w:tc>
                <w:tcPr>
                  <w:tcW w:w="658" w:type="dxa"/>
                  <w:shd w:val="clear" w:color="auto" w:fill="D7D7D7" w:themeFill="background1" w:themeFillShade="D8"/>
                  <w:vAlign w:val="center"/>
                </w:tcPr>
                <w:p w14:paraId="17F38B9F">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有害成分</w:t>
                  </w:r>
                </w:p>
              </w:tc>
              <w:tc>
                <w:tcPr>
                  <w:tcW w:w="578" w:type="dxa"/>
                  <w:shd w:val="clear" w:color="auto" w:fill="D7D7D7" w:themeFill="background1" w:themeFillShade="D8"/>
                  <w:textDirection w:val="tbRlV"/>
                  <w:vAlign w:val="center"/>
                </w:tcPr>
                <w:p w14:paraId="0B41C1EA">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危险特性</w:t>
                  </w:r>
                </w:p>
              </w:tc>
              <w:tc>
                <w:tcPr>
                  <w:tcW w:w="517" w:type="dxa"/>
                  <w:shd w:val="clear" w:color="auto" w:fill="D7D7D7" w:themeFill="background1" w:themeFillShade="D8"/>
                  <w:vAlign w:val="center"/>
                </w:tcPr>
                <w:p w14:paraId="7BF9A72A">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产废周期</w:t>
                  </w:r>
                </w:p>
              </w:tc>
              <w:tc>
                <w:tcPr>
                  <w:tcW w:w="704" w:type="dxa"/>
                  <w:shd w:val="clear" w:color="auto" w:fill="D7D7D7" w:themeFill="background1" w:themeFillShade="D8"/>
                  <w:vAlign w:val="center"/>
                </w:tcPr>
                <w:p w14:paraId="2B245F66">
                  <w:pPr>
                    <w:widowControl/>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污染防治措施</w:t>
                  </w:r>
                </w:p>
              </w:tc>
            </w:tr>
            <w:tr w14:paraId="1917D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427" w:type="dxa"/>
                  <w:vAlign w:val="center"/>
                </w:tcPr>
                <w:p w14:paraId="4A2D8B93">
                  <w:pPr>
                    <w:widowControl/>
                    <w:numPr>
                      <w:ilvl w:val="0"/>
                      <w:numId w:val="11"/>
                    </w:num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925" w:type="dxa"/>
                  <w:vAlign w:val="center"/>
                </w:tcPr>
                <w:p w14:paraId="692D6D25">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废饱和活性炭</w:t>
                  </w:r>
                </w:p>
              </w:tc>
              <w:tc>
                <w:tcPr>
                  <w:tcW w:w="776" w:type="dxa"/>
                  <w:vAlign w:val="center"/>
                </w:tcPr>
                <w:p w14:paraId="04C844CD">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HW49</w:t>
                  </w:r>
                </w:p>
              </w:tc>
              <w:tc>
                <w:tcPr>
                  <w:tcW w:w="1196" w:type="dxa"/>
                  <w:vAlign w:val="center"/>
                </w:tcPr>
                <w:p w14:paraId="564B6DC0">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900-039-49</w:t>
                  </w:r>
                </w:p>
              </w:tc>
              <w:tc>
                <w:tcPr>
                  <w:tcW w:w="732" w:type="dxa"/>
                  <w:vAlign w:val="center"/>
                </w:tcPr>
                <w:p w14:paraId="51A8DB86">
                  <w:pPr>
                    <w:widowControl/>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27.256</w:t>
                  </w:r>
                </w:p>
              </w:tc>
              <w:tc>
                <w:tcPr>
                  <w:tcW w:w="569" w:type="dxa"/>
                  <w:vAlign w:val="center"/>
                </w:tcPr>
                <w:p w14:paraId="5ABD5814">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废气治理设施</w:t>
                  </w:r>
                </w:p>
              </w:tc>
              <w:tc>
                <w:tcPr>
                  <w:tcW w:w="427" w:type="dxa"/>
                  <w:vAlign w:val="center"/>
                </w:tcPr>
                <w:p w14:paraId="61A0DB7C">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固态</w:t>
                  </w:r>
                </w:p>
              </w:tc>
              <w:tc>
                <w:tcPr>
                  <w:tcW w:w="807" w:type="dxa"/>
                  <w:vAlign w:val="center"/>
                </w:tcPr>
                <w:p w14:paraId="3006E4B5">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饱和活性炭</w:t>
                  </w:r>
                </w:p>
              </w:tc>
              <w:tc>
                <w:tcPr>
                  <w:tcW w:w="658" w:type="dxa"/>
                  <w:vAlign w:val="center"/>
                </w:tcPr>
                <w:p w14:paraId="0382A51D">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饱和活性炭</w:t>
                  </w:r>
                </w:p>
              </w:tc>
              <w:tc>
                <w:tcPr>
                  <w:tcW w:w="578" w:type="dxa"/>
                  <w:vAlign w:val="center"/>
                </w:tcPr>
                <w:p w14:paraId="51B35DA7">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T</w:t>
                  </w:r>
                </w:p>
              </w:tc>
              <w:tc>
                <w:tcPr>
                  <w:tcW w:w="517" w:type="dxa"/>
                  <w:vMerge w:val="restart"/>
                  <w:vAlign w:val="center"/>
                </w:tcPr>
                <w:p w14:paraId="45342296">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不定期</w:t>
                  </w:r>
                </w:p>
              </w:tc>
              <w:tc>
                <w:tcPr>
                  <w:tcW w:w="704" w:type="dxa"/>
                  <w:vMerge w:val="restart"/>
                  <w:vAlign w:val="center"/>
                </w:tcPr>
                <w:p w14:paraId="6CCA81C4">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交由具有相关危险废物经营许可证的单位处理</w:t>
                  </w:r>
                </w:p>
              </w:tc>
            </w:tr>
            <w:tr w14:paraId="3E5D4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427" w:type="dxa"/>
                  <w:vMerge w:val="restart"/>
                  <w:vAlign w:val="center"/>
                </w:tcPr>
                <w:p w14:paraId="72F81FC3">
                  <w:pPr>
                    <w:widowControl/>
                    <w:numPr>
                      <w:ilvl w:val="0"/>
                      <w:numId w:val="11"/>
                    </w:num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925" w:type="dxa"/>
                  <w:vAlign w:val="center"/>
                </w:tcPr>
                <w:p w14:paraId="661FD022">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废</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1"/>
                      <w:highlight w:val="none"/>
                      <w14:textFill>
                        <w14:solidFill>
                          <w14:schemeClr w14:val="tx1"/>
                        </w14:solidFill>
                      </w14:textFill>
                    </w:rPr>
                    <w:t>油包装物</w:t>
                  </w:r>
                </w:p>
              </w:tc>
              <w:tc>
                <w:tcPr>
                  <w:tcW w:w="776" w:type="dxa"/>
                  <w:vMerge w:val="restart"/>
                  <w:vAlign w:val="center"/>
                </w:tcPr>
                <w:p w14:paraId="0D1332A0">
                  <w:pPr>
                    <w:adjustRightInd w:val="0"/>
                    <w:jc w:val="center"/>
                    <w:textAlignment w:val="baseline"/>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HW08</w:t>
                  </w:r>
                </w:p>
              </w:tc>
              <w:tc>
                <w:tcPr>
                  <w:tcW w:w="1196" w:type="dxa"/>
                  <w:vMerge w:val="restart"/>
                  <w:vAlign w:val="center"/>
                </w:tcPr>
                <w:p w14:paraId="61FFA01B">
                  <w:pPr>
                    <w:adjustRightInd w:val="0"/>
                    <w:snapToGrid w:val="0"/>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900-249-08</w:t>
                  </w:r>
                </w:p>
              </w:tc>
              <w:tc>
                <w:tcPr>
                  <w:tcW w:w="732" w:type="dxa"/>
                  <w:vMerge w:val="restart"/>
                  <w:vAlign w:val="center"/>
                </w:tcPr>
                <w:p w14:paraId="3109A6D7">
                  <w:pPr>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0.02</w:t>
                  </w:r>
                </w:p>
              </w:tc>
              <w:tc>
                <w:tcPr>
                  <w:tcW w:w="569" w:type="dxa"/>
                  <w:vMerge w:val="restart"/>
                  <w:vAlign w:val="center"/>
                </w:tcPr>
                <w:p w14:paraId="47BE15D2">
                  <w:pPr>
                    <w:widowControl/>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辅助</w:t>
                  </w:r>
                </w:p>
              </w:tc>
              <w:tc>
                <w:tcPr>
                  <w:tcW w:w="427" w:type="dxa"/>
                  <w:vAlign w:val="center"/>
                </w:tcPr>
                <w:p w14:paraId="31DF596D">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固态</w:t>
                  </w:r>
                </w:p>
              </w:tc>
              <w:tc>
                <w:tcPr>
                  <w:tcW w:w="807" w:type="dxa"/>
                  <w:vMerge w:val="restart"/>
                  <w:vAlign w:val="center"/>
                </w:tcPr>
                <w:p w14:paraId="6A5D7BAD">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矿物油</w:t>
                  </w:r>
                </w:p>
              </w:tc>
              <w:tc>
                <w:tcPr>
                  <w:tcW w:w="658" w:type="dxa"/>
                  <w:vMerge w:val="restart"/>
                  <w:vAlign w:val="center"/>
                </w:tcPr>
                <w:p w14:paraId="79C1DB7B">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矿物油</w:t>
                  </w:r>
                </w:p>
              </w:tc>
              <w:tc>
                <w:tcPr>
                  <w:tcW w:w="578" w:type="dxa"/>
                  <w:vMerge w:val="restart"/>
                  <w:vAlign w:val="center"/>
                </w:tcPr>
                <w:p w14:paraId="56FA2BD7">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T，I</w:t>
                  </w:r>
                </w:p>
              </w:tc>
              <w:tc>
                <w:tcPr>
                  <w:tcW w:w="517" w:type="dxa"/>
                  <w:vMerge w:val="continue"/>
                  <w:vAlign w:val="center"/>
                </w:tcPr>
                <w:p w14:paraId="59A74818">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704" w:type="dxa"/>
                  <w:vMerge w:val="continue"/>
                  <w:vAlign w:val="center"/>
                </w:tcPr>
                <w:p w14:paraId="568C3BCA">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59942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7" w:hRule="atLeast"/>
                <w:jc w:val="center"/>
              </w:trPr>
              <w:tc>
                <w:tcPr>
                  <w:tcW w:w="427" w:type="dxa"/>
                  <w:vMerge w:val="continue"/>
                  <w:vAlign w:val="center"/>
                </w:tcPr>
                <w:p w14:paraId="037187C2">
                  <w:pPr>
                    <w:widowControl/>
                    <w:jc w:val="center"/>
                    <w:rPr>
                      <w:color w:val="000000" w:themeColor="text1"/>
                      <w:highlight w:val="none"/>
                      <w14:textFill>
                        <w14:solidFill>
                          <w14:schemeClr w14:val="tx1"/>
                        </w14:solidFill>
                      </w14:textFill>
                    </w:rPr>
                  </w:pPr>
                </w:p>
              </w:tc>
              <w:tc>
                <w:tcPr>
                  <w:tcW w:w="925" w:type="dxa"/>
                  <w:vAlign w:val="center"/>
                </w:tcPr>
                <w:p w14:paraId="6CBE2591">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废</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1"/>
                      <w:highlight w:val="none"/>
                      <w14:textFill>
                        <w14:solidFill>
                          <w14:schemeClr w14:val="tx1"/>
                        </w14:solidFill>
                      </w14:textFill>
                    </w:rPr>
                    <w:t>油</w:t>
                  </w:r>
                </w:p>
              </w:tc>
              <w:tc>
                <w:tcPr>
                  <w:tcW w:w="776" w:type="dxa"/>
                  <w:vMerge w:val="continue"/>
                  <w:vAlign w:val="center"/>
                </w:tcPr>
                <w:p w14:paraId="58BCBBF6">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1196" w:type="dxa"/>
                  <w:vMerge w:val="continue"/>
                  <w:vAlign w:val="center"/>
                </w:tcPr>
                <w:p w14:paraId="3F7EE326">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732" w:type="dxa"/>
                  <w:vMerge w:val="continue"/>
                  <w:vAlign w:val="center"/>
                </w:tcPr>
                <w:p w14:paraId="7030FA02">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569" w:type="dxa"/>
                  <w:vMerge w:val="continue"/>
                  <w:vAlign w:val="center"/>
                </w:tcPr>
                <w:p w14:paraId="70D02299">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427" w:type="dxa"/>
                  <w:vAlign w:val="center"/>
                </w:tcPr>
                <w:p w14:paraId="3A6658CF">
                  <w:pPr>
                    <w:jc w:val="center"/>
                    <w:rPr>
                      <w:rFonts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液态</w:t>
                  </w:r>
                </w:p>
              </w:tc>
              <w:tc>
                <w:tcPr>
                  <w:tcW w:w="807" w:type="dxa"/>
                  <w:vMerge w:val="continue"/>
                  <w:vAlign w:val="center"/>
                </w:tcPr>
                <w:p w14:paraId="5105C781">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658" w:type="dxa"/>
                  <w:vMerge w:val="continue"/>
                  <w:vAlign w:val="center"/>
                </w:tcPr>
                <w:p w14:paraId="06EC66CD">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578" w:type="dxa"/>
                  <w:vMerge w:val="continue"/>
                  <w:vAlign w:val="center"/>
                </w:tcPr>
                <w:p w14:paraId="39857D00">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517" w:type="dxa"/>
                  <w:vMerge w:val="continue"/>
                  <w:vAlign w:val="center"/>
                </w:tcPr>
                <w:p w14:paraId="1E1E9C23">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c>
                <w:tcPr>
                  <w:tcW w:w="704" w:type="dxa"/>
                  <w:vMerge w:val="continue"/>
                  <w:vAlign w:val="center"/>
                </w:tcPr>
                <w:p w14:paraId="49F4FB5A">
                  <w:pPr>
                    <w:widowControl/>
                    <w:jc w:val="center"/>
                    <w:rPr>
                      <w:rFonts w:ascii="Times New Roman" w:hAnsi="Times New Roman" w:eastAsia="宋体" w:cs="Times New Roman"/>
                      <w:color w:val="000000" w:themeColor="text1"/>
                      <w:szCs w:val="21"/>
                      <w:highlight w:val="none"/>
                      <w14:textFill>
                        <w14:solidFill>
                          <w14:schemeClr w14:val="tx1"/>
                        </w14:solidFill>
                      </w14:textFill>
                    </w:rPr>
                  </w:pPr>
                </w:p>
              </w:tc>
            </w:tr>
          </w:tbl>
          <w:p w14:paraId="14645A52">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项目危险废物贮存场所（设施）基本情况表</w:t>
            </w:r>
          </w:p>
          <w:tbl>
            <w:tblPr>
              <w:tblStyle w:val="32"/>
              <w:tblW w:w="48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839"/>
              <w:gridCol w:w="1672"/>
              <w:gridCol w:w="820"/>
              <w:gridCol w:w="1194"/>
              <w:gridCol w:w="512"/>
              <w:gridCol w:w="648"/>
              <w:gridCol w:w="852"/>
              <w:gridCol w:w="602"/>
              <w:gridCol w:w="598"/>
            </w:tblGrid>
            <w:tr w14:paraId="7ABF5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267" w:type="pct"/>
                  <w:shd w:val="clear" w:color="auto" w:fill="D7D7D7" w:themeFill="background1" w:themeFillShade="D8"/>
                  <w:vAlign w:val="center"/>
                </w:tcPr>
                <w:p w14:paraId="2F0F892F">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序号</w:t>
                  </w:r>
                </w:p>
              </w:tc>
              <w:tc>
                <w:tcPr>
                  <w:tcW w:w="513" w:type="pct"/>
                  <w:shd w:val="clear" w:color="auto" w:fill="D7D7D7" w:themeFill="background1" w:themeFillShade="D8"/>
                  <w:vAlign w:val="center"/>
                </w:tcPr>
                <w:p w14:paraId="22827BC6">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贮存场所（设施）名称</w:t>
                  </w:r>
                </w:p>
              </w:tc>
              <w:tc>
                <w:tcPr>
                  <w:tcW w:w="1022" w:type="pct"/>
                  <w:shd w:val="clear" w:color="auto" w:fill="D7D7D7" w:themeFill="background1" w:themeFillShade="D8"/>
                  <w:vAlign w:val="center"/>
                </w:tcPr>
                <w:p w14:paraId="5288DAA9">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危险废物名称</w:t>
                  </w:r>
                </w:p>
              </w:tc>
              <w:tc>
                <w:tcPr>
                  <w:tcW w:w="501" w:type="pct"/>
                  <w:shd w:val="clear" w:color="auto" w:fill="D7D7D7" w:themeFill="background1" w:themeFillShade="D8"/>
                  <w:vAlign w:val="center"/>
                </w:tcPr>
                <w:p w14:paraId="35F25AFC">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kern w:val="0"/>
                      <w:szCs w:val="21"/>
                      <w:highlight w:val="none"/>
                      <w:lang w:bidi="en-US"/>
                      <w14:textFill>
                        <w14:solidFill>
                          <w14:schemeClr w14:val="tx1"/>
                        </w14:solidFill>
                      </w14:textFill>
                    </w:rPr>
                    <w:t>危险废物类别</w:t>
                  </w:r>
                </w:p>
              </w:tc>
              <w:tc>
                <w:tcPr>
                  <w:tcW w:w="730" w:type="pct"/>
                  <w:shd w:val="clear" w:color="auto" w:fill="D7D7D7" w:themeFill="background1" w:themeFillShade="D8"/>
                  <w:vAlign w:val="center"/>
                </w:tcPr>
                <w:p w14:paraId="67FF2733">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危险废物代码</w:t>
                  </w:r>
                </w:p>
              </w:tc>
              <w:tc>
                <w:tcPr>
                  <w:tcW w:w="313" w:type="pct"/>
                  <w:shd w:val="clear" w:color="auto" w:fill="D7D7D7" w:themeFill="background1" w:themeFillShade="D8"/>
                  <w:vAlign w:val="center"/>
                </w:tcPr>
                <w:p w14:paraId="43069F12">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位置</w:t>
                  </w:r>
                </w:p>
              </w:tc>
              <w:tc>
                <w:tcPr>
                  <w:tcW w:w="396" w:type="pct"/>
                  <w:shd w:val="clear" w:color="auto" w:fill="D7D7D7" w:themeFill="background1" w:themeFillShade="D8"/>
                  <w:vAlign w:val="center"/>
                </w:tcPr>
                <w:p w14:paraId="3B770396">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占地面积</w:t>
                  </w:r>
                </w:p>
              </w:tc>
              <w:tc>
                <w:tcPr>
                  <w:tcW w:w="521" w:type="pct"/>
                  <w:shd w:val="clear" w:color="auto" w:fill="D7D7D7" w:themeFill="background1" w:themeFillShade="D8"/>
                  <w:vAlign w:val="center"/>
                </w:tcPr>
                <w:p w14:paraId="77EF6388">
                  <w:pPr>
                    <w:pStyle w:val="71"/>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贮存</w:t>
                  </w:r>
                </w:p>
                <w:p w14:paraId="45186171">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方式</w:t>
                  </w:r>
                </w:p>
              </w:tc>
              <w:tc>
                <w:tcPr>
                  <w:tcW w:w="368" w:type="pct"/>
                  <w:shd w:val="clear" w:color="auto" w:fill="D7D7D7" w:themeFill="background1" w:themeFillShade="D8"/>
                  <w:vAlign w:val="center"/>
                </w:tcPr>
                <w:p w14:paraId="7319F0EF">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贮存能力</w:t>
                  </w:r>
                </w:p>
              </w:tc>
              <w:tc>
                <w:tcPr>
                  <w:tcW w:w="365" w:type="pct"/>
                  <w:shd w:val="clear" w:color="auto" w:fill="D7D7D7" w:themeFill="background1" w:themeFillShade="D8"/>
                  <w:vAlign w:val="center"/>
                </w:tcPr>
                <w:p w14:paraId="0799A81E">
                  <w:pPr>
                    <w:pStyle w:val="71"/>
                    <w:jc w:val="center"/>
                    <w:rPr>
                      <w:rFonts w:hint="default" w:ascii="Times New Roman" w:hAnsi="Times New Roman" w:cs="Times New Roman"/>
                      <w:b/>
                      <w:color w:val="000000" w:themeColor="text1"/>
                      <w:kern w:val="0"/>
                      <w:szCs w:val="21"/>
                      <w:highlight w:val="none"/>
                      <w:lang w:bidi="en-US"/>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贮存周期</w:t>
                  </w:r>
                </w:p>
              </w:tc>
            </w:tr>
            <w:tr w14:paraId="2322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7" w:type="pct"/>
                  <w:vAlign w:val="center"/>
                </w:tcPr>
                <w:p w14:paraId="118A7E4C">
                  <w:pPr>
                    <w:pStyle w:val="64"/>
                    <w:spacing w:before="0" w:beforeLines="0"/>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t>1</w:t>
                  </w:r>
                </w:p>
              </w:tc>
              <w:tc>
                <w:tcPr>
                  <w:tcW w:w="513" w:type="pct"/>
                  <w:vMerge w:val="restart"/>
                  <w:vAlign w:val="center"/>
                </w:tcPr>
                <w:p w14:paraId="712AF295">
                  <w:pPr>
                    <w:pStyle w:val="64"/>
                    <w:spacing w:before="0" w:beforeLines="0"/>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危险废物间</w:t>
                  </w:r>
                </w:p>
              </w:tc>
              <w:tc>
                <w:tcPr>
                  <w:tcW w:w="1022" w:type="pct"/>
                  <w:vAlign w:val="center"/>
                </w:tcPr>
                <w:p w14:paraId="6B704219">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废饱和活性炭</w:t>
                  </w:r>
                </w:p>
              </w:tc>
              <w:tc>
                <w:tcPr>
                  <w:tcW w:w="501" w:type="pct"/>
                  <w:vAlign w:val="center"/>
                </w:tcPr>
                <w:p w14:paraId="772E0CA1">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HW49</w:t>
                  </w:r>
                </w:p>
              </w:tc>
              <w:tc>
                <w:tcPr>
                  <w:tcW w:w="730" w:type="pct"/>
                  <w:vAlign w:val="center"/>
                </w:tcPr>
                <w:p w14:paraId="3168D18B">
                  <w:pPr>
                    <w:widowControl/>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Cs w:val="21"/>
                      <w:highlight w:val="none"/>
                      <w14:textFill>
                        <w14:solidFill>
                          <w14:schemeClr w14:val="tx1"/>
                        </w14:solidFill>
                      </w14:textFill>
                    </w:rPr>
                    <w:t>900-039-49</w:t>
                  </w:r>
                </w:p>
              </w:tc>
              <w:tc>
                <w:tcPr>
                  <w:tcW w:w="313" w:type="pct"/>
                  <w:vMerge w:val="restart"/>
                  <w:vAlign w:val="center"/>
                </w:tcPr>
                <w:p w14:paraId="5BC8CEAB">
                  <w:pPr>
                    <w:pStyle w:val="64"/>
                    <w:spacing w:before="0" w:beforeLines="0"/>
                    <w:rPr>
                      <w:rFonts w:hint="eastAsia" w:ascii="Times New Roman" w:hAnsi="Times New Roman" w:eastAsia="宋体" w:cs="Times New Roman"/>
                      <w:color w:val="000000" w:themeColor="text1"/>
                      <w:sz w:val="21"/>
                      <w:szCs w:val="21"/>
                      <w:highlight w:val="none"/>
                      <w:lang w:val="en-US" w:eastAsia="zh-CN" w:bidi="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t>车间</w:t>
                  </w:r>
                  <w:r>
                    <w:rPr>
                      <w:rFonts w:hint="eastAsia" w:ascii="Times New Roman" w:hAnsi="Times New Roman" w:eastAsia="宋体" w:cs="Times New Roman"/>
                      <w:color w:val="000000" w:themeColor="text1"/>
                      <w:sz w:val="21"/>
                      <w:szCs w:val="21"/>
                      <w:highlight w:val="none"/>
                      <w:lang w:val="en-US" w:eastAsia="zh-CN" w:bidi="en-US"/>
                      <w14:textFill>
                        <w14:solidFill>
                          <w14:schemeClr w14:val="tx1"/>
                        </w14:solidFill>
                      </w14:textFill>
                    </w:rPr>
                    <w:t>外</w:t>
                  </w:r>
                </w:p>
              </w:tc>
              <w:tc>
                <w:tcPr>
                  <w:tcW w:w="396" w:type="pct"/>
                  <w:vMerge w:val="restart"/>
                  <w:vAlign w:val="center"/>
                </w:tcPr>
                <w:p w14:paraId="71F2FBC7">
                  <w:pPr>
                    <w:pStyle w:val="64"/>
                    <w:spacing w:before="0" w:beforeLines="0"/>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t>12㎡</w:t>
                  </w:r>
                </w:p>
              </w:tc>
              <w:tc>
                <w:tcPr>
                  <w:tcW w:w="521" w:type="pct"/>
                  <w:vMerge w:val="restart"/>
                  <w:vAlign w:val="center"/>
                </w:tcPr>
                <w:p w14:paraId="45EF61DF">
                  <w:pPr>
                    <w:contextualSpacing/>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防风、防雨、防晒和防渗漏</w:t>
                  </w:r>
                </w:p>
              </w:tc>
              <w:tc>
                <w:tcPr>
                  <w:tcW w:w="368" w:type="pct"/>
                  <w:vMerge w:val="restart"/>
                  <w:vAlign w:val="center"/>
                </w:tcPr>
                <w:p w14:paraId="73050BAD">
                  <w:pPr>
                    <w:pStyle w:val="64"/>
                    <w:spacing w:before="0" w:beforeLines="0"/>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bidi="en-US"/>
                      <w14:textFill>
                        <w14:solidFill>
                          <w14:schemeClr w14:val="tx1"/>
                        </w14:solidFill>
                      </w14:textFill>
                    </w:rPr>
                    <w:t>10</w:t>
                  </w:r>
                  <w: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t>吨</w:t>
                  </w:r>
                </w:p>
              </w:tc>
              <w:tc>
                <w:tcPr>
                  <w:tcW w:w="365" w:type="pct"/>
                  <w:vMerge w:val="restart"/>
                  <w:vAlign w:val="center"/>
                </w:tcPr>
                <w:p w14:paraId="427C8328">
                  <w:pPr>
                    <w:contextualSpacing/>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年</w:t>
                  </w:r>
                </w:p>
              </w:tc>
            </w:tr>
            <w:tr w14:paraId="37DEB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67" w:type="pct"/>
                  <w:vMerge w:val="restart"/>
                  <w:vAlign w:val="center"/>
                </w:tcPr>
                <w:p w14:paraId="6AEDB2EA">
                  <w:pPr>
                    <w:widowControl/>
                    <w:jc w:val="center"/>
                    <w:rPr>
                      <w:rFonts w:hint="eastAsia" w:ascii="Times New Roman" w:hAnsi="Times New Roman" w:eastAsia="宋体" w:cs="Times New Roman"/>
                      <w:color w:val="000000" w:themeColor="text1"/>
                      <w:sz w:val="21"/>
                      <w:szCs w:val="21"/>
                      <w:highlight w:val="none"/>
                      <w:lang w:val="en-US" w:eastAsia="zh-CN" w:bidi="en-US"/>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bidi="en-US"/>
                      <w14:textFill>
                        <w14:solidFill>
                          <w14:schemeClr w14:val="tx1"/>
                        </w14:solidFill>
                      </w14:textFill>
                    </w:rPr>
                    <w:t>2</w:t>
                  </w:r>
                </w:p>
              </w:tc>
              <w:tc>
                <w:tcPr>
                  <w:tcW w:w="513" w:type="pct"/>
                  <w:vMerge w:val="continue"/>
                  <w:vAlign w:val="center"/>
                </w:tcPr>
                <w:p w14:paraId="5148539B">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1672" w:type="dxa"/>
                  <w:vAlign w:val="center"/>
                </w:tcPr>
                <w:p w14:paraId="626232A0">
                  <w:pPr>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废</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1"/>
                      <w:highlight w:val="none"/>
                      <w14:textFill>
                        <w14:solidFill>
                          <w14:schemeClr w14:val="tx1"/>
                        </w14:solidFill>
                      </w14:textFill>
                    </w:rPr>
                    <w:t>油包装物</w:t>
                  </w:r>
                </w:p>
              </w:tc>
              <w:tc>
                <w:tcPr>
                  <w:tcW w:w="820" w:type="dxa"/>
                  <w:vMerge w:val="restart"/>
                  <w:vAlign w:val="center"/>
                </w:tcPr>
                <w:p w14:paraId="49D0CE0B">
                  <w:pPr>
                    <w:adjustRightInd w:val="0"/>
                    <w:jc w:val="center"/>
                    <w:textAlignment w:val="baseline"/>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HW08</w:t>
                  </w:r>
                </w:p>
              </w:tc>
              <w:tc>
                <w:tcPr>
                  <w:tcW w:w="1194" w:type="dxa"/>
                  <w:vMerge w:val="restart"/>
                  <w:vAlign w:val="center"/>
                </w:tcPr>
                <w:p w14:paraId="1A131F88">
                  <w:pPr>
                    <w:adjustRightInd w:val="0"/>
                    <w:snapToGrid w:val="0"/>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900-249-08</w:t>
                  </w:r>
                </w:p>
              </w:tc>
              <w:tc>
                <w:tcPr>
                  <w:tcW w:w="313" w:type="pct"/>
                  <w:vMerge w:val="continue"/>
                  <w:vAlign w:val="center"/>
                </w:tcPr>
                <w:p w14:paraId="3871A842">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96" w:type="pct"/>
                  <w:vMerge w:val="continue"/>
                  <w:vAlign w:val="center"/>
                </w:tcPr>
                <w:p w14:paraId="341EF5A5">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521" w:type="pct"/>
                  <w:vMerge w:val="continue"/>
                  <w:vAlign w:val="center"/>
                </w:tcPr>
                <w:p w14:paraId="04EEE86B">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68" w:type="pct"/>
                  <w:vMerge w:val="continue"/>
                  <w:vAlign w:val="center"/>
                </w:tcPr>
                <w:p w14:paraId="32B2D2B9">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65" w:type="pct"/>
                  <w:vMerge w:val="continue"/>
                  <w:vAlign w:val="center"/>
                </w:tcPr>
                <w:p w14:paraId="691D702C">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r>
            <w:tr w14:paraId="71D36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67" w:type="pct"/>
                  <w:vMerge w:val="continue"/>
                  <w:vAlign w:val="center"/>
                </w:tcPr>
                <w:p w14:paraId="0600C521">
                  <w:pPr>
                    <w:widowControl/>
                    <w:jc w:val="center"/>
                    <w:rPr>
                      <w:color w:val="000000" w:themeColor="text1"/>
                      <w:highlight w:val="none"/>
                      <w14:textFill>
                        <w14:solidFill>
                          <w14:schemeClr w14:val="tx1"/>
                        </w14:solidFill>
                      </w14:textFill>
                    </w:rPr>
                  </w:pPr>
                </w:p>
              </w:tc>
              <w:tc>
                <w:tcPr>
                  <w:tcW w:w="513" w:type="pct"/>
                  <w:vMerge w:val="continue"/>
                  <w:vAlign w:val="center"/>
                </w:tcPr>
                <w:p w14:paraId="64962DD9">
                  <w:pPr>
                    <w:widowControl/>
                    <w:jc w:val="center"/>
                    <w:rPr>
                      <w:color w:val="000000" w:themeColor="text1"/>
                      <w:highlight w:val="none"/>
                      <w14:textFill>
                        <w14:solidFill>
                          <w14:schemeClr w14:val="tx1"/>
                        </w14:solidFill>
                      </w14:textFill>
                    </w:rPr>
                  </w:pPr>
                </w:p>
              </w:tc>
              <w:tc>
                <w:tcPr>
                  <w:tcW w:w="1672" w:type="dxa"/>
                  <w:vAlign w:val="center"/>
                </w:tcPr>
                <w:p w14:paraId="6B237793">
                  <w:pPr>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废</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机</w:t>
                  </w:r>
                  <w:r>
                    <w:rPr>
                      <w:rFonts w:hint="default" w:ascii="Times New Roman" w:hAnsi="Times New Roman" w:eastAsia="宋体" w:cs="Times New Roman"/>
                      <w:color w:val="000000" w:themeColor="text1"/>
                      <w:szCs w:val="21"/>
                      <w:highlight w:val="none"/>
                      <w14:textFill>
                        <w14:solidFill>
                          <w14:schemeClr w14:val="tx1"/>
                        </w14:solidFill>
                      </w14:textFill>
                    </w:rPr>
                    <w:t>油</w:t>
                  </w:r>
                </w:p>
              </w:tc>
              <w:tc>
                <w:tcPr>
                  <w:tcW w:w="501" w:type="pct"/>
                  <w:vMerge w:val="continue"/>
                  <w:vAlign w:val="center"/>
                </w:tcPr>
                <w:p w14:paraId="01EB641F">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730" w:type="pct"/>
                  <w:vMerge w:val="continue"/>
                  <w:vAlign w:val="center"/>
                </w:tcPr>
                <w:p w14:paraId="28A572B0">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13" w:type="pct"/>
                  <w:vMerge w:val="continue"/>
                  <w:vAlign w:val="center"/>
                </w:tcPr>
                <w:p w14:paraId="4C504D53">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96" w:type="pct"/>
                  <w:vMerge w:val="continue"/>
                  <w:vAlign w:val="center"/>
                </w:tcPr>
                <w:p w14:paraId="0122844E">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521" w:type="pct"/>
                  <w:vMerge w:val="continue"/>
                  <w:vAlign w:val="center"/>
                </w:tcPr>
                <w:p w14:paraId="4AEABFEB">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68" w:type="pct"/>
                  <w:vMerge w:val="continue"/>
                  <w:vAlign w:val="center"/>
                </w:tcPr>
                <w:p w14:paraId="178371F8">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c>
                <w:tcPr>
                  <w:tcW w:w="365" w:type="pct"/>
                  <w:vMerge w:val="continue"/>
                  <w:vAlign w:val="center"/>
                </w:tcPr>
                <w:p w14:paraId="2EDB1FF0">
                  <w:pPr>
                    <w:widowControl/>
                    <w:jc w:val="center"/>
                    <w:rPr>
                      <w:rFonts w:hint="default" w:ascii="Times New Roman" w:hAnsi="Times New Roman" w:eastAsia="宋体" w:cs="Times New Roman"/>
                      <w:color w:val="000000" w:themeColor="text1"/>
                      <w:sz w:val="21"/>
                      <w:szCs w:val="21"/>
                      <w:highlight w:val="none"/>
                      <w:lang w:bidi="en-US"/>
                      <w14:textFill>
                        <w14:solidFill>
                          <w14:schemeClr w14:val="tx1"/>
                        </w14:solidFill>
                      </w14:textFill>
                    </w:rPr>
                  </w:pPr>
                </w:p>
              </w:tc>
            </w:tr>
          </w:tbl>
          <w:p w14:paraId="7FCBBB2A">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项目固废严格按有关规范要求，分类收集、贮存、处理处置。因此，采取上述处理措施后，无外排固体废物，对周围环境影响较小，符合生态环境局有关固体废物应实现零排放的规定。</w:t>
            </w:r>
          </w:p>
          <w:p w14:paraId="2D54200A">
            <w:pPr>
              <w:spacing w:before="156" w:beforeLines="50" w:line="360" w:lineRule="auto"/>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五、地下水及土壤环境影响分析</w:t>
            </w:r>
          </w:p>
          <w:p w14:paraId="26A731F0">
            <w:pPr>
              <w:pStyle w:val="70"/>
              <w:spacing w:line="360" w:lineRule="auto"/>
              <w:ind w:firstLine="480"/>
              <w:rPr>
                <w:rFonts w:hint="default" w:ascii="Times New Roman" w:hAnsi="Times New Roman" w:eastAsia="宋体" w:cs="Times New Roman"/>
                <w:b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14:textFill>
                  <w14:solidFill>
                    <w14:schemeClr w14:val="tx1"/>
                  </w14:solidFill>
                </w14:textFill>
              </w:rPr>
              <w:t>项目生产过程</w:t>
            </w:r>
            <w:r>
              <w:rPr>
                <w:rFonts w:hint="default" w:ascii="Times New Roman" w:hAnsi="Times New Roman" w:eastAsia="宋体" w:cs="Times New Roman"/>
                <w:b w:val="0"/>
                <w:color w:val="000000" w:themeColor="text1"/>
                <w:sz w:val="24"/>
                <w:szCs w:val="24"/>
                <w:highlight w:val="none"/>
                <w:lang w:eastAsia="zh-CN"/>
                <w14:textFill>
                  <w14:solidFill>
                    <w14:schemeClr w14:val="tx1"/>
                  </w14:solidFill>
                </w14:textFill>
              </w:rPr>
              <w:t>的</w:t>
            </w:r>
            <w:r>
              <w:rPr>
                <w:rFonts w:hint="default" w:ascii="Times New Roman" w:hAnsi="Times New Roman" w:eastAsia="宋体" w:cs="Times New Roman"/>
                <w:b w:val="0"/>
                <w:color w:val="000000" w:themeColor="text1"/>
                <w:sz w:val="24"/>
                <w:szCs w:val="24"/>
                <w:highlight w:val="none"/>
                <w14:textFill>
                  <w14:solidFill>
                    <w14:schemeClr w14:val="tx1"/>
                  </w14:solidFill>
                </w14:textFill>
              </w:rPr>
              <w:t>危险废物暂存区、</w:t>
            </w:r>
            <w:r>
              <w:rPr>
                <w:rFonts w:hint="default" w:ascii="Times New Roman" w:hAnsi="Times New Roman" w:eastAsia="宋体" w:cs="Times New Roman"/>
                <w:b w:val="0"/>
                <w:color w:val="000000" w:themeColor="text1"/>
                <w:sz w:val="24"/>
                <w:szCs w:val="24"/>
                <w:highlight w:val="none"/>
                <w:lang w:eastAsia="zh-CN"/>
                <w14:textFill>
                  <w14:solidFill>
                    <w14:schemeClr w14:val="tx1"/>
                  </w14:solidFill>
                </w14:textFill>
              </w:rPr>
              <w:t>废水暂存区和</w:t>
            </w:r>
            <w:r>
              <w:rPr>
                <w:rFonts w:hint="default" w:ascii="Times New Roman" w:hAnsi="Times New Roman" w:eastAsia="宋体" w:cs="Times New Roman"/>
                <w:b w:val="0"/>
                <w:color w:val="000000" w:themeColor="text1"/>
                <w:sz w:val="24"/>
                <w:szCs w:val="24"/>
                <w:highlight w:val="none"/>
                <w14:textFill>
                  <w14:solidFill>
                    <w14:schemeClr w14:val="tx1"/>
                  </w14:solidFill>
                </w14:textFill>
              </w:rPr>
              <w:t>化学品原料仓库可通过地表下渗对地下水和土壤产生影响。</w:t>
            </w:r>
          </w:p>
          <w:p w14:paraId="5C8C3BE5">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14:textFill>
                  <w14:solidFill>
                    <w14:schemeClr w14:val="tx1"/>
                  </w14:solidFill>
                </w14:textFill>
              </w:rPr>
              <w:t>项目生产过程不涉及重金属，不产生有毒有害物质，项目生产过程产生的废气污染物主要为</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挥发性有机物（非甲烷总烃</w:t>
            </w:r>
            <w:r>
              <w:rPr>
                <w:rFonts w:hint="eastAsia"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苯乙烯、甲苯、乙苯</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颗粒物</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和臭气浓度，项</w:t>
            </w:r>
            <w:r>
              <w:rPr>
                <w:rFonts w:hint="default" w:ascii="Times New Roman" w:hAnsi="Times New Roman" w:eastAsia="宋体" w:cs="Times New Roman"/>
                <w:b w:val="0"/>
                <w:color w:val="000000" w:themeColor="text1"/>
                <w:sz w:val="24"/>
                <w:szCs w:val="24"/>
                <w:highlight w:val="none"/>
                <w14:textFill>
                  <w14:solidFill>
                    <w14:schemeClr w14:val="tx1"/>
                  </w14:solidFill>
                </w14:textFill>
              </w:rPr>
              <w:t>目应落实相关防治措施，确保废</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气能达标排放，因此，以大气沉降的方式对地表产生影响较少。</w:t>
            </w:r>
          </w:p>
          <w:p w14:paraId="4CD93FA6">
            <w:pPr>
              <w:tabs>
                <w:tab w:val="center" w:pos="4817"/>
              </w:tabs>
              <w:spacing w:line="360" w:lineRule="auto"/>
              <w:ind w:firstLine="480" w:firstLineChars="200"/>
              <w:rPr>
                <w:rFonts w:hint="default" w:ascii="Times New Roman" w:hAnsi="Times New Roman" w:eastAsia="宋体" w:cs="Times New Roman"/>
                <w:bCs/>
                <w:color w:val="000000" w:themeColor="text1"/>
                <w:sz w:val="24"/>
                <w:szCs w:val="24"/>
                <w:highlight w:val="none"/>
                <w14:textFill>
                  <w14:solidFill>
                    <w14:schemeClr w14:val="tx1"/>
                  </w14:solidFill>
                </w14:textFill>
              </w:rPr>
            </w:pPr>
            <w:r>
              <w:rPr>
                <w:rFonts w:hint="default" w:ascii="Times New Roman" w:hAnsi="Times New Roman" w:eastAsia="宋体" w:cs="Times New Roman"/>
                <w:bCs/>
                <w:color w:val="000000" w:themeColor="text1"/>
                <w:sz w:val="24"/>
                <w:szCs w:val="24"/>
                <w:highlight w:val="none"/>
                <w14:textFill>
                  <w14:solidFill>
                    <w14:schemeClr w14:val="tx1"/>
                  </w14:solidFill>
                </w14:textFill>
              </w:rPr>
              <w:t>最常见的潜水污染是通过包气带渗入而污染，深层潜水及承压水的污染是通过各类井孔、坑洞和断层等发生的，</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它们</w:t>
            </w:r>
            <w:r>
              <w:rPr>
                <w:rFonts w:hint="default" w:ascii="Times New Roman" w:hAnsi="Times New Roman" w:eastAsia="宋体" w:cs="Times New Roman"/>
                <w:bCs/>
                <w:color w:val="000000" w:themeColor="text1"/>
                <w:sz w:val="24"/>
                <w:szCs w:val="24"/>
                <w:highlight w:val="none"/>
                <w14:textFill>
                  <w14:solidFill>
                    <w14:schemeClr w14:val="tx1"/>
                  </w14:solidFill>
                </w14:textFill>
              </w:rPr>
              <w:t>作为一种通道把其所揭露的含水层同地面污染源或已污染的含水层联系起来，造成深层地下水的污染。随着地下水的运动，形成地下水污染扩散带。本项目用水由市政管网供给，不对区域地下水进行开采，不会引起地下水流场或地下水水位变化；项目外排污水主要为生活污水，</w:t>
            </w:r>
            <w:r>
              <w:rPr>
                <w:rFonts w:hint="default" w:ascii="Times New Roman" w:hAnsi="Times New Roman" w:eastAsia="宋体" w:cs="Times New Roman"/>
                <w:color w:val="000000" w:themeColor="text1"/>
                <w:sz w:val="24"/>
                <w:szCs w:val="24"/>
                <w:highlight w:val="none"/>
                <w14:textFill>
                  <w14:solidFill>
                    <w14:schemeClr w14:val="tx1"/>
                  </w14:solidFill>
                </w14:textFill>
              </w:rPr>
              <w:t>生活污水经三级化粪池预处理后经市政管网排入中山市</w:t>
            </w:r>
            <w:r>
              <w:rPr>
                <w:rFonts w:hint="default" w:ascii="Times New Roman" w:hAnsi="Times New Roman" w:cs="Times New Roman"/>
                <w:bCs/>
                <w:color w:val="000000" w:themeColor="text1"/>
                <w:sz w:val="24"/>
                <w:szCs w:val="24"/>
                <w:highlight w:val="none"/>
                <w14:textFill>
                  <w14:solidFill>
                    <w14:schemeClr w14:val="tx1"/>
                  </w14:solidFill>
                </w14:textFill>
              </w:rPr>
              <w:t>中嘉污水处理厂</w:t>
            </w:r>
            <w:r>
              <w:rPr>
                <w:rFonts w:hint="default" w:ascii="Times New Roman" w:hAnsi="Times New Roman" w:eastAsia="宋体" w:cs="Times New Roman"/>
                <w:color w:val="000000" w:themeColor="text1"/>
                <w:sz w:val="24"/>
                <w:szCs w:val="24"/>
                <w:highlight w:val="none"/>
                <w14:textFill>
                  <w14:solidFill>
                    <w14:schemeClr w14:val="tx1"/>
                  </w14:solidFill>
                </w14:textFill>
              </w:rPr>
              <w:t>深度处理</w:t>
            </w:r>
            <w:r>
              <w:rPr>
                <w:rFonts w:hint="default" w:ascii="Times New Roman" w:hAnsi="Times New Roman" w:eastAsia="宋体" w:cs="Times New Roman"/>
                <w:bCs/>
                <w:color w:val="000000" w:themeColor="text1"/>
                <w:sz w:val="24"/>
                <w:szCs w:val="24"/>
                <w:highlight w:val="none"/>
                <w14:textFill>
                  <w14:solidFill>
                    <w14:schemeClr w14:val="tx1"/>
                  </w14:solidFill>
                </w14:textFill>
              </w:rPr>
              <w:t>。因此，本项目对地下水和土壤的影响主要为</w:t>
            </w:r>
            <w:r>
              <w:rPr>
                <w:rFonts w:hint="default" w:ascii="Times New Roman" w:hAnsi="Times New Roman" w:eastAsia="宋体" w:cs="Times New Roman"/>
                <w:color w:val="000000" w:themeColor="text1"/>
                <w:spacing w:val="5"/>
                <w:sz w:val="24"/>
                <w:szCs w:val="24"/>
                <w:highlight w:val="none"/>
                <w14:textFill>
                  <w14:solidFill>
                    <w14:schemeClr w14:val="tx1"/>
                  </w14:solidFill>
                </w14:textFill>
              </w:rPr>
              <w:t>危险废物暂存间</w:t>
            </w:r>
            <w:r>
              <w:rPr>
                <w:rFonts w:hint="default" w:ascii="Times New Roman" w:hAnsi="Times New Roman" w:eastAsia="宋体" w:cs="Times New Roman"/>
                <w:color w:val="000000" w:themeColor="text1"/>
                <w:spacing w:val="5"/>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5"/>
                <w:sz w:val="24"/>
                <w:szCs w:val="24"/>
                <w:highlight w:val="none"/>
                <w:lang w:val="en-US" w:eastAsia="zh-CN"/>
                <w14:textFill>
                  <w14:solidFill>
                    <w14:schemeClr w14:val="tx1"/>
                  </w14:solidFill>
                </w14:textFill>
              </w:rPr>
              <w:t>废水暂存区</w:t>
            </w:r>
            <w:r>
              <w:rPr>
                <w:rFonts w:hint="default" w:ascii="Times New Roman" w:hAnsi="Times New Roman" w:eastAsia="宋体" w:cs="Times New Roman"/>
                <w:color w:val="000000" w:themeColor="text1"/>
                <w:spacing w:val="5"/>
                <w:sz w:val="24"/>
                <w:szCs w:val="24"/>
                <w:highlight w:val="none"/>
                <w14:textFill>
                  <w14:solidFill>
                    <w14:schemeClr w14:val="tx1"/>
                  </w14:solidFill>
                </w14:textFill>
              </w:rPr>
              <w:t>及化学品暂存区泄漏对地下</w:t>
            </w:r>
            <w:r>
              <w:rPr>
                <w:rFonts w:hint="default" w:ascii="Times New Roman" w:hAnsi="Times New Roman" w:eastAsia="宋体" w:cs="Times New Roman"/>
                <w:color w:val="000000" w:themeColor="text1"/>
                <w:spacing w:val="-2"/>
                <w:sz w:val="24"/>
                <w:szCs w:val="24"/>
                <w:highlight w:val="none"/>
                <w14:textFill>
                  <w14:solidFill>
                    <w14:schemeClr w14:val="tx1"/>
                  </w14:solidFill>
                </w14:textFill>
              </w:rPr>
              <w:t>水水质的影响</w:t>
            </w:r>
            <w:r>
              <w:rPr>
                <w:rFonts w:hint="default" w:ascii="Times New Roman" w:hAnsi="Times New Roman" w:eastAsia="宋体" w:cs="Times New Roman"/>
                <w:bCs/>
                <w:color w:val="000000" w:themeColor="text1"/>
                <w:sz w:val="24"/>
                <w:szCs w:val="24"/>
                <w:highlight w:val="none"/>
                <w14:textFill>
                  <w14:solidFill>
                    <w14:schemeClr w14:val="tx1"/>
                  </w14:solidFill>
                </w14:textFill>
              </w:rPr>
              <w:t>。</w:t>
            </w:r>
          </w:p>
          <w:p w14:paraId="6D9EB069">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本项目应从人为因素（设计、施工、维护管理、管龄）和环境因素（地质、地形、降雨、城市化程度）等两个方面综合考虑，采取有效防治地下水污染措施。</w:t>
            </w:r>
          </w:p>
          <w:p w14:paraId="5E79460E">
            <w:pPr>
              <w:pStyle w:val="70"/>
              <w:spacing w:line="360" w:lineRule="auto"/>
              <w:ind w:firstLine="480"/>
              <w:rPr>
                <w:rFonts w:hint="default" w:ascii="Times New Roman" w:hAnsi="Times New Roman" w:eastAsia="宋体" w:cs="Times New Roman"/>
                <w:b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14:textFill>
                  <w14:solidFill>
                    <w14:schemeClr w14:val="tx1"/>
                  </w14:solidFill>
                </w14:textFill>
              </w:rPr>
              <w:t>（1）防渗原则本项目的地下水和土壤污染防治措施，按照“源头控制、末端防治、污染监控、应急响应”相结合的原则，从污染物的产生、入渗、扩散、应急响应全阶段进行控制。源头控制措施：主要包括在工艺、管道、设备、污水处理构筑物采取相应措施，防止和降低污染物跑、冒、滴、漏，将污染物泄漏的环境风险事故降到最低程度；管线敷设尽量采用“可视化”原则，即管道尽可能地上或架空敷设，做到污染物“早发现、早处理”，减少由于埋地管道泄漏而造成的地下水污染。末端控制措施：主要包括厂内易污染区地面的防渗措施和泄漏、渗漏污染物收集措施，即在污染区地面进行防渗处理，防止洒落地面的污染物渗入地下，并把滞留在地面的污染物收集起来，集中送至厂区事故应急池暂存后，根据水质情况，具体处理；末端控制采取分区防渗，重点防渗区、一般防渗区和简单防渗区防渗措施有区别的防渗原则。</w:t>
            </w:r>
          </w:p>
          <w:p w14:paraId="1E5528C9">
            <w:pPr>
              <w:pStyle w:val="71"/>
              <w:spacing w:line="360" w:lineRule="auto"/>
              <w:ind w:firstLine="480" w:firstLineChars="200"/>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14:textFill>
                  <w14:solidFill>
                    <w14:schemeClr w14:val="tx1"/>
                  </w14:solidFill>
                </w14:textFill>
              </w:rPr>
              <w:t>（2）防渗方案根据本项目各区可能泄漏至地面区域污染物的性质和生产单元的构筑方式，将车间划分为重点防渗区、一般防渗区和简单防渗区。重点防渗区：污染地下水环境的物料长期贮存或泄漏不容易及时发现和处理的区域。一般防渗区：污染地下水环境的物料泄漏容易及时发现和处理的区域。简单防渗区：指不会对地下水和土壤环境造成污染的区域。本项目厂内主要防渗分区及防渗要求如下表：</w:t>
            </w:r>
          </w:p>
          <w:p w14:paraId="04F81740">
            <w:pPr>
              <w:pStyle w:val="5"/>
              <w:spacing w:before="0" w:after="0" w:line="240" w:lineRule="auto"/>
              <w:jc w:val="center"/>
              <w:rPr>
                <w:rFonts w:hint="default" w:ascii="Times New Roman" w:hAnsi="Times New Roman" w:eastAsia="宋体" w:cs="Times New Roman"/>
                <w:b/>
                <w:color w:val="000000" w:themeColor="text1"/>
                <w:sz w:val="21"/>
                <w:highlight w:val="none"/>
                <w:lang w:val="en-US"/>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项目地下水及土壤分区表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040"/>
              <w:gridCol w:w="1079"/>
              <w:gridCol w:w="1568"/>
              <w:gridCol w:w="2972"/>
            </w:tblGrid>
            <w:tr w14:paraId="74BAC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72" w:type="dxa"/>
                  <w:noWrap w:val="0"/>
                  <w:vAlign w:val="center"/>
                </w:tcPr>
                <w:p w14:paraId="0C97167D">
                  <w:pPr>
                    <w:pStyle w:val="53"/>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1883" w:type="dxa"/>
                  <w:noWrap w:val="0"/>
                  <w:vAlign w:val="center"/>
                </w:tcPr>
                <w:p w14:paraId="6273E76F">
                  <w:pPr>
                    <w:pStyle w:val="53"/>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单元</w:t>
                  </w:r>
                </w:p>
              </w:tc>
              <w:tc>
                <w:tcPr>
                  <w:tcW w:w="996" w:type="dxa"/>
                  <w:noWrap w:val="0"/>
                  <w:vAlign w:val="center"/>
                </w:tcPr>
                <w:p w14:paraId="7E78EAEA">
                  <w:pPr>
                    <w:pStyle w:val="53"/>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防渗分区</w:t>
                  </w:r>
                </w:p>
              </w:tc>
              <w:tc>
                <w:tcPr>
                  <w:tcW w:w="1448" w:type="dxa"/>
                  <w:noWrap w:val="0"/>
                  <w:vAlign w:val="center"/>
                </w:tcPr>
                <w:p w14:paraId="1A31E3FD">
                  <w:pPr>
                    <w:pStyle w:val="53"/>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防渗结构形式</w:t>
                  </w:r>
                </w:p>
              </w:tc>
              <w:tc>
                <w:tcPr>
                  <w:tcW w:w="2744" w:type="dxa"/>
                  <w:noWrap w:val="0"/>
                  <w:vAlign w:val="center"/>
                </w:tcPr>
                <w:p w14:paraId="69D6F289">
                  <w:pPr>
                    <w:pStyle w:val="53"/>
                    <w:rPr>
                      <w:rFonts w:hint="default" w:ascii="Times New Roman" w:hAnsi="Times New Roman" w:eastAsia="宋体" w:cs="Times New Roman"/>
                      <w:b/>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bidi="ar"/>
                      <w14:textFill>
                        <w14:solidFill>
                          <w14:schemeClr w14:val="tx1"/>
                        </w14:solidFill>
                      </w14:textFill>
                    </w:rPr>
                    <w:t>具体结构、防渗系数</w:t>
                  </w:r>
                </w:p>
              </w:tc>
            </w:tr>
            <w:tr w14:paraId="02326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noWrap w:val="0"/>
                  <w:vAlign w:val="center"/>
                </w:tcPr>
                <w:p w14:paraId="3067091D">
                  <w:pPr>
                    <w:pStyle w:val="53"/>
                    <w:numPr>
                      <w:ilvl w:val="0"/>
                      <w:numId w:val="12"/>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883" w:type="dxa"/>
                  <w:noWrap w:val="0"/>
                  <w:vAlign w:val="center"/>
                </w:tcPr>
                <w:p w14:paraId="75BD4F4D">
                  <w:pPr>
                    <w:pStyle w:val="53"/>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bookmarkStart w:id="345" w:name="_Hlk102672240"/>
                  <w:r>
                    <w:rPr>
                      <w:rFonts w:hint="default" w:ascii="Times New Roman" w:hAnsi="Times New Roman" w:eastAsia="宋体" w:cs="Times New Roman"/>
                      <w:color w:val="000000" w:themeColor="text1"/>
                      <w:sz w:val="21"/>
                      <w:szCs w:val="21"/>
                      <w:highlight w:val="none"/>
                      <w14:textFill>
                        <w14:solidFill>
                          <w14:schemeClr w14:val="tx1"/>
                        </w14:solidFill>
                      </w14:textFill>
                    </w:rPr>
                    <w:t>危废暂存区、</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化学</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品</w:t>
                  </w:r>
                  <w:r>
                    <w:rPr>
                      <w:rFonts w:hint="default" w:ascii="Times New Roman" w:hAnsi="Times New Roman" w:eastAsia="宋体" w:cs="Times New Roman"/>
                      <w:color w:val="000000" w:themeColor="text1"/>
                      <w:sz w:val="21"/>
                      <w:szCs w:val="21"/>
                      <w:highlight w:val="none"/>
                      <w14:textFill>
                        <w14:solidFill>
                          <w14:schemeClr w14:val="tx1"/>
                        </w14:solidFill>
                      </w14:textFill>
                    </w:rPr>
                    <w:t>仓</w:t>
                  </w:r>
                  <w:bookmarkEnd w:id="345"/>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、废水暂存区</w:t>
                  </w:r>
                </w:p>
              </w:tc>
              <w:tc>
                <w:tcPr>
                  <w:tcW w:w="996" w:type="dxa"/>
                  <w:noWrap w:val="0"/>
                  <w:vAlign w:val="center"/>
                </w:tcPr>
                <w:p w14:paraId="5EEFB6E6">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重点防渗区</w:t>
                  </w:r>
                </w:p>
              </w:tc>
              <w:tc>
                <w:tcPr>
                  <w:tcW w:w="1448" w:type="dxa"/>
                  <w:noWrap w:val="0"/>
                  <w:vAlign w:val="center"/>
                </w:tcPr>
                <w:p w14:paraId="0572C2C1">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刚性防渗结构</w:t>
                  </w:r>
                </w:p>
              </w:tc>
              <w:tc>
                <w:tcPr>
                  <w:tcW w:w="2744" w:type="dxa"/>
                  <w:noWrap w:val="0"/>
                  <w:vAlign w:val="center"/>
                </w:tcPr>
                <w:p w14:paraId="7A587A9C">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采用水泥基渗透结晶抗渗混凝土（厚度不宜小于150mm）+水泥基渗透结晶型防渗涂层（厚度不小于0.8mm）结构型式，渗透系数≤1.0×10</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-10</w:t>
                  </w:r>
                  <w:r>
                    <w:rPr>
                      <w:rFonts w:hint="default" w:ascii="Times New Roman" w:hAnsi="Times New Roman" w:eastAsia="宋体" w:cs="Times New Roman"/>
                      <w:color w:val="000000" w:themeColor="text1"/>
                      <w:sz w:val="21"/>
                      <w:szCs w:val="21"/>
                      <w:highlight w:val="none"/>
                      <w14:textFill>
                        <w14:solidFill>
                          <w14:schemeClr w14:val="tx1"/>
                        </w14:solidFill>
                      </w14:textFill>
                    </w:rPr>
                    <w:t>cm/s</w:t>
                  </w:r>
                </w:p>
              </w:tc>
            </w:tr>
            <w:tr w14:paraId="327FB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noWrap w:val="0"/>
                  <w:vAlign w:val="center"/>
                </w:tcPr>
                <w:p w14:paraId="02E02EE4">
                  <w:pPr>
                    <w:pStyle w:val="53"/>
                    <w:numPr>
                      <w:ilvl w:val="0"/>
                      <w:numId w:val="12"/>
                    </w:numPr>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p>
              </w:tc>
              <w:tc>
                <w:tcPr>
                  <w:tcW w:w="1883" w:type="dxa"/>
                  <w:noWrap w:val="0"/>
                  <w:vAlign w:val="center"/>
                </w:tcPr>
                <w:p w14:paraId="4634FAF7">
                  <w:pPr>
                    <w:pStyle w:val="53"/>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除危废暂存区、</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化学</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品</w:t>
                  </w:r>
                  <w:r>
                    <w:rPr>
                      <w:rFonts w:hint="default" w:ascii="Times New Roman" w:hAnsi="Times New Roman" w:eastAsia="宋体" w:cs="Times New Roman"/>
                      <w:color w:val="000000" w:themeColor="text1"/>
                      <w:sz w:val="21"/>
                      <w:szCs w:val="21"/>
                      <w:highlight w:val="none"/>
                      <w14:textFill>
                        <w14:solidFill>
                          <w14:schemeClr w14:val="tx1"/>
                        </w14:solidFill>
                      </w14:textFill>
                    </w:rPr>
                    <w:t>仓</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、废水暂存区</w:t>
                  </w:r>
                  <w:r>
                    <w:rPr>
                      <w:rFonts w:hint="default" w:ascii="Times New Roman" w:hAnsi="Times New Roman" w:eastAsia="宋体" w:cs="Times New Roman"/>
                      <w:color w:val="000000" w:themeColor="text1"/>
                      <w:sz w:val="21"/>
                      <w:szCs w:val="21"/>
                      <w:highlight w:val="none"/>
                      <w14:textFill>
                        <w14:solidFill>
                          <w14:schemeClr w14:val="tx1"/>
                        </w14:solidFill>
                      </w14:textFill>
                    </w:rPr>
                    <w:t>和办公区以外的区域</w:t>
                  </w:r>
                </w:p>
              </w:tc>
              <w:tc>
                <w:tcPr>
                  <w:tcW w:w="996" w:type="dxa"/>
                  <w:noWrap w:val="0"/>
                  <w:vAlign w:val="center"/>
                </w:tcPr>
                <w:p w14:paraId="0E20F094">
                  <w:pPr>
                    <w:pStyle w:val="53"/>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一般防渗区</w:t>
                  </w:r>
                </w:p>
              </w:tc>
              <w:tc>
                <w:tcPr>
                  <w:tcW w:w="1448" w:type="dxa"/>
                  <w:noWrap w:val="0"/>
                  <w:vAlign w:val="center"/>
                </w:tcPr>
                <w:p w14:paraId="74CC4B2B">
                  <w:pPr>
                    <w:pStyle w:val="53"/>
                    <w:rPr>
                      <w:rFonts w:hint="default" w:ascii="Times New Roman" w:hAnsi="Times New Roman" w:eastAsia="宋体" w:cs="Times New Roman"/>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刚性防渗结构</w:t>
                  </w:r>
                </w:p>
              </w:tc>
              <w:tc>
                <w:tcPr>
                  <w:tcW w:w="2744" w:type="dxa"/>
                  <w:noWrap w:val="0"/>
                  <w:vAlign w:val="center"/>
                </w:tcPr>
                <w:p w14:paraId="65FC96A2">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抗渗混凝土（厚度不宜小于100mm）渗透系数≤1.0×10</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-8</w:t>
                  </w:r>
                  <w:r>
                    <w:rPr>
                      <w:rFonts w:hint="default" w:ascii="Times New Roman" w:hAnsi="Times New Roman" w:eastAsia="宋体" w:cs="Times New Roman"/>
                      <w:color w:val="000000" w:themeColor="text1"/>
                      <w:sz w:val="21"/>
                      <w:szCs w:val="21"/>
                      <w:highlight w:val="none"/>
                      <w14:textFill>
                        <w14:solidFill>
                          <w14:schemeClr w14:val="tx1"/>
                        </w14:solidFill>
                      </w14:textFill>
                    </w:rPr>
                    <w:t>cm/s</w:t>
                  </w:r>
                </w:p>
              </w:tc>
            </w:tr>
            <w:tr w14:paraId="47174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noWrap w:val="0"/>
                  <w:vAlign w:val="center"/>
                </w:tcPr>
                <w:p w14:paraId="4773D5B5">
                  <w:pPr>
                    <w:pStyle w:val="53"/>
                    <w:numPr>
                      <w:ilvl w:val="0"/>
                      <w:numId w:val="12"/>
                    </w:numP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883" w:type="dxa"/>
                  <w:noWrap w:val="0"/>
                  <w:vAlign w:val="center"/>
                </w:tcPr>
                <w:p w14:paraId="5349E316">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办公区</w:t>
                  </w:r>
                </w:p>
              </w:tc>
              <w:tc>
                <w:tcPr>
                  <w:tcW w:w="996" w:type="dxa"/>
                  <w:noWrap w:val="0"/>
                  <w:vAlign w:val="center"/>
                </w:tcPr>
                <w:p w14:paraId="397F001D">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简单防渗区</w:t>
                  </w:r>
                </w:p>
              </w:tc>
              <w:tc>
                <w:tcPr>
                  <w:tcW w:w="1448" w:type="dxa"/>
                  <w:noWrap w:val="0"/>
                  <w:vAlign w:val="center"/>
                </w:tcPr>
                <w:p w14:paraId="211C2C9E">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744" w:type="dxa"/>
                  <w:noWrap w:val="0"/>
                  <w:vAlign w:val="center"/>
                </w:tcPr>
                <w:p w14:paraId="67E33609">
                  <w:pPr>
                    <w:pStyle w:val="53"/>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不需要设置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专门</w:t>
                  </w:r>
                  <w:r>
                    <w:rPr>
                      <w:rFonts w:hint="default" w:ascii="Times New Roman" w:hAnsi="Times New Roman" w:eastAsia="宋体" w:cs="Times New Roman"/>
                      <w:color w:val="000000" w:themeColor="text1"/>
                      <w:sz w:val="21"/>
                      <w:szCs w:val="21"/>
                      <w:highlight w:val="none"/>
                      <w14:textFill>
                        <w14:solidFill>
                          <w14:schemeClr w14:val="tx1"/>
                        </w14:solidFill>
                      </w14:textFill>
                    </w:rPr>
                    <w:t>的防渗层</w:t>
                  </w:r>
                </w:p>
              </w:tc>
            </w:tr>
          </w:tbl>
          <w:p w14:paraId="312375B1">
            <w:pPr>
              <w:pStyle w:val="70"/>
              <w:numPr>
                <w:ilvl w:val="0"/>
                <w:numId w:val="0"/>
              </w:numPr>
              <w:spacing w:line="360" w:lineRule="auto"/>
              <w:ind w:left="593" w:leftChars="0" w:right="113" w:rightChars="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防渗措施</w:t>
            </w:r>
          </w:p>
          <w:p w14:paraId="6796A8F4">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①加强固废管理，对固废进行分区储存，并做好存放场所的防渗透和泄漏措施，严禁随意倾倒和混入生活垃圾中，避免污染周边环境。</w:t>
            </w:r>
          </w:p>
          <w:p w14:paraId="5A6E06A0">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②危废暂存区、化学</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品</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仓</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和废水暂存区</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设置围堰，危险废物暂存区独立设置，危险废物分类分区暂存，并且单独设置围堰，防风防雨，硬底化地面上方涂防渗漆，防渗防漏。</w:t>
            </w:r>
          </w:p>
          <w:p w14:paraId="7BDA293E">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③企业生产过程中加强管理，对地表产生的裂缝进行定期修补；</w:t>
            </w:r>
          </w:p>
          <w:p w14:paraId="017CA382">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④对车间门口设置缓坡，车间地面做硬化处理，若发生环境事故时，可将废水截留于厂内，无法溢出厂外。</w:t>
            </w:r>
          </w:p>
          <w:p w14:paraId="2F983788">
            <w:pPr>
              <w:pStyle w:val="70"/>
              <w:spacing w:line="360" w:lineRule="auto"/>
              <w:ind w:firstLine="480"/>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加强废气治理设施的日常运行和维护保养，减少废气治理设施的不正常运行对周围环境的影响。</w:t>
            </w:r>
          </w:p>
          <w:p w14:paraId="58D09A79">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综上，项目拟将采取有效措施对可能产生地下水影响的各项途径均进行有效预防，在确保各项防渗措施得以落实，并加强维护和环境管理的前提下，可有效控制项目内的废水污染物下渗现象，避免污染地下水，因此项目不会对区域地下水环境产生明显影响。</w:t>
            </w:r>
          </w:p>
          <w:p w14:paraId="4BFA6014">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企业生产过程中加强管理，对地表产生的裂缝进行定期修补，落实相关污染防治措施，则可减少项目对地下水环境影响。</w:t>
            </w:r>
          </w:p>
          <w:p w14:paraId="4B061CDE">
            <w:pPr>
              <w:pStyle w:val="71"/>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综上所述，本项目不设地下水及土壤污染监测计划</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p>
          <w:p w14:paraId="4122A395">
            <w:pPr>
              <w:spacing w:before="156" w:beforeLines="50" w:line="360" w:lineRule="auto"/>
              <w:ind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 xml:space="preserve">七. 环境风险环境影响分析 </w:t>
            </w:r>
          </w:p>
          <w:p w14:paraId="5B99D3F9">
            <w:pPr>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根据《建设项目环境风险评价技术导则》（HJ169-2018）表B.1突发环境事件风险物质），计算所涉及的每种危险物质在厂界内的最大存在总量与其附录B中对应临界量的比值Q。</w:t>
            </w:r>
          </w:p>
          <w:p w14:paraId="4D9E85FC">
            <w:pPr>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当只涉及一种危险物质时，计算该物质的总量与其临界量比值，即为Q；当存在多种危险物质时，则按照下式计算物质总量与其临界量比值Q：</w:t>
            </w:r>
          </w:p>
          <w:p w14:paraId="6B28A90E">
            <w:pPr>
              <w:tabs>
                <w:tab w:val="left" w:pos="6330"/>
              </w:tabs>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"D:\\新建文件夹\\绿凌\\38、\\18、荣艺灯饰\\documents\\tencent files\\379300943\\FileRecv\\AppData\\Roaming\\Microsoft\\AppData\\Local\\Temp\\ksohtml16632\\wps1.jpg"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drawing>
                <wp:inline distT="0" distB="0" distL="114300" distR="114300">
                  <wp:extent cx="1838325" cy="352425"/>
                  <wp:effectExtent l="0" t="0" r="3175" b="317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0" r:link="rId21"/>
                          <a:stretch>
                            <a:fillRect/>
                          </a:stretch>
                        </pic:blipFill>
                        <pic:spPr>
                          <a:xfrm>
                            <a:off x="0" y="0"/>
                            <a:ext cx="1838325" cy="352425"/>
                          </a:xfrm>
                          <a:prstGeom prst="rect">
                            <a:avLst/>
                          </a:prstGeom>
                          <a:noFill/>
                          <a:ln>
                            <a:noFill/>
                          </a:ln>
                        </pic:spPr>
                      </pic:pic>
                    </a:graphicData>
                  </a:graphic>
                </wp:inline>
              </w:drawing>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 </w:t>
            </w:r>
            <w:r>
              <w:rPr>
                <w:rFonts w:hint="default" w:ascii="Times New Roman" w:hAnsi="Times New Roman" w:eastAsia="宋体" w:cs="Times New Roman"/>
                <w:color w:val="000000" w:themeColor="text1"/>
                <w:kern w:val="0"/>
                <w:sz w:val="24"/>
                <w:highlight w:val="none"/>
                <w14:textFill>
                  <w14:solidFill>
                    <w14:schemeClr w14:val="tx1"/>
                  </w14:solidFill>
                </w14:textFill>
              </w:rPr>
              <w:tab/>
            </w:r>
          </w:p>
          <w:p w14:paraId="719A3877">
            <w:pPr>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式中：q1，q2</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"D:\\新建文件夹\\绿凌\\38、\\18、荣艺灯饰\\documents\\tencent files\\379300943\\FileRecv\\AppData\\Roaming\\Microsoft\\AppData\\Local\\Temp\\ksohtml16632\\wps2.jpg"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drawing>
                <wp:inline distT="0" distB="0" distL="114300" distR="114300">
                  <wp:extent cx="533400" cy="361950"/>
                  <wp:effectExtent l="0" t="0" r="0" b="635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2" r:link="rId23"/>
                          <a:stretch>
                            <a:fillRect/>
                          </a:stretch>
                        </pic:blipFill>
                        <pic:spPr>
                          <a:xfrm>
                            <a:off x="0" y="0"/>
                            <a:ext cx="533400" cy="361950"/>
                          </a:xfrm>
                          <a:prstGeom prst="rect">
                            <a:avLst/>
                          </a:prstGeom>
                          <a:noFill/>
                          <a:ln>
                            <a:noFill/>
                          </a:ln>
                        </pic:spPr>
                      </pic:pic>
                    </a:graphicData>
                  </a:graphic>
                </wp:inline>
              </w:drawing>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kern w:val="0"/>
                <w:sz w:val="24"/>
                <w:highlight w:val="none"/>
                <w14:textFill>
                  <w14:solidFill>
                    <w14:schemeClr w14:val="tx1"/>
                  </w14:solidFill>
                </w14:textFill>
              </w:rPr>
              <w:t>qn--每种危险物质实际存在量，t。</w:t>
            </w:r>
          </w:p>
          <w:p w14:paraId="6A74BFCE">
            <w:pPr>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Q1，Q2</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INCLUDEPICTURE  "D:\\新建文件夹\\绿凌\\38、\\18、荣艺灯饰\\documents\\tencent files\\379300943\\FileRecv\\AppData\\Roaming\\Microsoft\\AppData\\Local\\Temp\\ksohtml16632\\wps3.jpg" \* MERGEFORMATINET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drawing>
                <wp:inline distT="0" distB="0" distL="114300" distR="114300">
                  <wp:extent cx="314325" cy="200025"/>
                  <wp:effectExtent l="0" t="0" r="3175" b="317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22" r:link="rId23"/>
                          <a:stretch>
                            <a:fillRect/>
                          </a:stretch>
                        </pic:blipFill>
                        <pic:spPr>
                          <a:xfrm>
                            <a:off x="0" y="0"/>
                            <a:ext cx="314325" cy="200025"/>
                          </a:xfrm>
                          <a:prstGeom prst="rect">
                            <a:avLst/>
                          </a:prstGeom>
                          <a:noFill/>
                          <a:ln>
                            <a:noFill/>
                          </a:ln>
                        </pic:spPr>
                      </pic:pic>
                    </a:graphicData>
                  </a:graphic>
                </wp:inline>
              </w:drawing>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r>
              <w:rPr>
                <w:rFonts w:hint="default" w:ascii="Times New Roman" w:hAnsi="Times New Roman" w:eastAsia="宋体" w:cs="Times New Roman"/>
                <w:color w:val="000000" w:themeColor="text1"/>
                <w:kern w:val="0"/>
                <w:sz w:val="24"/>
                <w:highlight w:val="none"/>
                <w14:textFill>
                  <w14:solidFill>
                    <w14:schemeClr w14:val="tx1"/>
                  </w14:solidFill>
                </w14:textFill>
              </w:rPr>
              <w:t>Qn—每种危险物质的临界量，t。</w:t>
            </w:r>
          </w:p>
          <w:p w14:paraId="143BA914">
            <w:pPr>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当 Q＜1 时，该项目环境风险潜势为Ⅰ。</w:t>
            </w:r>
          </w:p>
          <w:p w14:paraId="259FA0F3">
            <w:pPr>
              <w:pStyle w:val="5"/>
              <w:numPr>
                <w:ilvl w:val="0"/>
                <w:numId w:val="0"/>
              </w:numPr>
              <w:spacing w:line="360" w:lineRule="auto"/>
              <w:ind w:firstLine="480" w:firstLineChars="200"/>
              <w:rPr>
                <w:rFonts w:hint="default" w:ascii="Times New Roman" w:hAnsi="Times New Roman" w:eastAsia="宋体" w:cs="Times New Roman"/>
                <w:color w:val="000000" w:themeColor="text1"/>
                <w:kern w:val="0"/>
                <w:highlight w:val="none"/>
                <w14:textFill>
                  <w14:solidFill>
                    <w14:schemeClr w14:val="tx1"/>
                  </w14:solidFill>
                </w14:textFill>
              </w:rPr>
            </w:pPr>
            <w:r>
              <w:rPr>
                <w:rFonts w:hint="default" w:ascii="Times New Roman" w:hAnsi="Times New Roman" w:eastAsia="宋体" w:cs="Times New Roman"/>
                <w:color w:val="000000" w:themeColor="text1"/>
                <w:kern w:val="0"/>
                <w:highlight w:val="none"/>
                <w14:textFill>
                  <w14:solidFill>
                    <w14:schemeClr w14:val="tx1"/>
                  </w14:solidFill>
                </w14:textFill>
              </w:rPr>
              <w:t>当 Q≥1 时，将 Q 值划分为：（1）1≤Q＜10；（2）10≤Q＜100；（3）Q≥100。</w:t>
            </w:r>
          </w:p>
          <w:p w14:paraId="030AF575">
            <w:pPr>
              <w:pStyle w:val="5"/>
              <w:spacing w:before="0" w:after="0" w:line="240" w:lineRule="auto"/>
              <w:jc w:val="center"/>
              <w:rPr>
                <w:rFonts w:hint="default" w:ascii="Times New Roman" w:hAnsi="Times New Roman" w:eastAsia="宋体" w:cs="Times New Roman"/>
                <w:b/>
                <w:color w:val="000000" w:themeColor="text1"/>
                <w:sz w:val="21"/>
                <w:highlight w:val="none"/>
                <w:lang w:val="zh-CN"/>
                <w14:textFill>
                  <w14:solidFill>
                    <w14:schemeClr w14:val="tx1"/>
                  </w14:solidFill>
                </w14:textFill>
              </w:rPr>
            </w:pPr>
            <w:r>
              <w:rPr>
                <w:rFonts w:hint="default" w:ascii="Times New Roman" w:hAnsi="Times New Roman" w:eastAsia="宋体" w:cs="Times New Roman"/>
                <w:b/>
                <w:color w:val="000000" w:themeColor="text1"/>
                <w:sz w:val="21"/>
                <w:highlight w:val="none"/>
                <w:lang w:val="zh-CN"/>
                <w14:textFill>
                  <w14:solidFill>
                    <w14:schemeClr w14:val="tx1"/>
                  </w14:solidFill>
                </w14:textFill>
              </w:rPr>
              <w:t>建设项目Q值确定表</w:t>
            </w:r>
          </w:p>
          <w:tbl>
            <w:tblPr>
              <w:tblStyle w:val="3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2048"/>
              <w:gridCol w:w="2036"/>
              <w:gridCol w:w="2043"/>
              <w:gridCol w:w="1589"/>
            </w:tblGrid>
            <w:tr w14:paraId="180A3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95" w:type="pct"/>
                </w:tcPr>
                <w:p w14:paraId="3F5A666B">
                  <w:pPr>
                    <w:spacing w:before="152" w:after="160"/>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序号</w:t>
                  </w:r>
                </w:p>
              </w:tc>
              <w:tc>
                <w:tcPr>
                  <w:tcW w:w="1222" w:type="pct"/>
                </w:tcPr>
                <w:p w14:paraId="552947AD">
                  <w:pPr>
                    <w:spacing w:before="152" w:after="160"/>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物质名称</w:t>
                  </w:r>
                </w:p>
              </w:tc>
              <w:tc>
                <w:tcPr>
                  <w:tcW w:w="1214" w:type="pct"/>
                </w:tcPr>
                <w:p w14:paraId="2C2B2468">
                  <w:pPr>
                    <w:spacing w:before="152" w:after="160"/>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最大储存量q（t）</w:t>
                  </w:r>
                </w:p>
              </w:tc>
              <w:tc>
                <w:tcPr>
                  <w:tcW w:w="1219" w:type="pct"/>
                </w:tcPr>
                <w:p w14:paraId="3C477C9A">
                  <w:pPr>
                    <w:spacing w:before="152" w:after="160"/>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临界量Q(t)</w:t>
                  </w:r>
                </w:p>
              </w:tc>
              <w:tc>
                <w:tcPr>
                  <w:tcW w:w="948" w:type="pct"/>
                </w:tcPr>
                <w:p w14:paraId="149393E3">
                  <w:pPr>
                    <w:spacing w:before="152" w:after="160"/>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szCs w:val="21"/>
                      <w:highlight w:val="none"/>
                      <w14:textFill>
                        <w14:solidFill>
                          <w14:schemeClr w14:val="tx1"/>
                        </w14:solidFill>
                      </w14:textFill>
                    </w:rPr>
                    <w:instrText xml:space="preserve"> INCLUDEPICTURE "D:\\documents\\tencent files\\379300943\\FileRecv\\AppData\\Roaming\\Microsoft\\AppData\\Local\\Temp\\ksohtml16632\\wps4.png" \* MERGEFORMAT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instrText xml:space="preserve"> INCLUDEPICTURE  "D:\\新建文件夹\\绿凌\\38、\\18、荣艺灯饰\\documents\\tencent files\\379300943\\FileRecv\\AppData\\Roaming\\Microsoft\\AppData\\Local\\Temp\\ksohtml16632\\wps4.png" \* MERGEFORMATINET </w:instrText>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drawing>
                      <wp:inline distT="0" distB="0" distL="114300" distR="114300">
                        <wp:extent cx="180975" cy="314325"/>
                        <wp:effectExtent l="0" t="0" r="0" b="254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24" r:link="rId25"/>
                                <a:stretch>
                                  <a:fillRect/>
                                </a:stretch>
                              </pic:blipFill>
                              <pic:spPr>
                                <a:xfrm>
                                  <a:off x="0" y="0"/>
                                  <a:ext cx="180975" cy="314325"/>
                                </a:xfrm>
                                <a:prstGeom prst="rect">
                                  <a:avLst/>
                                </a:prstGeom>
                                <a:noFill/>
                                <a:ln>
                                  <a:noFill/>
                                </a:ln>
                              </pic:spPr>
                            </pic:pic>
                          </a:graphicData>
                        </a:graphic>
                      </wp:inline>
                    </w:drawing>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r>
                    <w:rPr>
                      <w:rFonts w:hint="default" w:ascii="Times New Roman" w:hAnsi="Times New Roman" w:eastAsia="宋体" w:cs="Times New Roman"/>
                      <w:b/>
                      <w:bCs/>
                      <w:color w:val="000000" w:themeColor="text1"/>
                      <w:position w:val="-28"/>
                      <w:szCs w:val="21"/>
                      <w:highlight w:val="none"/>
                      <w14:textFill>
                        <w14:solidFill>
                          <w14:schemeClr w14:val="tx1"/>
                        </w14:solidFill>
                      </w14:textFill>
                    </w:rPr>
                    <w:fldChar w:fldCharType="end"/>
                  </w:r>
                </w:p>
              </w:tc>
            </w:tr>
            <w:tr w14:paraId="3EC9B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5" w:type="pct"/>
                </w:tcPr>
                <w:p w14:paraId="650372D1">
                  <w:pPr>
                    <w:spacing w:before="152" w:after="16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1</w:t>
                  </w:r>
                </w:p>
              </w:tc>
              <w:tc>
                <w:tcPr>
                  <w:tcW w:w="1222" w:type="pct"/>
                </w:tcPr>
                <w:p w14:paraId="11532981">
                  <w:pPr>
                    <w:spacing w:before="152" w:after="160"/>
                    <w:jc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环烷基橡胶油</w:t>
                  </w:r>
                </w:p>
              </w:tc>
              <w:tc>
                <w:tcPr>
                  <w:tcW w:w="1214" w:type="pct"/>
                </w:tcPr>
                <w:p w14:paraId="0BA914CD">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80</w:t>
                  </w:r>
                </w:p>
              </w:tc>
              <w:tc>
                <w:tcPr>
                  <w:tcW w:w="1219" w:type="pct"/>
                </w:tcPr>
                <w:p w14:paraId="0FDDA24F">
                  <w:pPr>
                    <w:spacing w:before="152" w:after="16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2500</w:t>
                  </w:r>
                </w:p>
              </w:tc>
              <w:tc>
                <w:tcPr>
                  <w:tcW w:w="948" w:type="pct"/>
                </w:tcPr>
                <w:p w14:paraId="3196331D">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0.0</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32</w:t>
                  </w:r>
                </w:p>
              </w:tc>
            </w:tr>
            <w:tr w14:paraId="22DFF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5" w:type="pct"/>
                </w:tcPr>
                <w:p w14:paraId="6AE953DD">
                  <w:pPr>
                    <w:spacing w:before="152" w:after="160"/>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2</w:t>
                  </w:r>
                </w:p>
              </w:tc>
              <w:tc>
                <w:tcPr>
                  <w:tcW w:w="1222" w:type="pct"/>
                </w:tcPr>
                <w:p w14:paraId="1F80D6F8">
                  <w:pPr>
                    <w:spacing w:before="152" w:after="160"/>
                    <w:jc w:val="center"/>
                    <w:rPr>
                      <w:rFonts w:hint="eastAsia" w:eastAsiaTheme="minor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机油</w:t>
                  </w:r>
                </w:p>
              </w:tc>
              <w:tc>
                <w:tcPr>
                  <w:tcW w:w="1214" w:type="pct"/>
                </w:tcPr>
                <w:p w14:paraId="07877CF6">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0.1</w:t>
                  </w:r>
                </w:p>
              </w:tc>
              <w:tc>
                <w:tcPr>
                  <w:tcW w:w="1219" w:type="pct"/>
                </w:tcPr>
                <w:p w14:paraId="1EE3D153">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2500</w:t>
                  </w:r>
                </w:p>
              </w:tc>
              <w:tc>
                <w:tcPr>
                  <w:tcW w:w="948" w:type="pct"/>
                </w:tcPr>
                <w:p w14:paraId="7D286C13">
                  <w:pPr>
                    <w:spacing w:before="152" w:after="16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0.00004</w:t>
                  </w:r>
                </w:p>
              </w:tc>
            </w:tr>
            <w:tr w14:paraId="369B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5" w:type="pct"/>
                </w:tcPr>
                <w:p w14:paraId="6C447D02">
                  <w:pPr>
                    <w:spacing w:before="152" w:after="160"/>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3</w:t>
                  </w:r>
                </w:p>
              </w:tc>
              <w:tc>
                <w:tcPr>
                  <w:tcW w:w="1222" w:type="pct"/>
                </w:tcPr>
                <w:p w14:paraId="02968720">
                  <w:pPr>
                    <w:spacing w:before="152" w:after="160"/>
                    <w:jc w:val="center"/>
                    <w:rPr>
                      <w:rFonts w:hint="eastAsia" w:eastAsiaTheme="minor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废机油</w:t>
                  </w:r>
                </w:p>
              </w:tc>
              <w:tc>
                <w:tcPr>
                  <w:tcW w:w="1214" w:type="pct"/>
                </w:tcPr>
                <w:p w14:paraId="44BD8150">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0.01</w:t>
                  </w:r>
                </w:p>
              </w:tc>
              <w:tc>
                <w:tcPr>
                  <w:tcW w:w="1219" w:type="pct"/>
                </w:tcPr>
                <w:p w14:paraId="70ECE1E2">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2500</w:t>
                  </w:r>
                </w:p>
              </w:tc>
              <w:tc>
                <w:tcPr>
                  <w:tcW w:w="948" w:type="pct"/>
                </w:tcPr>
                <w:p w14:paraId="4AD7AF7C">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0.000004</w:t>
                  </w:r>
                </w:p>
              </w:tc>
            </w:tr>
            <w:tr w14:paraId="2C2C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51" w:type="pct"/>
                  <w:gridSpan w:val="4"/>
                </w:tcPr>
                <w:p w14:paraId="05672FCB">
                  <w:pPr>
                    <w:spacing w:before="152" w:after="16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合计</w:t>
                  </w:r>
                </w:p>
              </w:tc>
              <w:tc>
                <w:tcPr>
                  <w:tcW w:w="948" w:type="pct"/>
                </w:tcPr>
                <w:p w14:paraId="10FD8253">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0.0</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3204</w:t>
                  </w:r>
                </w:p>
              </w:tc>
            </w:tr>
            <w:tr w14:paraId="251D6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5"/>
                </w:tcPr>
                <w:p w14:paraId="668028BA">
                  <w:pPr>
                    <w:spacing w:before="152" w:after="16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注：</w:t>
                  </w:r>
                  <w:r>
                    <w:rPr>
                      <w:rFonts w:hint="default" w:ascii="Times New Roman" w:hAnsi="Times New Roman" w:eastAsia="宋体" w:cs="Times New Roman"/>
                      <w:i w:val="0"/>
                      <w:iCs w:val="0"/>
                      <w:color w:val="000000" w:themeColor="text1"/>
                      <w:kern w:val="0"/>
                      <w:sz w:val="21"/>
                      <w:szCs w:val="21"/>
                      <w:highlight w:val="none"/>
                      <w:u w:val="none"/>
                      <w:vertAlign w:val="baseline"/>
                      <w:lang w:val="en-US" w:eastAsia="zh-CN" w:bidi="ar"/>
                      <w14:textFill>
                        <w14:solidFill>
                          <w14:schemeClr w14:val="tx1"/>
                        </w14:solidFill>
                      </w14:textFill>
                    </w:rPr>
                    <w:t>临界量参考《建设项目环境风险评价技术导则》（HJ169-2018）表B.1突发环境事件风险物质及临界量。</w:t>
                  </w:r>
                </w:p>
              </w:tc>
            </w:tr>
          </w:tbl>
          <w:p w14:paraId="783191C0">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由上表可知，项目各物质与其临界量比值总和Q=</w:t>
            </w:r>
            <w:r>
              <w:rPr>
                <w:rFonts w:hint="default" w:ascii="Times New Roman" w:hAnsi="Times New Roman" w:eastAsia="宋体" w:cs="Times New Roman"/>
                <w:color w:val="000000" w:themeColor="text1"/>
                <w:kern w:val="0"/>
                <w:szCs w:val="21"/>
                <w:highlight w:val="none"/>
                <w14:textFill>
                  <w14:solidFill>
                    <w14:schemeClr w14:val="tx1"/>
                  </w14:solidFill>
                </w14:textFill>
              </w:rPr>
              <w:t>0.0</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3204</w:t>
            </w:r>
            <w:r>
              <w:rPr>
                <w:rFonts w:hint="default" w:ascii="Times New Roman" w:hAnsi="Times New Roman" w:cs="Times New Roman"/>
                <w:color w:val="000000" w:themeColor="text1"/>
                <w:sz w:val="24"/>
                <w:highlight w:val="none"/>
                <w:lang w:val="en-US"/>
                <w14:textFill>
                  <w14:solidFill>
                    <w14:schemeClr w14:val="tx1"/>
                  </w14:solidFill>
                </w14:textFill>
              </w:rPr>
              <w:t>＜1，无需设置风险专项。</w:t>
            </w:r>
          </w:p>
          <w:p w14:paraId="5B0B4F2F">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项目存在的风险影响环境的途径为，废气治理设施故障，废气未经处理直接排放到大气环境中；因原辅材料或危险物质泄漏、明火，引起火灾，随消防水进入市政管网或周边水体，同时火灾产生的伴生/次生污染物会进入环境。</w:t>
            </w:r>
          </w:p>
          <w:p w14:paraId="4C3AE4E4">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泄漏预防措施</w:t>
            </w:r>
          </w:p>
          <w:p w14:paraId="09B9AF87">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1）定期检查危险物质包装是否完整，避免包装桶破裂引起易燃液体泄漏</w:t>
            </w:r>
          </w:p>
          <w:p w14:paraId="16382253">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2）严格执行安全和消防规范。车间内合理布置各生产装置，预留足够的安全距离，以利于消防和疏散</w:t>
            </w:r>
          </w:p>
          <w:p w14:paraId="14817E4F">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3）严格按防火、防爆设计规范的要求进行设计，配置相应的灭火装置和设施，设置火灾报警系统，以便自动预警和及时组织灭火扑救</w:t>
            </w:r>
          </w:p>
          <w:p w14:paraId="065A2D80">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4）定期维护检查废气治理设备，确保废气达标排放</w:t>
            </w:r>
          </w:p>
          <w:p w14:paraId="0B21CE03">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5)危险废物单独收集和分类收集、设置危废贮存间，防止雨淋设施、防渗漏设施、对液体、半液体的危险废物用密闭容器存放、化学品仓、危废间</w:t>
            </w:r>
            <w:r>
              <w:rPr>
                <w:rFonts w:hint="default" w:ascii="Times New Roman" w:hAnsi="Times New Roman" w:cs="Times New Roman"/>
                <w:color w:val="000000" w:themeColor="text1"/>
                <w:sz w:val="24"/>
                <w:highlight w:val="none"/>
                <w:lang w:val="en-US" w:eastAsia="zh-CN"/>
                <w14:textFill>
                  <w14:solidFill>
                    <w14:schemeClr w14:val="tx1"/>
                  </w14:solidFill>
                </w14:textFill>
              </w:rPr>
              <w:t>、废水暂存区</w:t>
            </w:r>
            <w:r>
              <w:rPr>
                <w:rFonts w:hint="default" w:ascii="Times New Roman" w:hAnsi="Times New Roman" w:cs="Times New Roman"/>
                <w:color w:val="000000" w:themeColor="text1"/>
                <w:sz w:val="24"/>
                <w:highlight w:val="none"/>
                <w:lang w:val="en-US"/>
                <w14:textFill>
                  <w14:solidFill>
                    <w14:schemeClr w14:val="tx1"/>
                  </w14:solidFill>
                </w14:textFill>
              </w:rPr>
              <w:t>设置地面液体收集和应急收集设施并设置围堰、雨水总排口应设置截止阀、厂区门口设置缓坡措施。当发生事故，事故废水能有效地收集于事故废水收集装置内。废水收集后统一交给具有废水处理能力的公司转移处理。</w:t>
            </w:r>
          </w:p>
          <w:p w14:paraId="3C80F5D9">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7）建立安全操作规程和管理制度，接受安全生产监督管理部门和消防部门的监督管理，杜绝泄漏、火灾和爆炸等安全事故；并在投入生产前制定和落实环境应急预案。</w:t>
            </w:r>
          </w:p>
          <w:p w14:paraId="7CA003CB">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8）运营期加强对废气处理设施的维护和保养，设置专人管理，若发生非正常工况排放可做到及时发现、及时修复，短时间非正常工况排放污染物不会对周边环境造成影响。</w:t>
            </w:r>
          </w:p>
          <w:p w14:paraId="555CB525">
            <w:pPr>
              <w:spacing w:line="480" w:lineRule="exact"/>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9）按要求厂区门口设置缓坡截流，设立厂区雨水截断阀，配套应急收集桶及收集设施，防止事故消防废水进入到外环境。废水收集后统一交给具有废水处理能力的公司转移处理。</w:t>
            </w:r>
          </w:p>
          <w:p w14:paraId="3648F26D">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分析结论</w:t>
            </w:r>
          </w:p>
          <w:p w14:paraId="27E8A185">
            <w:pPr>
              <w:pStyle w:val="71"/>
              <w:spacing w:line="360" w:lineRule="auto"/>
              <w:ind w:firstLine="480" w:firstLineChars="200"/>
              <w:rPr>
                <w:rFonts w:hint="default" w:ascii="Times New Roman" w:hAnsi="Times New Roman" w:cs="Times New Roman"/>
                <w:color w:val="000000" w:themeColor="text1"/>
                <w:sz w:val="24"/>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综上所述，根据项目风险分析，本项目潜在的风险主要为</w:t>
            </w:r>
            <w:r>
              <w:rPr>
                <w:rFonts w:hint="default" w:ascii="Times New Roman" w:hAnsi="Times New Roman" w:cs="Times New Roman"/>
                <w:color w:val="000000" w:themeColor="text1"/>
                <w:sz w:val="24"/>
                <w:highlight w:val="none"/>
                <w:lang w:val="en-US" w:eastAsia="ja-JP"/>
                <w14:textFill>
                  <w14:solidFill>
                    <w14:schemeClr w14:val="tx1"/>
                  </w14:solidFill>
                </w14:textFill>
              </w:rPr>
              <w:t>化学品</w:t>
            </w:r>
            <w:r>
              <w:rPr>
                <w:rFonts w:hint="default" w:ascii="Times New Roman" w:hAnsi="Times New Roman" w:cs="Times New Roman"/>
                <w:color w:val="000000" w:themeColor="text1"/>
                <w:sz w:val="24"/>
                <w:highlight w:val="none"/>
                <w:lang w:val="en-US"/>
                <w14:textFill>
                  <w14:solidFill>
                    <w14:schemeClr w14:val="tx1"/>
                  </w14:solidFill>
                </w14:textFill>
              </w:rPr>
              <w:t>和</w:t>
            </w:r>
            <w:r>
              <w:rPr>
                <w:rFonts w:hint="default" w:ascii="Times New Roman" w:hAnsi="Times New Roman" w:cs="Times New Roman"/>
                <w:color w:val="000000" w:themeColor="text1"/>
                <w:sz w:val="24"/>
                <w:highlight w:val="none"/>
                <w:lang w:val="en-US" w:eastAsia="ja-JP"/>
                <w14:textFill>
                  <w14:solidFill>
                    <w14:schemeClr w14:val="tx1"/>
                  </w14:solidFill>
                </w14:textFill>
              </w:rPr>
              <w:t>危险物质发生泄漏</w:t>
            </w:r>
            <w:r>
              <w:rPr>
                <w:rFonts w:hint="default" w:ascii="Times New Roman" w:hAnsi="Times New Roman" w:cs="Times New Roman"/>
                <w:color w:val="000000" w:themeColor="text1"/>
                <w:sz w:val="24"/>
                <w:highlight w:val="none"/>
                <w:lang w:val="en-US"/>
                <w14:textFill>
                  <w14:solidFill>
                    <w14:schemeClr w14:val="tx1"/>
                  </w14:solidFill>
                </w14:textFill>
              </w:rPr>
              <w:t>污染大气环境以及遇明火发生火灾事故。建设单位应按照本报告表，做好各项风险的预防和应急措施，可将环境风险水平控制在较小范围内。</w:t>
            </w:r>
          </w:p>
          <w:p w14:paraId="620857BA">
            <w:pPr>
              <w:pStyle w:val="71"/>
              <w:spacing w:line="360" w:lineRule="auto"/>
              <w:ind w:firstLine="480" w:firstLineChars="200"/>
              <w:rPr>
                <w:rFonts w:hint="default" w:ascii="Times New Roman" w:hAnsi="Times New Roman" w:cs="Times New Roman"/>
                <w:b/>
                <w:bCs/>
                <w:color w:val="000000" w:themeColor="text1"/>
                <w:szCs w:val="21"/>
                <w:highlight w:val="none"/>
                <w:lang w:val="en-US"/>
                <w14:textFill>
                  <w14:solidFill>
                    <w14:schemeClr w14:val="tx1"/>
                  </w14:solidFill>
                </w14:textFill>
              </w:rPr>
            </w:pPr>
            <w:r>
              <w:rPr>
                <w:rFonts w:hint="default" w:ascii="Times New Roman" w:hAnsi="Times New Roman" w:cs="Times New Roman"/>
                <w:color w:val="000000" w:themeColor="text1"/>
                <w:sz w:val="24"/>
                <w:highlight w:val="none"/>
                <w:lang w:val="en-US"/>
                <w14:textFill>
                  <w14:solidFill>
                    <w14:schemeClr w14:val="tx1"/>
                  </w14:solidFill>
                </w14:textFill>
              </w:rPr>
              <w:t>建设项目在采取以上环境风险范围防范措施后，可以有效减少事故对环境造成影响，因此环境风险防范措施及应急要求有效可控。</w:t>
            </w:r>
          </w:p>
        </w:tc>
      </w:tr>
    </w:tbl>
    <w:p w14:paraId="0EE13DC9">
      <w:pPr>
        <w:rPr>
          <w:rFonts w:hint="default" w:ascii="Times New Roman" w:hAnsi="Times New Roman" w:eastAsia="宋体" w:cs="Times New Roman"/>
          <w:color w:val="000000" w:themeColor="text1"/>
          <w:highlight w:val="none"/>
          <w14:textFill>
            <w14:solidFill>
              <w14:schemeClr w14:val="tx1"/>
            </w14:solidFill>
          </w14:textFill>
        </w:rPr>
        <w:sectPr>
          <w:footerReference r:id="rId5" w:type="default"/>
          <w:pgSz w:w="11906" w:h="16838"/>
          <w:pgMar w:top="1440" w:right="1531" w:bottom="1440" w:left="1531" w:header="851" w:footer="992" w:gutter="0"/>
          <w:cols w:space="425" w:num="1"/>
          <w:docGrid w:type="lines" w:linePitch="312" w:charSpace="0"/>
        </w:sectPr>
      </w:pPr>
    </w:p>
    <w:p w14:paraId="36FB707B">
      <w:pPr>
        <w:pStyle w:val="2"/>
        <w:spacing w:before="0" w:after="0"/>
        <w:jc w:val="center"/>
        <w:rPr>
          <w:rFonts w:hint="default" w:ascii="Times New Roman" w:hAnsi="Times New Roman" w:eastAsia="宋体" w:cs="Times New Roman"/>
          <w:color w:val="000000" w:themeColor="text1"/>
          <w:sz w:val="24"/>
          <w:highlight w:val="none"/>
          <w14:textFill>
            <w14:solidFill>
              <w14:schemeClr w14:val="tx1"/>
            </w14:solidFill>
          </w14:textFill>
        </w:rPr>
      </w:pPr>
      <w:bookmarkStart w:id="346" w:name="_Toc18825"/>
      <w:bookmarkStart w:id="347" w:name="_Toc6003"/>
      <w:r>
        <w:rPr>
          <w:rFonts w:hint="default" w:ascii="Times New Roman" w:hAnsi="Times New Roman" w:eastAsia="宋体" w:cs="Times New Roman"/>
          <w:color w:val="000000" w:themeColor="text1"/>
          <w:sz w:val="24"/>
          <w:highlight w:val="none"/>
          <w14:textFill>
            <w14:solidFill>
              <w14:schemeClr w14:val="tx1"/>
            </w14:solidFill>
          </w14:textFill>
        </w:rPr>
        <w:t>五、环境保护措施监督检查清单</w:t>
      </w:r>
      <w:bookmarkEnd w:id="346"/>
      <w:bookmarkEnd w:id="347"/>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308"/>
        <w:gridCol w:w="1534"/>
        <w:gridCol w:w="2391"/>
        <w:gridCol w:w="3099"/>
      </w:tblGrid>
      <w:tr w14:paraId="54C93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18ACAAC3">
            <w:pPr>
              <w:jc w:val="righ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-53340</wp:posOffset>
                      </wp:positionH>
                      <wp:positionV relativeFrom="paragraph">
                        <wp:posOffset>77470</wp:posOffset>
                      </wp:positionV>
                      <wp:extent cx="369570" cy="287655"/>
                      <wp:effectExtent l="0" t="0" r="30480" b="36195"/>
                      <wp:wrapNone/>
                      <wp:docPr id="1" name="直接连接符 1"/>
                      <wp:cNvGraphicFramePr/>
                      <a:graphic xmlns:a="http://schemas.openxmlformats.org/drawingml/2006/main">
                        <a:graphicData uri="http://schemas.microsoft.com/office/word/2010/wordprocessingShape">
                          <wps:wsp>
                            <wps:cNvCnPr/>
                            <wps:spPr>
                              <a:xfrm>
                                <a:off x="0" y="0"/>
                                <a:ext cx="369870" cy="28767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2pt;margin-top:6.1pt;height:22.65pt;width:29.1pt;z-index:251660288;mso-width-relative:page;mso-height-relative:page;" filled="f" stroked="t" coordsize="21600,21600" o:gfxdata="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rn5xPWAAAA&#10;BwEAAA8AAAAAAAAAAQAgAAAAIgAAAGRycy9kb3ducmV2LnhtbFBLAQIUABQAAAAIAIdO4kC3Hr/9&#10;5gEAALUDAAAOAAAAAAAAAAEAIAAAACUBAABkcnMvZTJvRG9jLnhtbFBLBQYAAAAABgAGAFkBAAB9&#10;BQAAAAA=&#10;">
                      <v:fill on="f" focussize="0,0"/>
                      <v:stroke weight="0.5pt" color="#000000 [3213]" miterlimit="8" joinstyle="miter"/>
                      <v:imagedata o:title=""/>
                      <o:lock v:ext="edit" aspectratio="f"/>
                    </v:line>
                  </w:pict>
                </mc:Fallback>
              </mc:AlternateContent>
            </w:r>
            <w:r>
              <w:rPr>
                <w:rFonts w:hint="default" w:ascii="Times New Roman" w:hAnsi="Times New Roman" w:eastAsia="宋体" w:cs="Times New Roman"/>
                <w:color w:val="000000" w:themeColor="text1"/>
                <w:sz w:val="24"/>
                <w:szCs w:val="24"/>
                <w:highlight w:val="none"/>
                <w14:textFill>
                  <w14:solidFill>
                    <w14:schemeClr w14:val="tx1"/>
                  </w14:solidFill>
                </w14:textFill>
              </w:rPr>
              <w:t>内容</w:t>
            </w:r>
          </w:p>
          <w:p w14:paraId="1CD3CF8D">
            <w:pPr>
              <w:pStyle w:val="48"/>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51CA2A44">
            <w:pPr>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要素</w:t>
            </w:r>
          </w:p>
        </w:tc>
        <w:tc>
          <w:tcPr>
            <w:tcW w:w="722" w:type="pct"/>
            <w:vAlign w:val="center"/>
          </w:tcPr>
          <w:p w14:paraId="4C45C95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排放口（编号、名称）/污染源</w:t>
            </w:r>
          </w:p>
        </w:tc>
        <w:tc>
          <w:tcPr>
            <w:tcW w:w="847" w:type="pct"/>
            <w:vAlign w:val="center"/>
          </w:tcPr>
          <w:p w14:paraId="0FF010A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污染物项目</w:t>
            </w:r>
          </w:p>
        </w:tc>
        <w:tc>
          <w:tcPr>
            <w:tcW w:w="1320" w:type="pct"/>
            <w:vAlign w:val="center"/>
          </w:tcPr>
          <w:p w14:paraId="2E6FA46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环境保护措施</w:t>
            </w:r>
          </w:p>
        </w:tc>
        <w:tc>
          <w:tcPr>
            <w:tcW w:w="1711" w:type="pct"/>
            <w:vAlign w:val="center"/>
          </w:tcPr>
          <w:p w14:paraId="78041CB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执行标准</w:t>
            </w:r>
          </w:p>
        </w:tc>
      </w:tr>
      <w:tr w14:paraId="7FBE6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99" w:type="pct"/>
            <w:vMerge w:val="restart"/>
            <w:vAlign w:val="center"/>
          </w:tcPr>
          <w:p w14:paraId="44628395">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大气环境</w:t>
            </w:r>
          </w:p>
        </w:tc>
        <w:tc>
          <w:tcPr>
            <w:tcW w:w="722" w:type="pct"/>
            <w:vAlign w:val="center"/>
          </w:tcPr>
          <w:p w14:paraId="1CFE9044">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投料</w:t>
            </w:r>
            <w:r>
              <w:rPr>
                <w:rFonts w:hint="default" w:ascii="Times New Roman" w:hAnsi="Times New Roman" w:eastAsia="宋体" w:cs="Times New Roman"/>
                <w:color w:val="000000" w:themeColor="text1"/>
                <w:sz w:val="24"/>
                <w:szCs w:val="24"/>
                <w:highlight w:val="none"/>
                <w14:textFill>
                  <w14:solidFill>
                    <w14:schemeClr w14:val="tx1"/>
                  </w14:solidFill>
                </w14:textFill>
              </w:rPr>
              <w:t>工序废气排放口（G1）</w:t>
            </w:r>
          </w:p>
        </w:tc>
        <w:tc>
          <w:tcPr>
            <w:tcW w:w="847" w:type="pct"/>
            <w:vAlign w:val="center"/>
          </w:tcPr>
          <w:p w14:paraId="6C2BAE4D">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14:textFill>
                  <w14:solidFill>
                    <w14:schemeClr w14:val="tx1"/>
                  </w14:solidFill>
                </w14:textFill>
              </w:rPr>
              <w:t>颗粒物</w:t>
            </w:r>
          </w:p>
        </w:tc>
        <w:tc>
          <w:tcPr>
            <w:tcW w:w="1320" w:type="pct"/>
            <w:vAlign w:val="center"/>
          </w:tcPr>
          <w:p w14:paraId="581F7FCC">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建设单位拟对投料工序产生的废气采用集气罩收集后经滤芯除尘装置处理后</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经15m高排气筒（G1）高空排放</w:t>
            </w:r>
          </w:p>
        </w:tc>
        <w:tc>
          <w:tcPr>
            <w:tcW w:w="1711" w:type="pct"/>
            <w:vAlign w:val="center"/>
          </w:tcPr>
          <w:p w14:paraId="21CEB2BA">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表4 大气污染物排放限值</w:t>
            </w:r>
          </w:p>
        </w:tc>
      </w:tr>
      <w:tr w14:paraId="030DF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99" w:type="pct"/>
            <w:vMerge w:val="continue"/>
            <w:vAlign w:val="center"/>
          </w:tcPr>
          <w:p w14:paraId="45B5BC7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restart"/>
            <w:vAlign w:val="center"/>
          </w:tcPr>
          <w:p w14:paraId="2590F222">
            <w:pPr>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挤出工序废气排放口（G2）</w:t>
            </w:r>
          </w:p>
        </w:tc>
        <w:tc>
          <w:tcPr>
            <w:tcW w:w="847" w:type="pct"/>
            <w:vAlign w:val="center"/>
          </w:tcPr>
          <w:p w14:paraId="3B35CF61">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非甲烷总烃</w:t>
            </w:r>
          </w:p>
        </w:tc>
        <w:tc>
          <w:tcPr>
            <w:tcW w:w="1320" w:type="pct"/>
            <w:vMerge w:val="restart"/>
            <w:vAlign w:val="center"/>
          </w:tcPr>
          <w:p w14:paraId="388E023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建设单位拟对</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挤出</w:t>
            </w:r>
            <w:r>
              <w:rPr>
                <w:rFonts w:ascii="Times New Roman" w:hAnsi="Times New Roman" w:eastAsia="宋体" w:cs="Times New Roman"/>
                <w:color w:val="000000" w:themeColor="text1"/>
                <w:sz w:val="24"/>
                <w:szCs w:val="24"/>
                <w:highlight w:val="none"/>
                <w14:textFill>
                  <w14:solidFill>
                    <w14:schemeClr w14:val="tx1"/>
                  </w14:solidFill>
                </w14:textFill>
              </w:rPr>
              <w:t>工序废气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经管道收集后</w:t>
            </w:r>
            <w:r>
              <w:rPr>
                <w:rFonts w:ascii="Times New Roman" w:hAnsi="Times New Roman" w:eastAsia="宋体" w:cs="Times New Roman"/>
                <w:color w:val="000000" w:themeColor="text1"/>
                <w:sz w:val="24"/>
                <w:szCs w:val="24"/>
                <w:highlight w:val="none"/>
                <w14:textFill>
                  <w14:solidFill>
                    <w14:schemeClr w14:val="tx1"/>
                  </w14:solidFill>
                </w14:textFill>
              </w:rPr>
              <w:t>经二级活性炭吸附装置处理后经离地</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15</w:t>
            </w:r>
            <w:r>
              <w:rPr>
                <w:rFonts w:ascii="Times New Roman" w:hAnsi="Times New Roman" w:eastAsia="宋体" w:cs="Times New Roman"/>
                <w:color w:val="000000" w:themeColor="text1"/>
                <w:sz w:val="24"/>
                <w:szCs w:val="24"/>
                <w:highlight w:val="none"/>
                <w14:textFill>
                  <w14:solidFill>
                    <w14:schemeClr w14:val="tx1"/>
                  </w14:solidFill>
                </w14:textFill>
              </w:rPr>
              <w:t>m高排气筒（G</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ascii="Times New Roman" w:hAnsi="Times New Roman" w:eastAsia="宋体" w:cs="Times New Roman"/>
                <w:color w:val="000000" w:themeColor="text1"/>
                <w:sz w:val="24"/>
                <w:szCs w:val="24"/>
                <w:highlight w:val="none"/>
                <w14:textFill>
                  <w14:solidFill>
                    <w14:schemeClr w14:val="tx1"/>
                  </w14:solidFill>
                </w14:textFill>
              </w:rPr>
              <w:t>）高空排放</w:t>
            </w:r>
          </w:p>
        </w:tc>
        <w:tc>
          <w:tcPr>
            <w:tcW w:w="1711" w:type="pct"/>
            <w:vMerge w:val="restart"/>
            <w:vAlign w:val="center"/>
          </w:tcPr>
          <w:p w14:paraId="770201CF">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》（GB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表4 大气污染物排放限值</w:t>
            </w:r>
          </w:p>
        </w:tc>
      </w:tr>
      <w:tr w14:paraId="0F2F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99" w:type="pct"/>
            <w:vMerge w:val="continue"/>
            <w:vAlign w:val="center"/>
          </w:tcPr>
          <w:p w14:paraId="679FABB6">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39989662">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c>
          <w:tcPr>
            <w:tcW w:w="847" w:type="pct"/>
            <w:vAlign w:val="center"/>
          </w:tcPr>
          <w:p w14:paraId="7A8CE548">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苯乙烯</w:t>
            </w:r>
          </w:p>
        </w:tc>
        <w:tc>
          <w:tcPr>
            <w:tcW w:w="1320" w:type="pct"/>
            <w:vMerge w:val="continue"/>
            <w:vAlign w:val="center"/>
          </w:tcPr>
          <w:p w14:paraId="03EA1D3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2331EC96">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0DCB2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99" w:type="pct"/>
            <w:vMerge w:val="continue"/>
            <w:vAlign w:val="center"/>
          </w:tcPr>
          <w:p w14:paraId="766E5DF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1244CC08">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c>
          <w:tcPr>
            <w:tcW w:w="847" w:type="pct"/>
            <w:vAlign w:val="center"/>
          </w:tcPr>
          <w:p w14:paraId="0AA2CBED">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甲苯</w:t>
            </w:r>
          </w:p>
        </w:tc>
        <w:tc>
          <w:tcPr>
            <w:tcW w:w="1320" w:type="pct"/>
            <w:vMerge w:val="continue"/>
            <w:vAlign w:val="center"/>
          </w:tcPr>
          <w:p w14:paraId="0F53AF4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5669A92D">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002F6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99" w:type="pct"/>
            <w:vMerge w:val="continue"/>
            <w:vAlign w:val="center"/>
          </w:tcPr>
          <w:p w14:paraId="13EB30F5">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299EEE7A">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c>
          <w:tcPr>
            <w:tcW w:w="847" w:type="pct"/>
            <w:vAlign w:val="center"/>
          </w:tcPr>
          <w:p w14:paraId="6F8120D5">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乙苯</w:t>
            </w:r>
          </w:p>
        </w:tc>
        <w:tc>
          <w:tcPr>
            <w:tcW w:w="1320" w:type="pct"/>
            <w:vMerge w:val="continue"/>
            <w:vAlign w:val="center"/>
          </w:tcPr>
          <w:p w14:paraId="49DED547">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62F68E9D">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0D41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99" w:type="pct"/>
            <w:vMerge w:val="continue"/>
            <w:vAlign w:val="center"/>
          </w:tcPr>
          <w:p w14:paraId="09D716F6">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07BFB624">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c>
          <w:tcPr>
            <w:tcW w:w="847" w:type="pct"/>
            <w:vAlign w:val="center"/>
          </w:tcPr>
          <w:p w14:paraId="73552DE4">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臭气浓度</w:t>
            </w:r>
          </w:p>
        </w:tc>
        <w:tc>
          <w:tcPr>
            <w:tcW w:w="1320" w:type="pct"/>
            <w:vMerge w:val="continue"/>
            <w:vAlign w:val="center"/>
          </w:tcPr>
          <w:p w14:paraId="122290E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Align w:val="center"/>
          </w:tcPr>
          <w:p w14:paraId="341EDAAC">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《恶臭污染物排放标准》（GB14554-93）表2恶臭污染物排放标准值</w:t>
            </w:r>
          </w:p>
        </w:tc>
      </w:tr>
      <w:tr w14:paraId="70C39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99" w:type="pct"/>
            <w:vMerge w:val="continue"/>
            <w:vAlign w:val="center"/>
          </w:tcPr>
          <w:p w14:paraId="5095425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restart"/>
            <w:vAlign w:val="center"/>
          </w:tcPr>
          <w:p w14:paraId="636B88C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厂界无组织</w:t>
            </w:r>
          </w:p>
        </w:tc>
        <w:tc>
          <w:tcPr>
            <w:tcW w:w="847" w:type="pct"/>
            <w:vAlign w:val="center"/>
          </w:tcPr>
          <w:p w14:paraId="596945C6">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14:textFill>
                  <w14:solidFill>
                    <w14:schemeClr w14:val="tx1"/>
                  </w14:solidFill>
                </w14:textFill>
              </w:rPr>
              <w:t>非甲烷总烃</w:t>
            </w:r>
          </w:p>
        </w:tc>
        <w:tc>
          <w:tcPr>
            <w:tcW w:w="1320" w:type="pct"/>
            <w:vMerge w:val="restart"/>
            <w:vAlign w:val="center"/>
          </w:tcPr>
          <w:p w14:paraId="5083574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p>
        </w:tc>
        <w:tc>
          <w:tcPr>
            <w:tcW w:w="1711" w:type="pct"/>
            <w:tcBorders>
              <w:top w:val="single" w:color="000000" w:sz="4" w:space="0"/>
            </w:tcBorders>
            <w:vAlign w:val="center"/>
          </w:tcPr>
          <w:p w14:paraId="4270BFC3">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》（GB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表9企业边界大气污染物浓度限值和</w:t>
            </w:r>
            <w:r>
              <w:rPr>
                <w:rFonts w:hint="default" w:ascii="Times New Roman" w:hAnsi="Times New Roman" w:eastAsia="宋体" w:cs="Times New Roman"/>
                <w:color w:val="000000" w:themeColor="text1"/>
                <w:sz w:val="24"/>
                <w:szCs w:val="24"/>
                <w:highlight w:val="none"/>
                <w14:textFill>
                  <w14:solidFill>
                    <w14:schemeClr w14:val="tx1"/>
                  </w14:solidFill>
                </w14:textFill>
              </w:rPr>
              <w:t>广东省地方标准《大气污染物排放限值》（DB44/27-2001）第二时段无组织排放标准值</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较严值</w:t>
            </w:r>
          </w:p>
        </w:tc>
      </w:tr>
      <w:tr w14:paraId="51AB4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jc w:val="center"/>
        </w:trPr>
        <w:tc>
          <w:tcPr>
            <w:tcW w:w="399" w:type="pct"/>
            <w:vMerge w:val="continue"/>
            <w:vAlign w:val="center"/>
          </w:tcPr>
          <w:p w14:paraId="53D0936C">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23557DB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76310931">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14:textFill>
                  <w14:solidFill>
                    <w14:schemeClr w14:val="tx1"/>
                  </w14:solidFill>
                </w14:textFill>
              </w:rPr>
              <w:t>颗粒物</w:t>
            </w:r>
          </w:p>
          <w:p w14:paraId="4BC12360">
            <w:pPr>
              <w:pStyle w:val="59"/>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c>
          <w:tcPr>
            <w:tcW w:w="1320" w:type="pct"/>
            <w:vMerge w:val="continue"/>
            <w:vAlign w:val="center"/>
          </w:tcPr>
          <w:p w14:paraId="0174A224">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restart"/>
            <w:vAlign w:val="center"/>
          </w:tcPr>
          <w:p w14:paraId="16821922">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》（GB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31572</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表9企业边界大气污染物浓度限值</w:t>
            </w:r>
          </w:p>
        </w:tc>
      </w:tr>
      <w:tr w14:paraId="20EE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0D68CBD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6E9CB26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701A8473">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甲苯</w:t>
            </w:r>
          </w:p>
        </w:tc>
        <w:tc>
          <w:tcPr>
            <w:tcW w:w="1320" w:type="pct"/>
            <w:vMerge w:val="continue"/>
            <w:vAlign w:val="center"/>
          </w:tcPr>
          <w:p w14:paraId="3285AF96">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tcBorders>
              <w:bottom w:val="single" w:color="000000" w:sz="4" w:space="0"/>
            </w:tcBorders>
            <w:vAlign w:val="center"/>
          </w:tcPr>
          <w:p w14:paraId="0E785C4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466AF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7883855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2F88108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481022AF">
            <w:pPr>
              <w:pStyle w:val="5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臭气浓度</w:t>
            </w:r>
          </w:p>
        </w:tc>
        <w:tc>
          <w:tcPr>
            <w:tcW w:w="1320" w:type="pct"/>
            <w:vMerge w:val="continue"/>
            <w:vAlign w:val="center"/>
          </w:tcPr>
          <w:p w14:paraId="6B805FE7">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restart"/>
            <w:vAlign w:val="center"/>
          </w:tcPr>
          <w:p w14:paraId="2D5B0F22">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《恶臭污染物排放标准》（GB14554-93）表1恶臭污染物厂界标准值</w:t>
            </w:r>
          </w:p>
        </w:tc>
      </w:tr>
      <w:tr w14:paraId="605CE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6304D99D">
            <w:pPr>
              <w:pStyle w:val="59"/>
              <w:rPr>
                <w:color w:val="000000" w:themeColor="text1"/>
                <w:sz w:val="24"/>
                <w:szCs w:val="24"/>
                <w:highlight w:val="none"/>
                <w14:textFill>
                  <w14:solidFill>
                    <w14:schemeClr w14:val="tx1"/>
                  </w14:solidFill>
                </w14:textFill>
              </w:rPr>
            </w:pPr>
          </w:p>
        </w:tc>
        <w:tc>
          <w:tcPr>
            <w:tcW w:w="722" w:type="pct"/>
            <w:vMerge w:val="continue"/>
            <w:vAlign w:val="center"/>
          </w:tcPr>
          <w:p w14:paraId="5A7DFD21">
            <w:pPr>
              <w:pStyle w:val="59"/>
              <w:rPr>
                <w:color w:val="000000" w:themeColor="text1"/>
                <w:sz w:val="24"/>
                <w:szCs w:val="24"/>
                <w:highlight w:val="none"/>
                <w14:textFill>
                  <w14:solidFill>
                    <w14:schemeClr w14:val="tx1"/>
                  </w14:solidFill>
                </w14:textFill>
              </w:rPr>
            </w:pPr>
          </w:p>
        </w:tc>
        <w:tc>
          <w:tcPr>
            <w:tcW w:w="847" w:type="pct"/>
            <w:vAlign w:val="center"/>
          </w:tcPr>
          <w:p w14:paraId="7D603D15">
            <w:pPr>
              <w:pStyle w:val="59"/>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苯乙烯</w:t>
            </w:r>
          </w:p>
        </w:tc>
        <w:tc>
          <w:tcPr>
            <w:tcW w:w="1320" w:type="pct"/>
            <w:vMerge w:val="continue"/>
            <w:vAlign w:val="center"/>
          </w:tcPr>
          <w:p w14:paraId="61A201F0">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0B5E759A">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2A455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399" w:type="pct"/>
            <w:vMerge w:val="continue"/>
            <w:vAlign w:val="center"/>
          </w:tcPr>
          <w:p w14:paraId="7C298284">
            <w:pPr>
              <w:pStyle w:val="59"/>
              <w:rPr>
                <w:color w:val="000000" w:themeColor="text1"/>
                <w:sz w:val="24"/>
                <w:szCs w:val="24"/>
                <w:highlight w:val="none"/>
                <w14:textFill>
                  <w14:solidFill>
                    <w14:schemeClr w14:val="tx1"/>
                  </w14:solidFill>
                </w14:textFill>
              </w:rPr>
            </w:pPr>
          </w:p>
        </w:tc>
        <w:tc>
          <w:tcPr>
            <w:tcW w:w="722" w:type="pct"/>
            <w:vMerge w:val="restart"/>
            <w:vAlign w:val="center"/>
          </w:tcPr>
          <w:p w14:paraId="5DA5B554">
            <w:pPr>
              <w:pStyle w:val="59"/>
              <w:rPr>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厂区内无组织废气</w:t>
            </w:r>
          </w:p>
        </w:tc>
        <w:tc>
          <w:tcPr>
            <w:tcW w:w="847" w:type="pct"/>
            <w:vAlign w:val="center"/>
          </w:tcPr>
          <w:p w14:paraId="6317DE53">
            <w:pPr>
              <w:pStyle w:val="59"/>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14:textFill>
                  <w14:solidFill>
                    <w14:schemeClr w14:val="tx1"/>
                  </w14:solidFill>
                </w14:textFill>
              </w:rPr>
              <w:t>非甲烷总烃</w:t>
            </w:r>
          </w:p>
        </w:tc>
        <w:tc>
          <w:tcPr>
            <w:tcW w:w="1320" w:type="pct"/>
            <w:vMerge w:val="restart"/>
            <w:vAlign w:val="center"/>
          </w:tcPr>
          <w:p w14:paraId="53000E00">
            <w:pPr>
              <w:pStyle w:val="59"/>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tc>
        <w:tc>
          <w:tcPr>
            <w:tcW w:w="1711" w:type="pct"/>
            <w:vMerge w:val="restart"/>
            <w:vAlign w:val="center"/>
          </w:tcPr>
          <w:p w14:paraId="5D899E5A">
            <w:pPr>
              <w:pStyle w:val="59"/>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广东省地方标准《固定污染源挥发性有机物综合排放标准》（DB44/2367-2022）表3 厂区内VOCs无组织排放限值</w:t>
            </w:r>
          </w:p>
        </w:tc>
      </w:tr>
      <w:tr w14:paraId="69B56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restart"/>
            <w:vAlign w:val="center"/>
          </w:tcPr>
          <w:p w14:paraId="2B560DF5">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地表水环境</w:t>
            </w:r>
          </w:p>
        </w:tc>
        <w:tc>
          <w:tcPr>
            <w:tcW w:w="722" w:type="pct"/>
            <w:vMerge w:val="restart"/>
            <w:vAlign w:val="center"/>
          </w:tcPr>
          <w:p w14:paraId="6C755BA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生活污水</w:t>
            </w:r>
          </w:p>
        </w:tc>
        <w:tc>
          <w:tcPr>
            <w:tcW w:w="847" w:type="pct"/>
            <w:vAlign w:val="center"/>
          </w:tcPr>
          <w:p w14:paraId="0C66E81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COD</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cr</w:t>
            </w:r>
          </w:p>
        </w:tc>
        <w:tc>
          <w:tcPr>
            <w:tcW w:w="1320" w:type="pct"/>
            <w:vMerge w:val="restart"/>
            <w:vAlign w:val="center"/>
          </w:tcPr>
          <w:p w14:paraId="376E99F4">
            <w:pPr>
              <w:jc w:val="center"/>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经三级化粪池预处理后进入</w:t>
            </w: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中山市</w:t>
            </w:r>
            <w:r>
              <w:rPr>
                <w:rFonts w:hint="eastAsia" w:ascii="Times New Roman" w:hAnsi="Times New Roman" w:eastAsia="宋体" w:cs="Times New Roman"/>
                <w:color w:val="000000" w:themeColor="text1"/>
                <w:spacing w:val="1"/>
                <w:sz w:val="24"/>
                <w:szCs w:val="24"/>
                <w:highlight w:val="none"/>
                <w:lang w:val="en-US" w:eastAsia="zh-CN"/>
                <w14:textFill>
                  <w14:solidFill>
                    <w14:schemeClr w14:val="tx1"/>
                  </w14:solidFill>
                </w14:textFill>
              </w:rPr>
              <w:t>中嘉</w:t>
            </w:r>
            <w:r>
              <w:rPr>
                <w:rFonts w:hint="default" w:ascii="Times New Roman" w:hAnsi="Times New Roman" w:eastAsia="宋体" w:cs="Times New Roman"/>
                <w:color w:val="000000" w:themeColor="text1"/>
                <w:spacing w:val="1"/>
                <w:sz w:val="24"/>
                <w:szCs w:val="24"/>
                <w:highlight w:val="none"/>
                <w14:textFill>
                  <w14:solidFill>
                    <w14:schemeClr w14:val="tx1"/>
                  </w14:solidFill>
                </w14:textFill>
              </w:rPr>
              <w:t>污水处理厂</w:t>
            </w:r>
          </w:p>
        </w:tc>
        <w:tc>
          <w:tcPr>
            <w:tcW w:w="1711" w:type="pct"/>
            <w:vMerge w:val="restart"/>
            <w:vAlign w:val="center"/>
          </w:tcPr>
          <w:p w14:paraId="41493562">
            <w:pPr>
              <w:jc w:val="center"/>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广东省《水污染物排放限值》(DB44/26－2001)第二时段三级标准</w:t>
            </w:r>
          </w:p>
        </w:tc>
      </w:tr>
      <w:tr w14:paraId="65A24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33C7D2F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0287478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58FB74E4">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BOD</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5</w:t>
            </w:r>
          </w:p>
        </w:tc>
        <w:tc>
          <w:tcPr>
            <w:tcW w:w="1320" w:type="pct"/>
            <w:vMerge w:val="continue"/>
            <w:vAlign w:val="center"/>
          </w:tcPr>
          <w:p w14:paraId="7532452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54ABFB2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48663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150B7C3C">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54A9996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23042B04">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SS</w:t>
            </w:r>
          </w:p>
        </w:tc>
        <w:tc>
          <w:tcPr>
            <w:tcW w:w="1320" w:type="pct"/>
            <w:vMerge w:val="continue"/>
            <w:vAlign w:val="center"/>
          </w:tcPr>
          <w:p w14:paraId="3688947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312BCCA4">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542C9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35AAD006">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6CC8A96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0CC875A3">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pH</w:t>
            </w:r>
          </w:p>
        </w:tc>
        <w:tc>
          <w:tcPr>
            <w:tcW w:w="1320" w:type="pct"/>
            <w:vMerge w:val="continue"/>
            <w:vAlign w:val="center"/>
          </w:tcPr>
          <w:p w14:paraId="2178E36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7745EB3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1C4BB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697ED3E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40290006">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2FFCF39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NH</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-N</w:t>
            </w:r>
          </w:p>
        </w:tc>
        <w:tc>
          <w:tcPr>
            <w:tcW w:w="1320" w:type="pct"/>
            <w:vMerge w:val="continue"/>
            <w:vAlign w:val="center"/>
          </w:tcPr>
          <w:p w14:paraId="0FC13CC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0D19523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3D29A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035F7D2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restart"/>
            <w:vAlign w:val="center"/>
          </w:tcPr>
          <w:p w14:paraId="1C1589A7">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生产废水</w:t>
            </w:r>
          </w:p>
        </w:tc>
        <w:tc>
          <w:tcPr>
            <w:tcW w:w="847" w:type="pct"/>
            <w:vAlign w:val="center"/>
          </w:tcPr>
          <w:p w14:paraId="6A9C9E7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COD</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cr</w:t>
            </w:r>
          </w:p>
        </w:tc>
        <w:tc>
          <w:tcPr>
            <w:tcW w:w="1320" w:type="pct"/>
            <w:vMerge w:val="restart"/>
            <w:vAlign w:val="center"/>
          </w:tcPr>
          <w:p w14:paraId="33EDEA1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委托给</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有废水处理能力单位处理</w:t>
            </w:r>
          </w:p>
        </w:tc>
        <w:tc>
          <w:tcPr>
            <w:tcW w:w="1711" w:type="pct"/>
            <w:vMerge w:val="restart"/>
            <w:vAlign w:val="center"/>
          </w:tcPr>
          <w:p w14:paraId="469CF29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p>
        </w:tc>
      </w:tr>
      <w:tr w14:paraId="26854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7063FDFC">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736FF8F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3A13F86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BOD</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5</w:t>
            </w:r>
          </w:p>
        </w:tc>
        <w:tc>
          <w:tcPr>
            <w:tcW w:w="1320" w:type="pct"/>
            <w:vMerge w:val="continue"/>
            <w:vAlign w:val="center"/>
          </w:tcPr>
          <w:p w14:paraId="0DD7CF6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7AFEC89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4E85E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78E3128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72B3D28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4C00BDA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SS</w:t>
            </w:r>
          </w:p>
        </w:tc>
        <w:tc>
          <w:tcPr>
            <w:tcW w:w="1320" w:type="pct"/>
            <w:vMerge w:val="continue"/>
            <w:vAlign w:val="center"/>
          </w:tcPr>
          <w:p w14:paraId="0A08E77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543DD19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5F429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57DFAA2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1F9B088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6C73B435">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NH</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-N</w:t>
            </w:r>
          </w:p>
        </w:tc>
        <w:tc>
          <w:tcPr>
            <w:tcW w:w="1320" w:type="pct"/>
            <w:vMerge w:val="continue"/>
            <w:vAlign w:val="center"/>
          </w:tcPr>
          <w:p w14:paraId="3C6E9B2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113C71B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2ABB4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3A1D521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3FD63A2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3D664567">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色度</w:t>
            </w:r>
          </w:p>
        </w:tc>
        <w:tc>
          <w:tcPr>
            <w:tcW w:w="1320" w:type="pct"/>
            <w:vMerge w:val="continue"/>
            <w:vAlign w:val="center"/>
          </w:tcPr>
          <w:p w14:paraId="322EBC1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0C5EB43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61884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2085511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51DB2D7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19F979C6">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总氮</w:t>
            </w:r>
          </w:p>
        </w:tc>
        <w:tc>
          <w:tcPr>
            <w:tcW w:w="1320" w:type="pct"/>
            <w:vMerge w:val="continue"/>
            <w:vAlign w:val="center"/>
          </w:tcPr>
          <w:p w14:paraId="30DD590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6126DA6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2B57D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1192B46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32A11223">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5D34CE71">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总磷</w:t>
            </w:r>
          </w:p>
        </w:tc>
        <w:tc>
          <w:tcPr>
            <w:tcW w:w="1320" w:type="pct"/>
            <w:vMerge w:val="continue"/>
            <w:vAlign w:val="center"/>
          </w:tcPr>
          <w:p w14:paraId="2D33E2D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4E2AAF2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02E9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4B5985D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69F6414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70AD1C4D">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石油类</w:t>
            </w:r>
          </w:p>
        </w:tc>
        <w:tc>
          <w:tcPr>
            <w:tcW w:w="1320" w:type="pct"/>
            <w:vMerge w:val="continue"/>
            <w:vAlign w:val="center"/>
          </w:tcPr>
          <w:p w14:paraId="5807E4E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34B0329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308E4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continue"/>
            <w:vAlign w:val="center"/>
          </w:tcPr>
          <w:p w14:paraId="74B3039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79CFB87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18F580A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pH</w:t>
            </w:r>
          </w:p>
        </w:tc>
        <w:tc>
          <w:tcPr>
            <w:tcW w:w="1320" w:type="pct"/>
            <w:vMerge w:val="continue"/>
            <w:vAlign w:val="center"/>
          </w:tcPr>
          <w:p w14:paraId="2F36E25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2D594F9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03D1D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78AE57E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声环境</w:t>
            </w:r>
          </w:p>
        </w:tc>
        <w:tc>
          <w:tcPr>
            <w:tcW w:w="4600" w:type="pct"/>
            <w:gridSpan w:val="4"/>
            <w:vAlign w:val="center"/>
          </w:tcPr>
          <w:p w14:paraId="5C0B5C56">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采用有效的隔音、消声措施，东面</w:t>
            </w:r>
            <w:r>
              <w:rPr>
                <w:rFonts w:hint="default" w:ascii="Times New Roman" w:hAnsi="Times New Roman" w:eastAsia="宋体" w:cs="Times New Roman"/>
                <w:color w:val="000000" w:themeColor="text1"/>
                <w:sz w:val="24"/>
                <w:szCs w:val="24"/>
                <w:highlight w:val="none"/>
                <w:lang w:val="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西面、南面、北面厂界</w:t>
            </w:r>
            <w:r>
              <w:rPr>
                <w:rFonts w:hint="default" w:ascii="Times New Roman" w:hAnsi="Times New Roman" w:eastAsia="宋体" w:cs="Times New Roman"/>
                <w:color w:val="000000" w:themeColor="text1"/>
                <w:sz w:val="24"/>
                <w:szCs w:val="24"/>
                <w:highlight w:val="none"/>
                <w:lang w:val="zh-CN"/>
                <w14:textFill>
                  <w14:solidFill>
                    <w14:schemeClr w14:val="tx1"/>
                  </w14:solidFill>
                </w14:textFill>
              </w:rPr>
              <w:t>可达到《工业企业厂界环境噪声排放标准》(GB12348－2008)</w:t>
            </w:r>
            <w:r>
              <w:rPr>
                <w:rFonts w:hint="default" w:ascii="Times New Roman" w:hAnsi="Times New Roman" w:eastAsia="宋体" w:cs="Times New Roman"/>
                <w:color w:val="000000" w:themeColor="text1"/>
                <w:sz w:val="24"/>
                <w:szCs w:val="24"/>
                <w:highlight w:val="none"/>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zh-CN"/>
                <w14:textFill>
                  <w14:solidFill>
                    <w14:schemeClr w14:val="tx1"/>
                  </w14:solidFill>
                </w14:textFill>
              </w:rPr>
              <w:t>类标准</w:t>
            </w:r>
          </w:p>
        </w:tc>
      </w:tr>
      <w:tr w14:paraId="0D118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Merge w:val="restart"/>
            <w:vAlign w:val="center"/>
          </w:tcPr>
          <w:p w14:paraId="1574E35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固体废物</w:t>
            </w:r>
          </w:p>
        </w:tc>
        <w:tc>
          <w:tcPr>
            <w:tcW w:w="722" w:type="pct"/>
            <w:vAlign w:val="center"/>
          </w:tcPr>
          <w:p w14:paraId="35E416E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生活垃圾</w:t>
            </w:r>
          </w:p>
        </w:tc>
        <w:tc>
          <w:tcPr>
            <w:tcW w:w="847" w:type="pct"/>
            <w:vAlign w:val="center"/>
          </w:tcPr>
          <w:p w14:paraId="07A06C3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生活垃圾</w:t>
            </w:r>
          </w:p>
        </w:tc>
        <w:tc>
          <w:tcPr>
            <w:tcW w:w="1320" w:type="pct"/>
            <w:vAlign w:val="center"/>
          </w:tcPr>
          <w:p w14:paraId="379FCB2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交环卫部门处理</w:t>
            </w:r>
          </w:p>
        </w:tc>
        <w:tc>
          <w:tcPr>
            <w:tcW w:w="1711" w:type="pct"/>
            <w:vMerge w:val="restart"/>
            <w:vAlign w:val="center"/>
          </w:tcPr>
          <w:p w14:paraId="21CEA495">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符合环保要求</w:t>
            </w:r>
          </w:p>
        </w:tc>
      </w:tr>
      <w:tr w14:paraId="7E1C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32FF6CF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restart"/>
            <w:vAlign w:val="center"/>
          </w:tcPr>
          <w:p w14:paraId="32B8C51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一般固废</w:t>
            </w:r>
          </w:p>
        </w:tc>
        <w:tc>
          <w:tcPr>
            <w:tcW w:w="847" w:type="pct"/>
            <w:vAlign w:val="center"/>
          </w:tcPr>
          <w:p w14:paraId="5662D1BF">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废弃包装物</w:t>
            </w:r>
          </w:p>
        </w:tc>
        <w:tc>
          <w:tcPr>
            <w:tcW w:w="1320" w:type="pct"/>
            <w:vMerge w:val="restart"/>
            <w:vAlign w:val="center"/>
          </w:tcPr>
          <w:p w14:paraId="64C65F3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交由具有一般固废处理能力的单位处理</w:t>
            </w:r>
          </w:p>
        </w:tc>
        <w:tc>
          <w:tcPr>
            <w:tcW w:w="1711" w:type="pct"/>
            <w:vMerge w:val="continue"/>
            <w:vAlign w:val="center"/>
          </w:tcPr>
          <w:p w14:paraId="6898D52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31916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65542A4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7387717A">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0A72BF6E">
            <w:pPr>
              <w:jc w:val="cente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车间沉降粉尘</w:t>
            </w:r>
          </w:p>
        </w:tc>
        <w:tc>
          <w:tcPr>
            <w:tcW w:w="1320" w:type="pct"/>
            <w:vMerge w:val="continue"/>
            <w:vAlign w:val="center"/>
          </w:tcPr>
          <w:p w14:paraId="20FBD01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5F2B412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431DF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1EEAC56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597F8B5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4BAAEBCD">
            <w:pPr>
              <w:jc w:val="cente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废</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滤芯</w:t>
            </w:r>
          </w:p>
        </w:tc>
        <w:tc>
          <w:tcPr>
            <w:tcW w:w="1320" w:type="pct"/>
            <w:vMerge w:val="continue"/>
            <w:vAlign w:val="center"/>
          </w:tcPr>
          <w:p w14:paraId="4D1CD01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6CA4943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7A523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72A5F33F">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79491AA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5AF3E4A4">
            <w:pPr>
              <w:jc w:val="cente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打样废品</w:t>
            </w:r>
          </w:p>
        </w:tc>
        <w:tc>
          <w:tcPr>
            <w:tcW w:w="1320" w:type="pct"/>
            <w:vMerge w:val="continue"/>
            <w:vAlign w:val="center"/>
          </w:tcPr>
          <w:p w14:paraId="51E3E8D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0CBCD56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51B15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99" w:type="pct"/>
            <w:vMerge w:val="continue"/>
            <w:vAlign w:val="center"/>
          </w:tcPr>
          <w:p w14:paraId="7E41CAAB">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continue"/>
            <w:vAlign w:val="center"/>
          </w:tcPr>
          <w:p w14:paraId="560D951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847" w:type="pct"/>
            <w:vAlign w:val="center"/>
          </w:tcPr>
          <w:p w14:paraId="560CA898">
            <w:pPr>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滤芯</w:t>
            </w:r>
            <w:r>
              <w:rPr>
                <w:rFonts w:hint="default" w:ascii="Times New Roman" w:hAnsi="Times New Roman" w:eastAsia="宋体" w:cs="Times New Roman"/>
                <w:color w:val="000000" w:themeColor="text1"/>
                <w:sz w:val="24"/>
                <w:szCs w:val="24"/>
                <w:highlight w:val="none"/>
                <w14:textFill>
                  <w14:solidFill>
                    <w14:schemeClr w14:val="tx1"/>
                  </w14:solidFill>
                </w14:textFill>
              </w:rPr>
              <w:t>收集粉尘</w:t>
            </w:r>
          </w:p>
        </w:tc>
        <w:tc>
          <w:tcPr>
            <w:tcW w:w="1320" w:type="pct"/>
            <w:vAlign w:val="center"/>
          </w:tcPr>
          <w:p w14:paraId="28DFEAA0">
            <w:pPr>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回用生产</w:t>
            </w:r>
          </w:p>
        </w:tc>
        <w:tc>
          <w:tcPr>
            <w:tcW w:w="1711" w:type="pct"/>
            <w:vMerge w:val="continue"/>
            <w:vAlign w:val="center"/>
          </w:tcPr>
          <w:p w14:paraId="00A099C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79FA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99" w:type="pct"/>
            <w:vMerge w:val="continue"/>
            <w:vAlign w:val="center"/>
          </w:tcPr>
          <w:p w14:paraId="43E1C457">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722" w:type="pct"/>
            <w:vMerge w:val="restart"/>
            <w:vAlign w:val="center"/>
          </w:tcPr>
          <w:p w14:paraId="73278C3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危险废物</w:t>
            </w:r>
          </w:p>
        </w:tc>
        <w:tc>
          <w:tcPr>
            <w:tcW w:w="847" w:type="pct"/>
            <w:vAlign w:val="center"/>
          </w:tcPr>
          <w:p w14:paraId="7C1E73B2">
            <w:pPr>
              <w:widowControl/>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废饱和活性炭</w:t>
            </w:r>
          </w:p>
        </w:tc>
        <w:tc>
          <w:tcPr>
            <w:tcW w:w="1320" w:type="pct"/>
            <w:vMerge w:val="restart"/>
            <w:vAlign w:val="center"/>
          </w:tcPr>
          <w:p w14:paraId="798CA04D">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交由具有相关危险废物经营许可证的单位处理</w:t>
            </w:r>
          </w:p>
        </w:tc>
        <w:tc>
          <w:tcPr>
            <w:tcW w:w="1711" w:type="pct"/>
            <w:vMerge w:val="continue"/>
            <w:vAlign w:val="center"/>
          </w:tcPr>
          <w:p w14:paraId="0311D74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r w14:paraId="3AE07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99" w:type="pct"/>
            <w:vMerge w:val="continue"/>
            <w:vAlign w:val="center"/>
          </w:tcPr>
          <w:p w14:paraId="35DACFCA">
            <w:pPr>
              <w:widowControl/>
              <w:jc w:val="center"/>
              <w:rPr>
                <w:color w:val="000000" w:themeColor="text1"/>
                <w:highlight w:val="none"/>
                <w14:textFill>
                  <w14:solidFill>
                    <w14:schemeClr w14:val="tx1"/>
                  </w14:solidFill>
                </w14:textFill>
              </w:rPr>
            </w:pPr>
          </w:p>
        </w:tc>
        <w:tc>
          <w:tcPr>
            <w:tcW w:w="722" w:type="pct"/>
            <w:vMerge w:val="continue"/>
            <w:vAlign w:val="center"/>
          </w:tcPr>
          <w:p w14:paraId="6758BEA6">
            <w:pPr>
              <w:widowControl/>
              <w:jc w:val="center"/>
              <w:rPr>
                <w:color w:val="000000" w:themeColor="text1"/>
                <w:highlight w:val="none"/>
                <w14:textFill>
                  <w14:solidFill>
                    <w14:schemeClr w14:val="tx1"/>
                  </w14:solidFill>
                </w14:textFill>
              </w:rPr>
            </w:pPr>
          </w:p>
        </w:tc>
        <w:tc>
          <w:tcPr>
            <w:tcW w:w="847" w:type="pct"/>
            <w:vAlign w:val="center"/>
          </w:tcPr>
          <w:p w14:paraId="7C5C4499">
            <w:pPr>
              <w:widowControl/>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废机油及其包装物</w:t>
            </w:r>
          </w:p>
        </w:tc>
        <w:tc>
          <w:tcPr>
            <w:tcW w:w="1320" w:type="pct"/>
            <w:vMerge w:val="continue"/>
            <w:vAlign w:val="center"/>
          </w:tcPr>
          <w:p w14:paraId="61EF1BE6">
            <w:pPr>
              <w:widowControl/>
              <w:jc w:val="center"/>
              <w:rPr>
                <w:rFonts w:ascii="Times New Roman" w:hAnsi="Times New Roman" w:eastAsia="宋体" w:cs="Times New Roman"/>
                <w:color w:val="000000" w:themeColor="text1"/>
                <w:sz w:val="24"/>
                <w:szCs w:val="24"/>
                <w:highlight w:val="none"/>
                <w14:textFill>
                  <w14:solidFill>
                    <w14:schemeClr w14:val="tx1"/>
                  </w14:solidFill>
                </w14:textFill>
              </w:rPr>
            </w:pPr>
          </w:p>
        </w:tc>
        <w:tc>
          <w:tcPr>
            <w:tcW w:w="1711" w:type="pct"/>
            <w:vMerge w:val="continue"/>
            <w:vAlign w:val="center"/>
          </w:tcPr>
          <w:p w14:paraId="7AF31183">
            <w:pPr>
              <w:widowControl/>
              <w:jc w:val="center"/>
              <w:rPr>
                <w:rFonts w:ascii="Times New Roman" w:hAnsi="Times New Roman" w:eastAsia="宋体" w:cs="Times New Roman"/>
                <w:color w:val="000000" w:themeColor="text1"/>
                <w:sz w:val="24"/>
                <w:szCs w:val="24"/>
                <w:highlight w:val="none"/>
                <w14:textFill>
                  <w14:solidFill>
                    <w14:schemeClr w14:val="tx1"/>
                  </w14:solidFill>
                </w14:textFill>
              </w:rPr>
            </w:pPr>
          </w:p>
        </w:tc>
      </w:tr>
      <w:tr w14:paraId="0B3EF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E90EC1E">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土壤及地下水污染防治措施</w:t>
            </w:r>
          </w:p>
        </w:tc>
        <w:tc>
          <w:tcPr>
            <w:tcW w:w="4600" w:type="pct"/>
            <w:gridSpan w:val="4"/>
            <w:vAlign w:val="center"/>
          </w:tcPr>
          <w:p w14:paraId="7C270C40">
            <w:pPr>
              <w:pStyle w:val="70"/>
              <w:spacing w:line="360" w:lineRule="auto"/>
              <w:ind w:firstLine="480"/>
              <w:rPr>
                <w:rFonts w:hint="default" w:ascii="Times New Roman" w:hAnsi="Times New Roman" w:eastAsia="宋体" w:cs="Times New Roman"/>
                <w:b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14:textFill>
                  <w14:solidFill>
                    <w14:schemeClr w14:val="tx1"/>
                  </w14:solidFill>
                </w14:textFill>
              </w:rPr>
              <w:t>（1）防渗原则本项目的地下水和土壤污染防治措施，按照“源头控制、末端防治、污染监控、应急响应”相结合的原则，从污染物的产生、入渗、扩散、应急响应全阶段进行控制。源头控制措施：主要包括在工艺、管道、设备、污水处理构筑物采取相应措施，防止和降低污染物跑、冒、滴、漏，将污染物泄漏的环境风险事故降到最低程度；管线敷设尽量采用“可视化”原则，即管道尽可能地上或架空敷设，做到污染物“早发现、早处理”，减少由于埋地管道泄漏而造成的地下水污染。末端控制措施：主要包括厂内易污染区地面的防渗措施和泄漏、渗漏污染物收集措施，即在污染区地面进行防渗处理，防止洒落地面的污染物渗入地下，并把滞留在地面的污染物收集起来，集中送至厂区事故应急池暂存后，根据水质情况，具体处理；末端控制采取分区防渗，重点防渗区、一般防渗区和简单防渗区防渗措施有区别的防渗原则。</w:t>
            </w:r>
          </w:p>
          <w:p w14:paraId="20FB2B10">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14:textFill>
                  <w14:solidFill>
                    <w14:schemeClr w14:val="tx1"/>
                  </w14:solidFill>
                </w14:textFill>
              </w:rPr>
              <w:t>（2）防渗方案根据本项目各区可能泄漏至地面区域污染物的性质和生产单元的构筑方式，将车间划分为重点防渗区、一般防渗区和简单防渗区。重点防渗区：污染地下水环境的物料长期贮存或泄漏不容易及时发现和处理的区域。一般防渗区：污染地下水环境的物料泄漏容易及时发现和处理的区域。简单防渗区：指不会对地下水和土壤环境造成污染的区域</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3B955B6F">
            <w:pPr>
              <w:pStyle w:val="70"/>
              <w:numPr>
                <w:ilvl w:val="0"/>
                <w:numId w:val="0"/>
              </w:numPr>
              <w:spacing w:line="360" w:lineRule="auto"/>
              <w:ind w:left="593" w:leftChars="0" w:right="113" w:rightChars="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防渗措施</w:t>
            </w:r>
          </w:p>
          <w:p w14:paraId="65403582">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①加强固废管理，对固废进行分区储存，并做好存放场所的防渗透和泄漏措施，严禁随意倾倒和混入生活垃圾中，避免污染周边环境。</w:t>
            </w:r>
          </w:p>
          <w:p w14:paraId="085F3F46">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②危废暂存区、化学</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品</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仓</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和废水暂存区</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设置围堰，危险废物暂存区独立设置，危险废物分类分区暂存，并且单独设置围堰，防风防雨，硬底化地面上方涂防渗漆，防渗防漏。</w:t>
            </w:r>
          </w:p>
          <w:p w14:paraId="787CDF46">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③企业生产过程中加强管理，对地表产生的裂缝进行定期修补；</w:t>
            </w:r>
          </w:p>
          <w:p w14:paraId="7C3F83C5">
            <w:pPr>
              <w:pStyle w:val="70"/>
              <w:spacing w:line="360" w:lineRule="auto"/>
              <w:ind w:firstLine="480"/>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④对车间门口设置缓坡，车间地面做硬化处理，若发生环境事故时，可将废水截留于厂内，无法溢出厂外。</w:t>
            </w:r>
          </w:p>
          <w:p w14:paraId="7367A6F2">
            <w:pPr>
              <w:pStyle w:val="70"/>
              <w:spacing w:line="360" w:lineRule="auto"/>
              <w:ind w:firstLine="48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加强废气治理设施的日常运行和维护保养，减少废气治理设施的不正常运行对周围环境的影响。</w:t>
            </w:r>
          </w:p>
        </w:tc>
      </w:tr>
      <w:tr w14:paraId="7F2EA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64F114E6">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生态保护措施</w:t>
            </w:r>
          </w:p>
        </w:tc>
        <w:tc>
          <w:tcPr>
            <w:tcW w:w="4600" w:type="pct"/>
            <w:gridSpan w:val="4"/>
            <w:vAlign w:val="center"/>
          </w:tcPr>
          <w:p w14:paraId="2ECD8CD2">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p>
        </w:tc>
      </w:tr>
      <w:tr w14:paraId="1CC03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2D2ED43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环境风险</w:t>
            </w:r>
          </w:p>
          <w:p w14:paraId="2DF81E29">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防范措施</w:t>
            </w:r>
          </w:p>
        </w:tc>
        <w:tc>
          <w:tcPr>
            <w:tcW w:w="4600" w:type="pct"/>
            <w:gridSpan w:val="4"/>
            <w:vAlign w:val="center"/>
          </w:tcPr>
          <w:p w14:paraId="15C05340">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1）定期检查危险物质包装是否完整，避免包装桶破裂引起易燃液体泄漏</w:t>
            </w:r>
          </w:p>
          <w:p w14:paraId="420A64C9">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2）严格执行安全和消防规范。车间内合理布置各生产装置，预留足够的安全距离，以利于消防和疏散</w:t>
            </w:r>
          </w:p>
          <w:p w14:paraId="5A60386F">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3）严格按防火、防爆设计规范的要求进行设计，配置相应的灭火装置和设施，设置火灾报警系统，以便自动预警和及时组织灭火扑救</w:t>
            </w:r>
          </w:p>
          <w:p w14:paraId="56B1DF16">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4）定期维护检查废气治理设备，确保废气达标排放</w:t>
            </w:r>
          </w:p>
          <w:p w14:paraId="3DAB57A9">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5）危险废物单独收集和分类收集、设置危废贮存间，防止雨淋设施、防渗漏设施、对液体、半液体的危险废物用密闭容器存放、化学品仓、危废间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废水暂存区</w:t>
            </w:r>
            <w:r>
              <w:rPr>
                <w:rFonts w:hint="default" w:ascii="Times New Roman" w:hAnsi="Times New Roman" w:eastAsia="宋体" w:cs="Times New Roman"/>
                <w:color w:val="000000" w:themeColor="text1"/>
                <w:sz w:val="24"/>
                <w:szCs w:val="24"/>
                <w:highlight w:val="none"/>
                <w14:textFill>
                  <w14:solidFill>
                    <w14:schemeClr w14:val="tx1"/>
                  </w14:solidFill>
                </w14:textFill>
              </w:rPr>
              <w:t>设置地面液体收集和应急收集设施并设置围堰、厂区门口设置缓坡措施。当发生事故，事故废水能有效地收集于事故废水收集装置内。废水收集后统一交给具有废水处理能力的公司转移处理。</w:t>
            </w:r>
          </w:p>
        </w:tc>
      </w:tr>
      <w:tr w14:paraId="0EC7F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5C030C60">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其他环境</w:t>
            </w:r>
          </w:p>
          <w:p w14:paraId="14AF5768">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管理要求</w:t>
            </w:r>
          </w:p>
        </w:tc>
        <w:tc>
          <w:tcPr>
            <w:tcW w:w="4600" w:type="pct"/>
            <w:gridSpan w:val="4"/>
            <w:vAlign w:val="center"/>
          </w:tcPr>
          <w:p w14:paraId="06C876A1">
            <w:pPr>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p>
        </w:tc>
      </w:tr>
    </w:tbl>
    <w:p w14:paraId="09CD200C">
      <w:pPr>
        <w:pStyle w:val="49"/>
        <w:ind w:firstLine="444"/>
        <w:rPr>
          <w:rFonts w:hint="default" w:ascii="Times New Roman" w:hAnsi="Times New Roman" w:eastAsia="宋体" w:cs="Times New Roman"/>
          <w:color w:val="000000" w:themeColor="text1"/>
          <w:szCs w:val="21"/>
          <w:highlight w:val="none"/>
          <w14:textFill>
            <w14:solidFill>
              <w14:schemeClr w14:val="tx1"/>
            </w14:solidFill>
          </w14:textFill>
        </w:rPr>
      </w:pPr>
    </w:p>
    <w:p w14:paraId="4E4C0BFA">
      <w:pPr>
        <w:pStyle w:val="2"/>
        <w:spacing w:before="0"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sectPr>
          <w:pgSz w:w="11906" w:h="16838"/>
          <w:pgMar w:top="1440" w:right="1531" w:bottom="1440" w:left="1531" w:header="851" w:footer="992" w:gutter="0"/>
          <w:cols w:space="425" w:num="1"/>
          <w:docGrid w:type="lines" w:linePitch="312" w:charSpace="0"/>
        </w:sectPr>
      </w:pPr>
    </w:p>
    <w:p w14:paraId="0CF179C9">
      <w:pPr>
        <w:pStyle w:val="2"/>
        <w:spacing w:before="0" w:after="0"/>
        <w:jc w:val="center"/>
        <w:rPr>
          <w:rFonts w:hint="default" w:ascii="Times New Roman" w:hAnsi="Times New Roman" w:eastAsia="宋体" w:cs="Times New Roman"/>
          <w:color w:val="000000" w:themeColor="text1"/>
          <w:sz w:val="24"/>
          <w:highlight w:val="none"/>
          <w14:textFill>
            <w14:solidFill>
              <w14:schemeClr w14:val="tx1"/>
            </w14:solidFill>
          </w14:textFill>
        </w:rPr>
      </w:pPr>
      <w:bookmarkStart w:id="348" w:name="_Toc26598"/>
      <w:bookmarkStart w:id="349" w:name="_Toc772"/>
      <w:r>
        <w:rPr>
          <w:rFonts w:hint="default" w:ascii="Times New Roman" w:hAnsi="Times New Roman" w:eastAsia="宋体" w:cs="Times New Roman"/>
          <w:color w:val="000000" w:themeColor="text1"/>
          <w:sz w:val="24"/>
          <w:highlight w:val="none"/>
          <w14:textFill>
            <w14:solidFill>
              <w14:schemeClr w14:val="tx1"/>
            </w14:solidFill>
          </w14:textFill>
        </w:rPr>
        <w:t>六、结论</w:t>
      </w:r>
      <w:bookmarkEnd w:id="348"/>
      <w:bookmarkEnd w:id="349"/>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7DEDA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0" w:hRule="atLeast"/>
        </w:trPr>
        <w:tc>
          <w:tcPr>
            <w:tcW w:w="5000" w:type="pct"/>
          </w:tcPr>
          <w:p w14:paraId="570B0E35">
            <w:pPr>
              <w:spacing w:line="480" w:lineRule="exact"/>
              <w:ind w:firstLine="480" w:firstLineChars="200"/>
              <w:jc w:val="left"/>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项目的建设符合城市发展规划，符合国家、广东省及中山市相关产业政策和环保政策的要求。该项目不在地表水饮用水源保护区、风景名胜区、农田保护区、生态保护区、堤外用地等区域保护范围内，选址合理。只要建设单位严格执行有关的环保法规，按本报告中所述的各项污染控制措施加以严格实施，并确保日后的正常运行，做到达标排放，将污染物对周围环境的影响降到最低，该项目的建设从环境保护的角度来看是可行的。</w:t>
            </w:r>
          </w:p>
          <w:p w14:paraId="0211D784">
            <w:pPr>
              <w:spacing w:line="480" w:lineRule="exact"/>
              <w:ind w:firstLine="420" w:firstLineChars="200"/>
              <w:jc w:val="left"/>
              <w:textAlignment w:val="baseline"/>
              <w:rPr>
                <w:rFonts w:hint="default" w:ascii="Times New Roman" w:hAnsi="Times New Roman" w:eastAsia="宋体" w:cs="Times New Roman"/>
                <w:color w:val="000000" w:themeColor="text1"/>
                <w:szCs w:val="21"/>
                <w:highlight w:val="none"/>
                <w14:textFill>
                  <w14:solidFill>
                    <w14:schemeClr w14:val="tx1"/>
                  </w14:solidFill>
                </w14:textFill>
              </w:rPr>
            </w:pPr>
          </w:p>
          <w:p w14:paraId="54706DD2">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p>
        </w:tc>
      </w:tr>
    </w:tbl>
    <w:p w14:paraId="0C3185A2">
      <w:pPr>
        <w:rPr>
          <w:rFonts w:hint="default" w:ascii="Times New Roman" w:hAnsi="Times New Roman" w:eastAsia="宋体" w:cs="Times New Roman"/>
          <w:color w:val="000000" w:themeColor="text1"/>
          <w:szCs w:val="21"/>
          <w:highlight w:val="none"/>
          <w14:textFill>
            <w14:solidFill>
              <w14:schemeClr w14:val="tx1"/>
            </w14:solidFill>
          </w14:textFill>
        </w:rPr>
        <w:sectPr>
          <w:pgSz w:w="11906" w:h="16838"/>
          <w:pgMar w:top="1440" w:right="1531" w:bottom="1440" w:left="1531" w:header="851" w:footer="992" w:gutter="0"/>
          <w:cols w:space="425" w:num="1"/>
          <w:docGrid w:type="lines" w:linePitch="312" w:charSpace="0"/>
        </w:sectPr>
      </w:pPr>
    </w:p>
    <w:p w14:paraId="72095BD9">
      <w:pPr>
        <w:jc w:val="center"/>
        <w:outlineLvl w:val="0"/>
        <w:rPr>
          <w:rFonts w:hint="default" w:ascii="Times New Roman" w:hAnsi="Times New Roman" w:eastAsia="宋体" w:cs="Times New Roman"/>
          <w:color w:val="000000" w:themeColor="text1"/>
          <w:sz w:val="28"/>
          <w:szCs w:val="28"/>
          <w:highlight w:val="none"/>
          <w14:textFill>
            <w14:solidFill>
              <w14:schemeClr w14:val="tx1"/>
            </w14:solidFill>
          </w14:textFill>
        </w:rPr>
      </w:pPr>
      <w:bookmarkStart w:id="350" w:name="_Toc3201"/>
      <w:r>
        <w:rPr>
          <w:rFonts w:hint="default" w:ascii="Times New Roman" w:hAnsi="Times New Roman" w:eastAsia="宋体" w:cs="Times New Roman"/>
          <w:color w:val="000000" w:themeColor="text1"/>
          <w:sz w:val="28"/>
          <w:szCs w:val="28"/>
          <w:highlight w:val="none"/>
          <w14:textFill>
            <w14:solidFill>
              <w14:schemeClr w14:val="tx1"/>
            </w14:solidFill>
          </w14:textFill>
        </w:rPr>
        <w:t>建设项目污染物排放量汇总表</w:t>
      </w:r>
      <w:bookmarkEnd w:id="350"/>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42"/>
        <w:gridCol w:w="1919"/>
        <w:gridCol w:w="1448"/>
        <w:gridCol w:w="1274"/>
        <w:gridCol w:w="1709"/>
        <w:gridCol w:w="1415"/>
        <w:gridCol w:w="1914"/>
        <w:gridCol w:w="1678"/>
        <w:gridCol w:w="1133"/>
      </w:tblGrid>
      <w:tr w14:paraId="6574D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85" w:type="pct"/>
            <w:tcBorders>
              <w:tl2br w:val="single" w:color="auto" w:sz="4" w:space="0"/>
            </w:tcBorders>
            <w:tcMar>
              <w:left w:w="28" w:type="dxa"/>
              <w:right w:w="28" w:type="dxa"/>
            </w:tcMar>
            <w:vAlign w:val="center"/>
          </w:tcPr>
          <w:p w14:paraId="2D3B4719">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w:t>
            </w:r>
          </w:p>
          <w:p w14:paraId="0BB01380">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分类</w:t>
            </w:r>
          </w:p>
        </w:tc>
        <w:tc>
          <w:tcPr>
            <w:tcW w:w="693" w:type="pct"/>
            <w:tcMar>
              <w:left w:w="28" w:type="dxa"/>
              <w:right w:w="28" w:type="dxa"/>
            </w:tcMar>
            <w:vAlign w:val="center"/>
          </w:tcPr>
          <w:p w14:paraId="20DD7D21">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污染物名称</w:t>
            </w:r>
          </w:p>
        </w:tc>
        <w:tc>
          <w:tcPr>
            <w:tcW w:w="523" w:type="pct"/>
            <w:tcMar>
              <w:left w:w="28" w:type="dxa"/>
              <w:right w:w="28" w:type="dxa"/>
            </w:tcMar>
            <w:vAlign w:val="center"/>
          </w:tcPr>
          <w:p w14:paraId="65154FB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现有工程</w:t>
            </w:r>
          </w:p>
          <w:p w14:paraId="42F572E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排放量（固体废物产生量）t/a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1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①</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c>
          <w:tcPr>
            <w:tcW w:w="460" w:type="pct"/>
            <w:tcMar>
              <w:left w:w="28" w:type="dxa"/>
              <w:right w:w="28" w:type="dxa"/>
            </w:tcMar>
            <w:vAlign w:val="center"/>
          </w:tcPr>
          <w:p w14:paraId="0687CBE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现有工程</w:t>
            </w:r>
          </w:p>
          <w:p w14:paraId="540B61A0">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许可排放量</w:t>
            </w:r>
          </w:p>
          <w:p w14:paraId="6023557A">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2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②</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c>
          <w:tcPr>
            <w:tcW w:w="617" w:type="pct"/>
            <w:tcMar>
              <w:left w:w="28" w:type="dxa"/>
              <w:right w:w="28" w:type="dxa"/>
            </w:tcMar>
            <w:vAlign w:val="center"/>
          </w:tcPr>
          <w:p w14:paraId="33344DCC">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在建工程</w:t>
            </w:r>
          </w:p>
          <w:p w14:paraId="2CA71EF8">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排放量（固体废物产生量）t/a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3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③</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c>
          <w:tcPr>
            <w:tcW w:w="511" w:type="pct"/>
            <w:tcMar>
              <w:left w:w="28" w:type="dxa"/>
              <w:right w:w="28" w:type="dxa"/>
            </w:tcMar>
            <w:vAlign w:val="center"/>
          </w:tcPr>
          <w:p w14:paraId="69250265">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w:t>
            </w:r>
          </w:p>
          <w:p w14:paraId="2B8E9CC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排放量（固体废物产生量）t/a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4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④</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c>
          <w:tcPr>
            <w:tcW w:w="691" w:type="pct"/>
            <w:tcMar>
              <w:left w:w="28" w:type="dxa"/>
              <w:right w:w="28" w:type="dxa"/>
            </w:tcMar>
            <w:vAlign w:val="center"/>
          </w:tcPr>
          <w:p w14:paraId="620096B0">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以新带老削减量</w:t>
            </w:r>
          </w:p>
          <w:p w14:paraId="7C6BDCB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（新建项目不填）t/a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5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⑤</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c>
          <w:tcPr>
            <w:tcW w:w="606" w:type="pct"/>
            <w:tcMar>
              <w:left w:w="28" w:type="dxa"/>
              <w:right w:w="28" w:type="dxa"/>
            </w:tcMar>
            <w:vAlign w:val="center"/>
          </w:tcPr>
          <w:p w14:paraId="235C34D2">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本项目建成后</w:t>
            </w:r>
          </w:p>
          <w:p w14:paraId="085817A5">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全厂排放量（固体废物产生量）t/a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6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⑥</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c>
          <w:tcPr>
            <w:tcW w:w="409" w:type="pct"/>
            <w:tcMar>
              <w:left w:w="28" w:type="dxa"/>
              <w:right w:w="28" w:type="dxa"/>
            </w:tcMar>
            <w:vAlign w:val="center"/>
          </w:tcPr>
          <w:p w14:paraId="6B2B6667">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变化量</w:t>
            </w:r>
          </w:p>
          <w:p w14:paraId="19139BE8">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t/a</w:t>
            </w:r>
            <w:r>
              <w:rPr>
                <w:rFonts w:hint="default" w:ascii="Times New Roman" w:hAnsi="Times New Roman" w:eastAsia="宋体" w:cs="Times New Roman"/>
                <w:color w:val="000000" w:themeColor="text1"/>
                <w:sz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highlight w:val="none"/>
                <w14:textFill>
                  <w14:solidFill>
                    <w14:schemeClr w14:val="tx1"/>
                  </w14:solidFill>
                </w14:textFill>
              </w:rPr>
              <w:instrText xml:space="preserve"> = 7 \* GB3 \* MERGEFORMAT </w:instrText>
            </w:r>
            <w:r>
              <w:rPr>
                <w:rFonts w:hint="default" w:ascii="Times New Roman" w:hAnsi="Times New Roman" w:eastAsia="宋体" w:cs="Times New Roman"/>
                <w:color w:val="000000" w:themeColor="text1"/>
                <w:sz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highlight w:val="none"/>
                <w14:textFill>
                  <w14:solidFill>
                    <w14:schemeClr w14:val="tx1"/>
                  </w14:solidFill>
                </w14:textFill>
              </w:rPr>
              <w:t>⑦</w:t>
            </w:r>
            <w:r>
              <w:rPr>
                <w:rFonts w:hint="default" w:ascii="Times New Roman" w:hAnsi="Times New Roman" w:eastAsia="宋体" w:cs="Times New Roman"/>
                <w:color w:val="000000" w:themeColor="text1"/>
                <w:sz w:val="24"/>
                <w:highlight w:val="none"/>
                <w14:textFill>
                  <w14:solidFill>
                    <w14:schemeClr w14:val="tx1"/>
                  </w14:solidFill>
                </w14:textFill>
              </w:rPr>
              <w:fldChar w:fldCharType="end"/>
            </w:r>
          </w:p>
        </w:tc>
      </w:tr>
      <w:tr w14:paraId="61B651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restart"/>
            <w:vAlign w:val="center"/>
          </w:tcPr>
          <w:p w14:paraId="7864B251">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废气</w:t>
            </w:r>
          </w:p>
        </w:tc>
        <w:tc>
          <w:tcPr>
            <w:tcW w:w="693" w:type="pct"/>
            <w:vAlign w:val="center"/>
          </w:tcPr>
          <w:p w14:paraId="15EEEAF3">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挥发性有机物（非甲烷总烃）</w:t>
            </w:r>
          </w:p>
        </w:tc>
        <w:tc>
          <w:tcPr>
            <w:tcW w:w="523" w:type="pct"/>
            <w:vAlign w:val="center"/>
          </w:tcPr>
          <w:p w14:paraId="145969E5">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4B6E4B7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23A7275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3350225E">
            <w:pPr>
              <w:tabs>
                <w:tab w:val="left" w:pos="6195"/>
              </w:tabs>
              <w:jc w:val="cente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1.104</w:t>
            </w:r>
          </w:p>
        </w:tc>
        <w:tc>
          <w:tcPr>
            <w:tcW w:w="691" w:type="pct"/>
            <w:vAlign w:val="center"/>
          </w:tcPr>
          <w:p w14:paraId="7E80D936">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5ECA3421">
            <w:pPr>
              <w:tabs>
                <w:tab w:val="left" w:pos="6195"/>
              </w:tabs>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1.104</w:t>
            </w:r>
          </w:p>
        </w:tc>
        <w:tc>
          <w:tcPr>
            <w:tcW w:w="409" w:type="pct"/>
            <w:vAlign w:val="center"/>
          </w:tcPr>
          <w:p w14:paraId="3EDF9D63">
            <w:pPr>
              <w:tabs>
                <w:tab w:val="left" w:pos="6195"/>
              </w:tabs>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+1.104</w:t>
            </w:r>
          </w:p>
        </w:tc>
      </w:tr>
      <w:tr w14:paraId="6F8DB2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485" w:type="pct"/>
            <w:vMerge w:val="continue"/>
            <w:vAlign w:val="center"/>
          </w:tcPr>
          <w:p w14:paraId="43D34426">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1D3D701F">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颗粒物</w:t>
            </w:r>
          </w:p>
        </w:tc>
        <w:tc>
          <w:tcPr>
            <w:tcW w:w="523" w:type="pct"/>
            <w:vAlign w:val="center"/>
          </w:tcPr>
          <w:p w14:paraId="77595EC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17530D0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44A4C20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403BB999">
            <w:pPr>
              <w:tabs>
                <w:tab w:val="left" w:pos="6195"/>
              </w:tabs>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0.3286</w:t>
            </w:r>
          </w:p>
        </w:tc>
        <w:tc>
          <w:tcPr>
            <w:tcW w:w="691" w:type="pct"/>
            <w:vAlign w:val="center"/>
          </w:tcPr>
          <w:p w14:paraId="5E88BE1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5F9FEC53">
            <w:pPr>
              <w:tabs>
                <w:tab w:val="left" w:pos="6195"/>
              </w:tabs>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0.3286</w:t>
            </w:r>
          </w:p>
        </w:tc>
        <w:tc>
          <w:tcPr>
            <w:tcW w:w="409" w:type="pct"/>
            <w:vAlign w:val="center"/>
          </w:tcPr>
          <w:p w14:paraId="276F121F">
            <w:pPr>
              <w:tabs>
                <w:tab w:val="left" w:pos="6195"/>
              </w:tabs>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+0.3286</w:t>
            </w:r>
          </w:p>
        </w:tc>
      </w:tr>
      <w:tr w14:paraId="5E90B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1A3EC858">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0E51E450">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苯乙烯</w:t>
            </w:r>
          </w:p>
        </w:tc>
        <w:tc>
          <w:tcPr>
            <w:tcW w:w="523" w:type="pct"/>
            <w:vAlign w:val="center"/>
          </w:tcPr>
          <w:p w14:paraId="68BA76E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1DFE57F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0739E8C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573F0690">
            <w:pPr>
              <w:tabs>
                <w:tab w:val="left" w:pos="6195"/>
              </w:tabs>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c>
          <w:tcPr>
            <w:tcW w:w="691" w:type="pct"/>
            <w:vAlign w:val="center"/>
          </w:tcPr>
          <w:p w14:paraId="560101D6">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41E0D6F2">
            <w:pPr>
              <w:tabs>
                <w:tab w:val="left" w:pos="6195"/>
              </w:tabs>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c>
          <w:tcPr>
            <w:tcW w:w="409" w:type="pct"/>
            <w:vAlign w:val="center"/>
          </w:tcPr>
          <w:p w14:paraId="3C748AD3">
            <w:pPr>
              <w:tabs>
                <w:tab w:val="left" w:pos="6195"/>
              </w:tabs>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r>
      <w:tr w14:paraId="7ECA0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526AEE2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25BEBD0C">
            <w:pPr>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甲苯</w:t>
            </w:r>
          </w:p>
        </w:tc>
        <w:tc>
          <w:tcPr>
            <w:tcW w:w="523" w:type="pct"/>
            <w:vAlign w:val="center"/>
          </w:tcPr>
          <w:p w14:paraId="446F9E0D">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04FB1EB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573035E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62ECFD94">
            <w:pPr>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c>
          <w:tcPr>
            <w:tcW w:w="691" w:type="pct"/>
            <w:vAlign w:val="center"/>
          </w:tcPr>
          <w:p w14:paraId="07056EE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2C3F42F0">
            <w:pPr>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c>
          <w:tcPr>
            <w:tcW w:w="409" w:type="pct"/>
            <w:vAlign w:val="center"/>
          </w:tcPr>
          <w:p w14:paraId="00597F4D">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r>
      <w:tr w14:paraId="5C923D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36E85E6A">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38149386">
            <w:pPr>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乙苯</w:t>
            </w:r>
          </w:p>
        </w:tc>
        <w:tc>
          <w:tcPr>
            <w:tcW w:w="523" w:type="pct"/>
            <w:vAlign w:val="center"/>
          </w:tcPr>
          <w:p w14:paraId="79FB02E9">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23538C0A">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5C2E058A">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5E792745">
            <w:pPr>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c>
          <w:tcPr>
            <w:tcW w:w="691" w:type="pct"/>
            <w:vAlign w:val="center"/>
          </w:tcPr>
          <w:p w14:paraId="2B0543A8">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6EE8B2DC">
            <w:pPr>
              <w:jc w:val="cente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c>
          <w:tcPr>
            <w:tcW w:w="409" w:type="pct"/>
            <w:vAlign w:val="center"/>
          </w:tcPr>
          <w:p w14:paraId="406BCB42">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少量</w:t>
            </w:r>
          </w:p>
        </w:tc>
      </w:tr>
      <w:tr w14:paraId="3251DD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485" w:type="pct"/>
            <w:vMerge w:val="restart"/>
            <w:vAlign w:val="center"/>
          </w:tcPr>
          <w:p w14:paraId="66CAE0C9">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废水</w:t>
            </w:r>
          </w:p>
        </w:tc>
        <w:tc>
          <w:tcPr>
            <w:tcW w:w="693" w:type="pct"/>
            <w:vAlign w:val="center"/>
          </w:tcPr>
          <w:p w14:paraId="1DEE2882">
            <w:pPr>
              <w:widowControl/>
              <w:jc w:val="center"/>
              <w:textAlignment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COD</w:t>
            </w:r>
            <w:r>
              <w:rPr>
                <w:rFonts w:hint="default" w:ascii="Times New Roman" w:hAnsi="Times New Roman" w:eastAsia="宋体" w:cs="Times New Roman"/>
                <w:color w:val="000000" w:themeColor="text1"/>
                <w:kern w:val="0"/>
                <w:sz w:val="24"/>
                <w:highlight w:val="none"/>
                <w:vertAlign w:val="subscript"/>
                <w:lang w:bidi="ar"/>
                <w14:textFill>
                  <w14:solidFill>
                    <w14:schemeClr w14:val="tx1"/>
                  </w14:solidFill>
                </w14:textFill>
              </w:rPr>
              <w:t>Cr</w:t>
            </w:r>
          </w:p>
        </w:tc>
        <w:tc>
          <w:tcPr>
            <w:tcW w:w="523" w:type="pct"/>
            <w:vAlign w:val="center"/>
          </w:tcPr>
          <w:p w14:paraId="470A942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2F4918C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3DB1442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64E4F500">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0.11475 </w:t>
            </w:r>
          </w:p>
        </w:tc>
        <w:tc>
          <w:tcPr>
            <w:tcW w:w="691" w:type="pct"/>
            <w:vAlign w:val="center"/>
          </w:tcPr>
          <w:p w14:paraId="7635DBE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4021C230">
            <w:pPr>
              <w:keepNext w:val="0"/>
              <w:keepLines w:val="0"/>
              <w:widowControl/>
              <w:suppressLineNumbers w:val="0"/>
              <w:jc w:val="center"/>
              <w:textAlignment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0.11475 </w:t>
            </w:r>
          </w:p>
        </w:tc>
        <w:tc>
          <w:tcPr>
            <w:tcW w:w="409" w:type="pct"/>
            <w:vAlign w:val="center"/>
          </w:tcPr>
          <w:p w14:paraId="6B3461E3">
            <w:pPr>
              <w:keepNext w:val="0"/>
              <w:keepLines w:val="0"/>
              <w:widowControl/>
              <w:suppressLineNumbers w:val="0"/>
              <w:jc w:val="center"/>
              <w:textAlignment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0.11475 </w:t>
            </w:r>
          </w:p>
        </w:tc>
      </w:tr>
      <w:tr w14:paraId="1AEA42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4E99AB4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414AB31B">
            <w:pPr>
              <w:widowControl/>
              <w:jc w:val="center"/>
              <w:textAlignment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BOD</w:t>
            </w:r>
            <w:r>
              <w:rPr>
                <w:rFonts w:hint="default" w:ascii="Times New Roman" w:hAnsi="Times New Roman" w:eastAsia="宋体" w:cs="Times New Roman"/>
                <w:color w:val="000000" w:themeColor="text1"/>
                <w:kern w:val="0"/>
                <w:sz w:val="24"/>
                <w:highlight w:val="none"/>
                <w:vertAlign w:val="subscript"/>
                <w:lang w:bidi="ar"/>
                <w14:textFill>
                  <w14:solidFill>
                    <w14:schemeClr w14:val="tx1"/>
                  </w14:solidFill>
                </w14:textFill>
              </w:rPr>
              <w:t>5</w:t>
            </w:r>
          </w:p>
        </w:tc>
        <w:tc>
          <w:tcPr>
            <w:tcW w:w="523" w:type="pct"/>
            <w:vAlign w:val="center"/>
          </w:tcPr>
          <w:p w14:paraId="2EABDA3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26B3534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361BAB64">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76F96A6A">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0.06426 </w:t>
            </w:r>
          </w:p>
        </w:tc>
        <w:tc>
          <w:tcPr>
            <w:tcW w:w="691" w:type="pct"/>
            <w:vAlign w:val="center"/>
          </w:tcPr>
          <w:p w14:paraId="25846D3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1AC68A07">
            <w:pPr>
              <w:keepNext w:val="0"/>
              <w:keepLines w:val="0"/>
              <w:widowControl/>
              <w:suppressLineNumbers w:val="0"/>
              <w:jc w:val="center"/>
              <w:textAlignment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0.06426 </w:t>
            </w:r>
          </w:p>
        </w:tc>
        <w:tc>
          <w:tcPr>
            <w:tcW w:w="409" w:type="pct"/>
            <w:vAlign w:val="center"/>
          </w:tcPr>
          <w:p w14:paraId="1F3EAC54">
            <w:pPr>
              <w:keepNext w:val="0"/>
              <w:keepLines w:val="0"/>
              <w:widowControl/>
              <w:suppressLineNumbers w:val="0"/>
              <w:jc w:val="center"/>
              <w:textAlignment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0.06426 </w:t>
            </w:r>
          </w:p>
        </w:tc>
      </w:tr>
      <w:tr w14:paraId="4B77C2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32A4D05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610176F2">
            <w:pPr>
              <w:widowControl/>
              <w:jc w:val="center"/>
              <w:textAlignment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SS</w:t>
            </w:r>
          </w:p>
        </w:tc>
        <w:tc>
          <w:tcPr>
            <w:tcW w:w="523" w:type="pct"/>
            <w:vAlign w:val="center"/>
          </w:tcPr>
          <w:p w14:paraId="38F8BAD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061708B0">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456684D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4E6ABAA1">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0.06426 </w:t>
            </w:r>
          </w:p>
        </w:tc>
        <w:tc>
          <w:tcPr>
            <w:tcW w:w="691" w:type="pct"/>
            <w:vAlign w:val="center"/>
          </w:tcPr>
          <w:p w14:paraId="7B5FC2E6">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461002EA">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0.06426 </w:t>
            </w:r>
          </w:p>
        </w:tc>
        <w:tc>
          <w:tcPr>
            <w:tcW w:w="409" w:type="pct"/>
            <w:vAlign w:val="center"/>
          </w:tcPr>
          <w:p w14:paraId="266F3692">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0.06426 </w:t>
            </w:r>
          </w:p>
        </w:tc>
      </w:tr>
      <w:tr w14:paraId="148EE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19E5273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04F04FA9">
            <w:pPr>
              <w:widowControl/>
              <w:jc w:val="center"/>
              <w:textAlignment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NH</w:t>
            </w:r>
            <w:r>
              <w:rPr>
                <w:rFonts w:hint="default" w:ascii="Times New Roman" w:hAnsi="Times New Roman" w:eastAsia="宋体" w:cs="Times New Roman"/>
                <w:color w:val="000000" w:themeColor="text1"/>
                <w:kern w:val="0"/>
                <w:sz w:val="24"/>
                <w:highlight w:val="none"/>
                <w:vertAlign w:val="subscript"/>
                <w:lang w:bidi="ar"/>
                <w14:textFill>
                  <w14:solidFill>
                    <w14:schemeClr w14:val="tx1"/>
                  </w14:solidFill>
                </w14:textFill>
              </w:rPr>
              <w:t>3</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-N</w:t>
            </w:r>
          </w:p>
        </w:tc>
        <w:tc>
          <w:tcPr>
            <w:tcW w:w="523" w:type="pct"/>
            <w:vAlign w:val="center"/>
          </w:tcPr>
          <w:p w14:paraId="24045B1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1991A48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14AF9FD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48EECBA7">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0.01148 </w:t>
            </w:r>
          </w:p>
        </w:tc>
        <w:tc>
          <w:tcPr>
            <w:tcW w:w="691" w:type="pct"/>
            <w:vAlign w:val="center"/>
          </w:tcPr>
          <w:p w14:paraId="58ADD9DB">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78C3BA93">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0.01148 </w:t>
            </w:r>
          </w:p>
        </w:tc>
        <w:tc>
          <w:tcPr>
            <w:tcW w:w="409" w:type="pct"/>
            <w:vAlign w:val="center"/>
          </w:tcPr>
          <w:p w14:paraId="795C3A86">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eastAsia"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 xml:space="preserve">0.01148 </w:t>
            </w:r>
          </w:p>
        </w:tc>
      </w:tr>
      <w:tr w14:paraId="651C3E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Align w:val="center"/>
          </w:tcPr>
          <w:p w14:paraId="28C46FE2">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生活垃圾</w:t>
            </w:r>
          </w:p>
        </w:tc>
        <w:tc>
          <w:tcPr>
            <w:tcW w:w="693" w:type="pct"/>
            <w:vAlign w:val="center"/>
          </w:tcPr>
          <w:p w14:paraId="19196375">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生活垃圾</w:t>
            </w:r>
          </w:p>
        </w:tc>
        <w:tc>
          <w:tcPr>
            <w:tcW w:w="523" w:type="pct"/>
            <w:vAlign w:val="center"/>
          </w:tcPr>
          <w:p w14:paraId="64A9A29A">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69172446">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7A0AB4A4">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0624E1D0">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7.65</w:t>
            </w:r>
          </w:p>
        </w:tc>
        <w:tc>
          <w:tcPr>
            <w:tcW w:w="691" w:type="pct"/>
            <w:vAlign w:val="center"/>
          </w:tcPr>
          <w:p w14:paraId="2EDB4A5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152230C9">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7.65</w:t>
            </w:r>
          </w:p>
        </w:tc>
        <w:tc>
          <w:tcPr>
            <w:tcW w:w="409" w:type="pct"/>
            <w:vAlign w:val="center"/>
          </w:tcPr>
          <w:p w14:paraId="32DF97A4">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+7.65</w:t>
            </w:r>
          </w:p>
        </w:tc>
      </w:tr>
      <w:tr w14:paraId="7BD0C5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85" w:type="pct"/>
            <w:vMerge w:val="restart"/>
            <w:vAlign w:val="center"/>
          </w:tcPr>
          <w:p w14:paraId="4C1EBB2A">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一般工业</w:t>
            </w:r>
          </w:p>
          <w:p w14:paraId="3DCB7261">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固体废物</w:t>
            </w:r>
          </w:p>
        </w:tc>
        <w:tc>
          <w:tcPr>
            <w:tcW w:w="693" w:type="pct"/>
            <w:vAlign w:val="center"/>
          </w:tcPr>
          <w:p w14:paraId="42001BC0">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废弃包装物</w:t>
            </w:r>
          </w:p>
        </w:tc>
        <w:tc>
          <w:tcPr>
            <w:tcW w:w="523" w:type="pct"/>
            <w:vAlign w:val="center"/>
          </w:tcPr>
          <w:p w14:paraId="52CF46A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58AD67CC">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4B84C6F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5D920B88">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3.624</w:t>
            </w:r>
          </w:p>
        </w:tc>
        <w:tc>
          <w:tcPr>
            <w:tcW w:w="691" w:type="pct"/>
            <w:vAlign w:val="center"/>
          </w:tcPr>
          <w:p w14:paraId="45B5503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3288EC06">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3.624</w:t>
            </w:r>
          </w:p>
        </w:tc>
        <w:tc>
          <w:tcPr>
            <w:tcW w:w="409" w:type="pct"/>
            <w:vAlign w:val="center"/>
          </w:tcPr>
          <w:p w14:paraId="354390C3">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+3.624</w:t>
            </w:r>
          </w:p>
        </w:tc>
      </w:tr>
      <w:tr w14:paraId="5FA0BF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85" w:type="pct"/>
            <w:vMerge w:val="continue"/>
            <w:vAlign w:val="center"/>
          </w:tcPr>
          <w:p w14:paraId="3D84DF71">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4D470E83">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车间沉降粉尘</w:t>
            </w:r>
          </w:p>
        </w:tc>
        <w:tc>
          <w:tcPr>
            <w:tcW w:w="523" w:type="pct"/>
            <w:vAlign w:val="center"/>
          </w:tcPr>
          <w:p w14:paraId="5922AEA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45AEF8E0">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77C0E4EB">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7F89B0BE">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0.4452</w:t>
            </w:r>
          </w:p>
        </w:tc>
        <w:tc>
          <w:tcPr>
            <w:tcW w:w="691" w:type="pct"/>
            <w:vAlign w:val="center"/>
          </w:tcPr>
          <w:p w14:paraId="11C6834C">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5343EC71">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0.4452</w:t>
            </w:r>
          </w:p>
        </w:tc>
        <w:tc>
          <w:tcPr>
            <w:tcW w:w="409" w:type="pct"/>
            <w:vAlign w:val="center"/>
          </w:tcPr>
          <w:p w14:paraId="40B33B65">
            <w:pPr>
              <w:jc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+0.4452</w:t>
            </w:r>
          </w:p>
        </w:tc>
      </w:tr>
      <w:tr w14:paraId="57712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493A3DCA">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789D91D9">
            <w:pPr>
              <w:jc w:val="center"/>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废</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滤芯</w:t>
            </w:r>
          </w:p>
        </w:tc>
        <w:tc>
          <w:tcPr>
            <w:tcW w:w="523" w:type="pct"/>
            <w:vAlign w:val="center"/>
          </w:tcPr>
          <w:p w14:paraId="451A5AF0">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43889A6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5F72CB46">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03269AD4">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0.02</w:t>
            </w:r>
          </w:p>
        </w:tc>
        <w:tc>
          <w:tcPr>
            <w:tcW w:w="691" w:type="pct"/>
            <w:vAlign w:val="center"/>
          </w:tcPr>
          <w:p w14:paraId="3C05E38D">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2FFC814E">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0.02</w:t>
            </w:r>
          </w:p>
        </w:tc>
        <w:tc>
          <w:tcPr>
            <w:tcW w:w="409" w:type="pct"/>
            <w:vAlign w:val="center"/>
          </w:tcPr>
          <w:p w14:paraId="3E9779CD">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0.02</w:t>
            </w:r>
          </w:p>
        </w:tc>
      </w:tr>
      <w:tr w14:paraId="7F94B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40705E0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08DFACE5">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滤芯</w:t>
            </w:r>
            <w:r>
              <w:rPr>
                <w:rFonts w:hint="default" w:ascii="Times New Roman" w:hAnsi="Times New Roman" w:eastAsia="宋体" w:cs="Times New Roman"/>
                <w:color w:val="000000" w:themeColor="text1"/>
                <w:sz w:val="24"/>
                <w:highlight w:val="none"/>
                <w14:textFill>
                  <w14:solidFill>
                    <w14:schemeClr w14:val="tx1"/>
                  </w14:solidFill>
                </w14:textFill>
              </w:rPr>
              <w:t>收集粉尘</w:t>
            </w:r>
          </w:p>
        </w:tc>
        <w:tc>
          <w:tcPr>
            <w:tcW w:w="523" w:type="pct"/>
            <w:vAlign w:val="center"/>
          </w:tcPr>
          <w:p w14:paraId="6CD7710C">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717231F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705D1F55">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520105FD">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0.3021</w:t>
            </w:r>
          </w:p>
        </w:tc>
        <w:tc>
          <w:tcPr>
            <w:tcW w:w="691" w:type="pct"/>
            <w:vAlign w:val="center"/>
          </w:tcPr>
          <w:p w14:paraId="57126E9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7034402B">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0.3021</w:t>
            </w:r>
          </w:p>
        </w:tc>
        <w:tc>
          <w:tcPr>
            <w:tcW w:w="409" w:type="pct"/>
            <w:vAlign w:val="center"/>
          </w:tcPr>
          <w:p w14:paraId="3D79E160">
            <w:pPr>
              <w:jc w:val="center"/>
              <w:rPr>
                <w:rFonts w:hint="default" w:ascii="Times New Roman" w:hAnsi="Times New Roman" w:eastAsia="宋体" w:cs="Times New Roman"/>
                <w:color w:val="000000" w:themeColor="text1"/>
                <w:kern w:val="0"/>
                <w:sz w:val="24"/>
                <w:highlight w:val="none"/>
                <w:lang w:bidi="ar"/>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+0.3021</w:t>
            </w:r>
          </w:p>
        </w:tc>
      </w:tr>
      <w:tr w14:paraId="573755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85" w:type="pct"/>
            <w:vMerge w:val="continue"/>
            <w:vAlign w:val="center"/>
          </w:tcPr>
          <w:p w14:paraId="0984379B">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44E61387">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打样废品</w:t>
            </w:r>
          </w:p>
        </w:tc>
        <w:tc>
          <w:tcPr>
            <w:tcW w:w="523" w:type="pct"/>
            <w:vAlign w:val="center"/>
          </w:tcPr>
          <w:p w14:paraId="1B4493FE">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2D200364">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2188460D">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273A2728">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0.05</w:t>
            </w:r>
          </w:p>
        </w:tc>
        <w:tc>
          <w:tcPr>
            <w:tcW w:w="691" w:type="pct"/>
            <w:vAlign w:val="center"/>
          </w:tcPr>
          <w:p w14:paraId="452A4D9F">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3FB9A61F">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0.05</w:t>
            </w:r>
          </w:p>
        </w:tc>
        <w:tc>
          <w:tcPr>
            <w:tcW w:w="409" w:type="pct"/>
            <w:vAlign w:val="center"/>
          </w:tcPr>
          <w:p w14:paraId="49614F8E">
            <w:pPr>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+0.05</w:t>
            </w:r>
          </w:p>
        </w:tc>
      </w:tr>
      <w:tr w14:paraId="7A095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5" w:type="pct"/>
            <w:vMerge w:val="restart"/>
            <w:vAlign w:val="center"/>
          </w:tcPr>
          <w:p w14:paraId="4A90334F">
            <w:pPr>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危险废物</w:t>
            </w:r>
          </w:p>
        </w:tc>
        <w:tc>
          <w:tcPr>
            <w:tcW w:w="693" w:type="pct"/>
            <w:vAlign w:val="center"/>
          </w:tcPr>
          <w:p w14:paraId="578E3B0C">
            <w:pPr>
              <w:widowControl/>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废饱和活性炭</w:t>
            </w:r>
          </w:p>
        </w:tc>
        <w:tc>
          <w:tcPr>
            <w:tcW w:w="523" w:type="pct"/>
            <w:vAlign w:val="center"/>
          </w:tcPr>
          <w:p w14:paraId="1A1618C4">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7F3A33C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26ECBA98">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514453A0">
            <w:pPr>
              <w:widowControl/>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27.256</w:t>
            </w:r>
          </w:p>
        </w:tc>
        <w:tc>
          <w:tcPr>
            <w:tcW w:w="691" w:type="pct"/>
            <w:vAlign w:val="center"/>
          </w:tcPr>
          <w:p w14:paraId="7485122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0B05AE89">
            <w:pPr>
              <w:widowControl/>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27.256</w:t>
            </w:r>
          </w:p>
        </w:tc>
        <w:tc>
          <w:tcPr>
            <w:tcW w:w="409" w:type="pct"/>
            <w:vAlign w:val="center"/>
          </w:tcPr>
          <w:p w14:paraId="0B043ADB">
            <w:pPr>
              <w:widowControl/>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+27.256</w:t>
            </w:r>
          </w:p>
        </w:tc>
      </w:tr>
      <w:tr w14:paraId="14BA41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85" w:type="pct"/>
            <w:vMerge w:val="continue"/>
            <w:vAlign w:val="center"/>
          </w:tcPr>
          <w:p w14:paraId="24C03AAA">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93" w:type="pct"/>
            <w:vAlign w:val="center"/>
          </w:tcPr>
          <w:p w14:paraId="218AB0DB">
            <w:pPr>
              <w:widowControl/>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废机油及其包装物</w:t>
            </w:r>
          </w:p>
        </w:tc>
        <w:tc>
          <w:tcPr>
            <w:tcW w:w="523" w:type="pct"/>
            <w:vAlign w:val="center"/>
          </w:tcPr>
          <w:p w14:paraId="681D5682">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460" w:type="pct"/>
            <w:vAlign w:val="center"/>
          </w:tcPr>
          <w:p w14:paraId="64B44B34">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17" w:type="pct"/>
            <w:vAlign w:val="center"/>
          </w:tcPr>
          <w:p w14:paraId="1FBA6537">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511" w:type="pct"/>
            <w:vAlign w:val="center"/>
          </w:tcPr>
          <w:p w14:paraId="466FAF39">
            <w:pPr>
              <w:widowControl/>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0.02</w:t>
            </w:r>
          </w:p>
        </w:tc>
        <w:tc>
          <w:tcPr>
            <w:tcW w:w="691" w:type="pct"/>
            <w:vAlign w:val="center"/>
          </w:tcPr>
          <w:p w14:paraId="2B262FB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tc>
        <w:tc>
          <w:tcPr>
            <w:tcW w:w="606" w:type="pct"/>
            <w:vAlign w:val="center"/>
          </w:tcPr>
          <w:p w14:paraId="7B02D1B5">
            <w:pPr>
              <w:widowControl/>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0.02</w:t>
            </w:r>
          </w:p>
        </w:tc>
        <w:tc>
          <w:tcPr>
            <w:tcW w:w="409" w:type="pct"/>
            <w:vAlign w:val="center"/>
          </w:tcPr>
          <w:p w14:paraId="53F085C7">
            <w:pPr>
              <w:widowControl/>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+0.02</w:t>
            </w:r>
          </w:p>
        </w:tc>
      </w:tr>
    </w:tbl>
    <w:p w14:paraId="7F6C8923">
      <w:pPr>
        <w:jc w:val="center"/>
        <w:rPr>
          <w:rFonts w:hint="default" w:ascii="Times New Roman" w:hAnsi="Times New Roman" w:eastAsia="宋体" w:cs="Times New Roman"/>
          <w:color w:val="000000" w:themeColor="text1"/>
          <w:sz w:val="24"/>
          <w:highlight w:val="none"/>
          <w14:textFill>
            <w14:solidFill>
              <w14:schemeClr w14:val="tx1"/>
            </w14:solidFill>
          </w14:textFill>
        </w:rPr>
      </w:pPr>
    </w:p>
    <w:p w14:paraId="4B4A1CAB">
      <w:pPr>
        <w:pStyle w:val="48"/>
        <w:rPr>
          <w:rFonts w:hint="default" w:ascii="Times New Roman" w:hAnsi="Times New Roman" w:eastAsia="宋体" w:cs="Times New Roman"/>
          <w:color w:val="000000" w:themeColor="text1"/>
          <w:sz w:val="24"/>
          <w:highlight w:val="none"/>
          <w14:textFill>
            <w14:solidFill>
              <w14:schemeClr w14:val="tx1"/>
            </w14:solidFill>
          </w14:textFill>
        </w:rPr>
        <w:sectPr>
          <w:pgSz w:w="16838" w:h="11906" w:orient="landscape"/>
          <w:pgMar w:top="1440" w:right="1531" w:bottom="1440" w:left="1531" w:header="851" w:footer="992" w:gutter="0"/>
          <w:cols w:space="425" w:num="1"/>
          <w:docGrid w:type="lines" w:linePitch="312" w:charSpace="0"/>
        </w:sectPr>
      </w:pPr>
      <w:r>
        <w:rPr>
          <w:rFonts w:hint="default" w:ascii="Times New Roman" w:hAnsi="Times New Roman" w:eastAsia="宋体" w:cs="Times New Roman"/>
          <w:color w:val="000000" w:themeColor="text1"/>
          <w:sz w:val="24"/>
          <w:highlight w:val="none"/>
          <w14:textFill>
            <w14:solidFill>
              <w14:schemeClr w14:val="tx1"/>
            </w14:solidFill>
          </w14:textFill>
        </w:rPr>
        <w:t>注：⑥=①+③+④-⑤；⑦=⑥-①</w:t>
      </w:r>
    </w:p>
    <w:p w14:paraId="42B53C88">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eastAsia="zh-CN"/>
          <w14:textFill>
            <w14:solidFill>
              <w14:schemeClr w14:val="tx1"/>
            </w14:solidFill>
          </w14:textFill>
        </w:rPr>
        <w:drawing>
          <wp:inline distT="0" distB="0" distL="114300" distR="114300">
            <wp:extent cx="8724265" cy="5666105"/>
            <wp:effectExtent l="0" t="0" r="635" b="10795"/>
            <wp:docPr id="2" name="图片 2" descr="高美四至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美四至图_01"/>
                    <pic:cNvPicPr>
                      <a:picLocks noChangeAspect="1"/>
                    </pic:cNvPicPr>
                  </pic:nvPicPr>
                  <pic:blipFill>
                    <a:blip r:embed="rId26"/>
                    <a:srcRect l="12063" t="14543" r="12225" b="15903"/>
                    <a:stretch>
                      <a:fillRect/>
                    </a:stretch>
                  </pic:blipFill>
                  <pic:spPr>
                    <a:xfrm>
                      <a:off x="0" y="0"/>
                      <a:ext cx="8724265" cy="5666105"/>
                    </a:xfrm>
                    <a:prstGeom prst="rect">
                      <a:avLst/>
                    </a:prstGeom>
                  </pic:spPr>
                </pic:pic>
              </a:graphicData>
            </a:graphic>
          </wp:inline>
        </w:drawing>
      </w:r>
    </w:p>
    <w:p w14:paraId="5900D8EC">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sectPr>
          <w:footerReference r:id="rId6" w:type="default"/>
          <w:pgSz w:w="16838" w:h="11906" w:orient="landscape"/>
          <w:pgMar w:top="1134" w:right="1134" w:bottom="1134" w:left="1134" w:header="851" w:footer="992" w:gutter="0"/>
          <w:cols w:space="720" w:num="1"/>
          <w:docGrid w:type="lines" w:linePitch="312" w:charSpace="0"/>
        </w:sectPr>
      </w:pPr>
      <w:bookmarkStart w:id="351" w:name="_Toc7000"/>
      <w:bookmarkStart w:id="352" w:name="_Toc21757"/>
      <w:bookmarkStart w:id="353" w:name="_Toc21154_WPSOffice_Level1"/>
      <w:bookmarkStart w:id="354" w:name="_Toc32524"/>
      <w:bookmarkStart w:id="355" w:name="_Toc19159_WPSOffice_Level1"/>
      <w:bookmarkStart w:id="356" w:name="_Toc31401_WPSOffice_Level1"/>
      <w:bookmarkStart w:id="357" w:name="_Toc20193_WPSOffice_Level1"/>
      <w:bookmarkStart w:id="358" w:name="_Toc29232_WPSOffice_Level1"/>
      <w:bookmarkStart w:id="359" w:name="_Toc23753_WPSOffice_Level1"/>
      <w:bookmarkStart w:id="360" w:name="_Toc475"/>
      <w:bookmarkStart w:id="361" w:name="_Toc10068"/>
      <w:bookmarkStart w:id="362" w:name="_Toc24152_WPSOffice_Level1"/>
      <w:bookmarkStart w:id="363" w:name="_Toc7186_WPSOffice_Level1"/>
      <w:bookmarkStart w:id="364" w:name="_Toc14179_WPSOffice_Level1"/>
      <w:bookmarkStart w:id="365" w:name="_Toc25514_WPSOffice_Level1"/>
      <w:bookmarkStart w:id="366" w:name="_Toc4047_WPSOffice_Level1"/>
      <w:r>
        <w:rPr>
          <w:rFonts w:hint="default" w:ascii="Times New Roman" w:hAnsi="Times New Roman" w:eastAsia="宋体" w:cs="Times New Roman"/>
          <w:b/>
          <w:color w:val="000000" w:themeColor="text1"/>
          <w:szCs w:val="21"/>
          <w:highlight w:val="none"/>
          <w14:textFill>
            <w14:solidFill>
              <w14:schemeClr w14:val="tx1"/>
            </w14:solidFill>
          </w14:textFill>
        </w:rPr>
        <w:t>项目四至图</w:t>
      </w:r>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27488685">
      <w:pPr>
        <w:pStyle w:val="45"/>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drawing>
          <wp:inline distT="0" distB="0" distL="114300" distR="114300">
            <wp:extent cx="5525135" cy="7964170"/>
            <wp:effectExtent l="0" t="0" r="18415" b="17780"/>
            <wp:docPr id="4" name="图片 4" descr="高美四至图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高美四至图_03"/>
                    <pic:cNvPicPr>
                      <a:picLocks noChangeAspect="1"/>
                    </pic:cNvPicPr>
                  </pic:nvPicPr>
                  <pic:blipFill>
                    <a:blip r:embed="rId27"/>
                    <a:srcRect l="17394" t="10446" r="15805" b="21487"/>
                    <a:stretch>
                      <a:fillRect/>
                    </a:stretch>
                  </pic:blipFill>
                  <pic:spPr>
                    <a:xfrm>
                      <a:off x="0" y="0"/>
                      <a:ext cx="5525135" cy="7964170"/>
                    </a:xfrm>
                    <a:prstGeom prst="rect">
                      <a:avLst/>
                    </a:prstGeom>
                  </pic:spPr>
                </pic:pic>
              </a:graphicData>
            </a:graphic>
          </wp:inline>
        </w:drawing>
      </w:r>
    </w:p>
    <w:p w14:paraId="6AEBF51A">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sectPr>
          <w:pgSz w:w="11906" w:h="16838"/>
          <w:pgMar w:top="1134" w:right="1134" w:bottom="1134" w:left="1134" w:header="851" w:footer="992" w:gutter="0"/>
          <w:cols w:space="720" w:num="1"/>
          <w:docGrid w:type="lines" w:linePitch="312" w:charSpace="0"/>
        </w:sectPr>
      </w:pPr>
      <w:bookmarkStart w:id="367" w:name="_Toc21426"/>
      <w:bookmarkStart w:id="368" w:name="_Toc10245"/>
      <w:bookmarkStart w:id="369" w:name="_Toc922"/>
      <w:bookmarkStart w:id="370" w:name="_Toc15901"/>
      <w:r>
        <w:rPr>
          <w:rFonts w:hint="default" w:ascii="Times New Roman" w:hAnsi="Times New Roman" w:eastAsia="宋体" w:cs="Times New Roman"/>
          <w:b/>
          <w:color w:val="000000" w:themeColor="text1"/>
          <w:szCs w:val="21"/>
          <w:highlight w:val="none"/>
          <w14:textFill>
            <w14:solidFill>
              <w14:schemeClr w14:val="tx1"/>
            </w14:solidFill>
          </w14:textFill>
        </w:rPr>
        <w:t>项目地理位置</w:t>
      </w:r>
      <w:r>
        <w:rPr>
          <w:rFonts w:hint="default" w:ascii="Times New Roman" w:hAnsi="Times New Roman" w:eastAsia="宋体" w:cs="Times New Roman"/>
          <w:b/>
          <w:color w:val="000000" w:themeColor="text1"/>
          <w:szCs w:val="2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3886200</wp:posOffset>
                </wp:positionH>
                <wp:positionV relativeFrom="paragraph">
                  <wp:posOffset>4853940</wp:posOffset>
                </wp:positionV>
                <wp:extent cx="1485900" cy="297180"/>
                <wp:effectExtent l="0" t="0" r="0" b="0"/>
                <wp:wrapNone/>
                <wp:docPr id="190" name="矩形 190"/>
                <wp:cNvGraphicFramePr/>
                <a:graphic xmlns:a="http://schemas.openxmlformats.org/drawingml/2006/main">
                  <a:graphicData uri="http://schemas.microsoft.com/office/word/2010/wordprocessingShape">
                    <wps:wsp>
                      <wps:cNvSpPr/>
                      <wps:spPr>
                        <a:xfrm>
                          <a:off x="0" y="0"/>
                          <a:ext cx="1485900" cy="297180"/>
                        </a:xfrm>
                        <a:prstGeom prst="rect">
                          <a:avLst/>
                        </a:prstGeom>
                        <a:noFill/>
                        <a:ln>
                          <a:noFill/>
                        </a:ln>
                        <a:effectLst/>
                      </wps:spPr>
                      <wps:txbx>
                        <w:txbxContent>
                          <w:p w14:paraId="1539F4DF"/>
                        </w:txbxContent>
                      </wps:txbx>
                      <wps:bodyPr wrap="square" upright="1"/>
                    </wps:wsp>
                  </a:graphicData>
                </a:graphic>
              </wp:anchor>
            </w:drawing>
          </mc:Choice>
          <mc:Fallback>
            <w:pict>
              <v:rect id="_x0000_s1026" o:spid="_x0000_s1026" o:spt="1" style="position:absolute;left:0pt;margin-left:306pt;margin-top:382.2pt;height:23.4pt;width:117pt;z-index:251659264;mso-width-relative:page;mso-height-relative:page;" filled="f" stroked="f" coordsize="21600,21600" o:gfxdata="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bPnMNsAAAALAQAADwAAAAAAAAABACAAAAAiAAAAZHJzL2Rvd25yZXYueG1sUEsBAhQAFAAA&#10;AAgAh07iQNkqQ1SzAQAAYQMAAA4AAAAAAAAAAQAgAAAAKgEAAGRycy9lMm9Eb2MueG1sUEsFBgAA&#10;AAAGAAYAWQEAAE8FAAAAAA==&#10;">
                <v:fill on="f" focussize="0,0"/>
                <v:stroke on="f"/>
                <v:imagedata o:title=""/>
                <o:lock v:ext="edit" aspectratio="f"/>
                <v:textbox>
                  <w:txbxContent>
                    <w:p w14:paraId="1539F4DF"/>
                  </w:txbxContent>
                </v:textbox>
              </v:rect>
            </w:pict>
          </mc:Fallback>
        </mc:AlternateContent>
      </w:r>
      <w:r>
        <w:rPr>
          <w:rFonts w:hint="default" w:ascii="Times New Roman" w:hAnsi="Times New Roman" w:eastAsia="宋体" w:cs="Times New Roman"/>
          <w:b/>
          <w:color w:val="000000" w:themeColor="text1"/>
          <w:szCs w:val="21"/>
          <w:highlight w:val="none"/>
          <w14:textFill>
            <w14:solidFill>
              <w14:schemeClr w14:val="tx1"/>
            </w14:solidFill>
          </w14:textFill>
        </w:rPr>
        <w:t>图</w:t>
      </w:r>
      <w:bookmarkEnd w:id="367"/>
      <w:bookmarkEnd w:id="368"/>
      <w:bookmarkEnd w:id="369"/>
      <w:bookmarkEnd w:id="370"/>
    </w:p>
    <w:p w14:paraId="51E0FE11">
      <w:pPr>
        <w:pStyle w:val="47"/>
        <w:adjustRightInd/>
        <w:spacing w:line="240" w:lineRule="auto"/>
        <w:ind w:firstLine="0" w:firstLineChars="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drawing>
          <wp:inline distT="0" distB="0" distL="114300" distR="114300">
            <wp:extent cx="5664835" cy="7962265"/>
            <wp:effectExtent l="0" t="0" r="12065" b="635"/>
            <wp:docPr id="18" name="图片 18" descr="高美四至图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高美四至图_11"/>
                    <pic:cNvPicPr>
                      <a:picLocks noChangeAspect="1"/>
                    </pic:cNvPicPr>
                  </pic:nvPicPr>
                  <pic:blipFill>
                    <a:blip r:embed="rId28"/>
                    <a:srcRect l="17425" t="8156" r="11630" b="21355"/>
                    <a:stretch>
                      <a:fillRect/>
                    </a:stretch>
                  </pic:blipFill>
                  <pic:spPr>
                    <a:xfrm>
                      <a:off x="0" y="0"/>
                      <a:ext cx="5664835" cy="7962265"/>
                    </a:xfrm>
                    <a:prstGeom prst="rect">
                      <a:avLst/>
                    </a:prstGeom>
                  </pic:spPr>
                </pic:pic>
              </a:graphicData>
            </a:graphic>
          </wp:inline>
        </w:drawing>
      </w:r>
    </w:p>
    <w:p w14:paraId="1B3ECB38">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sectPr>
          <w:pgSz w:w="11906" w:h="16838"/>
          <w:pgMar w:top="1134" w:right="1134" w:bottom="1134" w:left="1134" w:header="851" w:footer="992" w:gutter="0"/>
          <w:cols w:space="720" w:num="1"/>
          <w:docGrid w:type="linesAndChars" w:linePitch="312" w:charSpace="0"/>
        </w:sectPr>
      </w:pPr>
      <w:bookmarkStart w:id="371" w:name="_Toc22262"/>
      <w:bookmarkStart w:id="372" w:name="_Toc26138"/>
      <w:bookmarkStart w:id="373" w:name="_Toc12664"/>
      <w:bookmarkStart w:id="374" w:name="_Toc3936"/>
      <w:r>
        <w:rPr>
          <w:rFonts w:hint="default" w:ascii="Times New Roman" w:hAnsi="Times New Roman" w:eastAsia="宋体" w:cs="Times New Roman"/>
          <w:b/>
          <w:color w:val="000000" w:themeColor="text1"/>
          <w:szCs w:val="21"/>
          <w:highlight w:val="none"/>
          <w14:textFill>
            <w14:solidFill>
              <w14:schemeClr w14:val="tx1"/>
            </w14:solidFill>
          </w14:textFill>
        </w:rPr>
        <w:t>项目</w:t>
      </w:r>
      <w:bookmarkEnd w:id="371"/>
      <w:bookmarkEnd w:id="372"/>
      <w:bookmarkEnd w:id="373"/>
      <w:r>
        <w:rPr>
          <w:rFonts w:hint="eastAsia" w:ascii="Times New Roman" w:hAnsi="Times New Roman" w:eastAsia="宋体" w:cs="Times New Roman"/>
          <w:b/>
          <w:color w:val="000000" w:themeColor="text1"/>
          <w:szCs w:val="21"/>
          <w:highlight w:val="none"/>
          <w:lang w:val="en-US" w:eastAsia="zh-CN"/>
          <w14:textFill>
            <w14:solidFill>
              <w14:schemeClr w14:val="tx1"/>
            </w14:solidFill>
          </w14:textFill>
        </w:rPr>
        <w:t>厂区平面布置图</w:t>
      </w:r>
      <w:bookmarkEnd w:id="374"/>
    </w:p>
    <w:p w14:paraId="06A0736E">
      <w:pPr>
        <w:pStyle w:val="47"/>
        <w:ind w:firstLine="0" w:firstLineChars="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drawing>
          <wp:inline distT="0" distB="0" distL="114300" distR="114300">
            <wp:extent cx="8940800" cy="5107940"/>
            <wp:effectExtent l="0" t="0" r="12700" b="16510"/>
            <wp:docPr id="22" name="图片 22" descr="高美四至图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高美四至图_02"/>
                    <pic:cNvPicPr>
                      <a:picLocks noChangeAspect="1"/>
                    </pic:cNvPicPr>
                  </pic:nvPicPr>
                  <pic:blipFill>
                    <a:blip r:embed="rId29"/>
                    <a:srcRect l="13601" t="13894" r="12603" b="26470"/>
                    <a:stretch>
                      <a:fillRect/>
                    </a:stretch>
                  </pic:blipFill>
                  <pic:spPr>
                    <a:xfrm>
                      <a:off x="0" y="0"/>
                      <a:ext cx="8940800" cy="5107940"/>
                    </a:xfrm>
                    <a:prstGeom prst="rect">
                      <a:avLst/>
                    </a:prstGeom>
                  </pic:spPr>
                </pic:pic>
              </a:graphicData>
            </a:graphic>
          </wp:inline>
        </w:drawing>
      </w:r>
    </w:p>
    <w:p w14:paraId="32F6346E">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sectPr>
          <w:pgSz w:w="16838" w:h="11906" w:orient="landscape"/>
          <w:pgMar w:top="1134" w:right="1134" w:bottom="1134" w:left="1134" w:header="851" w:footer="992" w:gutter="0"/>
          <w:cols w:space="720" w:num="1"/>
          <w:docGrid w:type="linesAndChars" w:linePitch="312" w:charSpace="0"/>
        </w:sectPr>
      </w:pPr>
      <w:bookmarkStart w:id="375" w:name="_Toc2038_WPSOffice_Level1"/>
      <w:bookmarkStart w:id="376" w:name="_Toc25322_WPSOffice_Level1"/>
      <w:bookmarkStart w:id="377" w:name="_Toc14821_WPSOffice_Level1"/>
      <w:bookmarkStart w:id="378" w:name="_Toc5161"/>
      <w:bookmarkStart w:id="379" w:name="_Toc19890_WPSOffice_Level1"/>
      <w:bookmarkStart w:id="380" w:name="_Toc6179"/>
      <w:bookmarkStart w:id="381" w:name="_Toc18216"/>
      <w:bookmarkStart w:id="382" w:name="_Toc6028_WPSOffice_Level1"/>
      <w:bookmarkStart w:id="383" w:name="_Toc32737_WPSOffice_Level1"/>
      <w:bookmarkStart w:id="384" w:name="_Toc13909_WPSOffice_Level1"/>
      <w:bookmarkStart w:id="385" w:name="_Toc5633"/>
      <w:bookmarkStart w:id="386" w:name="_Toc30446_WPSOffice_Level1"/>
      <w:bookmarkStart w:id="387" w:name="_Toc24114_WPSOffice_Level1"/>
      <w:bookmarkStart w:id="388" w:name="_Toc27189_WPSOffice_Level1"/>
      <w:bookmarkStart w:id="389" w:name="_Toc1589_WPSOffice_Level1"/>
      <w:bookmarkStart w:id="390" w:name="_Toc15111"/>
      <w:r>
        <w:rPr>
          <w:rFonts w:hint="default" w:ascii="Times New Roman" w:hAnsi="Times New Roman" w:eastAsia="宋体" w:cs="Times New Roman"/>
          <w:b/>
          <w:color w:val="000000" w:themeColor="text1"/>
          <w:szCs w:val="21"/>
          <w:highlight w:val="none"/>
          <w14:textFill>
            <w14:solidFill>
              <w14:schemeClr w14:val="tx1"/>
            </w14:solidFill>
          </w14:textFill>
        </w:rPr>
        <w:t>中山市</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Pr>
          <w:rFonts w:hint="default" w:ascii="Times New Roman" w:hAnsi="Times New Roman" w:eastAsia="宋体" w:cs="Times New Roman"/>
          <w:b/>
          <w:color w:val="000000" w:themeColor="text1"/>
          <w:szCs w:val="21"/>
          <w:highlight w:val="none"/>
          <w14:textFill>
            <w14:solidFill>
              <w14:schemeClr w14:val="tx1"/>
            </w14:solidFill>
          </w14:textFill>
        </w:rPr>
        <w:t>自然资源一图通</w:t>
      </w:r>
      <w:r>
        <w:rPr>
          <w:rFonts w:hint="eastAsia" w:ascii="Times New Roman" w:hAnsi="Times New Roman" w:eastAsia="宋体" w:cs="Times New Roman"/>
          <w:b/>
          <w:color w:val="000000" w:themeColor="text1"/>
          <w:szCs w:val="21"/>
          <w:highlight w:val="none"/>
          <w:lang w:val="en-US" w:eastAsia="zh-CN"/>
          <w14:textFill>
            <w14:solidFill>
              <w14:schemeClr w14:val="tx1"/>
            </w14:solidFill>
          </w14:textFill>
        </w:rPr>
        <w:t xml:space="preserve"> </w:t>
      </w:r>
      <w:bookmarkEnd w:id="390"/>
    </w:p>
    <w:p w14:paraId="711AEB4E">
      <w:pPr>
        <w:pStyle w:val="40"/>
        <w:rPr>
          <w:rFonts w:hint="eastAsia" w:eastAsia="宋体"/>
          <w:color w:val="000000" w:themeColor="text1"/>
          <w:highlight w:val="none"/>
          <w:lang w:eastAsia="zh-CN"/>
          <w14:textFill>
            <w14:solidFill>
              <w14:schemeClr w14:val="tx1"/>
            </w14:solidFill>
          </w14:textFill>
        </w:rPr>
      </w:pPr>
      <w:r>
        <w:rPr>
          <w:rFonts w:hint="eastAsia" w:eastAsia="宋体"/>
          <w:color w:val="000000" w:themeColor="text1"/>
          <w:highlight w:val="none"/>
          <w:lang w:eastAsia="zh-CN"/>
          <w14:textFill>
            <w14:solidFill>
              <w14:schemeClr w14:val="tx1"/>
            </w14:solidFill>
          </w14:textFill>
        </w:rPr>
        <w:drawing>
          <wp:inline distT="0" distB="0" distL="114300" distR="114300">
            <wp:extent cx="5582285" cy="7989570"/>
            <wp:effectExtent l="0" t="0" r="18415" b="11430"/>
            <wp:docPr id="24" name="图片 24" descr="高美四至图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高美四至图_04"/>
                    <pic:cNvPicPr>
                      <a:picLocks noChangeAspect="1"/>
                    </pic:cNvPicPr>
                  </pic:nvPicPr>
                  <pic:blipFill>
                    <a:blip r:embed="rId30"/>
                    <a:srcRect l="15971" t="10167" r="16366" b="21385"/>
                    <a:stretch>
                      <a:fillRect/>
                    </a:stretch>
                  </pic:blipFill>
                  <pic:spPr>
                    <a:xfrm>
                      <a:off x="0" y="0"/>
                      <a:ext cx="5582285" cy="7989570"/>
                    </a:xfrm>
                    <a:prstGeom prst="rect">
                      <a:avLst/>
                    </a:prstGeom>
                  </pic:spPr>
                </pic:pic>
              </a:graphicData>
            </a:graphic>
          </wp:inline>
        </w:drawing>
      </w:r>
    </w:p>
    <w:p w14:paraId="17CD532C">
      <w:pPr>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4048760</wp:posOffset>
                </wp:positionH>
                <wp:positionV relativeFrom="paragraph">
                  <wp:posOffset>2310765</wp:posOffset>
                </wp:positionV>
                <wp:extent cx="1212215" cy="545465"/>
                <wp:effectExtent l="0" t="0" r="0" b="0"/>
                <wp:wrapNone/>
                <wp:docPr id="7" name="任意多边形 7"/>
                <wp:cNvGraphicFramePr/>
                <a:graphic xmlns:a="http://schemas.openxmlformats.org/drawingml/2006/main">
                  <a:graphicData uri="http://schemas.microsoft.com/office/word/2010/wordprocessingShape">
                    <wps:wsp>
                      <wps:cNvSpPr/>
                      <wps:spPr>
                        <a:xfrm>
                          <a:off x="0" y="0"/>
                          <a:ext cx="1212215" cy="545465"/>
                        </a:xfrm>
                        <a:custGeom>
                          <a:avLst/>
                          <a:gdLst/>
                          <a:ahLst/>
                          <a:cxnLst/>
                          <a:rect l="0" t="0" r="0" b="0"/>
                          <a:pathLst>
                            <a:path w="1909" h="859">
                              <a:moveTo>
                                <a:pt x="0" y="217"/>
                              </a:moveTo>
                              <a:lnTo>
                                <a:pt x="1841" y="0"/>
                              </a:lnTo>
                              <a:lnTo>
                                <a:pt x="1909" y="614"/>
                              </a:lnTo>
                              <a:lnTo>
                                <a:pt x="55" y="859"/>
                              </a:lnTo>
                              <a:lnTo>
                                <a:pt x="0" y="217"/>
                              </a:lnTo>
                              <a:close/>
                            </a:path>
                          </a:pathLst>
                        </a:custGeom>
                        <a:noFill/>
                        <a:ln>
                          <a:noFill/>
                        </a:ln>
                        <a:effectLst/>
                      </wps:spPr>
                      <wps:bodyPr vert="horz" wrap="square" anchor="t" upright="1"/>
                    </wps:wsp>
                  </a:graphicData>
                </a:graphic>
              </wp:anchor>
            </w:drawing>
          </mc:Choice>
          <mc:Fallback>
            <w:pict>
              <v:shape id="_x0000_s1026" o:spid="_x0000_s1026" o:spt="100" style="position:absolute;left:0pt;margin-left:318.8pt;margin-top:181.95pt;height:42.95pt;width:95.45pt;z-index:251661312;mso-width-relative:page;mso-height-relative:page;" filled="f" stroked="f" coordsize="1909,859" o:gfxdata="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IX98naAAAACwEAAA8AAAAAAAAAAQAgAAAAIgAAAGRycy9k&#10;b3ducmV2LnhtbFBLAQIUABQAAAAIAIdO4kAEs2P6OQIAALAEAAAOAAAAAAAAAAEAIAAAACkBAABk&#10;cnMvZTJvRG9jLnhtbFBLBQYAAAAABgAGAFkBAADUBQAAAAA=&#10;" path="m0,217l1841,0,1909,614,55,859,0,217xe">
                <v:fill on="f" focussize="0,0"/>
                <v:stroke on="f"/>
                <v:imagedata o:title=""/>
                <o:lock v:ext="edit" aspectratio="f"/>
              </v:shape>
            </w:pict>
          </mc:Fallback>
        </mc:AlternateContent>
      </w:r>
    </w:p>
    <w:p w14:paraId="3162F156">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pPr>
      <w:bookmarkStart w:id="391" w:name="_Toc6784_WPSOffice_Level1"/>
      <w:bookmarkStart w:id="392" w:name="_Toc25516"/>
      <w:bookmarkStart w:id="393" w:name="_Toc6385_WPSOffice_Level1"/>
      <w:bookmarkStart w:id="394" w:name="_Toc457_WPSOffice_Level1"/>
      <w:bookmarkStart w:id="395" w:name="_Toc21871_WPSOffice_Level1"/>
      <w:bookmarkStart w:id="396" w:name="_Toc5924_WPSOffice_Level1"/>
      <w:bookmarkStart w:id="397" w:name="_Toc24067"/>
      <w:bookmarkStart w:id="398" w:name="_Toc2956"/>
      <w:bookmarkStart w:id="399" w:name="_Toc20387_WPSOffice_Level1"/>
      <w:bookmarkStart w:id="400" w:name="_Toc4869_WPSOffice_Level1"/>
      <w:bookmarkStart w:id="401" w:name="_Toc8192_WPSOffice_Level1"/>
      <w:bookmarkStart w:id="402" w:name="_Toc8240"/>
      <w:bookmarkStart w:id="403" w:name="_Toc10926_WPSOffice_Level1"/>
      <w:bookmarkStart w:id="404" w:name="_Toc13118"/>
      <w:bookmarkStart w:id="405" w:name="_Toc14220_WPSOffice_Level1"/>
      <w:bookmarkStart w:id="406" w:name="_Toc24122_WPSOffice_Level1"/>
      <w:r>
        <w:rPr>
          <w:rFonts w:hint="default" w:ascii="Times New Roman" w:hAnsi="Times New Roman" w:eastAsia="宋体" w:cs="Times New Roman"/>
          <w:b/>
          <w:color w:val="000000" w:themeColor="text1"/>
          <w:szCs w:val="21"/>
          <w:highlight w:val="none"/>
          <w14:textFill>
            <w14:solidFill>
              <w14:schemeClr w14:val="tx1"/>
            </w14:solidFill>
          </w14:textFill>
        </w:rPr>
        <w:t>中山市环境空气质量功能区划图</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14:paraId="7BAC50F0">
      <w:pPr>
        <w:rPr>
          <w:rFonts w:hint="default" w:ascii="Times New Roman" w:hAnsi="Times New Roman" w:eastAsia="宋体" w:cs="Times New Roman"/>
          <w:b/>
          <w:color w:val="000000" w:themeColor="text1"/>
          <w:szCs w:val="21"/>
          <w:highlight w:val="none"/>
          <w14:textFill>
            <w14:solidFill>
              <w14:schemeClr w14:val="tx1"/>
            </w14:solidFill>
          </w14:textFill>
        </w:rPr>
      </w:pPr>
    </w:p>
    <w:p w14:paraId="410A3E38">
      <w:pPr>
        <w:jc w:val="center"/>
        <w:rPr>
          <w:rFonts w:hint="eastAsia" w:ascii="Times New Roman" w:hAnsi="Times New Roman" w:eastAsia="宋体" w:cs="Times New Roman"/>
          <w:b/>
          <w:color w:val="000000" w:themeColor="text1"/>
          <w:szCs w:val="21"/>
          <w:highlight w:val="none"/>
          <w:lang w:eastAsia="zh-CN"/>
          <w14:textFill>
            <w14:solidFill>
              <w14:schemeClr w14:val="tx1"/>
            </w14:solidFill>
          </w14:textFill>
        </w:rPr>
      </w:pPr>
      <w:r>
        <w:rPr>
          <w:rFonts w:hint="eastAsia" w:ascii="Times New Roman" w:hAnsi="Times New Roman" w:eastAsia="宋体" w:cs="Times New Roman"/>
          <w:b/>
          <w:color w:val="000000" w:themeColor="text1"/>
          <w:szCs w:val="21"/>
          <w:highlight w:val="none"/>
          <w:lang w:eastAsia="zh-CN"/>
          <w14:textFill>
            <w14:solidFill>
              <w14:schemeClr w14:val="tx1"/>
            </w14:solidFill>
          </w14:textFill>
        </w:rPr>
        <w:drawing>
          <wp:inline distT="0" distB="0" distL="114300" distR="114300">
            <wp:extent cx="5694045" cy="7077075"/>
            <wp:effectExtent l="0" t="0" r="1905" b="9525"/>
            <wp:docPr id="26" name="图片 26" descr="高美四至图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高美四至图_05"/>
                    <pic:cNvPicPr>
                      <a:picLocks noChangeAspect="1"/>
                    </pic:cNvPicPr>
                  </pic:nvPicPr>
                  <pic:blipFill>
                    <a:blip r:embed="rId31"/>
                    <a:srcRect l="15981" t="8134" r="16085" b="32183"/>
                    <a:stretch>
                      <a:fillRect/>
                    </a:stretch>
                  </pic:blipFill>
                  <pic:spPr>
                    <a:xfrm>
                      <a:off x="0" y="0"/>
                      <a:ext cx="5694045" cy="7077075"/>
                    </a:xfrm>
                    <a:prstGeom prst="rect">
                      <a:avLst/>
                    </a:prstGeom>
                  </pic:spPr>
                </pic:pic>
              </a:graphicData>
            </a:graphic>
          </wp:inline>
        </w:drawing>
      </w:r>
    </w:p>
    <w:p w14:paraId="23C623E0">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p>
    <w:p w14:paraId="7E384060">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sectPr>
          <w:footerReference r:id="rId9" w:type="first"/>
          <w:headerReference r:id="rId7" w:type="default"/>
          <w:footerReference r:id="rId8" w:type="default"/>
          <w:pgSz w:w="11906" w:h="16838"/>
          <w:pgMar w:top="1134" w:right="1134" w:bottom="1134" w:left="1134" w:header="851" w:footer="992" w:gutter="0"/>
          <w:cols w:space="720" w:num="1"/>
          <w:titlePg/>
          <w:docGrid w:linePitch="312" w:charSpace="0"/>
        </w:sectPr>
      </w:pPr>
      <w:bookmarkStart w:id="407" w:name="_Toc23788"/>
      <w:bookmarkStart w:id="408" w:name="_Toc25987"/>
      <w:bookmarkStart w:id="409" w:name="_Toc1298_WPSOffice_Level1"/>
      <w:bookmarkStart w:id="410" w:name="_Toc29535"/>
      <w:bookmarkStart w:id="411" w:name="_Toc6397"/>
      <w:bookmarkStart w:id="412" w:name="_Toc32318_WPSOffice_Level1"/>
      <w:bookmarkStart w:id="413" w:name="_Toc18150_WPSOffice_Level1"/>
      <w:bookmarkStart w:id="414" w:name="_Toc19894_WPSOffice_Level1"/>
      <w:bookmarkStart w:id="415" w:name="_Toc11538_WPSOffice_Level1"/>
      <w:bookmarkStart w:id="416" w:name="_Toc18753_WPSOffice_Level1"/>
      <w:bookmarkStart w:id="417" w:name="_Toc970"/>
      <w:bookmarkStart w:id="418" w:name="_Toc16650_WPSOffice_Level1"/>
      <w:bookmarkStart w:id="419" w:name="_Toc14301_WPSOffice_Level1"/>
      <w:bookmarkStart w:id="420" w:name="_Toc29947_WPSOffice_Level1"/>
      <w:bookmarkStart w:id="421" w:name="_Toc3579_WPSOffice_Level1"/>
      <w:bookmarkStart w:id="422" w:name="_Toc11613_WPSOffice_Level1"/>
      <w:r>
        <w:rPr>
          <w:rFonts w:hint="default" w:ascii="Times New Roman" w:hAnsi="Times New Roman" w:eastAsia="宋体" w:cs="Times New Roman"/>
          <w:b/>
          <w:color w:val="000000" w:themeColor="text1"/>
          <w:szCs w:val="21"/>
          <w:highlight w:val="none"/>
          <w14:textFill>
            <w14:solidFill>
              <w14:schemeClr w14:val="tx1"/>
            </w14:solidFill>
          </w14:textFill>
        </w:rPr>
        <w:t>中山市水环境功能区划示意图</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7858A662">
      <w:pPr>
        <w:pStyle w:val="48"/>
        <w:ind w:firstLine="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eastAsia="zh-CN"/>
          <w14:textFill>
            <w14:solidFill>
              <w14:schemeClr w14:val="tx1"/>
            </w14:solidFill>
          </w14:textFill>
        </w:rPr>
        <w:drawing>
          <wp:inline distT="0" distB="0" distL="114300" distR="114300">
            <wp:extent cx="7771130" cy="5466080"/>
            <wp:effectExtent l="0" t="0" r="1270" b="1270"/>
            <wp:docPr id="29" name="图片 29" descr="高美四至图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高美四至图_06"/>
                    <pic:cNvPicPr>
                      <a:picLocks noChangeAspect="1"/>
                    </pic:cNvPicPr>
                  </pic:nvPicPr>
                  <pic:blipFill>
                    <a:blip r:embed="rId32"/>
                    <a:srcRect l="16426" t="15673" r="16434" b="17525"/>
                    <a:stretch>
                      <a:fillRect/>
                    </a:stretch>
                  </pic:blipFill>
                  <pic:spPr>
                    <a:xfrm>
                      <a:off x="0" y="0"/>
                      <a:ext cx="7771130" cy="5466080"/>
                    </a:xfrm>
                    <a:prstGeom prst="rect">
                      <a:avLst/>
                    </a:prstGeom>
                  </pic:spPr>
                </pic:pic>
              </a:graphicData>
            </a:graphic>
          </wp:inline>
        </w:drawing>
      </w:r>
    </w:p>
    <w:p w14:paraId="4F9D7743">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14:textFill>
            <w14:solidFill>
              <w14:schemeClr w14:val="tx1"/>
            </w14:solidFill>
          </w14:textFill>
        </w:rPr>
      </w:pPr>
      <w:bookmarkStart w:id="423" w:name="_Toc14661"/>
      <w:bookmarkStart w:id="424" w:name="_Toc25403"/>
      <w:bookmarkStart w:id="425" w:name="_Toc23447"/>
      <w:bookmarkStart w:id="426" w:name="_Toc8683"/>
      <w:bookmarkStart w:id="427" w:name="_Toc21358"/>
      <w:bookmarkStart w:id="428" w:name="_Toc7626_WPSOffice_Level1"/>
      <w:bookmarkStart w:id="429" w:name="_Toc21699_WPSOffice_Level1"/>
      <w:bookmarkStart w:id="430" w:name="_Toc12835_WPSOffice_Level1"/>
      <w:bookmarkStart w:id="431" w:name="_Toc19627_WPSOffice_Level1"/>
      <w:bookmarkStart w:id="432" w:name="_Toc24403_WPSOffice_Level1"/>
      <w:bookmarkStart w:id="433" w:name="_Toc22858_WPSOffice_Level1"/>
      <w:bookmarkStart w:id="434" w:name="_Toc30748_WPSOffice_Level1"/>
      <w:bookmarkStart w:id="435" w:name="_Toc32243_WPSOffice_Level1"/>
      <w:bookmarkStart w:id="436" w:name="_Toc10056_WPSOffice_Level1"/>
      <w:r>
        <w:rPr>
          <w:rFonts w:hint="eastAsia" w:ascii="Times New Roman" w:hAnsi="Times New Roman" w:eastAsia="宋体" w:cs="Times New Roman"/>
          <w:b/>
          <w:color w:val="000000" w:themeColor="text1"/>
          <w:szCs w:val="21"/>
          <w:highlight w:val="none"/>
          <w:lang w:val="en-US" w:eastAsia="zh-CN"/>
          <w14:textFill>
            <w14:solidFill>
              <w14:schemeClr w14:val="tx1"/>
            </w14:solidFill>
          </w14:textFill>
        </w:rPr>
        <w:t>中心城区</w:t>
      </w:r>
      <w:r>
        <w:rPr>
          <w:rFonts w:hint="default" w:ascii="Times New Roman" w:hAnsi="Times New Roman" w:eastAsia="宋体" w:cs="Times New Roman"/>
          <w:b/>
          <w:color w:val="000000" w:themeColor="text1"/>
          <w:szCs w:val="21"/>
          <w:highlight w:val="none"/>
          <w14:textFill>
            <w14:solidFill>
              <w14:schemeClr w14:val="tx1"/>
            </w14:solidFill>
          </w14:textFill>
        </w:rPr>
        <w:t>声环境功能区划图</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p w14:paraId="37FC186E">
      <w:pPr>
        <w:pStyle w:val="48"/>
        <w:ind w:firstLine="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0D8F6211">
      <w:pPr>
        <w:pStyle w:val="48"/>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br w:type="page"/>
      </w:r>
    </w:p>
    <w:p w14:paraId="4E1CC0E3">
      <w:pPr>
        <w:pStyle w:val="48"/>
        <w:ind w:firstLine="0"/>
        <w:jc w:val="center"/>
        <w:rPr>
          <w:rFonts w:hint="default" w:ascii="Times New Roman" w:hAnsi="Times New Roman" w:eastAsia="宋体" w:cs="Times New Roman"/>
          <w:color w:val="000000" w:themeColor="text1"/>
          <w:szCs w:val="21"/>
          <w:highlight w:val="none"/>
          <w14:textFill>
            <w14:solidFill>
              <w14:schemeClr w14:val="tx1"/>
            </w14:solidFill>
          </w14:textFill>
        </w:rPr>
        <w:sectPr>
          <w:pgSz w:w="16838" w:h="11906" w:orient="landscape"/>
          <w:pgMar w:top="1134" w:right="1134" w:bottom="1134" w:left="1134" w:header="851" w:footer="992" w:gutter="0"/>
          <w:cols w:space="720" w:num="1"/>
          <w:docGrid w:type="lines" w:linePitch="312" w:charSpace="0"/>
        </w:sectPr>
      </w:pPr>
    </w:p>
    <w:p w14:paraId="64BB49C4">
      <w:pPr>
        <w:pStyle w:val="48"/>
        <w:spacing w:line="360" w:lineRule="auto"/>
        <w:ind w:firstLine="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eastAsia="zh-CN"/>
          <w14:textFill>
            <w14:solidFill>
              <w14:schemeClr w14:val="tx1"/>
            </w14:solidFill>
          </w14:textFill>
        </w:rPr>
        <w:drawing>
          <wp:inline distT="0" distB="0" distL="114300" distR="114300">
            <wp:extent cx="6675120" cy="5259070"/>
            <wp:effectExtent l="0" t="0" r="11430" b="17780"/>
            <wp:docPr id="28" name="图片 28" descr="高美四至图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高美四至图_08"/>
                    <pic:cNvPicPr>
                      <a:picLocks noChangeAspect="1"/>
                    </pic:cNvPicPr>
                  </pic:nvPicPr>
                  <pic:blipFill>
                    <a:blip r:embed="rId33"/>
                    <a:srcRect l="19303" t="14700" r="18882" b="16405"/>
                    <a:stretch>
                      <a:fillRect/>
                    </a:stretch>
                  </pic:blipFill>
                  <pic:spPr>
                    <a:xfrm>
                      <a:off x="0" y="0"/>
                      <a:ext cx="6675120" cy="5259070"/>
                    </a:xfrm>
                    <a:prstGeom prst="rect">
                      <a:avLst/>
                    </a:prstGeom>
                  </pic:spPr>
                </pic:pic>
              </a:graphicData>
            </a:graphic>
          </wp:inline>
        </w:drawing>
      </w:r>
    </w:p>
    <w:p w14:paraId="7361DC7D">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sectPr>
          <w:pgSz w:w="16838" w:h="11906" w:orient="landscape"/>
          <w:pgMar w:top="1134" w:right="1134" w:bottom="1134" w:left="1134" w:header="851" w:footer="992" w:gutter="0"/>
          <w:cols w:space="720" w:num="1"/>
          <w:docGrid w:type="linesAndChars" w:linePitch="312" w:charSpace="0"/>
        </w:sectPr>
      </w:pPr>
      <w:bookmarkStart w:id="437" w:name="_Toc15529"/>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大气环境保护目标范围图</w:t>
      </w:r>
      <w:bookmarkEnd w:id="437"/>
    </w:p>
    <w:p w14:paraId="0D542BF9">
      <w:pPr>
        <w:spacing w:line="360" w:lineRule="auto"/>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bookmarkStart w:id="438" w:name="1"/>
      <w:bookmarkEnd w:id="438"/>
      <w:r>
        <w:rPr>
          <w:rFonts w:hint="default" w:ascii="Times New Roman" w:hAnsi="Times New Roman" w:eastAsia="宋体" w:cs="Times New Roman"/>
          <w:color w:val="000000" w:themeColor="text1"/>
          <w:highlight w:val="none"/>
          <w:lang w:eastAsia="zh-CN"/>
          <w14:textFill>
            <w14:solidFill>
              <w14:schemeClr w14:val="tx1"/>
            </w14:solidFill>
          </w14:textFill>
        </w:rPr>
        <w:drawing>
          <wp:inline distT="0" distB="0" distL="114300" distR="114300">
            <wp:extent cx="6616065" cy="4914265"/>
            <wp:effectExtent l="0" t="0" r="13335" b="635"/>
            <wp:docPr id="44" name="图片 44" descr="高美四至图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高美四至图_09"/>
                    <pic:cNvPicPr>
                      <a:picLocks noChangeAspect="1"/>
                    </pic:cNvPicPr>
                  </pic:nvPicPr>
                  <pic:blipFill>
                    <a:blip r:embed="rId34"/>
                    <a:srcRect l="16428" t="13898" r="16377" b="15501"/>
                    <a:stretch>
                      <a:fillRect/>
                    </a:stretch>
                  </pic:blipFill>
                  <pic:spPr>
                    <a:xfrm>
                      <a:off x="0" y="0"/>
                      <a:ext cx="6616065" cy="4914265"/>
                    </a:xfrm>
                    <a:prstGeom prst="rect">
                      <a:avLst/>
                    </a:prstGeom>
                  </pic:spPr>
                </pic:pic>
              </a:graphicData>
            </a:graphic>
          </wp:inline>
        </w:drawing>
      </w:r>
    </w:p>
    <w:p w14:paraId="0F214914">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 xml:space="preserve"> </w:t>
      </w:r>
      <w:bookmarkStart w:id="439" w:name="_Toc6226"/>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声环境保护目标范围图</w:t>
      </w:r>
      <w:bookmarkEnd w:id="439"/>
    </w:p>
    <w:p w14:paraId="4FEA2161">
      <w:pPr>
        <w:pStyle w:val="44"/>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drawing>
          <wp:inline distT="0" distB="0" distL="114300" distR="114300">
            <wp:extent cx="6391910" cy="4506595"/>
            <wp:effectExtent l="0" t="0" r="8890" b="8255"/>
            <wp:docPr id="45" name="图片 45" descr="高美四至图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高美四至图_07"/>
                    <pic:cNvPicPr>
                      <a:picLocks noChangeAspect="1"/>
                    </pic:cNvPicPr>
                  </pic:nvPicPr>
                  <pic:blipFill>
                    <a:blip r:embed="rId35"/>
                    <a:srcRect l="23637" t="20974" r="21719" b="24530"/>
                    <a:stretch>
                      <a:fillRect/>
                    </a:stretch>
                  </pic:blipFill>
                  <pic:spPr>
                    <a:xfrm>
                      <a:off x="0" y="0"/>
                      <a:ext cx="6391910" cy="4506595"/>
                    </a:xfrm>
                    <a:prstGeom prst="rect">
                      <a:avLst/>
                    </a:prstGeom>
                  </pic:spPr>
                </pic:pic>
              </a:graphicData>
            </a:graphic>
          </wp:inline>
        </w:drawing>
      </w:r>
    </w:p>
    <w:p w14:paraId="3B9C8A89">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bookmarkStart w:id="440" w:name="_Toc28268"/>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中山市环境管控单元图</w:t>
      </w:r>
      <w:bookmarkEnd w:id="440"/>
    </w:p>
    <w:p w14:paraId="6B3EB7B2">
      <w:pPr>
        <w:pStyle w:val="48"/>
        <w:ind w:firstLine="0"/>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drawing>
          <wp:inline distT="0" distB="0" distL="114300" distR="114300">
            <wp:extent cx="5269865" cy="4540885"/>
            <wp:effectExtent l="0" t="0" r="6985" b="12065"/>
            <wp:docPr id="47" name="图片 47" descr="高美四至图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高美四至图_10"/>
                    <pic:cNvPicPr>
                      <a:picLocks noChangeAspect="1"/>
                    </pic:cNvPicPr>
                  </pic:nvPicPr>
                  <pic:blipFill>
                    <a:blip r:embed="rId36"/>
                    <a:srcRect l="21132" t="14573" r="21609" b="15634"/>
                    <a:stretch>
                      <a:fillRect/>
                    </a:stretch>
                  </pic:blipFill>
                  <pic:spPr>
                    <a:xfrm>
                      <a:off x="0" y="0"/>
                      <a:ext cx="5269865" cy="4540885"/>
                    </a:xfrm>
                    <a:prstGeom prst="rect">
                      <a:avLst/>
                    </a:prstGeom>
                  </pic:spPr>
                </pic:pic>
              </a:graphicData>
            </a:graphic>
          </wp:inline>
        </w:drawing>
      </w:r>
    </w:p>
    <w:p w14:paraId="2F5DDFE3">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pPr>
      <w:bookmarkStart w:id="441" w:name="_Toc3598"/>
      <w:bookmarkStart w:id="442" w:name="_Toc20797"/>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项目引用大气监测点位图</w:t>
      </w:r>
      <w:bookmarkEnd w:id="441"/>
      <w:bookmarkEnd w:id="442"/>
    </w:p>
    <w:p w14:paraId="14A5DF2A">
      <w:pPr>
        <w:pStyle w:val="48"/>
        <w:ind w:firstLine="0"/>
        <w:jc w:val="center"/>
        <w:rPr>
          <w:rFonts w:hint="default" w:ascii="Times New Roman" w:hAnsi="Times New Roman" w:eastAsia="宋体" w:cs="Times New Roman"/>
          <w:color w:val="000000" w:themeColor="text1"/>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38AAAA6A">
      <w:pPr>
        <w:pStyle w:val="48"/>
        <w:ind w:firstLine="0"/>
        <w:jc w:val="center"/>
        <w:rPr>
          <w:rFonts w:hint="default"/>
          <w:b/>
          <w:bCs/>
          <w:color w:val="000000" w:themeColor="text1"/>
          <w:highlight w:val="none"/>
          <w:lang w:val="en-US" w:eastAsia="zh-CN"/>
          <w14:textFill>
            <w14:solidFill>
              <w14:schemeClr w14:val="tx1"/>
            </w14:solidFill>
          </w14:textFill>
        </w:rPr>
      </w:pP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1418590</wp:posOffset>
                </wp:positionH>
                <wp:positionV relativeFrom="paragraph">
                  <wp:posOffset>1840230</wp:posOffset>
                </wp:positionV>
                <wp:extent cx="932180" cy="277495"/>
                <wp:effectExtent l="6350" t="6350" r="13970" b="192405"/>
                <wp:wrapNone/>
                <wp:docPr id="34" name="矩形标注 34"/>
                <wp:cNvGraphicFramePr/>
                <a:graphic xmlns:a="http://schemas.openxmlformats.org/drawingml/2006/main">
                  <a:graphicData uri="http://schemas.microsoft.com/office/word/2010/wordprocessingShape">
                    <wps:wsp>
                      <wps:cNvSpPr/>
                      <wps:spPr>
                        <a:xfrm>
                          <a:off x="3464560" y="2924175"/>
                          <a:ext cx="932180" cy="277495"/>
                        </a:xfrm>
                        <a:prstGeom prst="wedgeRectCallout">
                          <a:avLst>
                            <a:gd name="adj1" fmla="val 24863"/>
                            <a:gd name="adj2" fmla="val 110411"/>
                          </a:avLst>
                        </a:prstGeom>
                        <a:solidFill>
                          <a:schemeClr val="bg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9E3848F">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11.7pt;margin-top:144.9pt;height:21.85pt;width:73.4pt;z-index:251663360;v-text-anchor:middle;mso-width-relative:page;mso-height-relative:page;" fillcolor="#FFFFFF [3212]" filled="t" stroked="t" coordsize="21600,21600" o:gfxdata="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Bh6r1Y2QAAAAsBAAAPAAAAAAAAAAEAIAAA&#10;ACIAAABkcnMvZG93bnJldi54bWxQSwECFAAUAAAACACHTuJAskRyY7YCAABwBQAADgAAAAAAAAAB&#10;ACAAAAAoAQAAZHJzL2Uyb0RvYy54bWxQSwUGAAAAAAYABgBZAQAAUAYAAAAA&#10;" adj="16170,34649">
                <v:fill on="t" focussize="0,0"/>
                <v:stroke weight="1pt" color="#000000 [3213]" miterlimit="8" joinstyle="miter"/>
                <v:imagedata o:title=""/>
                <o:lock v:ext="edit" aspectratio="f"/>
                <v:textbox>
                  <w:txbxContent>
                    <w:p w14:paraId="39E3848F">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项目所在地</w:t>
                      </w:r>
                    </w:p>
                  </w:txbxContent>
                </v:textbox>
              </v:shape>
            </w:pict>
          </mc:Fallback>
        </mc:AlternateContent>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2028190</wp:posOffset>
                </wp:positionH>
                <wp:positionV relativeFrom="paragraph">
                  <wp:posOffset>2270125</wp:posOffset>
                </wp:positionV>
                <wp:extent cx="144780" cy="128270"/>
                <wp:effectExtent l="34290" t="26670" r="49530" b="35560"/>
                <wp:wrapNone/>
                <wp:docPr id="31" name="十字星 31"/>
                <wp:cNvGraphicFramePr/>
                <a:graphic xmlns:a="http://schemas.openxmlformats.org/drawingml/2006/main">
                  <a:graphicData uri="http://schemas.microsoft.com/office/word/2010/wordprocessingShape">
                    <wps:wsp>
                      <wps:cNvSpPr/>
                      <wps:spPr>
                        <a:xfrm>
                          <a:off x="3199765" y="3209925"/>
                          <a:ext cx="144780" cy="128270"/>
                        </a:xfrm>
                        <a:prstGeom prst="star4">
                          <a:avLst/>
                        </a:prstGeom>
                        <a:solidFill>
                          <a:srgbClr val="FF0000"/>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87" type="#_x0000_t187" style="position:absolute;left:0pt;margin-left:159.7pt;margin-top:178.75pt;height:10.1pt;width:11.4pt;z-index:251662336;v-text-anchor:middle;mso-width-relative:page;mso-height-relative:page;" fillcolor="#FF0000" filled="t" stroked="t" coordsize="21600,21600" o:gfxdata="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HzQLXHZAAAACwEAAA8AAAAAAAAAAQAg&#10;AAAAIgAAAGRycy9kb3ducmV2LnhtbFBLAQIUABQAAAAIAIdO4kCs9JSrfwIAAAUFAAAOAAAAAAAA&#10;AAEAIAAAACgBAABkcnMvZTJvRG9jLnhtbFBLBQYAAAAABgAGAFkBAAAZBgAAAAA=&#10;" adj="8100">
                <v:fill on="t" focussize="0,0"/>
                <v:stroke weight="1pt" color="#000000 [3213]" miterlimit="8" joinstyle="miter"/>
                <v:imagedata o:title=""/>
                <o:lock v:ext="edit" aspectratio="f"/>
              </v:shape>
            </w:pict>
          </mc:Fallback>
        </mc:AlternateContent>
      </w:r>
      <w:r>
        <w:rPr>
          <w:rFonts w:hint="default"/>
          <w:b/>
          <w:bCs/>
          <w:color w:val="000000" w:themeColor="text1"/>
          <w:highlight w:val="none"/>
          <w:lang w:val="en-US" w:eastAsia="zh-CN"/>
          <w14:textFill>
            <w14:solidFill>
              <w14:schemeClr w14:val="tx1"/>
            </w14:solidFill>
          </w14:textFill>
        </w:rPr>
        <w:drawing>
          <wp:inline distT="0" distB="0" distL="114300" distR="114300">
            <wp:extent cx="5028565" cy="7108825"/>
            <wp:effectExtent l="0" t="0" r="635" b="15875"/>
            <wp:docPr id="98" name="图片 98" descr="重点区分区图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重点区分区图1025"/>
                    <pic:cNvPicPr>
                      <a:picLocks noChangeAspect="1"/>
                    </pic:cNvPicPr>
                  </pic:nvPicPr>
                  <pic:blipFill>
                    <a:blip r:embed="rId37"/>
                    <a:stretch>
                      <a:fillRect/>
                    </a:stretch>
                  </pic:blipFill>
                  <pic:spPr>
                    <a:xfrm>
                      <a:off x="0" y="0"/>
                      <a:ext cx="5028565" cy="7108825"/>
                    </a:xfrm>
                    <a:prstGeom prst="rect">
                      <a:avLst/>
                    </a:prstGeom>
                  </pic:spPr>
                </pic:pic>
              </a:graphicData>
            </a:graphic>
          </wp:inline>
        </w:drawing>
      </w:r>
    </w:p>
    <w:p w14:paraId="7486389E">
      <w:pPr>
        <w:pStyle w:val="48"/>
        <w:ind w:firstLine="0"/>
        <w:jc w:val="center"/>
        <w:rPr>
          <w:rFonts w:hint="default"/>
          <w:b/>
          <w:bCs/>
          <w:color w:val="000000" w:themeColor="text1"/>
          <w:highlight w:val="none"/>
          <w:lang w:val="en-US" w:eastAsia="zh-CN"/>
          <w14:textFill>
            <w14:solidFill>
              <w14:schemeClr w14:val="tx1"/>
            </w14:solidFill>
          </w14:textFill>
        </w:rPr>
      </w:pPr>
    </w:p>
    <w:p w14:paraId="76D288C2">
      <w:pPr>
        <w:numPr>
          <w:ilvl w:val="0"/>
          <w:numId w:val="13"/>
        </w:numPr>
        <w:ind w:left="425" w:leftChars="0" w:hanging="425" w:firstLineChars="0"/>
        <w:jc w:val="center"/>
        <w:outlineLvl w:val="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sectPr>
          <w:pgSz w:w="11906" w:h="16838"/>
          <w:pgMar w:top="1440" w:right="1800" w:bottom="1440" w:left="1800" w:header="851" w:footer="992" w:gutter="0"/>
          <w:cols w:space="425" w:num="1"/>
          <w:docGrid w:type="lines" w:linePitch="312" w:charSpace="0"/>
        </w:sectPr>
      </w:pPr>
      <w:bookmarkStart w:id="443" w:name="_Toc29129"/>
      <w:r>
        <w:rPr>
          <w:rFonts w:hint="eastAsia" w:ascii="Times New Roman" w:hAnsi="Times New Roman" w:eastAsia="宋体" w:cs="Times New Roman"/>
          <w:b/>
          <w:color w:val="000000" w:themeColor="text1"/>
          <w:szCs w:val="21"/>
          <w:highlight w:val="none"/>
          <w:lang w:val="en-US" w:eastAsia="zh-CN"/>
          <w14:textFill>
            <w14:solidFill>
              <w14:schemeClr w14:val="tx1"/>
            </w14:solidFill>
          </w14:textFill>
        </w:rPr>
        <w:t>中山市地下水污染防治重点区分区图</w:t>
      </w:r>
      <w:bookmarkEnd w:id="443"/>
    </w:p>
    <w:p w14:paraId="7E28077A">
      <w:pPr>
        <w:pStyle w:val="48"/>
        <w:ind w:firstLine="0"/>
        <w:outlineLvl w:val="0"/>
        <w:rPr>
          <w:rFonts w:hint="default" w:ascii="Times New Roman" w:hAnsi="Times New Roman" w:eastAsia="宋体" w:cs="Times New Roman"/>
          <w:color w:val="000000" w:themeColor="text1"/>
          <w:highlight w:val="none"/>
          <w14:textFill>
            <w14:solidFill>
              <w14:schemeClr w14:val="tx1"/>
            </w14:solidFill>
          </w14:textFill>
        </w:rPr>
      </w:pPr>
      <w:bookmarkStart w:id="444" w:name="_Toc17764"/>
      <w:r>
        <w:rPr>
          <w:rFonts w:hint="default" w:ascii="Times New Roman" w:hAnsi="Times New Roman" w:eastAsia="宋体" w:cs="Times New Roman"/>
          <w:b/>
          <w:bCs/>
          <w:color w:val="000000" w:themeColor="text1"/>
          <w:sz w:val="24"/>
          <w:highlight w:val="none"/>
          <w14:textFill>
            <w14:solidFill>
              <w14:schemeClr w14:val="tx1"/>
            </w14:solidFill>
          </w14:textFill>
        </w:rPr>
        <w:t>附件1 大气引用监测报告</w:t>
      </w:r>
      <w:bookmarkEnd w:id="444"/>
    </w:p>
    <w:p w14:paraId="20A6CA00">
      <w:pPr>
        <w:rPr>
          <w:color w:val="000000" w:themeColor="text1"/>
          <w:highlight w:val="none"/>
          <w14:textFill>
            <w14:solidFill>
              <w14:schemeClr w14:val="tx1"/>
            </w14:solidFill>
          </w14:textFill>
        </w:rPr>
        <w:sectPr>
          <w:pgSz w:w="11906" w:h="16838"/>
          <w:pgMar w:top="1440" w:right="1800" w:bottom="1440" w:left="1080" w:header="851" w:footer="992" w:gutter="0"/>
          <w:pgNumType w:fmt="decimal"/>
          <w:cols w:space="425" w:num="1"/>
          <w:docGrid w:type="lines" w:linePitch="312" w:charSpace="0"/>
        </w:sectPr>
      </w:pPr>
      <w:r>
        <w:rPr>
          <w:color w:val="000000" w:themeColor="text1"/>
          <w:highlight w:val="none"/>
          <w14:textFill>
            <w14:solidFill>
              <w14:schemeClr w14:val="tx1"/>
            </w14:solidFill>
          </w14:textFill>
        </w:rPr>
        <w:drawing>
          <wp:inline distT="0" distB="0" distL="114300" distR="114300">
            <wp:extent cx="5687060" cy="8038465"/>
            <wp:effectExtent l="0" t="0" r="8890" b="635"/>
            <wp:docPr id="48" name="图片 1" descr="【盖章版】NTC20230518002001-1中山市聚诚达实业投资有限公司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descr="【盖章版】NTC20230518002001-1中山市聚诚达实业投资有限公司0000"/>
                    <pic:cNvPicPr>
                      <a:picLocks noChangeAspect="1"/>
                    </pic:cNvPicPr>
                  </pic:nvPicPr>
                  <pic:blipFill>
                    <a:blip r:embed="rId38"/>
                    <a:stretch>
                      <a:fillRect/>
                    </a:stretch>
                  </pic:blipFill>
                  <pic:spPr>
                    <a:xfrm>
                      <a:off x="0" y="0"/>
                      <a:ext cx="5687060" cy="8038465"/>
                    </a:xfrm>
                    <a:prstGeom prst="rect">
                      <a:avLst/>
                    </a:prstGeom>
                    <a:noFill/>
                    <a:ln>
                      <a:noFill/>
                    </a:ln>
                  </pic:spPr>
                </pic:pic>
              </a:graphicData>
            </a:graphic>
          </wp:inline>
        </w:drawing>
      </w:r>
    </w:p>
    <w:p w14:paraId="624F1A03">
      <w:pPr>
        <w:rPr>
          <w:color w:val="000000" w:themeColor="text1"/>
          <w:highlight w:val="none"/>
          <w14:textFill>
            <w14:solidFill>
              <w14:schemeClr w14:val="tx1"/>
            </w14:solidFill>
          </w14:textFill>
        </w:rPr>
        <w:sectPr>
          <w:pgSz w:w="11906" w:h="16838"/>
          <w:pgMar w:top="1440" w:right="1800" w:bottom="1440" w:left="1080" w:header="851" w:footer="992" w:gutter="0"/>
          <w:pgNumType w:fmt="decimal"/>
          <w:cols w:space="425" w:num="1"/>
          <w:docGrid w:type="lines" w:linePitch="312" w:charSpace="0"/>
        </w:sectPr>
      </w:pPr>
      <w:r>
        <w:rPr>
          <w:color w:val="000000" w:themeColor="text1"/>
          <w:highlight w:val="none"/>
          <w14:textFill>
            <w14:solidFill>
              <w14:schemeClr w14:val="tx1"/>
            </w14:solidFill>
          </w14:textFill>
        </w:rPr>
        <w:drawing>
          <wp:inline distT="0" distB="0" distL="114300" distR="114300">
            <wp:extent cx="5687060" cy="8038465"/>
            <wp:effectExtent l="0" t="0" r="8890" b="635"/>
            <wp:docPr id="49" name="图片 2" descr="【盖章版】NTC20230518002001-1中山市聚诚达实业投资有限公司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descr="【盖章版】NTC20230518002001-1中山市聚诚达实业投资有限公司0001"/>
                    <pic:cNvPicPr>
                      <a:picLocks noChangeAspect="1"/>
                    </pic:cNvPicPr>
                  </pic:nvPicPr>
                  <pic:blipFill>
                    <a:blip r:embed="rId39"/>
                    <a:stretch>
                      <a:fillRect/>
                    </a:stretch>
                  </pic:blipFill>
                  <pic:spPr>
                    <a:xfrm>
                      <a:off x="0" y="0"/>
                      <a:ext cx="5687060" cy="8038465"/>
                    </a:xfrm>
                    <a:prstGeom prst="rect">
                      <a:avLst/>
                    </a:prstGeom>
                    <a:noFill/>
                    <a:ln>
                      <a:noFill/>
                    </a:ln>
                  </pic:spPr>
                </pic:pic>
              </a:graphicData>
            </a:graphic>
          </wp:inline>
        </w:drawing>
      </w:r>
    </w:p>
    <w:p w14:paraId="036BAA37">
      <w:pPr>
        <w:rPr>
          <w:color w:val="000000" w:themeColor="text1"/>
          <w:highlight w:val="none"/>
          <w14:textFill>
            <w14:solidFill>
              <w14:schemeClr w14:val="tx1"/>
            </w14:solidFill>
          </w14:textFill>
        </w:rPr>
        <w:sectPr>
          <w:pgSz w:w="11906" w:h="16838"/>
          <w:pgMar w:top="1440" w:right="1800" w:bottom="1440" w:left="1080" w:header="851" w:footer="992" w:gutter="0"/>
          <w:pgNumType w:fmt="decimal"/>
          <w:cols w:space="425" w:num="1"/>
          <w:docGrid w:type="lines" w:linePitch="312" w:charSpace="0"/>
        </w:sectPr>
      </w:pPr>
      <w:r>
        <w:rPr>
          <w:color w:val="000000" w:themeColor="text1"/>
          <w:highlight w:val="none"/>
          <w14:textFill>
            <w14:solidFill>
              <w14:schemeClr w14:val="tx1"/>
            </w14:solidFill>
          </w14:textFill>
        </w:rPr>
        <w:drawing>
          <wp:inline distT="0" distB="0" distL="114300" distR="114300">
            <wp:extent cx="5687060" cy="8038465"/>
            <wp:effectExtent l="0" t="0" r="8890" b="635"/>
            <wp:docPr id="50" name="图片 3" descr="【盖章版】NTC20230518002001-1中山市聚诚达实业投资有限公司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 descr="【盖章版】NTC20230518002001-1中山市聚诚达实业投资有限公司0002"/>
                    <pic:cNvPicPr>
                      <a:picLocks noChangeAspect="1"/>
                    </pic:cNvPicPr>
                  </pic:nvPicPr>
                  <pic:blipFill>
                    <a:blip r:embed="rId40"/>
                    <a:stretch>
                      <a:fillRect/>
                    </a:stretch>
                  </pic:blipFill>
                  <pic:spPr>
                    <a:xfrm>
                      <a:off x="0" y="0"/>
                      <a:ext cx="5687060" cy="8038465"/>
                    </a:xfrm>
                    <a:prstGeom prst="rect">
                      <a:avLst/>
                    </a:prstGeom>
                    <a:noFill/>
                    <a:ln>
                      <a:noFill/>
                    </a:ln>
                  </pic:spPr>
                </pic:pic>
              </a:graphicData>
            </a:graphic>
          </wp:inline>
        </w:drawing>
      </w:r>
    </w:p>
    <w:p w14:paraId="1BDB0954">
      <w:pPr>
        <w:rPr>
          <w:color w:val="000000" w:themeColor="text1"/>
          <w:highlight w:val="none"/>
          <w14:textFill>
            <w14:solidFill>
              <w14:schemeClr w14:val="tx1"/>
            </w14:solidFill>
          </w14:textFill>
        </w:rPr>
        <w:sectPr>
          <w:pgSz w:w="11906" w:h="16838"/>
          <w:pgMar w:top="1440" w:right="1800" w:bottom="1440" w:left="1080" w:header="851" w:footer="992" w:gutter="0"/>
          <w:pgNumType w:fmt="decimal"/>
          <w:cols w:space="425" w:num="1"/>
          <w:docGrid w:type="lines" w:linePitch="312" w:charSpace="0"/>
        </w:sectPr>
      </w:pPr>
      <w:r>
        <w:rPr>
          <w:color w:val="000000" w:themeColor="text1"/>
          <w:highlight w:val="none"/>
          <w14:textFill>
            <w14:solidFill>
              <w14:schemeClr w14:val="tx1"/>
            </w14:solidFill>
          </w14:textFill>
        </w:rPr>
        <w:drawing>
          <wp:inline distT="0" distB="0" distL="114300" distR="114300">
            <wp:extent cx="5687060" cy="8038465"/>
            <wp:effectExtent l="0" t="0" r="8890" b="635"/>
            <wp:docPr id="51" name="图片 4" descr="【盖章版】NTC20230518002001-1中山市聚诚达实业投资有限公司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 descr="【盖章版】NTC20230518002001-1中山市聚诚达实业投资有限公司0005"/>
                    <pic:cNvPicPr>
                      <a:picLocks noChangeAspect="1"/>
                    </pic:cNvPicPr>
                  </pic:nvPicPr>
                  <pic:blipFill>
                    <a:blip r:embed="rId41"/>
                    <a:stretch>
                      <a:fillRect/>
                    </a:stretch>
                  </pic:blipFill>
                  <pic:spPr>
                    <a:xfrm>
                      <a:off x="0" y="0"/>
                      <a:ext cx="5687060" cy="8038465"/>
                    </a:xfrm>
                    <a:prstGeom prst="rect">
                      <a:avLst/>
                    </a:prstGeom>
                    <a:noFill/>
                    <a:ln>
                      <a:noFill/>
                    </a:ln>
                  </pic:spPr>
                </pic:pic>
              </a:graphicData>
            </a:graphic>
          </wp:inline>
        </w:drawing>
      </w:r>
    </w:p>
    <w:p w14:paraId="799542FB">
      <w:pPr>
        <w:pStyle w:val="48"/>
        <w:ind w:firstLine="0"/>
        <w:jc w:val="center"/>
        <w:rPr>
          <w:rFonts w:hint="default" w:ascii="Times New Roman" w:hAnsi="Times New Roman" w:eastAsia="宋体" w:cs="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5197475" cy="7346950"/>
            <wp:effectExtent l="0" t="0" r="3175" b="6350"/>
            <wp:docPr id="52" name="图片 5" descr="【盖章版】NTC20230518002001-1中山市聚诚达实业投资有限公司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 descr="【盖章版】NTC20230518002001-1中山市聚诚达实业投资有限公司0010"/>
                    <pic:cNvPicPr>
                      <a:picLocks noChangeAspect="1"/>
                    </pic:cNvPicPr>
                  </pic:nvPicPr>
                  <pic:blipFill>
                    <a:blip r:embed="rId42"/>
                    <a:stretch>
                      <a:fillRect/>
                    </a:stretch>
                  </pic:blipFill>
                  <pic:spPr>
                    <a:xfrm>
                      <a:off x="0" y="0"/>
                      <a:ext cx="5197475" cy="734695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5300980" cy="7493000"/>
            <wp:effectExtent l="0" t="0" r="13970" b="12700"/>
            <wp:docPr id="53" name="图片 6" descr="【盖章版】NTC20230518002001-1中山市聚诚达实业投资有限公司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6" descr="【盖章版】NTC20230518002001-1中山市聚诚达实业投资有限公司0011"/>
                    <pic:cNvPicPr>
                      <a:picLocks noChangeAspect="1"/>
                    </pic:cNvPicPr>
                  </pic:nvPicPr>
                  <pic:blipFill>
                    <a:blip r:embed="rId43"/>
                    <a:stretch>
                      <a:fillRect/>
                    </a:stretch>
                  </pic:blipFill>
                  <pic:spPr>
                    <a:xfrm>
                      <a:off x="0" y="0"/>
                      <a:ext cx="5300980" cy="749300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5210810" cy="7365365"/>
            <wp:effectExtent l="0" t="0" r="8890" b="6985"/>
            <wp:docPr id="54" name="图片 7" descr="【盖章版】NTC20230518002001-1中山市聚诚达实业投资有限公司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7" descr="【盖章版】NTC20230518002001-1中山市聚诚达实业投资有限公司0013"/>
                    <pic:cNvPicPr>
                      <a:picLocks noChangeAspect="1"/>
                    </pic:cNvPicPr>
                  </pic:nvPicPr>
                  <pic:blipFill>
                    <a:blip r:embed="rId44"/>
                    <a:stretch>
                      <a:fillRect/>
                    </a:stretch>
                  </pic:blipFill>
                  <pic:spPr>
                    <a:xfrm>
                      <a:off x="0" y="0"/>
                      <a:ext cx="5210810" cy="7365365"/>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5233670" cy="7397750"/>
            <wp:effectExtent l="0" t="0" r="5080" b="12700"/>
            <wp:docPr id="55" name="图片 8" descr="【盖章版】NTC20230518002001-1中山市聚诚达实业投资有限公司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8" descr="【盖章版】NTC20230518002001-1中山市聚诚达实业投资有限公司0038"/>
                    <pic:cNvPicPr>
                      <a:picLocks noChangeAspect="1"/>
                    </pic:cNvPicPr>
                  </pic:nvPicPr>
                  <pic:blipFill>
                    <a:blip r:embed="rId45"/>
                    <a:stretch>
                      <a:fillRect/>
                    </a:stretch>
                  </pic:blipFill>
                  <pic:spPr>
                    <a:xfrm>
                      <a:off x="0" y="0"/>
                      <a:ext cx="5233670" cy="7397750"/>
                    </a:xfrm>
                    <a:prstGeom prst="rect">
                      <a:avLst/>
                    </a:prstGeom>
                    <a:noFill/>
                    <a:ln>
                      <a:noFill/>
                    </a:ln>
                  </pic:spPr>
                </pic:pic>
              </a:graphicData>
            </a:graphic>
          </wp:inline>
        </w:drawing>
      </w:r>
    </w:p>
    <w:p w14:paraId="14AE224B">
      <w:pPr>
        <w:pStyle w:val="48"/>
        <w:ind w:firstLine="0"/>
        <w:jc w:val="center"/>
        <w:rPr>
          <w:rFonts w:hint="default" w:ascii="Times New Roman" w:hAnsi="Times New Roman" w:eastAsia="宋体" w:cs="Times New Roman"/>
          <w:color w:val="000000" w:themeColor="text1"/>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71362BF9">
      <w:pPr>
        <w:pStyle w:val="48"/>
        <w:ind w:firstLine="0"/>
        <w:outlineLvl w:val="0"/>
        <w:rPr>
          <w:rFonts w:hint="default" w:ascii="Times New Roman" w:hAnsi="Times New Roman" w:cs="Times New Roman"/>
          <w:color w:val="000000" w:themeColor="text1"/>
          <w:highlight w:val="none"/>
          <w14:textFill>
            <w14:solidFill>
              <w14:schemeClr w14:val="tx1"/>
            </w14:solidFill>
          </w14:textFill>
        </w:rPr>
      </w:pPr>
      <w:bookmarkStart w:id="445" w:name="_Toc14883"/>
      <w:r>
        <w:rPr>
          <w:rFonts w:hint="default" w:ascii="Times New Roman" w:hAnsi="Times New Roman" w:eastAsia="宋体" w:cs="Times New Roman"/>
          <w:b/>
          <w:bCs/>
          <w:color w:val="000000" w:themeColor="text1"/>
          <w:sz w:val="24"/>
          <w:highlight w:val="none"/>
          <w14:textFill>
            <w14:solidFill>
              <w14:schemeClr w14:val="tx1"/>
            </w14:solidFill>
          </w14:textFill>
        </w:rPr>
        <w:t>附件2 类比废水监测报告</w:t>
      </w:r>
      <w:bookmarkEnd w:id="445"/>
    </w:p>
    <w:p w14:paraId="4DC520BE">
      <w:pPr>
        <w:pStyle w:val="18"/>
        <w:jc w:val="center"/>
        <w:rPr>
          <w:rFonts w:hint="default"/>
          <w:color w:val="000000" w:themeColor="text1"/>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r>
        <w:rPr>
          <w:color w:val="000000" w:themeColor="text1"/>
          <w:highlight w:val="none"/>
          <w14:textFill>
            <w14:solidFill>
              <w14:schemeClr w14:val="tx1"/>
            </w14:solidFill>
          </w14:textFill>
        </w:rPr>
        <w:drawing>
          <wp:inline distT="0" distB="0" distL="114300" distR="114300">
            <wp:extent cx="4933950" cy="6940550"/>
            <wp:effectExtent l="0" t="0" r="0" b="1270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46"/>
                    <a:stretch>
                      <a:fillRect/>
                    </a:stretch>
                  </pic:blipFill>
                  <pic:spPr>
                    <a:xfrm>
                      <a:off x="0" y="0"/>
                      <a:ext cx="4933950" cy="694055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4902200" cy="6838950"/>
            <wp:effectExtent l="0" t="0" r="12700" b="0"/>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r:embed="rId47"/>
                    <a:stretch>
                      <a:fillRect/>
                    </a:stretch>
                  </pic:blipFill>
                  <pic:spPr>
                    <a:xfrm>
                      <a:off x="0" y="0"/>
                      <a:ext cx="4902200" cy="683895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4902200" cy="6902450"/>
            <wp:effectExtent l="0" t="0" r="12700" b="12700"/>
            <wp:docPr id="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pic:cNvPicPr>
                      <a:picLocks noChangeAspect="1"/>
                    </pic:cNvPicPr>
                  </pic:nvPicPr>
                  <pic:blipFill>
                    <a:blip r:embed="rId48"/>
                    <a:stretch>
                      <a:fillRect/>
                    </a:stretch>
                  </pic:blipFill>
                  <pic:spPr>
                    <a:xfrm>
                      <a:off x="0" y="0"/>
                      <a:ext cx="4902200" cy="690245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4883150" cy="6915150"/>
            <wp:effectExtent l="0" t="0" r="12700" b="0"/>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r:embed="rId49"/>
                    <a:stretch>
                      <a:fillRect/>
                    </a:stretch>
                  </pic:blipFill>
                  <pic:spPr>
                    <a:xfrm>
                      <a:off x="0" y="0"/>
                      <a:ext cx="4883150" cy="691515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4552950" cy="6543675"/>
            <wp:effectExtent l="0" t="0" r="0" b="9525"/>
            <wp:docPr id="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
                    <pic:cNvPicPr>
                      <a:picLocks noChangeAspect="1"/>
                    </pic:cNvPicPr>
                  </pic:nvPicPr>
                  <pic:blipFill>
                    <a:blip r:embed="rId50"/>
                    <a:stretch>
                      <a:fillRect/>
                    </a:stretch>
                  </pic:blipFill>
                  <pic:spPr>
                    <a:xfrm>
                      <a:off x="0" y="0"/>
                      <a:ext cx="4552950" cy="6543675"/>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4514850" cy="6276975"/>
            <wp:effectExtent l="0" t="0" r="0" b="9525"/>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51"/>
                    <a:stretch>
                      <a:fillRect/>
                    </a:stretch>
                  </pic:blipFill>
                  <pic:spPr>
                    <a:xfrm>
                      <a:off x="0" y="0"/>
                      <a:ext cx="4514850" cy="6276975"/>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4533900" cy="6496050"/>
            <wp:effectExtent l="0" t="0" r="0" b="0"/>
            <wp:docPr id="3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
                    <pic:cNvPicPr>
                      <a:picLocks noChangeAspect="1"/>
                    </pic:cNvPicPr>
                  </pic:nvPicPr>
                  <pic:blipFill>
                    <a:blip r:embed="rId52"/>
                    <a:stretch>
                      <a:fillRect/>
                    </a:stretch>
                  </pic:blipFill>
                  <pic:spPr>
                    <a:xfrm>
                      <a:off x="0" y="0"/>
                      <a:ext cx="4533900" cy="6496050"/>
                    </a:xfrm>
                    <a:prstGeom prst="rect">
                      <a:avLst/>
                    </a:prstGeom>
                    <a:noFill/>
                    <a:ln>
                      <a:noFill/>
                    </a:ln>
                  </pic:spPr>
                </pic:pic>
              </a:graphicData>
            </a:graphic>
          </wp:inline>
        </w:drawing>
      </w:r>
    </w:p>
    <w:p w14:paraId="32905CA3">
      <w:pPr>
        <w:pStyle w:val="48"/>
        <w:ind w:firstLine="0"/>
        <w:outlineLvl w:val="0"/>
        <w:rPr>
          <w:rFonts w:hint="default" w:ascii="Times New Roman" w:hAnsi="Times New Roman" w:eastAsia="宋体" w:cs="Times New Roman"/>
          <w:b/>
          <w:bCs/>
          <w:color w:val="000000" w:themeColor="text1"/>
          <w:sz w:val="24"/>
          <w:highlight w:val="none"/>
          <w:lang w:val="en-US"/>
          <w14:textFill>
            <w14:solidFill>
              <w14:schemeClr w14:val="tx1"/>
            </w14:solidFill>
          </w14:textFill>
        </w:rPr>
      </w:pPr>
      <w:bookmarkStart w:id="446" w:name="_Toc2401"/>
      <w:r>
        <w:rPr>
          <w:rFonts w:hint="default" w:ascii="Times New Roman" w:hAnsi="Times New Roman" w:eastAsia="宋体" w:cs="Times New Roman"/>
          <w:b/>
          <w:bCs/>
          <w:color w:val="000000" w:themeColor="text1"/>
          <w:sz w:val="24"/>
          <w:highlight w:val="none"/>
          <w14:textFill>
            <w14:solidFill>
              <w14:schemeClr w14:val="tx1"/>
            </w14:solidFill>
          </w14:textFill>
        </w:rPr>
        <w:t>附件</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highlight w:val="none"/>
          <w14:textFill>
            <w14:solidFill>
              <w14:schemeClr w14:val="tx1"/>
            </w14:solidFill>
          </w14:textFill>
        </w:rPr>
        <w:t xml:space="preserve"> </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高新技术企业证书</w:t>
      </w:r>
      <w:bookmarkEnd w:id="446"/>
    </w:p>
    <w:p w14:paraId="2A66690D">
      <w:pPr>
        <w:pStyle w:val="18"/>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6654165" cy="4505325"/>
            <wp:effectExtent l="0" t="0" r="13335" b="9525"/>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pic:cNvPicPr>
                  </pic:nvPicPr>
                  <pic:blipFill>
                    <a:blip r:embed="rId53"/>
                    <a:stretch>
                      <a:fillRect/>
                    </a:stretch>
                  </pic:blipFill>
                  <pic:spPr>
                    <a:xfrm>
                      <a:off x="0" y="0"/>
                      <a:ext cx="6654165" cy="4505325"/>
                    </a:xfrm>
                    <a:prstGeom prst="rect">
                      <a:avLst/>
                    </a:prstGeom>
                    <a:noFill/>
                    <a:ln>
                      <a:noFill/>
                    </a:ln>
                  </pic:spPr>
                </pic:pic>
              </a:graphicData>
            </a:graphic>
          </wp:inline>
        </w:drawing>
      </w:r>
    </w:p>
    <w:p w14:paraId="3B61B56E">
      <w:pPr>
        <w:pStyle w:val="19"/>
        <w:rPr>
          <w:color w:val="000000" w:themeColor="text1"/>
          <w:highlight w:val="none"/>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p>
    <w:p w14:paraId="6ADCD6FF">
      <w:pPr>
        <w:pStyle w:val="48"/>
        <w:ind w:firstLine="0"/>
        <w:outlineLvl w:val="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bookmarkStart w:id="447" w:name="_Toc24228"/>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附件4 中环建登[2004]05464号</w:t>
      </w:r>
      <w:bookmarkEnd w:id="447"/>
    </w:p>
    <w:p w14:paraId="726A45E7">
      <w:pPr>
        <w:pStyle w:val="40"/>
        <w:rPr>
          <w:rFonts w:hint="eastAsia"/>
          <w:color w:val="000000" w:themeColor="text1"/>
          <w:highlight w:val="none"/>
          <w:lang w:val="en-US" w:eastAsia="zh-CN"/>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5274310" cy="7244080"/>
            <wp:effectExtent l="0" t="0" r="2540" b="13970"/>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54"/>
                    <a:stretch>
                      <a:fillRect/>
                    </a:stretch>
                  </pic:blipFill>
                  <pic:spPr>
                    <a:xfrm>
                      <a:off x="0" y="0"/>
                      <a:ext cx="5274310" cy="7244080"/>
                    </a:xfrm>
                    <a:prstGeom prst="rect">
                      <a:avLst/>
                    </a:prstGeom>
                    <a:noFill/>
                    <a:ln>
                      <a:noFill/>
                    </a:ln>
                  </pic:spPr>
                </pic:pic>
              </a:graphicData>
            </a:graphic>
          </wp:inline>
        </w:drawing>
      </w:r>
      <w:r>
        <w:rPr>
          <w:color w:val="000000" w:themeColor="text1"/>
          <w:highlight w:val="none"/>
          <w14:textFill>
            <w14:solidFill>
              <w14:schemeClr w14:val="tx1"/>
            </w14:solidFill>
          </w14:textFill>
        </w:rPr>
        <w:drawing>
          <wp:inline distT="0" distB="0" distL="114300" distR="114300">
            <wp:extent cx="5269230" cy="7250430"/>
            <wp:effectExtent l="0" t="0" r="7620" b="7620"/>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55"/>
                    <a:stretch>
                      <a:fillRect/>
                    </a:stretch>
                  </pic:blipFill>
                  <pic:spPr>
                    <a:xfrm>
                      <a:off x="0" y="0"/>
                      <a:ext cx="5269230" cy="725043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MS Mincho">
    <w:altName w:val="MS UI Gothic"/>
    <w:panose1 w:val="02020609040205080304"/>
    <w:charset w:val="80"/>
    <w:family w:val="modern"/>
    <w:pitch w:val="default"/>
    <w:sig w:usb0="00000000" w:usb1="00000000" w:usb2="00000012" w:usb3="00000000" w:csb0="4002009F" w:csb1="DFD70000"/>
  </w:font>
  <w:font w:name="MS UI Gothic">
    <w:panose1 w:val="020B0600070205080204"/>
    <w:charset w:val="80"/>
    <w:family w:val="auto"/>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EA116">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322AC">
    <w:pPr>
      <w:pStyle w:val="26"/>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2540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2516E3">
                          <w:pPr>
                            <w:pStyle w:val="26"/>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2pt;height:144pt;width:144pt;mso-position-horizontal:center;mso-position-horizontal-relative:margin;mso-wrap-style:none;z-index:251667456;mso-width-relative:page;mso-height-relative:page;" filled="f" stroked="f" coordsize="21600,21600" o:gfxdata="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uEmNp0gAAAAUBAAAPAAAAAAAAAAEAIAAAACIAAABkcnMvZG93bnJldi54bWxQSwECFAAUAAAA&#10;CACHTuJA09Drgy0CAABXBAAADgAAAAAAAAABACAAAAAhAQAAZHJzL2Uyb0RvYy54bWxQSwUGAAAA&#10;AAYABgBZAQAAwAUAAAAA&#10;">
              <v:fill on="f" focussize="0,0"/>
              <v:stroke on="f" weight="0.5pt"/>
              <v:imagedata o:title=""/>
              <o:lock v:ext="edit" aspectratio="f"/>
              <v:textbox inset="0mm,0mm,0mm,0mm" style="mso-fit-shape-to-text:t;">
                <w:txbxContent>
                  <w:p w14:paraId="672516E3">
                    <w:pPr>
                      <w:pStyle w:val="26"/>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E10B5">
    <w:pPr>
      <w:pStyle w:val="26"/>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31AA3D">
                          <w:pPr>
                            <w:pStyle w:val="2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5B31AA3D">
                    <w:pPr>
                      <w:pStyle w:val="26"/>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3F55F">
    <w:pPr>
      <w:pStyle w:val="26"/>
      <w:ind w:right="36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A2C8C4">
                          <w:pPr>
                            <w:pStyle w:val="26"/>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23A2C8C4">
                    <w:pPr>
                      <w:pStyle w:val="26"/>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D2390">
    <w:pPr>
      <w:pStyle w:val="26"/>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5CD9D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075CD9D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94AC2">
    <w:pPr>
      <w:pStyle w:val="26"/>
      <w:rPr>
        <w:sz w:val="21"/>
        <w:szCs w:val="21"/>
      </w:rPr>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345294">
                          <w:pPr>
                            <w:pStyle w:val="26"/>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14:paraId="6C345294">
                    <w:pPr>
                      <w:pStyle w:val="26"/>
                    </w:pPr>
                    <w:r>
                      <w:fldChar w:fldCharType="begin"/>
                    </w:r>
                    <w:r>
                      <w:instrText xml:space="preserve"> PAGE  \* MERGEFORMAT </w:instrText>
                    </w:r>
                    <w:r>
                      <w:fldChar w:fldCharType="separate"/>
                    </w:r>
                    <w:r>
                      <w:t>45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1F7CB">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2C98C9"/>
    <w:multiLevelType w:val="singleLevel"/>
    <w:tmpl w:val="A22C98C9"/>
    <w:lvl w:ilvl="0" w:tentative="0">
      <w:start w:val="1"/>
      <w:numFmt w:val="decimal"/>
      <w:lvlText w:val="%1"/>
      <w:lvlJc w:val="left"/>
      <w:pPr>
        <w:tabs>
          <w:tab w:val="left" w:pos="420"/>
        </w:tabs>
        <w:ind w:left="425" w:leftChars="0" w:hanging="425" w:firstLineChars="0"/>
      </w:pPr>
      <w:rPr>
        <w:rFonts w:hint="default"/>
      </w:rPr>
    </w:lvl>
  </w:abstractNum>
  <w:abstractNum w:abstractNumId="1">
    <w:nsid w:val="C5C2F824"/>
    <w:multiLevelType w:val="singleLevel"/>
    <w:tmpl w:val="C5C2F824"/>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2">
    <w:nsid w:val="C750F2FF"/>
    <w:multiLevelType w:val="singleLevel"/>
    <w:tmpl w:val="C750F2FF"/>
    <w:lvl w:ilvl="0" w:tentative="0">
      <w:start w:val="1"/>
      <w:numFmt w:val="decimal"/>
      <w:pStyle w:val="67"/>
      <w:suff w:val="nothing"/>
      <w:lvlText w:val="表%1 "/>
      <w:lvlJc w:val="left"/>
      <w:pPr>
        <w:tabs>
          <w:tab w:val="left" w:pos="0"/>
        </w:tabs>
      </w:pPr>
      <w:rPr>
        <w:rFonts w:hint="default" w:ascii="宋体" w:hAnsi="宋体" w:eastAsia="宋体" w:cs="宋体"/>
      </w:rPr>
    </w:lvl>
  </w:abstractNum>
  <w:abstractNum w:abstractNumId="3">
    <w:nsid w:val="E46537E1"/>
    <w:multiLevelType w:val="singleLevel"/>
    <w:tmpl w:val="E46537E1"/>
    <w:lvl w:ilvl="0" w:tentative="0">
      <w:start w:val="1"/>
      <w:numFmt w:val="decimal"/>
      <w:lvlText w:val="%1"/>
      <w:lvlJc w:val="left"/>
      <w:pPr>
        <w:tabs>
          <w:tab w:val="left" w:pos="420"/>
        </w:tabs>
        <w:ind w:left="425" w:hanging="425"/>
      </w:pPr>
      <w:rPr>
        <w:rFonts w:hint="default"/>
      </w:rPr>
    </w:lvl>
  </w:abstractNum>
  <w:abstractNum w:abstractNumId="4">
    <w:nsid w:val="00000005"/>
    <w:multiLevelType w:val="multilevel"/>
    <w:tmpl w:val="00000005"/>
    <w:lvl w:ilvl="0" w:tentative="0">
      <w:start w:val="1"/>
      <w:numFmt w:val="decimal"/>
      <w:pStyle w:val="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9"/>
    <w:multiLevelType w:val="multilevel"/>
    <w:tmpl w:val="00000009"/>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8F12F09"/>
    <w:multiLevelType w:val="multilevel"/>
    <w:tmpl w:val="08F12F0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9B2195"/>
    <w:multiLevelType w:val="singleLevel"/>
    <w:tmpl w:val="239B2195"/>
    <w:lvl w:ilvl="0" w:tentative="0">
      <w:start w:val="1"/>
      <w:numFmt w:val="chineseCounting"/>
      <w:suff w:val="nothing"/>
      <w:lvlText w:val="%1、"/>
      <w:lvlJc w:val="left"/>
      <w:rPr>
        <w:rFonts w:hint="eastAsia"/>
      </w:rPr>
    </w:lvl>
  </w:abstractNum>
  <w:abstractNum w:abstractNumId="8">
    <w:nsid w:val="2E3A12EA"/>
    <w:multiLevelType w:val="multilevel"/>
    <w:tmpl w:val="2E3A12E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8412E7D"/>
    <w:multiLevelType w:val="singleLevel"/>
    <w:tmpl w:val="38412E7D"/>
    <w:lvl w:ilvl="0" w:tentative="0">
      <w:start w:val="1"/>
      <w:numFmt w:val="decimal"/>
      <w:lvlText w:val="附图%1"/>
      <w:lvlJc w:val="left"/>
      <w:pPr>
        <w:tabs>
          <w:tab w:val="left" w:pos="420"/>
        </w:tabs>
        <w:ind w:left="425" w:leftChars="0" w:hanging="425" w:firstLineChars="0"/>
      </w:pPr>
      <w:rPr>
        <w:rFonts w:hint="default"/>
      </w:rPr>
    </w:lvl>
  </w:abstractNum>
  <w:abstractNum w:abstractNumId="10">
    <w:nsid w:val="683E639F"/>
    <w:multiLevelType w:val="multilevel"/>
    <w:tmpl w:val="683E639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FE0886C"/>
    <w:multiLevelType w:val="multilevel"/>
    <w:tmpl w:val="6FE0886C"/>
    <w:lvl w:ilvl="0" w:tentative="0">
      <w:start w:val="1"/>
      <w:numFmt w:val="decimal"/>
      <w:pStyle w:val="5"/>
      <w:lvlText w:val="表%1"/>
      <w:lvlJc w:val="center"/>
      <w:pPr>
        <w:ind w:left="420" w:hanging="296"/>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FF4D3DE"/>
    <w:multiLevelType w:val="singleLevel"/>
    <w:tmpl w:val="6FF4D3DE"/>
    <w:lvl w:ilvl="0" w:tentative="0">
      <w:start w:val="1"/>
      <w:numFmt w:val="decimal"/>
      <w:lvlText w:val="%1"/>
      <w:lvlJc w:val="left"/>
      <w:pPr>
        <w:tabs>
          <w:tab w:val="left" w:pos="420"/>
        </w:tabs>
        <w:ind w:left="425" w:hanging="425"/>
      </w:pPr>
      <w:rPr>
        <w:rFonts w:hint="default"/>
      </w:rPr>
    </w:lvl>
  </w:abstractNum>
  <w:num w:numId="1">
    <w:abstractNumId w:val="4"/>
  </w:num>
  <w:num w:numId="2">
    <w:abstractNumId w:val="11"/>
  </w:num>
  <w:num w:numId="3">
    <w:abstractNumId w:val="1"/>
  </w:num>
  <w:num w:numId="4">
    <w:abstractNumId w:val="2"/>
  </w:num>
  <w:num w:numId="5">
    <w:abstractNumId w:val="7"/>
  </w:num>
  <w:num w:numId="6">
    <w:abstractNumId w:val="0"/>
  </w:num>
  <w:num w:numId="7">
    <w:abstractNumId w:val="8"/>
  </w:num>
  <w:num w:numId="8">
    <w:abstractNumId w:val="6"/>
  </w:num>
  <w:num w:numId="9">
    <w:abstractNumId w:val="10"/>
  </w:num>
  <w:num w:numId="10">
    <w:abstractNumId w:val="3"/>
  </w:num>
  <w:num w:numId="11">
    <w:abstractNumId w:val="12"/>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wYjgwYTM2ODcyOTZjMmU1YjQ2NjQ1NmU1Y2M4NWMifQ=="/>
  </w:docVars>
  <w:rsids>
    <w:rsidRoot w:val="00172A27"/>
    <w:rsid w:val="000005DF"/>
    <w:rsid w:val="00011287"/>
    <w:rsid w:val="00013652"/>
    <w:rsid w:val="000138BB"/>
    <w:rsid w:val="000171F6"/>
    <w:rsid w:val="00021072"/>
    <w:rsid w:val="000250AC"/>
    <w:rsid w:val="00035390"/>
    <w:rsid w:val="00036250"/>
    <w:rsid w:val="000437B0"/>
    <w:rsid w:val="0004619B"/>
    <w:rsid w:val="000560A1"/>
    <w:rsid w:val="000649F0"/>
    <w:rsid w:val="000675ED"/>
    <w:rsid w:val="00067744"/>
    <w:rsid w:val="0007452C"/>
    <w:rsid w:val="000756ED"/>
    <w:rsid w:val="000862EE"/>
    <w:rsid w:val="00090F86"/>
    <w:rsid w:val="00097D8E"/>
    <w:rsid w:val="000B463C"/>
    <w:rsid w:val="000C094E"/>
    <w:rsid w:val="000D3447"/>
    <w:rsid w:val="000D3697"/>
    <w:rsid w:val="000E0AE4"/>
    <w:rsid w:val="000E2020"/>
    <w:rsid w:val="000F0984"/>
    <w:rsid w:val="000F57D4"/>
    <w:rsid w:val="000F6E62"/>
    <w:rsid w:val="000F7292"/>
    <w:rsid w:val="00101222"/>
    <w:rsid w:val="00106192"/>
    <w:rsid w:val="001108E7"/>
    <w:rsid w:val="00110D00"/>
    <w:rsid w:val="00120D12"/>
    <w:rsid w:val="0012159B"/>
    <w:rsid w:val="00122A7A"/>
    <w:rsid w:val="001232D5"/>
    <w:rsid w:val="00124135"/>
    <w:rsid w:val="00127180"/>
    <w:rsid w:val="00140027"/>
    <w:rsid w:val="00150527"/>
    <w:rsid w:val="00150AAB"/>
    <w:rsid w:val="0015365C"/>
    <w:rsid w:val="00156985"/>
    <w:rsid w:val="00172A27"/>
    <w:rsid w:val="001742D5"/>
    <w:rsid w:val="001767C2"/>
    <w:rsid w:val="001774A6"/>
    <w:rsid w:val="00180BFD"/>
    <w:rsid w:val="001872F3"/>
    <w:rsid w:val="00192A1C"/>
    <w:rsid w:val="001A3051"/>
    <w:rsid w:val="001B2A0A"/>
    <w:rsid w:val="001B656F"/>
    <w:rsid w:val="001C0B0F"/>
    <w:rsid w:val="001C645A"/>
    <w:rsid w:val="001D3C5D"/>
    <w:rsid w:val="001E33B3"/>
    <w:rsid w:val="001E6400"/>
    <w:rsid w:val="001F092A"/>
    <w:rsid w:val="001F5F89"/>
    <w:rsid w:val="00210D0E"/>
    <w:rsid w:val="00220404"/>
    <w:rsid w:val="00220852"/>
    <w:rsid w:val="002226A0"/>
    <w:rsid w:val="00222A81"/>
    <w:rsid w:val="002238E2"/>
    <w:rsid w:val="002318F3"/>
    <w:rsid w:val="0023462E"/>
    <w:rsid w:val="002378CA"/>
    <w:rsid w:val="00240DDE"/>
    <w:rsid w:val="002419FA"/>
    <w:rsid w:val="0024437E"/>
    <w:rsid w:val="0025776F"/>
    <w:rsid w:val="0026425A"/>
    <w:rsid w:val="002778CD"/>
    <w:rsid w:val="002804C6"/>
    <w:rsid w:val="00282AAA"/>
    <w:rsid w:val="002830FB"/>
    <w:rsid w:val="002956AF"/>
    <w:rsid w:val="00295886"/>
    <w:rsid w:val="00296D40"/>
    <w:rsid w:val="0029708A"/>
    <w:rsid w:val="002A7A4F"/>
    <w:rsid w:val="002C016B"/>
    <w:rsid w:val="002C232C"/>
    <w:rsid w:val="002C260B"/>
    <w:rsid w:val="002D091C"/>
    <w:rsid w:val="002D415C"/>
    <w:rsid w:val="002D46E9"/>
    <w:rsid w:val="002D6468"/>
    <w:rsid w:val="002D6A3D"/>
    <w:rsid w:val="002E198E"/>
    <w:rsid w:val="002F0BCF"/>
    <w:rsid w:val="002F1615"/>
    <w:rsid w:val="00300185"/>
    <w:rsid w:val="00301E12"/>
    <w:rsid w:val="0030272E"/>
    <w:rsid w:val="003058EF"/>
    <w:rsid w:val="00306B11"/>
    <w:rsid w:val="00312DC4"/>
    <w:rsid w:val="00314A14"/>
    <w:rsid w:val="00321AC0"/>
    <w:rsid w:val="00331710"/>
    <w:rsid w:val="0033210A"/>
    <w:rsid w:val="00336753"/>
    <w:rsid w:val="00350B09"/>
    <w:rsid w:val="0036375B"/>
    <w:rsid w:val="00363BA8"/>
    <w:rsid w:val="00370B3B"/>
    <w:rsid w:val="00371B73"/>
    <w:rsid w:val="00376B66"/>
    <w:rsid w:val="00377818"/>
    <w:rsid w:val="00396FB7"/>
    <w:rsid w:val="003A0FF1"/>
    <w:rsid w:val="003A1CEE"/>
    <w:rsid w:val="003A246C"/>
    <w:rsid w:val="003A4C32"/>
    <w:rsid w:val="003A4F4D"/>
    <w:rsid w:val="003C1D07"/>
    <w:rsid w:val="003C42AC"/>
    <w:rsid w:val="003D0945"/>
    <w:rsid w:val="003D2176"/>
    <w:rsid w:val="003E0C9F"/>
    <w:rsid w:val="003E3AC6"/>
    <w:rsid w:val="003E57D9"/>
    <w:rsid w:val="003E6563"/>
    <w:rsid w:val="003F262B"/>
    <w:rsid w:val="003F7BE1"/>
    <w:rsid w:val="00400052"/>
    <w:rsid w:val="00413D07"/>
    <w:rsid w:val="00415381"/>
    <w:rsid w:val="00417910"/>
    <w:rsid w:val="00426ABC"/>
    <w:rsid w:val="00442831"/>
    <w:rsid w:val="004462BA"/>
    <w:rsid w:val="0045139B"/>
    <w:rsid w:val="004535AD"/>
    <w:rsid w:val="00463A7E"/>
    <w:rsid w:val="0046458C"/>
    <w:rsid w:val="0047073C"/>
    <w:rsid w:val="00471161"/>
    <w:rsid w:val="00475F20"/>
    <w:rsid w:val="00477132"/>
    <w:rsid w:val="0048338E"/>
    <w:rsid w:val="0048521B"/>
    <w:rsid w:val="00486571"/>
    <w:rsid w:val="00491FDC"/>
    <w:rsid w:val="004948BE"/>
    <w:rsid w:val="00494D11"/>
    <w:rsid w:val="0049600B"/>
    <w:rsid w:val="004A668A"/>
    <w:rsid w:val="004A7560"/>
    <w:rsid w:val="004A7CFF"/>
    <w:rsid w:val="004B0E0B"/>
    <w:rsid w:val="004B294B"/>
    <w:rsid w:val="004B44A1"/>
    <w:rsid w:val="004B5740"/>
    <w:rsid w:val="004C0B5F"/>
    <w:rsid w:val="004C48FD"/>
    <w:rsid w:val="004D3913"/>
    <w:rsid w:val="004D49FC"/>
    <w:rsid w:val="004D5F1D"/>
    <w:rsid w:val="004E2434"/>
    <w:rsid w:val="004E7F6A"/>
    <w:rsid w:val="004F1037"/>
    <w:rsid w:val="004F41A1"/>
    <w:rsid w:val="004F5E81"/>
    <w:rsid w:val="004F7623"/>
    <w:rsid w:val="00500ADC"/>
    <w:rsid w:val="00502232"/>
    <w:rsid w:val="0050251C"/>
    <w:rsid w:val="0050654A"/>
    <w:rsid w:val="00517023"/>
    <w:rsid w:val="00520BFE"/>
    <w:rsid w:val="00522160"/>
    <w:rsid w:val="00524D92"/>
    <w:rsid w:val="00526F9F"/>
    <w:rsid w:val="00532CEB"/>
    <w:rsid w:val="00537BF5"/>
    <w:rsid w:val="00537ECB"/>
    <w:rsid w:val="00547358"/>
    <w:rsid w:val="005474BF"/>
    <w:rsid w:val="005603CF"/>
    <w:rsid w:val="00563DCC"/>
    <w:rsid w:val="0057690D"/>
    <w:rsid w:val="00576FB6"/>
    <w:rsid w:val="0058630E"/>
    <w:rsid w:val="00593D56"/>
    <w:rsid w:val="005A499C"/>
    <w:rsid w:val="005A6117"/>
    <w:rsid w:val="005A6B69"/>
    <w:rsid w:val="005C21B0"/>
    <w:rsid w:val="005C455D"/>
    <w:rsid w:val="005D34E3"/>
    <w:rsid w:val="005D742F"/>
    <w:rsid w:val="005E31AE"/>
    <w:rsid w:val="005E3BAB"/>
    <w:rsid w:val="005E5A14"/>
    <w:rsid w:val="005E668A"/>
    <w:rsid w:val="005F1B6B"/>
    <w:rsid w:val="005F2163"/>
    <w:rsid w:val="005F2B52"/>
    <w:rsid w:val="005F653E"/>
    <w:rsid w:val="005F7C36"/>
    <w:rsid w:val="0060419E"/>
    <w:rsid w:val="00605D8F"/>
    <w:rsid w:val="00621482"/>
    <w:rsid w:val="00623CB5"/>
    <w:rsid w:val="0063061F"/>
    <w:rsid w:val="0063275F"/>
    <w:rsid w:val="006378B3"/>
    <w:rsid w:val="00656139"/>
    <w:rsid w:val="006611FA"/>
    <w:rsid w:val="006744F1"/>
    <w:rsid w:val="00674B9C"/>
    <w:rsid w:val="00675581"/>
    <w:rsid w:val="006776E4"/>
    <w:rsid w:val="00686690"/>
    <w:rsid w:val="006879F8"/>
    <w:rsid w:val="006A0ED9"/>
    <w:rsid w:val="006A1D88"/>
    <w:rsid w:val="006A31F1"/>
    <w:rsid w:val="006A5BEF"/>
    <w:rsid w:val="006A7B13"/>
    <w:rsid w:val="006A7E26"/>
    <w:rsid w:val="006B2D45"/>
    <w:rsid w:val="006C1E75"/>
    <w:rsid w:val="006C7FF7"/>
    <w:rsid w:val="006D0E34"/>
    <w:rsid w:val="006D1F18"/>
    <w:rsid w:val="006D7956"/>
    <w:rsid w:val="006E5155"/>
    <w:rsid w:val="006F2903"/>
    <w:rsid w:val="006F5079"/>
    <w:rsid w:val="007013ED"/>
    <w:rsid w:val="007040DE"/>
    <w:rsid w:val="00711E6D"/>
    <w:rsid w:val="00722DF3"/>
    <w:rsid w:val="0072655C"/>
    <w:rsid w:val="0074457B"/>
    <w:rsid w:val="00746962"/>
    <w:rsid w:val="0076018B"/>
    <w:rsid w:val="007665A6"/>
    <w:rsid w:val="00782267"/>
    <w:rsid w:val="007A6576"/>
    <w:rsid w:val="007A6C25"/>
    <w:rsid w:val="007B112E"/>
    <w:rsid w:val="007B133B"/>
    <w:rsid w:val="007B6D50"/>
    <w:rsid w:val="007C6FDD"/>
    <w:rsid w:val="007C7C48"/>
    <w:rsid w:val="007D4675"/>
    <w:rsid w:val="007E408E"/>
    <w:rsid w:val="007E769D"/>
    <w:rsid w:val="007F5630"/>
    <w:rsid w:val="007F6D04"/>
    <w:rsid w:val="00804023"/>
    <w:rsid w:val="00805EFB"/>
    <w:rsid w:val="008109BA"/>
    <w:rsid w:val="00815193"/>
    <w:rsid w:val="00816F86"/>
    <w:rsid w:val="008171D3"/>
    <w:rsid w:val="00820074"/>
    <w:rsid w:val="00822FE9"/>
    <w:rsid w:val="00823D58"/>
    <w:rsid w:val="008318C6"/>
    <w:rsid w:val="008410A2"/>
    <w:rsid w:val="0084279B"/>
    <w:rsid w:val="00856232"/>
    <w:rsid w:val="008779F9"/>
    <w:rsid w:val="00877EEE"/>
    <w:rsid w:val="00881224"/>
    <w:rsid w:val="00886C1C"/>
    <w:rsid w:val="00890390"/>
    <w:rsid w:val="00893F01"/>
    <w:rsid w:val="00894800"/>
    <w:rsid w:val="008A27D7"/>
    <w:rsid w:val="008A75A3"/>
    <w:rsid w:val="008B0A45"/>
    <w:rsid w:val="008B37F2"/>
    <w:rsid w:val="008B502F"/>
    <w:rsid w:val="008C23E6"/>
    <w:rsid w:val="008C6076"/>
    <w:rsid w:val="008D61D4"/>
    <w:rsid w:val="008E45DC"/>
    <w:rsid w:val="008E5812"/>
    <w:rsid w:val="008E70F6"/>
    <w:rsid w:val="008F5E6C"/>
    <w:rsid w:val="009152E8"/>
    <w:rsid w:val="0091532D"/>
    <w:rsid w:val="00923559"/>
    <w:rsid w:val="0093238F"/>
    <w:rsid w:val="00933E48"/>
    <w:rsid w:val="0095299C"/>
    <w:rsid w:val="009577EB"/>
    <w:rsid w:val="00963321"/>
    <w:rsid w:val="00964E67"/>
    <w:rsid w:val="009702D6"/>
    <w:rsid w:val="00971F98"/>
    <w:rsid w:val="00985447"/>
    <w:rsid w:val="009855C0"/>
    <w:rsid w:val="0098791C"/>
    <w:rsid w:val="00992918"/>
    <w:rsid w:val="00994763"/>
    <w:rsid w:val="009A3271"/>
    <w:rsid w:val="009A5507"/>
    <w:rsid w:val="009C3053"/>
    <w:rsid w:val="009C411B"/>
    <w:rsid w:val="009D1961"/>
    <w:rsid w:val="009D53D3"/>
    <w:rsid w:val="009E2790"/>
    <w:rsid w:val="009E4FCC"/>
    <w:rsid w:val="009E7B00"/>
    <w:rsid w:val="009F587E"/>
    <w:rsid w:val="00A00A85"/>
    <w:rsid w:val="00A01823"/>
    <w:rsid w:val="00A1694B"/>
    <w:rsid w:val="00A20D6E"/>
    <w:rsid w:val="00A211EE"/>
    <w:rsid w:val="00A33F66"/>
    <w:rsid w:val="00A45000"/>
    <w:rsid w:val="00A46BC4"/>
    <w:rsid w:val="00A47B6B"/>
    <w:rsid w:val="00A5070D"/>
    <w:rsid w:val="00A53EAF"/>
    <w:rsid w:val="00A55F86"/>
    <w:rsid w:val="00A570E3"/>
    <w:rsid w:val="00A61B59"/>
    <w:rsid w:val="00A67340"/>
    <w:rsid w:val="00A74245"/>
    <w:rsid w:val="00A7704E"/>
    <w:rsid w:val="00A84BFD"/>
    <w:rsid w:val="00A87558"/>
    <w:rsid w:val="00A96673"/>
    <w:rsid w:val="00AB31E2"/>
    <w:rsid w:val="00AB4290"/>
    <w:rsid w:val="00AB6129"/>
    <w:rsid w:val="00AC0277"/>
    <w:rsid w:val="00AC32C6"/>
    <w:rsid w:val="00AC64CB"/>
    <w:rsid w:val="00AC6E10"/>
    <w:rsid w:val="00AF66EA"/>
    <w:rsid w:val="00AF708B"/>
    <w:rsid w:val="00B008B2"/>
    <w:rsid w:val="00B11E57"/>
    <w:rsid w:val="00B12E97"/>
    <w:rsid w:val="00B170B4"/>
    <w:rsid w:val="00B31F60"/>
    <w:rsid w:val="00B33352"/>
    <w:rsid w:val="00B36696"/>
    <w:rsid w:val="00B41007"/>
    <w:rsid w:val="00B4473F"/>
    <w:rsid w:val="00B50DBF"/>
    <w:rsid w:val="00B60A2E"/>
    <w:rsid w:val="00B65568"/>
    <w:rsid w:val="00B71327"/>
    <w:rsid w:val="00B7733F"/>
    <w:rsid w:val="00B77587"/>
    <w:rsid w:val="00B77977"/>
    <w:rsid w:val="00B80EFA"/>
    <w:rsid w:val="00B83BF9"/>
    <w:rsid w:val="00B85487"/>
    <w:rsid w:val="00B919F1"/>
    <w:rsid w:val="00B91DBB"/>
    <w:rsid w:val="00B9285C"/>
    <w:rsid w:val="00B94FCB"/>
    <w:rsid w:val="00B96BCC"/>
    <w:rsid w:val="00BA7DD5"/>
    <w:rsid w:val="00BB1618"/>
    <w:rsid w:val="00BC3CB4"/>
    <w:rsid w:val="00BD737E"/>
    <w:rsid w:val="00BF0D32"/>
    <w:rsid w:val="00BF0E45"/>
    <w:rsid w:val="00BF1117"/>
    <w:rsid w:val="00C0017E"/>
    <w:rsid w:val="00C007E0"/>
    <w:rsid w:val="00C05B39"/>
    <w:rsid w:val="00C06135"/>
    <w:rsid w:val="00C07319"/>
    <w:rsid w:val="00C1017A"/>
    <w:rsid w:val="00C11B0A"/>
    <w:rsid w:val="00C238A8"/>
    <w:rsid w:val="00C36DEA"/>
    <w:rsid w:val="00C449BF"/>
    <w:rsid w:val="00C47E44"/>
    <w:rsid w:val="00C5200E"/>
    <w:rsid w:val="00C530D7"/>
    <w:rsid w:val="00C65BAC"/>
    <w:rsid w:val="00C667D0"/>
    <w:rsid w:val="00C74F08"/>
    <w:rsid w:val="00C7601F"/>
    <w:rsid w:val="00C77451"/>
    <w:rsid w:val="00C77474"/>
    <w:rsid w:val="00C775A0"/>
    <w:rsid w:val="00C77D2C"/>
    <w:rsid w:val="00C84B9B"/>
    <w:rsid w:val="00C84F08"/>
    <w:rsid w:val="00CA453C"/>
    <w:rsid w:val="00CA5CB0"/>
    <w:rsid w:val="00CB367D"/>
    <w:rsid w:val="00CB618E"/>
    <w:rsid w:val="00CB75AC"/>
    <w:rsid w:val="00CB7960"/>
    <w:rsid w:val="00CB7E60"/>
    <w:rsid w:val="00CD0211"/>
    <w:rsid w:val="00CD0EE9"/>
    <w:rsid w:val="00CD2524"/>
    <w:rsid w:val="00CD3864"/>
    <w:rsid w:val="00CD72FB"/>
    <w:rsid w:val="00CE12BF"/>
    <w:rsid w:val="00CE5326"/>
    <w:rsid w:val="00CF676C"/>
    <w:rsid w:val="00CF6AA0"/>
    <w:rsid w:val="00CF7AFB"/>
    <w:rsid w:val="00CF7B6E"/>
    <w:rsid w:val="00D03B57"/>
    <w:rsid w:val="00D04360"/>
    <w:rsid w:val="00D1493B"/>
    <w:rsid w:val="00D17405"/>
    <w:rsid w:val="00D22DA0"/>
    <w:rsid w:val="00D24DE3"/>
    <w:rsid w:val="00D26D1C"/>
    <w:rsid w:val="00D34DCA"/>
    <w:rsid w:val="00D372CC"/>
    <w:rsid w:val="00D41C5B"/>
    <w:rsid w:val="00D50DB3"/>
    <w:rsid w:val="00D61482"/>
    <w:rsid w:val="00D623C9"/>
    <w:rsid w:val="00D63F0D"/>
    <w:rsid w:val="00D778D0"/>
    <w:rsid w:val="00D80CAB"/>
    <w:rsid w:val="00D84CD6"/>
    <w:rsid w:val="00D85201"/>
    <w:rsid w:val="00D94587"/>
    <w:rsid w:val="00DA6BDC"/>
    <w:rsid w:val="00DA7607"/>
    <w:rsid w:val="00DB0108"/>
    <w:rsid w:val="00DB31F3"/>
    <w:rsid w:val="00DC21A2"/>
    <w:rsid w:val="00DC3588"/>
    <w:rsid w:val="00DD0801"/>
    <w:rsid w:val="00DD550E"/>
    <w:rsid w:val="00DD669C"/>
    <w:rsid w:val="00DE1D4F"/>
    <w:rsid w:val="00DE7712"/>
    <w:rsid w:val="00E0144E"/>
    <w:rsid w:val="00E017B7"/>
    <w:rsid w:val="00E02D51"/>
    <w:rsid w:val="00E055F8"/>
    <w:rsid w:val="00E068AD"/>
    <w:rsid w:val="00E11A6F"/>
    <w:rsid w:val="00E1414A"/>
    <w:rsid w:val="00E14D8D"/>
    <w:rsid w:val="00E2269C"/>
    <w:rsid w:val="00E2488A"/>
    <w:rsid w:val="00E24FB6"/>
    <w:rsid w:val="00E25695"/>
    <w:rsid w:val="00E279B8"/>
    <w:rsid w:val="00E350D5"/>
    <w:rsid w:val="00E45130"/>
    <w:rsid w:val="00E475E3"/>
    <w:rsid w:val="00E50BEE"/>
    <w:rsid w:val="00E54B18"/>
    <w:rsid w:val="00E57B16"/>
    <w:rsid w:val="00E639AE"/>
    <w:rsid w:val="00E64FEF"/>
    <w:rsid w:val="00E71C23"/>
    <w:rsid w:val="00E72492"/>
    <w:rsid w:val="00E72B26"/>
    <w:rsid w:val="00E7471E"/>
    <w:rsid w:val="00E86D27"/>
    <w:rsid w:val="00E92A5E"/>
    <w:rsid w:val="00E976F4"/>
    <w:rsid w:val="00EA3BBB"/>
    <w:rsid w:val="00EB2170"/>
    <w:rsid w:val="00EC2EEE"/>
    <w:rsid w:val="00ED1895"/>
    <w:rsid w:val="00ED1ED5"/>
    <w:rsid w:val="00ED4253"/>
    <w:rsid w:val="00EF2374"/>
    <w:rsid w:val="00EF367A"/>
    <w:rsid w:val="00EF4073"/>
    <w:rsid w:val="00F044EE"/>
    <w:rsid w:val="00F11A38"/>
    <w:rsid w:val="00F12E69"/>
    <w:rsid w:val="00F13C95"/>
    <w:rsid w:val="00F162A1"/>
    <w:rsid w:val="00F23AE6"/>
    <w:rsid w:val="00F246FA"/>
    <w:rsid w:val="00F3643D"/>
    <w:rsid w:val="00F45ABA"/>
    <w:rsid w:val="00F51284"/>
    <w:rsid w:val="00F541C1"/>
    <w:rsid w:val="00F61DC6"/>
    <w:rsid w:val="00F6321F"/>
    <w:rsid w:val="00F749E2"/>
    <w:rsid w:val="00F75EF6"/>
    <w:rsid w:val="00F8023F"/>
    <w:rsid w:val="00F949B2"/>
    <w:rsid w:val="00F950C8"/>
    <w:rsid w:val="00FA14E1"/>
    <w:rsid w:val="00FA5765"/>
    <w:rsid w:val="00FA7FAE"/>
    <w:rsid w:val="00FB1222"/>
    <w:rsid w:val="00FC0D0B"/>
    <w:rsid w:val="00FD2206"/>
    <w:rsid w:val="00FE431E"/>
    <w:rsid w:val="00FE64C4"/>
    <w:rsid w:val="010E2201"/>
    <w:rsid w:val="010E35DA"/>
    <w:rsid w:val="011C3CAC"/>
    <w:rsid w:val="012C6A76"/>
    <w:rsid w:val="01704619"/>
    <w:rsid w:val="01764028"/>
    <w:rsid w:val="017E63A5"/>
    <w:rsid w:val="01B563DA"/>
    <w:rsid w:val="01B844C5"/>
    <w:rsid w:val="01C11469"/>
    <w:rsid w:val="01EC7E07"/>
    <w:rsid w:val="022F051B"/>
    <w:rsid w:val="023227C5"/>
    <w:rsid w:val="02467A44"/>
    <w:rsid w:val="0263786D"/>
    <w:rsid w:val="0275631F"/>
    <w:rsid w:val="02907087"/>
    <w:rsid w:val="02996F21"/>
    <w:rsid w:val="02A23FEA"/>
    <w:rsid w:val="02A73507"/>
    <w:rsid w:val="02B2759C"/>
    <w:rsid w:val="02BF72D3"/>
    <w:rsid w:val="02E465F5"/>
    <w:rsid w:val="0320524D"/>
    <w:rsid w:val="033318D3"/>
    <w:rsid w:val="035D3AEA"/>
    <w:rsid w:val="0370032A"/>
    <w:rsid w:val="037744AF"/>
    <w:rsid w:val="03925A42"/>
    <w:rsid w:val="039A6596"/>
    <w:rsid w:val="03B15C7D"/>
    <w:rsid w:val="03D83981"/>
    <w:rsid w:val="03DB3BEF"/>
    <w:rsid w:val="03E0278D"/>
    <w:rsid w:val="040070FA"/>
    <w:rsid w:val="040101D5"/>
    <w:rsid w:val="04064CFC"/>
    <w:rsid w:val="04243124"/>
    <w:rsid w:val="04424C65"/>
    <w:rsid w:val="04622571"/>
    <w:rsid w:val="04666914"/>
    <w:rsid w:val="046B4C9D"/>
    <w:rsid w:val="0472541A"/>
    <w:rsid w:val="04830AD0"/>
    <w:rsid w:val="048D5D5C"/>
    <w:rsid w:val="04965C0A"/>
    <w:rsid w:val="04B65D82"/>
    <w:rsid w:val="04C2106C"/>
    <w:rsid w:val="04C44035"/>
    <w:rsid w:val="04D32611"/>
    <w:rsid w:val="04D82E81"/>
    <w:rsid w:val="04DD1FDB"/>
    <w:rsid w:val="04EC13F4"/>
    <w:rsid w:val="04F11CD9"/>
    <w:rsid w:val="04F1469D"/>
    <w:rsid w:val="057D6F52"/>
    <w:rsid w:val="058836D9"/>
    <w:rsid w:val="05A50E25"/>
    <w:rsid w:val="05DA26DE"/>
    <w:rsid w:val="05FC6963"/>
    <w:rsid w:val="06131A8F"/>
    <w:rsid w:val="06183C50"/>
    <w:rsid w:val="061E1836"/>
    <w:rsid w:val="06327ACE"/>
    <w:rsid w:val="063C20EA"/>
    <w:rsid w:val="06494BCD"/>
    <w:rsid w:val="064D6583"/>
    <w:rsid w:val="066463FE"/>
    <w:rsid w:val="0671705A"/>
    <w:rsid w:val="069E5D78"/>
    <w:rsid w:val="06BF44D1"/>
    <w:rsid w:val="06CF54C1"/>
    <w:rsid w:val="07053A12"/>
    <w:rsid w:val="07092F33"/>
    <w:rsid w:val="070C2298"/>
    <w:rsid w:val="070F3E34"/>
    <w:rsid w:val="071936F5"/>
    <w:rsid w:val="071B3085"/>
    <w:rsid w:val="07362A0B"/>
    <w:rsid w:val="07386B6E"/>
    <w:rsid w:val="073C6B4A"/>
    <w:rsid w:val="07625C22"/>
    <w:rsid w:val="076E0451"/>
    <w:rsid w:val="07776CDB"/>
    <w:rsid w:val="07805679"/>
    <w:rsid w:val="07AD6BB4"/>
    <w:rsid w:val="07B83A36"/>
    <w:rsid w:val="07E41565"/>
    <w:rsid w:val="080203B4"/>
    <w:rsid w:val="08082052"/>
    <w:rsid w:val="080D5A75"/>
    <w:rsid w:val="082065E6"/>
    <w:rsid w:val="08291A64"/>
    <w:rsid w:val="087E2235"/>
    <w:rsid w:val="088A62F3"/>
    <w:rsid w:val="08A6306B"/>
    <w:rsid w:val="08A731A9"/>
    <w:rsid w:val="08B3786B"/>
    <w:rsid w:val="08B93962"/>
    <w:rsid w:val="08C9110C"/>
    <w:rsid w:val="08C9474A"/>
    <w:rsid w:val="08D97144"/>
    <w:rsid w:val="08F32889"/>
    <w:rsid w:val="09133670"/>
    <w:rsid w:val="09151F1E"/>
    <w:rsid w:val="0918099D"/>
    <w:rsid w:val="09233C36"/>
    <w:rsid w:val="092D5B78"/>
    <w:rsid w:val="094247BD"/>
    <w:rsid w:val="09455A24"/>
    <w:rsid w:val="094B2D86"/>
    <w:rsid w:val="094C341B"/>
    <w:rsid w:val="094F7B27"/>
    <w:rsid w:val="09795104"/>
    <w:rsid w:val="098D2B21"/>
    <w:rsid w:val="09A824A2"/>
    <w:rsid w:val="09B71898"/>
    <w:rsid w:val="09B8691B"/>
    <w:rsid w:val="09BA47AF"/>
    <w:rsid w:val="09D21CF9"/>
    <w:rsid w:val="09F77103"/>
    <w:rsid w:val="09F80E9D"/>
    <w:rsid w:val="09FF0375"/>
    <w:rsid w:val="0A075710"/>
    <w:rsid w:val="0A1336AE"/>
    <w:rsid w:val="0A190267"/>
    <w:rsid w:val="0A2148F3"/>
    <w:rsid w:val="0A234DBD"/>
    <w:rsid w:val="0A277084"/>
    <w:rsid w:val="0A2E590C"/>
    <w:rsid w:val="0A40640A"/>
    <w:rsid w:val="0A46062C"/>
    <w:rsid w:val="0A483F73"/>
    <w:rsid w:val="0A7127A0"/>
    <w:rsid w:val="0A8D3CB9"/>
    <w:rsid w:val="0AA86FE0"/>
    <w:rsid w:val="0AB12EC9"/>
    <w:rsid w:val="0AF51B99"/>
    <w:rsid w:val="0AFE63B2"/>
    <w:rsid w:val="0B0C74BC"/>
    <w:rsid w:val="0B1E7F49"/>
    <w:rsid w:val="0B5B05BD"/>
    <w:rsid w:val="0B6C6589"/>
    <w:rsid w:val="0B79073F"/>
    <w:rsid w:val="0B8B191A"/>
    <w:rsid w:val="0B957792"/>
    <w:rsid w:val="0BD715FB"/>
    <w:rsid w:val="0BE46B9D"/>
    <w:rsid w:val="0BF13FB5"/>
    <w:rsid w:val="0BF65A43"/>
    <w:rsid w:val="0BF810D3"/>
    <w:rsid w:val="0BFD173D"/>
    <w:rsid w:val="0C0B685E"/>
    <w:rsid w:val="0C436DA2"/>
    <w:rsid w:val="0C4D3438"/>
    <w:rsid w:val="0C627406"/>
    <w:rsid w:val="0C6726B3"/>
    <w:rsid w:val="0C6B3D5C"/>
    <w:rsid w:val="0C6E07FA"/>
    <w:rsid w:val="0C7234AE"/>
    <w:rsid w:val="0C7405ED"/>
    <w:rsid w:val="0C9F6811"/>
    <w:rsid w:val="0CA11CE5"/>
    <w:rsid w:val="0CB408FE"/>
    <w:rsid w:val="0CBC22F4"/>
    <w:rsid w:val="0CC535BE"/>
    <w:rsid w:val="0CD6375C"/>
    <w:rsid w:val="0CE779FD"/>
    <w:rsid w:val="0CEF681C"/>
    <w:rsid w:val="0CF956B3"/>
    <w:rsid w:val="0D054426"/>
    <w:rsid w:val="0D055D62"/>
    <w:rsid w:val="0D1A47EB"/>
    <w:rsid w:val="0D5C1274"/>
    <w:rsid w:val="0D605EED"/>
    <w:rsid w:val="0D6C497E"/>
    <w:rsid w:val="0D753A8C"/>
    <w:rsid w:val="0D7C463B"/>
    <w:rsid w:val="0D8728A1"/>
    <w:rsid w:val="0DBC2838"/>
    <w:rsid w:val="0DD543F5"/>
    <w:rsid w:val="0E2E635A"/>
    <w:rsid w:val="0E414937"/>
    <w:rsid w:val="0E4337DE"/>
    <w:rsid w:val="0E434F27"/>
    <w:rsid w:val="0E4F3AC9"/>
    <w:rsid w:val="0E6351B2"/>
    <w:rsid w:val="0E672B7A"/>
    <w:rsid w:val="0E6C0ADD"/>
    <w:rsid w:val="0E7A07B5"/>
    <w:rsid w:val="0E7E08B3"/>
    <w:rsid w:val="0E98585C"/>
    <w:rsid w:val="0EA370AD"/>
    <w:rsid w:val="0EAA2182"/>
    <w:rsid w:val="0EAB1498"/>
    <w:rsid w:val="0EB17535"/>
    <w:rsid w:val="0EBA41B4"/>
    <w:rsid w:val="0EBE0F5E"/>
    <w:rsid w:val="0EDC4216"/>
    <w:rsid w:val="0EE627C8"/>
    <w:rsid w:val="0EF9321D"/>
    <w:rsid w:val="0F4242E5"/>
    <w:rsid w:val="0F526F62"/>
    <w:rsid w:val="0F6F21E6"/>
    <w:rsid w:val="0FA011BA"/>
    <w:rsid w:val="0FB25B34"/>
    <w:rsid w:val="0FBC4902"/>
    <w:rsid w:val="0FF247B1"/>
    <w:rsid w:val="0FFD66F1"/>
    <w:rsid w:val="101534B2"/>
    <w:rsid w:val="10292659"/>
    <w:rsid w:val="102F7D69"/>
    <w:rsid w:val="1046354B"/>
    <w:rsid w:val="104C5AEA"/>
    <w:rsid w:val="1059104C"/>
    <w:rsid w:val="105E5C70"/>
    <w:rsid w:val="106878B1"/>
    <w:rsid w:val="106D359E"/>
    <w:rsid w:val="109B3018"/>
    <w:rsid w:val="10B25071"/>
    <w:rsid w:val="10E21750"/>
    <w:rsid w:val="10EF09F8"/>
    <w:rsid w:val="10F111A7"/>
    <w:rsid w:val="10FE4BED"/>
    <w:rsid w:val="10FF1C41"/>
    <w:rsid w:val="1114472E"/>
    <w:rsid w:val="11262CA9"/>
    <w:rsid w:val="112A469E"/>
    <w:rsid w:val="114026E3"/>
    <w:rsid w:val="11615AF3"/>
    <w:rsid w:val="11630DAF"/>
    <w:rsid w:val="117A0454"/>
    <w:rsid w:val="119A27B3"/>
    <w:rsid w:val="11AD2DDD"/>
    <w:rsid w:val="11C5117E"/>
    <w:rsid w:val="11C961A8"/>
    <w:rsid w:val="11CF0BFB"/>
    <w:rsid w:val="11D60A92"/>
    <w:rsid w:val="11E60FF2"/>
    <w:rsid w:val="11E87A4C"/>
    <w:rsid w:val="11FC6BFE"/>
    <w:rsid w:val="11FE72F1"/>
    <w:rsid w:val="122B0ED1"/>
    <w:rsid w:val="1251339D"/>
    <w:rsid w:val="12522EDF"/>
    <w:rsid w:val="125D2658"/>
    <w:rsid w:val="12854CB6"/>
    <w:rsid w:val="128D0221"/>
    <w:rsid w:val="1298482E"/>
    <w:rsid w:val="12A178A2"/>
    <w:rsid w:val="12D70833"/>
    <w:rsid w:val="12F342A5"/>
    <w:rsid w:val="12F54968"/>
    <w:rsid w:val="12F957EE"/>
    <w:rsid w:val="131A6896"/>
    <w:rsid w:val="132546EE"/>
    <w:rsid w:val="13413922"/>
    <w:rsid w:val="1347436A"/>
    <w:rsid w:val="135572DF"/>
    <w:rsid w:val="136407C6"/>
    <w:rsid w:val="136A44F8"/>
    <w:rsid w:val="13916E77"/>
    <w:rsid w:val="13B20EBE"/>
    <w:rsid w:val="13D17672"/>
    <w:rsid w:val="13D4685D"/>
    <w:rsid w:val="13ED4DF9"/>
    <w:rsid w:val="143D3625"/>
    <w:rsid w:val="144F49B1"/>
    <w:rsid w:val="14552AD3"/>
    <w:rsid w:val="14662D76"/>
    <w:rsid w:val="14670070"/>
    <w:rsid w:val="148511B7"/>
    <w:rsid w:val="14931DB0"/>
    <w:rsid w:val="14B57ED7"/>
    <w:rsid w:val="14BA1006"/>
    <w:rsid w:val="14E024BE"/>
    <w:rsid w:val="14E257FE"/>
    <w:rsid w:val="14FC5360"/>
    <w:rsid w:val="15024839"/>
    <w:rsid w:val="15451DDD"/>
    <w:rsid w:val="154920DF"/>
    <w:rsid w:val="157370FE"/>
    <w:rsid w:val="157C729A"/>
    <w:rsid w:val="158B60C0"/>
    <w:rsid w:val="15BA7E45"/>
    <w:rsid w:val="15CB1D92"/>
    <w:rsid w:val="15E2587E"/>
    <w:rsid w:val="15F62802"/>
    <w:rsid w:val="16047790"/>
    <w:rsid w:val="161C21B9"/>
    <w:rsid w:val="163D622C"/>
    <w:rsid w:val="16493DE6"/>
    <w:rsid w:val="16573377"/>
    <w:rsid w:val="1672275E"/>
    <w:rsid w:val="16782E0D"/>
    <w:rsid w:val="168C5BF5"/>
    <w:rsid w:val="168D1BAC"/>
    <w:rsid w:val="168E172A"/>
    <w:rsid w:val="16953C19"/>
    <w:rsid w:val="169F376F"/>
    <w:rsid w:val="16AB7B0C"/>
    <w:rsid w:val="16B8427D"/>
    <w:rsid w:val="16D43685"/>
    <w:rsid w:val="16F07B27"/>
    <w:rsid w:val="170214E4"/>
    <w:rsid w:val="17133F43"/>
    <w:rsid w:val="1732432E"/>
    <w:rsid w:val="1734445E"/>
    <w:rsid w:val="17351B5D"/>
    <w:rsid w:val="1740409A"/>
    <w:rsid w:val="17552466"/>
    <w:rsid w:val="17583DBA"/>
    <w:rsid w:val="17823D47"/>
    <w:rsid w:val="17A74C12"/>
    <w:rsid w:val="17AB77CA"/>
    <w:rsid w:val="17BE723B"/>
    <w:rsid w:val="17D531A3"/>
    <w:rsid w:val="17F230D0"/>
    <w:rsid w:val="17F91150"/>
    <w:rsid w:val="180B7CE3"/>
    <w:rsid w:val="182C703C"/>
    <w:rsid w:val="184F2B9B"/>
    <w:rsid w:val="18813CD0"/>
    <w:rsid w:val="188E25F9"/>
    <w:rsid w:val="189A79D0"/>
    <w:rsid w:val="18B51FB4"/>
    <w:rsid w:val="18E43959"/>
    <w:rsid w:val="18FA088E"/>
    <w:rsid w:val="19006B21"/>
    <w:rsid w:val="19210E26"/>
    <w:rsid w:val="19561077"/>
    <w:rsid w:val="1956503E"/>
    <w:rsid w:val="195E307A"/>
    <w:rsid w:val="19603668"/>
    <w:rsid w:val="197F1702"/>
    <w:rsid w:val="199118E6"/>
    <w:rsid w:val="199510B5"/>
    <w:rsid w:val="199965A2"/>
    <w:rsid w:val="19A71581"/>
    <w:rsid w:val="19B73098"/>
    <w:rsid w:val="19BD0D56"/>
    <w:rsid w:val="19DD607B"/>
    <w:rsid w:val="1A090630"/>
    <w:rsid w:val="1A0E2330"/>
    <w:rsid w:val="1A181440"/>
    <w:rsid w:val="1A1C7244"/>
    <w:rsid w:val="1A2767A9"/>
    <w:rsid w:val="1A58584E"/>
    <w:rsid w:val="1A59421F"/>
    <w:rsid w:val="1A5C5488"/>
    <w:rsid w:val="1A6C5C0E"/>
    <w:rsid w:val="1A7C558E"/>
    <w:rsid w:val="1A8958E8"/>
    <w:rsid w:val="1A963E24"/>
    <w:rsid w:val="1AA96A56"/>
    <w:rsid w:val="1AAB1DCB"/>
    <w:rsid w:val="1AC90BD2"/>
    <w:rsid w:val="1AEF235D"/>
    <w:rsid w:val="1B0669F0"/>
    <w:rsid w:val="1B113E09"/>
    <w:rsid w:val="1B1A7FAE"/>
    <w:rsid w:val="1B30254B"/>
    <w:rsid w:val="1B485380"/>
    <w:rsid w:val="1B872FE9"/>
    <w:rsid w:val="1B8847D2"/>
    <w:rsid w:val="1B9961C0"/>
    <w:rsid w:val="1B9A3F79"/>
    <w:rsid w:val="1B9E2247"/>
    <w:rsid w:val="1BA952FE"/>
    <w:rsid w:val="1BDD132F"/>
    <w:rsid w:val="1BE35768"/>
    <w:rsid w:val="1BE778AC"/>
    <w:rsid w:val="1C08078B"/>
    <w:rsid w:val="1C0F59DF"/>
    <w:rsid w:val="1C377036"/>
    <w:rsid w:val="1C3D3F23"/>
    <w:rsid w:val="1C577F51"/>
    <w:rsid w:val="1C5E20B5"/>
    <w:rsid w:val="1C6C5EA1"/>
    <w:rsid w:val="1C747797"/>
    <w:rsid w:val="1C7611E8"/>
    <w:rsid w:val="1C7A3A7B"/>
    <w:rsid w:val="1C8305B9"/>
    <w:rsid w:val="1C852820"/>
    <w:rsid w:val="1CA007FF"/>
    <w:rsid w:val="1CC16B3F"/>
    <w:rsid w:val="1CC50E0A"/>
    <w:rsid w:val="1CDC7F34"/>
    <w:rsid w:val="1CF51EF8"/>
    <w:rsid w:val="1CFC4D10"/>
    <w:rsid w:val="1D09581D"/>
    <w:rsid w:val="1D0D0336"/>
    <w:rsid w:val="1D2267C7"/>
    <w:rsid w:val="1D354994"/>
    <w:rsid w:val="1D4C084D"/>
    <w:rsid w:val="1D4E7245"/>
    <w:rsid w:val="1D601A2A"/>
    <w:rsid w:val="1D8A21A3"/>
    <w:rsid w:val="1DA451DB"/>
    <w:rsid w:val="1DBA0E35"/>
    <w:rsid w:val="1E0D3572"/>
    <w:rsid w:val="1E180B56"/>
    <w:rsid w:val="1E30708B"/>
    <w:rsid w:val="1E38732E"/>
    <w:rsid w:val="1E5930E1"/>
    <w:rsid w:val="1E630CCD"/>
    <w:rsid w:val="1E640222"/>
    <w:rsid w:val="1E6B571A"/>
    <w:rsid w:val="1E6C2CFA"/>
    <w:rsid w:val="1E8A23B0"/>
    <w:rsid w:val="1ED146E2"/>
    <w:rsid w:val="1F050AF8"/>
    <w:rsid w:val="1F134A01"/>
    <w:rsid w:val="1F18009B"/>
    <w:rsid w:val="1F1F680D"/>
    <w:rsid w:val="1F464D9F"/>
    <w:rsid w:val="1F8113B6"/>
    <w:rsid w:val="1F8C0F8A"/>
    <w:rsid w:val="1F944F7D"/>
    <w:rsid w:val="1F965466"/>
    <w:rsid w:val="1FA04F67"/>
    <w:rsid w:val="1FA40B76"/>
    <w:rsid w:val="1FB11645"/>
    <w:rsid w:val="1FB14A46"/>
    <w:rsid w:val="1FB25A16"/>
    <w:rsid w:val="1FBC676E"/>
    <w:rsid w:val="1FC647C3"/>
    <w:rsid w:val="1FDB53E9"/>
    <w:rsid w:val="1FDC052B"/>
    <w:rsid w:val="1FDF2FC1"/>
    <w:rsid w:val="1FE625C8"/>
    <w:rsid w:val="1FF64604"/>
    <w:rsid w:val="1FF80884"/>
    <w:rsid w:val="1FF96C84"/>
    <w:rsid w:val="20173F9B"/>
    <w:rsid w:val="20303FA1"/>
    <w:rsid w:val="20775952"/>
    <w:rsid w:val="20844CEE"/>
    <w:rsid w:val="20951FB8"/>
    <w:rsid w:val="20991CE8"/>
    <w:rsid w:val="209E4F4E"/>
    <w:rsid w:val="20A25DA3"/>
    <w:rsid w:val="20C627E0"/>
    <w:rsid w:val="20C75D9C"/>
    <w:rsid w:val="20ED2305"/>
    <w:rsid w:val="20F175A9"/>
    <w:rsid w:val="20F477F9"/>
    <w:rsid w:val="20FF070F"/>
    <w:rsid w:val="212E5E1B"/>
    <w:rsid w:val="214627F8"/>
    <w:rsid w:val="21661111"/>
    <w:rsid w:val="216632D0"/>
    <w:rsid w:val="217C6511"/>
    <w:rsid w:val="217E4749"/>
    <w:rsid w:val="21B4096C"/>
    <w:rsid w:val="21B563D8"/>
    <w:rsid w:val="21D51576"/>
    <w:rsid w:val="21DF6891"/>
    <w:rsid w:val="21EC239D"/>
    <w:rsid w:val="21F32384"/>
    <w:rsid w:val="21F804CE"/>
    <w:rsid w:val="220C3A04"/>
    <w:rsid w:val="221D3561"/>
    <w:rsid w:val="22230189"/>
    <w:rsid w:val="22264BF1"/>
    <w:rsid w:val="223C28B8"/>
    <w:rsid w:val="224A4A8D"/>
    <w:rsid w:val="225F3C89"/>
    <w:rsid w:val="22692FB9"/>
    <w:rsid w:val="226D27BB"/>
    <w:rsid w:val="227F160A"/>
    <w:rsid w:val="22A950F4"/>
    <w:rsid w:val="22FB2570"/>
    <w:rsid w:val="22FD052A"/>
    <w:rsid w:val="22FE6A0B"/>
    <w:rsid w:val="23016FE6"/>
    <w:rsid w:val="23042B7C"/>
    <w:rsid w:val="233E5CDD"/>
    <w:rsid w:val="235763D4"/>
    <w:rsid w:val="23592B71"/>
    <w:rsid w:val="235C334B"/>
    <w:rsid w:val="236728B2"/>
    <w:rsid w:val="238135AA"/>
    <w:rsid w:val="23955235"/>
    <w:rsid w:val="239663F9"/>
    <w:rsid w:val="239A0E67"/>
    <w:rsid w:val="23F122EF"/>
    <w:rsid w:val="23FE765D"/>
    <w:rsid w:val="24093F51"/>
    <w:rsid w:val="24156ED4"/>
    <w:rsid w:val="24187032"/>
    <w:rsid w:val="24343EAB"/>
    <w:rsid w:val="24460762"/>
    <w:rsid w:val="244B5A8F"/>
    <w:rsid w:val="24575689"/>
    <w:rsid w:val="247C3099"/>
    <w:rsid w:val="247E319B"/>
    <w:rsid w:val="2483323C"/>
    <w:rsid w:val="248D3EAA"/>
    <w:rsid w:val="248D40F0"/>
    <w:rsid w:val="24A3267C"/>
    <w:rsid w:val="24A75D7E"/>
    <w:rsid w:val="24BB5847"/>
    <w:rsid w:val="25225CBA"/>
    <w:rsid w:val="252C36AC"/>
    <w:rsid w:val="253F3522"/>
    <w:rsid w:val="254263DA"/>
    <w:rsid w:val="2560469C"/>
    <w:rsid w:val="256B1F35"/>
    <w:rsid w:val="25812B06"/>
    <w:rsid w:val="25B45392"/>
    <w:rsid w:val="26017942"/>
    <w:rsid w:val="260B0535"/>
    <w:rsid w:val="26202456"/>
    <w:rsid w:val="2624268A"/>
    <w:rsid w:val="26397EA1"/>
    <w:rsid w:val="263A014B"/>
    <w:rsid w:val="266343AB"/>
    <w:rsid w:val="26795B35"/>
    <w:rsid w:val="26843214"/>
    <w:rsid w:val="26B32403"/>
    <w:rsid w:val="26BD14AC"/>
    <w:rsid w:val="26C728CB"/>
    <w:rsid w:val="26D14B97"/>
    <w:rsid w:val="26FB6DBF"/>
    <w:rsid w:val="27135664"/>
    <w:rsid w:val="271F7FED"/>
    <w:rsid w:val="2722144A"/>
    <w:rsid w:val="272361CA"/>
    <w:rsid w:val="273179E3"/>
    <w:rsid w:val="273423FE"/>
    <w:rsid w:val="27687ACB"/>
    <w:rsid w:val="27943320"/>
    <w:rsid w:val="279F712B"/>
    <w:rsid w:val="27A37AC9"/>
    <w:rsid w:val="27AD061A"/>
    <w:rsid w:val="27E8201D"/>
    <w:rsid w:val="28202D29"/>
    <w:rsid w:val="283C1689"/>
    <w:rsid w:val="284C1E0D"/>
    <w:rsid w:val="28597607"/>
    <w:rsid w:val="28696F75"/>
    <w:rsid w:val="286B0388"/>
    <w:rsid w:val="288E271A"/>
    <w:rsid w:val="28AF0EBF"/>
    <w:rsid w:val="28E40D51"/>
    <w:rsid w:val="290E712D"/>
    <w:rsid w:val="291F0076"/>
    <w:rsid w:val="2929624C"/>
    <w:rsid w:val="292A36E6"/>
    <w:rsid w:val="29410108"/>
    <w:rsid w:val="294F09CC"/>
    <w:rsid w:val="295D4356"/>
    <w:rsid w:val="297220CA"/>
    <w:rsid w:val="2981642A"/>
    <w:rsid w:val="29890EB3"/>
    <w:rsid w:val="298B09C4"/>
    <w:rsid w:val="298E0A2A"/>
    <w:rsid w:val="299D65DE"/>
    <w:rsid w:val="299E2CE4"/>
    <w:rsid w:val="29B81076"/>
    <w:rsid w:val="29CF0F8A"/>
    <w:rsid w:val="29D90BDF"/>
    <w:rsid w:val="29EF25EC"/>
    <w:rsid w:val="2A271AAA"/>
    <w:rsid w:val="2A3235C6"/>
    <w:rsid w:val="2A3D7FB7"/>
    <w:rsid w:val="2A4F3E6D"/>
    <w:rsid w:val="2A6D5391"/>
    <w:rsid w:val="2A730B83"/>
    <w:rsid w:val="2AB658AE"/>
    <w:rsid w:val="2ABA427C"/>
    <w:rsid w:val="2AC840D6"/>
    <w:rsid w:val="2AE42DB0"/>
    <w:rsid w:val="2B0E7AB2"/>
    <w:rsid w:val="2B3C2B7F"/>
    <w:rsid w:val="2B4567EE"/>
    <w:rsid w:val="2B4E12B8"/>
    <w:rsid w:val="2B5135E9"/>
    <w:rsid w:val="2B871179"/>
    <w:rsid w:val="2B8A3470"/>
    <w:rsid w:val="2B9D4C2C"/>
    <w:rsid w:val="2BCA3B47"/>
    <w:rsid w:val="2BE50D71"/>
    <w:rsid w:val="2BF07FA3"/>
    <w:rsid w:val="2BF93C7F"/>
    <w:rsid w:val="2C370A5A"/>
    <w:rsid w:val="2C49575C"/>
    <w:rsid w:val="2C652EE7"/>
    <w:rsid w:val="2C665559"/>
    <w:rsid w:val="2C683044"/>
    <w:rsid w:val="2C7058DB"/>
    <w:rsid w:val="2C7963F1"/>
    <w:rsid w:val="2C891E38"/>
    <w:rsid w:val="2CA67207"/>
    <w:rsid w:val="2CAB5196"/>
    <w:rsid w:val="2CE42D51"/>
    <w:rsid w:val="2CF036FA"/>
    <w:rsid w:val="2CF73236"/>
    <w:rsid w:val="2D2C202A"/>
    <w:rsid w:val="2D3C11E8"/>
    <w:rsid w:val="2D4F514F"/>
    <w:rsid w:val="2D520736"/>
    <w:rsid w:val="2D6A3E60"/>
    <w:rsid w:val="2D75396E"/>
    <w:rsid w:val="2D8017AD"/>
    <w:rsid w:val="2D853026"/>
    <w:rsid w:val="2DAA2FA7"/>
    <w:rsid w:val="2DDF3B20"/>
    <w:rsid w:val="2DE55C28"/>
    <w:rsid w:val="2E027B3E"/>
    <w:rsid w:val="2E0861BD"/>
    <w:rsid w:val="2E0D3075"/>
    <w:rsid w:val="2E281F7E"/>
    <w:rsid w:val="2E2C1200"/>
    <w:rsid w:val="2E3A7896"/>
    <w:rsid w:val="2E6001A8"/>
    <w:rsid w:val="2E687490"/>
    <w:rsid w:val="2E857A38"/>
    <w:rsid w:val="2EA77B46"/>
    <w:rsid w:val="2EAC7A35"/>
    <w:rsid w:val="2EC50F33"/>
    <w:rsid w:val="2EF2788B"/>
    <w:rsid w:val="2F120B2A"/>
    <w:rsid w:val="2F2164FE"/>
    <w:rsid w:val="2F27531A"/>
    <w:rsid w:val="2F2E050C"/>
    <w:rsid w:val="2F476B56"/>
    <w:rsid w:val="2F6261EE"/>
    <w:rsid w:val="2F706890"/>
    <w:rsid w:val="2F901464"/>
    <w:rsid w:val="2F947ED7"/>
    <w:rsid w:val="2F9D398B"/>
    <w:rsid w:val="2F9F283D"/>
    <w:rsid w:val="2FA523CD"/>
    <w:rsid w:val="2FAA5A87"/>
    <w:rsid w:val="2FC078CE"/>
    <w:rsid w:val="2FC82D94"/>
    <w:rsid w:val="2FCE2FD5"/>
    <w:rsid w:val="2FD23E16"/>
    <w:rsid w:val="2FD80835"/>
    <w:rsid w:val="2FE029D7"/>
    <w:rsid w:val="2FE04DD6"/>
    <w:rsid w:val="2FE27288"/>
    <w:rsid w:val="2FEE7321"/>
    <w:rsid w:val="2FF723D0"/>
    <w:rsid w:val="30020507"/>
    <w:rsid w:val="302D1F7D"/>
    <w:rsid w:val="302D7916"/>
    <w:rsid w:val="30683FE8"/>
    <w:rsid w:val="30912D08"/>
    <w:rsid w:val="30991B66"/>
    <w:rsid w:val="30AF2641"/>
    <w:rsid w:val="30AF5100"/>
    <w:rsid w:val="30C40218"/>
    <w:rsid w:val="30C86099"/>
    <w:rsid w:val="30CC648D"/>
    <w:rsid w:val="30D55DD4"/>
    <w:rsid w:val="30DC4A94"/>
    <w:rsid w:val="30F06C54"/>
    <w:rsid w:val="313428B3"/>
    <w:rsid w:val="31596243"/>
    <w:rsid w:val="31B4083D"/>
    <w:rsid w:val="31B61C41"/>
    <w:rsid w:val="31E2598C"/>
    <w:rsid w:val="31F80E6B"/>
    <w:rsid w:val="32006E1F"/>
    <w:rsid w:val="32041D50"/>
    <w:rsid w:val="32222E32"/>
    <w:rsid w:val="322C2E21"/>
    <w:rsid w:val="32595CBF"/>
    <w:rsid w:val="325C22E8"/>
    <w:rsid w:val="326411FC"/>
    <w:rsid w:val="32704B70"/>
    <w:rsid w:val="3272111E"/>
    <w:rsid w:val="32891E6B"/>
    <w:rsid w:val="329A22AC"/>
    <w:rsid w:val="32A23E3C"/>
    <w:rsid w:val="32B80364"/>
    <w:rsid w:val="32D6122A"/>
    <w:rsid w:val="32DA4926"/>
    <w:rsid w:val="32DC4187"/>
    <w:rsid w:val="32E34CE7"/>
    <w:rsid w:val="33020B15"/>
    <w:rsid w:val="3309525E"/>
    <w:rsid w:val="331F59AC"/>
    <w:rsid w:val="33481C20"/>
    <w:rsid w:val="334A1248"/>
    <w:rsid w:val="33515B65"/>
    <w:rsid w:val="335B40EE"/>
    <w:rsid w:val="33791340"/>
    <w:rsid w:val="338F63A2"/>
    <w:rsid w:val="33B71CA0"/>
    <w:rsid w:val="33D60BD7"/>
    <w:rsid w:val="33E01E51"/>
    <w:rsid w:val="33FA74CF"/>
    <w:rsid w:val="340A13F4"/>
    <w:rsid w:val="3413452E"/>
    <w:rsid w:val="3418625A"/>
    <w:rsid w:val="341F3ACE"/>
    <w:rsid w:val="34375C04"/>
    <w:rsid w:val="344E4D52"/>
    <w:rsid w:val="345D6257"/>
    <w:rsid w:val="34727A6A"/>
    <w:rsid w:val="34845FCD"/>
    <w:rsid w:val="34A42096"/>
    <w:rsid w:val="34A73B6F"/>
    <w:rsid w:val="34C439F3"/>
    <w:rsid w:val="34E718AD"/>
    <w:rsid w:val="35093AFE"/>
    <w:rsid w:val="350C2447"/>
    <w:rsid w:val="355A0888"/>
    <w:rsid w:val="355A7D0F"/>
    <w:rsid w:val="35647916"/>
    <w:rsid w:val="357B7513"/>
    <w:rsid w:val="357C4DE8"/>
    <w:rsid w:val="358E0BC8"/>
    <w:rsid w:val="3598339F"/>
    <w:rsid w:val="35AD06EA"/>
    <w:rsid w:val="35B44996"/>
    <w:rsid w:val="35C4575D"/>
    <w:rsid w:val="35D25868"/>
    <w:rsid w:val="35E55944"/>
    <w:rsid w:val="35EB16BC"/>
    <w:rsid w:val="362835F0"/>
    <w:rsid w:val="363831E9"/>
    <w:rsid w:val="3649716F"/>
    <w:rsid w:val="364A164B"/>
    <w:rsid w:val="36531E17"/>
    <w:rsid w:val="36653F43"/>
    <w:rsid w:val="366F144D"/>
    <w:rsid w:val="3687478F"/>
    <w:rsid w:val="3695459B"/>
    <w:rsid w:val="369929B6"/>
    <w:rsid w:val="36B73D23"/>
    <w:rsid w:val="36DA7C4C"/>
    <w:rsid w:val="36F2584F"/>
    <w:rsid w:val="36FF6ED7"/>
    <w:rsid w:val="37144CB7"/>
    <w:rsid w:val="371D1E1A"/>
    <w:rsid w:val="37290752"/>
    <w:rsid w:val="373467A7"/>
    <w:rsid w:val="373C1B3F"/>
    <w:rsid w:val="373F42AB"/>
    <w:rsid w:val="37405DC0"/>
    <w:rsid w:val="37490167"/>
    <w:rsid w:val="37651AB0"/>
    <w:rsid w:val="37871FE4"/>
    <w:rsid w:val="37B31048"/>
    <w:rsid w:val="37C40689"/>
    <w:rsid w:val="37CB10CC"/>
    <w:rsid w:val="37E31B89"/>
    <w:rsid w:val="37E5630E"/>
    <w:rsid w:val="37F15795"/>
    <w:rsid w:val="37F30485"/>
    <w:rsid w:val="37F75656"/>
    <w:rsid w:val="37F96636"/>
    <w:rsid w:val="38066621"/>
    <w:rsid w:val="38165DCD"/>
    <w:rsid w:val="381B2C52"/>
    <w:rsid w:val="382C728B"/>
    <w:rsid w:val="385B095F"/>
    <w:rsid w:val="386D61BF"/>
    <w:rsid w:val="38720F34"/>
    <w:rsid w:val="387D3CB6"/>
    <w:rsid w:val="38972911"/>
    <w:rsid w:val="38AC78FA"/>
    <w:rsid w:val="38B145E7"/>
    <w:rsid w:val="38D71A64"/>
    <w:rsid w:val="38E3626B"/>
    <w:rsid w:val="390A15FF"/>
    <w:rsid w:val="39111E53"/>
    <w:rsid w:val="392B65F6"/>
    <w:rsid w:val="393F0FC4"/>
    <w:rsid w:val="397711C2"/>
    <w:rsid w:val="397C4FE6"/>
    <w:rsid w:val="397E4789"/>
    <w:rsid w:val="397E4E3E"/>
    <w:rsid w:val="39870490"/>
    <w:rsid w:val="39B8244F"/>
    <w:rsid w:val="39BE0D7B"/>
    <w:rsid w:val="39D2251F"/>
    <w:rsid w:val="39DB54A2"/>
    <w:rsid w:val="39E16A12"/>
    <w:rsid w:val="39F94524"/>
    <w:rsid w:val="39FC3BCF"/>
    <w:rsid w:val="3A0F7748"/>
    <w:rsid w:val="3A320501"/>
    <w:rsid w:val="3A484D73"/>
    <w:rsid w:val="3A5D79E9"/>
    <w:rsid w:val="3A6C21D7"/>
    <w:rsid w:val="3A7168E3"/>
    <w:rsid w:val="3A722FE6"/>
    <w:rsid w:val="3A762DE3"/>
    <w:rsid w:val="3A816BF0"/>
    <w:rsid w:val="3A893438"/>
    <w:rsid w:val="3A8D61FF"/>
    <w:rsid w:val="3A9B0C12"/>
    <w:rsid w:val="3AA31F1A"/>
    <w:rsid w:val="3AA8723C"/>
    <w:rsid w:val="3AB17827"/>
    <w:rsid w:val="3ACA4067"/>
    <w:rsid w:val="3ADA1EB7"/>
    <w:rsid w:val="3B3A3335"/>
    <w:rsid w:val="3B526D82"/>
    <w:rsid w:val="3B545E77"/>
    <w:rsid w:val="3B575C84"/>
    <w:rsid w:val="3B596336"/>
    <w:rsid w:val="3B7D3E94"/>
    <w:rsid w:val="3B801E84"/>
    <w:rsid w:val="3B8B7A55"/>
    <w:rsid w:val="3B9D3E05"/>
    <w:rsid w:val="3BC853E1"/>
    <w:rsid w:val="3C004CF3"/>
    <w:rsid w:val="3C095130"/>
    <w:rsid w:val="3C2A5EC4"/>
    <w:rsid w:val="3C3142B8"/>
    <w:rsid w:val="3C6A41CB"/>
    <w:rsid w:val="3C800964"/>
    <w:rsid w:val="3C9C4D07"/>
    <w:rsid w:val="3CAE72FE"/>
    <w:rsid w:val="3CB17CF0"/>
    <w:rsid w:val="3CB45AF6"/>
    <w:rsid w:val="3CC0039C"/>
    <w:rsid w:val="3CCA4974"/>
    <w:rsid w:val="3CD975D5"/>
    <w:rsid w:val="3CF85AEB"/>
    <w:rsid w:val="3D077F4F"/>
    <w:rsid w:val="3D12797C"/>
    <w:rsid w:val="3D190C07"/>
    <w:rsid w:val="3D197D33"/>
    <w:rsid w:val="3D243F21"/>
    <w:rsid w:val="3D5F00C4"/>
    <w:rsid w:val="3D675511"/>
    <w:rsid w:val="3D801318"/>
    <w:rsid w:val="3D8B21D4"/>
    <w:rsid w:val="3D9A579B"/>
    <w:rsid w:val="3DB678B7"/>
    <w:rsid w:val="3DC5167A"/>
    <w:rsid w:val="3DCA4ADF"/>
    <w:rsid w:val="3E0F1801"/>
    <w:rsid w:val="3E137B27"/>
    <w:rsid w:val="3E1C0E93"/>
    <w:rsid w:val="3E334A02"/>
    <w:rsid w:val="3E34112C"/>
    <w:rsid w:val="3E455441"/>
    <w:rsid w:val="3E5D0C59"/>
    <w:rsid w:val="3E8462AE"/>
    <w:rsid w:val="3E9179ED"/>
    <w:rsid w:val="3EAA4D59"/>
    <w:rsid w:val="3F0D6B29"/>
    <w:rsid w:val="3F183ECD"/>
    <w:rsid w:val="3F2E3C9E"/>
    <w:rsid w:val="3F3734F9"/>
    <w:rsid w:val="3F537B0B"/>
    <w:rsid w:val="3F6B179D"/>
    <w:rsid w:val="3F713A41"/>
    <w:rsid w:val="3F71490A"/>
    <w:rsid w:val="3F7E1115"/>
    <w:rsid w:val="3FAC04AE"/>
    <w:rsid w:val="3FB06A4E"/>
    <w:rsid w:val="3FBE4971"/>
    <w:rsid w:val="3FC67DCC"/>
    <w:rsid w:val="3FCF2EB0"/>
    <w:rsid w:val="3FD50E20"/>
    <w:rsid w:val="3FE06189"/>
    <w:rsid w:val="3FE56730"/>
    <w:rsid w:val="3FF41BED"/>
    <w:rsid w:val="400F6A12"/>
    <w:rsid w:val="4023719C"/>
    <w:rsid w:val="402727B6"/>
    <w:rsid w:val="403A79FC"/>
    <w:rsid w:val="40491788"/>
    <w:rsid w:val="406A1DEA"/>
    <w:rsid w:val="406F0695"/>
    <w:rsid w:val="40854CFC"/>
    <w:rsid w:val="40A553B8"/>
    <w:rsid w:val="40AE0072"/>
    <w:rsid w:val="40E542E3"/>
    <w:rsid w:val="40F47D04"/>
    <w:rsid w:val="41054821"/>
    <w:rsid w:val="41084ECC"/>
    <w:rsid w:val="410C55DF"/>
    <w:rsid w:val="41240148"/>
    <w:rsid w:val="412D529B"/>
    <w:rsid w:val="413374CE"/>
    <w:rsid w:val="413A7D58"/>
    <w:rsid w:val="414721B6"/>
    <w:rsid w:val="414D207E"/>
    <w:rsid w:val="415B24D5"/>
    <w:rsid w:val="41627B40"/>
    <w:rsid w:val="416F1C2E"/>
    <w:rsid w:val="418D1B82"/>
    <w:rsid w:val="419B3507"/>
    <w:rsid w:val="419F667D"/>
    <w:rsid w:val="41A341DA"/>
    <w:rsid w:val="41A8101C"/>
    <w:rsid w:val="41C73A93"/>
    <w:rsid w:val="41DC7830"/>
    <w:rsid w:val="41EA1C50"/>
    <w:rsid w:val="41FE309B"/>
    <w:rsid w:val="42074CD3"/>
    <w:rsid w:val="42216528"/>
    <w:rsid w:val="423D750B"/>
    <w:rsid w:val="42424296"/>
    <w:rsid w:val="42527D16"/>
    <w:rsid w:val="426C60C5"/>
    <w:rsid w:val="427A4EDA"/>
    <w:rsid w:val="42946697"/>
    <w:rsid w:val="429A4D3B"/>
    <w:rsid w:val="42AF67FE"/>
    <w:rsid w:val="42B61C41"/>
    <w:rsid w:val="42CB0E8B"/>
    <w:rsid w:val="42D76E55"/>
    <w:rsid w:val="42DF54DE"/>
    <w:rsid w:val="42ED51F0"/>
    <w:rsid w:val="42F70E41"/>
    <w:rsid w:val="42FC7084"/>
    <w:rsid w:val="430701E3"/>
    <w:rsid w:val="434127DB"/>
    <w:rsid w:val="43433E4E"/>
    <w:rsid w:val="43A769B0"/>
    <w:rsid w:val="43B66337"/>
    <w:rsid w:val="43DF6105"/>
    <w:rsid w:val="43F16E48"/>
    <w:rsid w:val="44115C30"/>
    <w:rsid w:val="44271C96"/>
    <w:rsid w:val="44322272"/>
    <w:rsid w:val="4440335F"/>
    <w:rsid w:val="444518B8"/>
    <w:rsid w:val="445C6877"/>
    <w:rsid w:val="44721EBF"/>
    <w:rsid w:val="447561B2"/>
    <w:rsid w:val="447617DF"/>
    <w:rsid w:val="447B3C2E"/>
    <w:rsid w:val="448A3A54"/>
    <w:rsid w:val="44AE49A9"/>
    <w:rsid w:val="44B35BE1"/>
    <w:rsid w:val="44EE7309"/>
    <w:rsid w:val="450E1714"/>
    <w:rsid w:val="45223554"/>
    <w:rsid w:val="452B7206"/>
    <w:rsid w:val="45304D0A"/>
    <w:rsid w:val="45306017"/>
    <w:rsid w:val="453849A0"/>
    <w:rsid w:val="453F78BB"/>
    <w:rsid w:val="457A7637"/>
    <w:rsid w:val="458016D7"/>
    <w:rsid w:val="4596492B"/>
    <w:rsid w:val="45A95B51"/>
    <w:rsid w:val="45E00660"/>
    <w:rsid w:val="45EF106A"/>
    <w:rsid w:val="45FA1C82"/>
    <w:rsid w:val="46023382"/>
    <w:rsid w:val="4629765E"/>
    <w:rsid w:val="46530C2A"/>
    <w:rsid w:val="465C6E0A"/>
    <w:rsid w:val="46640FE2"/>
    <w:rsid w:val="467433BE"/>
    <w:rsid w:val="46761192"/>
    <w:rsid w:val="467F3032"/>
    <w:rsid w:val="46853114"/>
    <w:rsid w:val="4696747C"/>
    <w:rsid w:val="46A96814"/>
    <w:rsid w:val="46AF64AB"/>
    <w:rsid w:val="46B10C77"/>
    <w:rsid w:val="46B30575"/>
    <w:rsid w:val="46DB5947"/>
    <w:rsid w:val="47050A37"/>
    <w:rsid w:val="471625E7"/>
    <w:rsid w:val="47306FCC"/>
    <w:rsid w:val="4733294A"/>
    <w:rsid w:val="4746138E"/>
    <w:rsid w:val="475D07F0"/>
    <w:rsid w:val="477938BD"/>
    <w:rsid w:val="47865F06"/>
    <w:rsid w:val="47905A74"/>
    <w:rsid w:val="47955CE5"/>
    <w:rsid w:val="47BB2179"/>
    <w:rsid w:val="47C15854"/>
    <w:rsid w:val="47C43ED2"/>
    <w:rsid w:val="47DD4F37"/>
    <w:rsid w:val="47E15760"/>
    <w:rsid w:val="47E40F6F"/>
    <w:rsid w:val="47E82810"/>
    <w:rsid w:val="47F42024"/>
    <w:rsid w:val="482D62EA"/>
    <w:rsid w:val="48450216"/>
    <w:rsid w:val="48777FB9"/>
    <w:rsid w:val="488277A9"/>
    <w:rsid w:val="48AC3D6F"/>
    <w:rsid w:val="48AF3319"/>
    <w:rsid w:val="48AF6470"/>
    <w:rsid w:val="48C60689"/>
    <w:rsid w:val="48D56793"/>
    <w:rsid w:val="48DA2BBE"/>
    <w:rsid w:val="49091584"/>
    <w:rsid w:val="49146FFF"/>
    <w:rsid w:val="491E0564"/>
    <w:rsid w:val="493614B2"/>
    <w:rsid w:val="493B53F3"/>
    <w:rsid w:val="49490293"/>
    <w:rsid w:val="494E7CC4"/>
    <w:rsid w:val="4965150B"/>
    <w:rsid w:val="49692FD7"/>
    <w:rsid w:val="498005ED"/>
    <w:rsid w:val="499F14E1"/>
    <w:rsid w:val="49A02329"/>
    <w:rsid w:val="49A13B23"/>
    <w:rsid w:val="49A437DE"/>
    <w:rsid w:val="49A83020"/>
    <w:rsid w:val="49A85CE6"/>
    <w:rsid w:val="49AA4108"/>
    <w:rsid w:val="49B85DA5"/>
    <w:rsid w:val="49D720D7"/>
    <w:rsid w:val="49EA463D"/>
    <w:rsid w:val="49F831FF"/>
    <w:rsid w:val="49FC0A87"/>
    <w:rsid w:val="4A040EE1"/>
    <w:rsid w:val="4A0A3ADF"/>
    <w:rsid w:val="4A3B201D"/>
    <w:rsid w:val="4A5249DB"/>
    <w:rsid w:val="4A606D15"/>
    <w:rsid w:val="4A6560C0"/>
    <w:rsid w:val="4A7C7387"/>
    <w:rsid w:val="4AB60ED3"/>
    <w:rsid w:val="4AC716A0"/>
    <w:rsid w:val="4ACE226C"/>
    <w:rsid w:val="4AD62B8E"/>
    <w:rsid w:val="4ADC3987"/>
    <w:rsid w:val="4AF637E1"/>
    <w:rsid w:val="4B1319BE"/>
    <w:rsid w:val="4B39781B"/>
    <w:rsid w:val="4B5B4875"/>
    <w:rsid w:val="4B5C2473"/>
    <w:rsid w:val="4B661B8A"/>
    <w:rsid w:val="4B7257B9"/>
    <w:rsid w:val="4B7464AA"/>
    <w:rsid w:val="4B870E35"/>
    <w:rsid w:val="4B943FD9"/>
    <w:rsid w:val="4B996C6D"/>
    <w:rsid w:val="4B99734E"/>
    <w:rsid w:val="4B9C6366"/>
    <w:rsid w:val="4BC968FA"/>
    <w:rsid w:val="4BE80B09"/>
    <w:rsid w:val="4C270CFE"/>
    <w:rsid w:val="4C6709F6"/>
    <w:rsid w:val="4C71656B"/>
    <w:rsid w:val="4C7C7DBF"/>
    <w:rsid w:val="4C83433F"/>
    <w:rsid w:val="4C9B3AB5"/>
    <w:rsid w:val="4CB26320"/>
    <w:rsid w:val="4CD269B8"/>
    <w:rsid w:val="4CD805DE"/>
    <w:rsid w:val="4CDA0E87"/>
    <w:rsid w:val="4CE8132A"/>
    <w:rsid w:val="4CF778E0"/>
    <w:rsid w:val="4D0C3CE8"/>
    <w:rsid w:val="4D29274D"/>
    <w:rsid w:val="4D34674C"/>
    <w:rsid w:val="4D36289B"/>
    <w:rsid w:val="4D5160CC"/>
    <w:rsid w:val="4D687B65"/>
    <w:rsid w:val="4D7B53D2"/>
    <w:rsid w:val="4D911977"/>
    <w:rsid w:val="4D99076F"/>
    <w:rsid w:val="4DBE55D2"/>
    <w:rsid w:val="4DCC7346"/>
    <w:rsid w:val="4DDE28FE"/>
    <w:rsid w:val="4DE90567"/>
    <w:rsid w:val="4E4E195C"/>
    <w:rsid w:val="4E8D4BA2"/>
    <w:rsid w:val="4E903121"/>
    <w:rsid w:val="4E98269D"/>
    <w:rsid w:val="4EA42D7D"/>
    <w:rsid w:val="4EAD59E3"/>
    <w:rsid w:val="4EC95721"/>
    <w:rsid w:val="4ED06B2A"/>
    <w:rsid w:val="4F3A75B6"/>
    <w:rsid w:val="4F567FFE"/>
    <w:rsid w:val="4F5B577E"/>
    <w:rsid w:val="4F7A1210"/>
    <w:rsid w:val="4F8664BF"/>
    <w:rsid w:val="4F8963A2"/>
    <w:rsid w:val="4FB037F5"/>
    <w:rsid w:val="4FB82007"/>
    <w:rsid w:val="4FBD332C"/>
    <w:rsid w:val="4FBD688A"/>
    <w:rsid w:val="4FC309D0"/>
    <w:rsid w:val="4FC568C4"/>
    <w:rsid w:val="4FE12ACA"/>
    <w:rsid w:val="4FF67434"/>
    <w:rsid w:val="50136936"/>
    <w:rsid w:val="50236539"/>
    <w:rsid w:val="50281B04"/>
    <w:rsid w:val="50312E8D"/>
    <w:rsid w:val="503661CB"/>
    <w:rsid w:val="505B6F9B"/>
    <w:rsid w:val="50622D16"/>
    <w:rsid w:val="506643DA"/>
    <w:rsid w:val="50A311DF"/>
    <w:rsid w:val="50AA7A7A"/>
    <w:rsid w:val="50BC6896"/>
    <w:rsid w:val="50C322A4"/>
    <w:rsid w:val="50D65C57"/>
    <w:rsid w:val="50DE7099"/>
    <w:rsid w:val="51005A7A"/>
    <w:rsid w:val="514D2263"/>
    <w:rsid w:val="51551711"/>
    <w:rsid w:val="516C3B41"/>
    <w:rsid w:val="517254AE"/>
    <w:rsid w:val="517B67E4"/>
    <w:rsid w:val="51C677BA"/>
    <w:rsid w:val="51C73A31"/>
    <w:rsid w:val="51E3518E"/>
    <w:rsid w:val="51E4717D"/>
    <w:rsid w:val="51E50A78"/>
    <w:rsid w:val="51F17A6D"/>
    <w:rsid w:val="520177FA"/>
    <w:rsid w:val="52086E60"/>
    <w:rsid w:val="521101BE"/>
    <w:rsid w:val="521A7719"/>
    <w:rsid w:val="522A2C1E"/>
    <w:rsid w:val="52406AA7"/>
    <w:rsid w:val="5248448B"/>
    <w:rsid w:val="52525E60"/>
    <w:rsid w:val="525C7843"/>
    <w:rsid w:val="52752912"/>
    <w:rsid w:val="528232A4"/>
    <w:rsid w:val="52C56852"/>
    <w:rsid w:val="52C65E0C"/>
    <w:rsid w:val="52E064B7"/>
    <w:rsid w:val="52F26D47"/>
    <w:rsid w:val="53101BE2"/>
    <w:rsid w:val="533267F6"/>
    <w:rsid w:val="53446695"/>
    <w:rsid w:val="53455F5E"/>
    <w:rsid w:val="53565B95"/>
    <w:rsid w:val="5359227B"/>
    <w:rsid w:val="536E7E72"/>
    <w:rsid w:val="53797DD1"/>
    <w:rsid w:val="53802133"/>
    <w:rsid w:val="538F05E7"/>
    <w:rsid w:val="539A4963"/>
    <w:rsid w:val="53AF2BD9"/>
    <w:rsid w:val="53B35C3F"/>
    <w:rsid w:val="53B36F5E"/>
    <w:rsid w:val="53B611D5"/>
    <w:rsid w:val="53D0046D"/>
    <w:rsid w:val="53F2715B"/>
    <w:rsid w:val="53F774B4"/>
    <w:rsid w:val="54472D66"/>
    <w:rsid w:val="544E150A"/>
    <w:rsid w:val="54613EE5"/>
    <w:rsid w:val="547204E7"/>
    <w:rsid w:val="54891D41"/>
    <w:rsid w:val="549D6371"/>
    <w:rsid w:val="54BD590C"/>
    <w:rsid w:val="54C927BE"/>
    <w:rsid w:val="54D46EC5"/>
    <w:rsid w:val="54D47B2B"/>
    <w:rsid w:val="550F118F"/>
    <w:rsid w:val="5516357A"/>
    <w:rsid w:val="55321C28"/>
    <w:rsid w:val="554724BC"/>
    <w:rsid w:val="556E2BC3"/>
    <w:rsid w:val="55995C10"/>
    <w:rsid w:val="55B34C2A"/>
    <w:rsid w:val="55BB2680"/>
    <w:rsid w:val="55CA0F67"/>
    <w:rsid w:val="55DE7488"/>
    <w:rsid w:val="55ED4936"/>
    <w:rsid w:val="55F91B9D"/>
    <w:rsid w:val="560933EE"/>
    <w:rsid w:val="560E0310"/>
    <w:rsid w:val="56615556"/>
    <w:rsid w:val="56684540"/>
    <w:rsid w:val="568133F7"/>
    <w:rsid w:val="569E22C8"/>
    <w:rsid w:val="56C0310C"/>
    <w:rsid w:val="56E92ABA"/>
    <w:rsid w:val="56F3125B"/>
    <w:rsid w:val="56F771BF"/>
    <w:rsid w:val="56F91B04"/>
    <w:rsid w:val="570B26AA"/>
    <w:rsid w:val="570F62BF"/>
    <w:rsid w:val="573E13BA"/>
    <w:rsid w:val="57553E98"/>
    <w:rsid w:val="576A1FA5"/>
    <w:rsid w:val="577B1F4A"/>
    <w:rsid w:val="577F6A93"/>
    <w:rsid w:val="578C7D72"/>
    <w:rsid w:val="579F3D1A"/>
    <w:rsid w:val="57A1387F"/>
    <w:rsid w:val="57AB357C"/>
    <w:rsid w:val="57E62763"/>
    <w:rsid w:val="57F579FB"/>
    <w:rsid w:val="583D35EF"/>
    <w:rsid w:val="584831D5"/>
    <w:rsid w:val="585271B8"/>
    <w:rsid w:val="585C12A6"/>
    <w:rsid w:val="58673BA3"/>
    <w:rsid w:val="586E05CD"/>
    <w:rsid w:val="58736FC1"/>
    <w:rsid w:val="58772E7E"/>
    <w:rsid w:val="58BA15B1"/>
    <w:rsid w:val="58BF609E"/>
    <w:rsid w:val="58D07640"/>
    <w:rsid w:val="58E258D6"/>
    <w:rsid w:val="58FA3F1D"/>
    <w:rsid w:val="59295127"/>
    <w:rsid w:val="59364901"/>
    <w:rsid w:val="59367DBD"/>
    <w:rsid w:val="593A0791"/>
    <w:rsid w:val="593A6DBB"/>
    <w:rsid w:val="5946302A"/>
    <w:rsid w:val="594C3650"/>
    <w:rsid w:val="594D7B28"/>
    <w:rsid w:val="597C00B3"/>
    <w:rsid w:val="59822C7A"/>
    <w:rsid w:val="59B346D9"/>
    <w:rsid w:val="59CE58C6"/>
    <w:rsid w:val="59CF775F"/>
    <w:rsid w:val="59D564E2"/>
    <w:rsid w:val="59E04793"/>
    <w:rsid w:val="59EF358C"/>
    <w:rsid w:val="5A172A79"/>
    <w:rsid w:val="5A1C3C75"/>
    <w:rsid w:val="5A457608"/>
    <w:rsid w:val="5A4819D5"/>
    <w:rsid w:val="5A5153D9"/>
    <w:rsid w:val="5A64198B"/>
    <w:rsid w:val="5A7F3D18"/>
    <w:rsid w:val="5A836C53"/>
    <w:rsid w:val="5A873DBF"/>
    <w:rsid w:val="5A93657F"/>
    <w:rsid w:val="5AB91EA6"/>
    <w:rsid w:val="5ADF4BAE"/>
    <w:rsid w:val="5AFA7825"/>
    <w:rsid w:val="5B060778"/>
    <w:rsid w:val="5B080FB5"/>
    <w:rsid w:val="5B270938"/>
    <w:rsid w:val="5B3039DF"/>
    <w:rsid w:val="5B661732"/>
    <w:rsid w:val="5B763EF8"/>
    <w:rsid w:val="5B856BBC"/>
    <w:rsid w:val="5BA63803"/>
    <w:rsid w:val="5BBF0C71"/>
    <w:rsid w:val="5BEF5CF4"/>
    <w:rsid w:val="5BF32FDD"/>
    <w:rsid w:val="5C16201E"/>
    <w:rsid w:val="5C2A738B"/>
    <w:rsid w:val="5C311D40"/>
    <w:rsid w:val="5C407BEC"/>
    <w:rsid w:val="5C484220"/>
    <w:rsid w:val="5C4C3243"/>
    <w:rsid w:val="5C535148"/>
    <w:rsid w:val="5C8D176D"/>
    <w:rsid w:val="5CA04CD4"/>
    <w:rsid w:val="5CA30277"/>
    <w:rsid w:val="5CB52C08"/>
    <w:rsid w:val="5CB642B0"/>
    <w:rsid w:val="5CDB5438"/>
    <w:rsid w:val="5CDB6AAE"/>
    <w:rsid w:val="5CE152F0"/>
    <w:rsid w:val="5CE75AEC"/>
    <w:rsid w:val="5D0E228C"/>
    <w:rsid w:val="5D183ADC"/>
    <w:rsid w:val="5D22562E"/>
    <w:rsid w:val="5D235E11"/>
    <w:rsid w:val="5D5B42B4"/>
    <w:rsid w:val="5D665A15"/>
    <w:rsid w:val="5D7631D1"/>
    <w:rsid w:val="5DA6439A"/>
    <w:rsid w:val="5DAD1C39"/>
    <w:rsid w:val="5DEE4D59"/>
    <w:rsid w:val="5E1260AE"/>
    <w:rsid w:val="5E196F0D"/>
    <w:rsid w:val="5E2D5E1B"/>
    <w:rsid w:val="5E432B64"/>
    <w:rsid w:val="5E453B6E"/>
    <w:rsid w:val="5E5F706F"/>
    <w:rsid w:val="5E7177BB"/>
    <w:rsid w:val="5EA04070"/>
    <w:rsid w:val="5EBB64C1"/>
    <w:rsid w:val="5EC914DD"/>
    <w:rsid w:val="5EC94DA1"/>
    <w:rsid w:val="5ECE3622"/>
    <w:rsid w:val="5EDF1BBD"/>
    <w:rsid w:val="5EED0459"/>
    <w:rsid w:val="5F2A1B58"/>
    <w:rsid w:val="5F36282D"/>
    <w:rsid w:val="5F427DC1"/>
    <w:rsid w:val="5F6012F2"/>
    <w:rsid w:val="5F714AAE"/>
    <w:rsid w:val="5F725927"/>
    <w:rsid w:val="5F8330DB"/>
    <w:rsid w:val="5F95595F"/>
    <w:rsid w:val="5F9B118C"/>
    <w:rsid w:val="5F9D54EE"/>
    <w:rsid w:val="5FBC3682"/>
    <w:rsid w:val="5FF138D8"/>
    <w:rsid w:val="6027542C"/>
    <w:rsid w:val="604E04A7"/>
    <w:rsid w:val="604E4AD4"/>
    <w:rsid w:val="606F092A"/>
    <w:rsid w:val="607656A3"/>
    <w:rsid w:val="60912FA4"/>
    <w:rsid w:val="60A02B4E"/>
    <w:rsid w:val="60BE10DC"/>
    <w:rsid w:val="60D55D54"/>
    <w:rsid w:val="60D6759F"/>
    <w:rsid w:val="60D72B42"/>
    <w:rsid w:val="60D76F61"/>
    <w:rsid w:val="60FC65D9"/>
    <w:rsid w:val="61377F0B"/>
    <w:rsid w:val="61392B51"/>
    <w:rsid w:val="61394DEA"/>
    <w:rsid w:val="614A11C2"/>
    <w:rsid w:val="614C0A60"/>
    <w:rsid w:val="615E13F3"/>
    <w:rsid w:val="61653660"/>
    <w:rsid w:val="61727C46"/>
    <w:rsid w:val="617530F6"/>
    <w:rsid w:val="617E0876"/>
    <w:rsid w:val="618522EA"/>
    <w:rsid w:val="61913844"/>
    <w:rsid w:val="61BA4586"/>
    <w:rsid w:val="61BD6142"/>
    <w:rsid w:val="61C46670"/>
    <w:rsid w:val="6218007B"/>
    <w:rsid w:val="625A5760"/>
    <w:rsid w:val="62621F17"/>
    <w:rsid w:val="626748F9"/>
    <w:rsid w:val="62675612"/>
    <w:rsid w:val="628C7D9E"/>
    <w:rsid w:val="629E00E3"/>
    <w:rsid w:val="62A743DF"/>
    <w:rsid w:val="62D45C5D"/>
    <w:rsid w:val="62E9501A"/>
    <w:rsid w:val="62F94C28"/>
    <w:rsid w:val="634A6EF7"/>
    <w:rsid w:val="63543414"/>
    <w:rsid w:val="63F31DB1"/>
    <w:rsid w:val="63F63161"/>
    <w:rsid w:val="641153CF"/>
    <w:rsid w:val="641D0BC0"/>
    <w:rsid w:val="642E0A65"/>
    <w:rsid w:val="643C0E31"/>
    <w:rsid w:val="646C2EC6"/>
    <w:rsid w:val="64753CEE"/>
    <w:rsid w:val="64882BF7"/>
    <w:rsid w:val="648F4A66"/>
    <w:rsid w:val="64913A7D"/>
    <w:rsid w:val="64922A79"/>
    <w:rsid w:val="64A3257B"/>
    <w:rsid w:val="64AF6CDD"/>
    <w:rsid w:val="64B67D7B"/>
    <w:rsid w:val="64C97989"/>
    <w:rsid w:val="64CA339F"/>
    <w:rsid w:val="64D64EB9"/>
    <w:rsid w:val="64E1183E"/>
    <w:rsid w:val="64E67551"/>
    <w:rsid w:val="65024C51"/>
    <w:rsid w:val="654815FA"/>
    <w:rsid w:val="654A2041"/>
    <w:rsid w:val="65506ABE"/>
    <w:rsid w:val="655B2F90"/>
    <w:rsid w:val="655B3AD2"/>
    <w:rsid w:val="6567137E"/>
    <w:rsid w:val="65741353"/>
    <w:rsid w:val="65774AC7"/>
    <w:rsid w:val="658017A5"/>
    <w:rsid w:val="6581102D"/>
    <w:rsid w:val="65C12FDA"/>
    <w:rsid w:val="65E20D30"/>
    <w:rsid w:val="65E85601"/>
    <w:rsid w:val="661203ED"/>
    <w:rsid w:val="66212E26"/>
    <w:rsid w:val="662437B8"/>
    <w:rsid w:val="662D0433"/>
    <w:rsid w:val="66420D79"/>
    <w:rsid w:val="664263D6"/>
    <w:rsid w:val="66616D30"/>
    <w:rsid w:val="66957A5C"/>
    <w:rsid w:val="66BB7ABB"/>
    <w:rsid w:val="66CD44E5"/>
    <w:rsid w:val="66D734E4"/>
    <w:rsid w:val="66D857E5"/>
    <w:rsid w:val="6708042D"/>
    <w:rsid w:val="671F7C25"/>
    <w:rsid w:val="675269B7"/>
    <w:rsid w:val="675A13C5"/>
    <w:rsid w:val="67821093"/>
    <w:rsid w:val="6796058D"/>
    <w:rsid w:val="67A33A6B"/>
    <w:rsid w:val="67B0247B"/>
    <w:rsid w:val="67B66864"/>
    <w:rsid w:val="67C73559"/>
    <w:rsid w:val="67D071C6"/>
    <w:rsid w:val="68070C44"/>
    <w:rsid w:val="680A1422"/>
    <w:rsid w:val="680A799B"/>
    <w:rsid w:val="682B4F99"/>
    <w:rsid w:val="682C18A0"/>
    <w:rsid w:val="683A4E9A"/>
    <w:rsid w:val="684A23F5"/>
    <w:rsid w:val="686B04EF"/>
    <w:rsid w:val="688B1698"/>
    <w:rsid w:val="68B848A2"/>
    <w:rsid w:val="68CF017E"/>
    <w:rsid w:val="68F60079"/>
    <w:rsid w:val="690617E8"/>
    <w:rsid w:val="69110BEB"/>
    <w:rsid w:val="69302D57"/>
    <w:rsid w:val="694533DC"/>
    <w:rsid w:val="69472FC0"/>
    <w:rsid w:val="69600E52"/>
    <w:rsid w:val="696D2597"/>
    <w:rsid w:val="696F6A6D"/>
    <w:rsid w:val="697352DC"/>
    <w:rsid w:val="6975088E"/>
    <w:rsid w:val="699D27C3"/>
    <w:rsid w:val="69AD5CEB"/>
    <w:rsid w:val="69C83A75"/>
    <w:rsid w:val="69E033AD"/>
    <w:rsid w:val="69F55A01"/>
    <w:rsid w:val="6A230A0A"/>
    <w:rsid w:val="6A4D6BCD"/>
    <w:rsid w:val="6A4E2574"/>
    <w:rsid w:val="6A5112C6"/>
    <w:rsid w:val="6A5B1FA4"/>
    <w:rsid w:val="6A5B3F59"/>
    <w:rsid w:val="6A5E25D7"/>
    <w:rsid w:val="6A793E0C"/>
    <w:rsid w:val="6AB57C0F"/>
    <w:rsid w:val="6AF9394D"/>
    <w:rsid w:val="6B033634"/>
    <w:rsid w:val="6B3F074C"/>
    <w:rsid w:val="6B6044D5"/>
    <w:rsid w:val="6B7E7E64"/>
    <w:rsid w:val="6B8C6529"/>
    <w:rsid w:val="6B8F36D4"/>
    <w:rsid w:val="6BA94DAF"/>
    <w:rsid w:val="6BB714A5"/>
    <w:rsid w:val="6BB9431D"/>
    <w:rsid w:val="6BCA70ED"/>
    <w:rsid w:val="6BD06610"/>
    <w:rsid w:val="6BD74519"/>
    <w:rsid w:val="6BDA332C"/>
    <w:rsid w:val="6C0D1414"/>
    <w:rsid w:val="6C2236FF"/>
    <w:rsid w:val="6C6057DB"/>
    <w:rsid w:val="6C6248E6"/>
    <w:rsid w:val="6C7413DD"/>
    <w:rsid w:val="6CA74F67"/>
    <w:rsid w:val="6CD3416D"/>
    <w:rsid w:val="6CDD7096"/>
    <w:rsid w:val="6CE25C01"/>
    <w:rsid w:val="6CED723B"/>
    <w:rsid w:val="6CEE5E24"/>
    <w:rsid w:val="6D357D6E"/>
    <w:rsid w:val="6D462A63"/>
    <w:rsid w:val="6D5278DC"/>
    <w:rsid w:val="6D634731"/>
    <w:rsid w:val="6D8C1288"/>
    <w:rsid w:val="6D936509"/>
    <w:rsid w:val="6D9569FC"/>
    <w:rsid w:val="6DB064A3"/>
    <w:rsid w:val="6DCB256B"/>
    <w:rsid w:val="6DE57BF7"/>
    <w:rsid w:val="6DE768B9"/>
    <w:rsid w:val="6DEF1402"/>
    <w:rsid w:val="6DF008B9"/>
    <w:rsid w:val="6DF81431"/>
    <w:rsid w:val="6E086466"/>
    <w:rsid w:val="6E2A2B95"/>
    <w:rsid w:val="6E430C12"/>
    <w:rsid w:val="6E716FD2"/>
    <w:rsid w:val="6EA843B5"/>
    <w:rsid w:val="6EAF5B3F"/>
    <w:rsid w:val="6ECA3ED4"/>
    <w:rsid w:val="6EED2501"/>
    <w:rsid w:val="6EFC09F3"/>
    <w:rsid w:val="6F0724EE"/>
    <w:rsid w:val="6F2E4711"/>
    <w:rsid w:val="6F38730C"/>
    <w:rsid w:val="6F3D0AFD"/>
    <w:rsid w:val="6F5463ED"/>
    <w:rsid w:val="6F6F1848"/>
    <w:rsid w:val="6F7319D0"/>
    <w:rsid w:val="6F835096"/>
    <w:rsid w:val="6F912A0A"/>
    <w:rsid w:val="6F926CC9"/>
    <w:rsid w:val="6FA363C5"/>
    <w:rsid w:val="6FC01F99"/>
    <w:rsid w:val="6FD74555"/>
    <w:rsid w:val="6FF00AA0"/>
    <w:rsid w:val="700579F4"/>
    <w:rsid w:val="701C7686"/>
    <w:rsid w:val="70333FD3"/>
    <w:rsid w:val="70361F01"/>
    <w:rsid w:val="705953B4"/>
    <w:rsid w:val="70751FBE"/>
    <w:rsid w:val="708C2C16"/>
    <w:rsid w:val="708E5F3B"/>
    <w:rsid w:val="70946ED9"/>
    <w:rsid w:val="70993A18"/>
    <w:rsid w:val="70AE48A6"/>
    <w:rsid w:val="70B52AE8"/>
    <w:rsid w:val="711A2C3D"/>
    <w:rsid w:val="711D4822"/>
    <w:rsid w:val="71251150"/>
    <w:rsid w:val="71285F87"/>
    <w:rsid w:val="714419C5"/>
    <w:rsid w:val="716108A4"/>
    <w:rsid w:val="718C3914"/>
    <w:rsid w:val="71B82667"/>
    <w:rsid w:val="71C95EE5"/>
    <w:rsid w:val="71E6504F"/>
    <w:rsid w:val="71ED2BAA"/>
    <w:rsid w:val="721F6C41"/>
    <w:rsid w:val="726C182F"/>
    <w:rsid w:val="727C57B4"/>
    <w:rsid w:val="728D34B4"/>
    <w:rsid w:val="7296337A"/>
    <w:rsid w:val="729A3D7B"/>
    <w:rsid w:val="72B62531"/>
    <w:rsid w:val="72CF2887"/>
    <w:rsid w:val="72DB6EFB"/>
    <w:rsid w:val="72F83B69"/>
    <w:rsid w:val="73064A86"/>
    <w:rsid w:val="732343B7"/>
    <w:rsid w:val="73484DF3"/>
    <w:rsid w:val="73714CEC"/>
    <w:rsid w:val="7374501F"/>
    <w:rsid w:val="73790A08"/>
    <w:rsid w:val="738F57E0"/>
    <w:rsid w:val="73A17D30"/>
    <w:rsid w:val="73AF620E"/>
    <w:rsid w:val="741716B9"/>
    <w:rsid w:val="741A6E8C"/>
    <w:rsid w:val="741F0C91"/>
    <w:rsid w:val="742436A2"/>
    <w:rsid w:val="74253CB9"/>
    <w:rsid w:val="743243FD"/>
    <w:rsid w:val="74367FC1"/>
    <w:rsid w:val="74495BAF"/>
    <w:rsid w:val="745323C8"/>
    <w:rsid w:val="74592575"/>
    <w:rsid w:val="745E327E"/>
    <w:rsid w:val="746E5627"/>
    <w:rsid w:val="747669DF"/>
    <w:rsid w:val="7479015E"/>
    <w:rsid w:val="74844CAB"/>
    <w:rsid w:val="74866D56"/>
    <w:rsid w:val="749359A5"/>
    <w:rsid w:val="74941950"/>
    <w:rsid w:val="74AF26D8"/>
    <w:rsid w:val="74BD4027"/>
    <w:rsid w:val="74DF4F0F"/>
    <w:rsid w:val="74E04B29"/>
    <w:rsid w:val="74E76377"/>
    <w:rsid w:val="74F506A8"/>
    <w:rsid w:val="75024D5F"/>
    <w:rsid w:val="75104AF2"/>
    <w:rsid w:val="75161539"/>
    <w:rsid w:val="75197EAD"/>
    <w:rsid w:val="752616DE"/>
    <w:rsid w:val="753E7423"/>
    <w:rsid w:val="754A358A"/>
    <w:rsid w:val="75537BD5"/>
    <w:rsid w:val="7556489F"/>
    <w:rsid w:val="75603CC4"/>
    <w:rsid w:val="75660128"/>
    <w:rsid w:val="756B1A1A"/>
    <w:rsid w:val="756D2977"/>
    <w:rsid w:val="758A111B"/>
    <w:rsid w:val="759576E4"/>
    <w:rsid w:val="759D0E13"/>
    <w:rsid w:val="75A24D32"/>
    <w:rsid w:val="75A71885"/>
    <w:rsid w:val="75AE3E6D"/>
    <w:rsid w:val="75AF6A6C"/>
    <w:rsid w:val="75B93DC4"/>
    <w:rsid w:val="75C04A9B"/>
    <w:rsid w:val="75FF0362"/>
    <w:rsid w:val="76102C00"/>
    <w:rsid w:val="761041D0"/>
    <w:rsid w:val="761271EA"/>
    <w:rsid w:val="761D63BB"/>
    <w:rsid w:val="762A20F0"/>
    <w:rsid w:val="764E1BE6"/>
    <w:rsid w:val="764E39DC"/>
    <w:rsid w:val="764F29FB"/>
    <w:rsid w:val="7657019E"/>
    <w:rsid w:val="76575E0D"/>
    <w:rsid w:val="765967BF"/>
    <w:rsid w:val="76680930"/>
    <w:rsid w:val="766E1FB7"/>
    <w:rsid w:val="76952DFA"/>
    <w:rsid w:val="769A42FF"/>
    <w:rsid w:val="76A46DDD"/>
    <w:rsid w:val="76C220F0"/>
    <w:rsid w:val="76D951F8"/>
    <w:rsid w:val="76E21C17"/>
    <w:rsid w:val="77096AE9"/>
    <w:rsid w:val="774152AE"/>
    <w:rsid w:val="77506BF7"/>
    <w:rsid w:val="776A4B80"/>
    <w:rsid w:val="776C29AB"/>
    <w:rsid w:val="7780081F"/>
    <w:rsid w:val="778910C7"/>
    <w:rsid w:val="778F3AD7"/>
    <w:rsid w:val="779869F0"/>
    <w:rsid w:val="779934C6"/>
    <w:rsid w:val="77BA23DB"/>
    <w:rsid w:val="77C60C4E"/>
    <w:rsid w:val="77D54126"/>
    <w:rsid w:val="77DF3F31"/>
    <w:rsid w:val="77E675AB"/>
    <w:rsid w:val="77FF6D39"/>
    <w:rsid w:val="78045A1A"/>
    <w:rsid w:val="78220D45"/>
    <w:rsid w:val="782B3D0F"/>
    <w:rsid w:val="78304557"/>
    <w:rsid w:val="783D1C7D"/>
    <w:rsid w:val="78423D1D"/>
    <w:rsid w:val="78491186"/>
    <w:rsid w:val="786F105B"/>
    <w:rsid w:val="787627CE"/>
    <w:rsid w:val="78834BBA"/>
    <w:rsid w:val="78886A97"/>
    <w:rsid w:val="788B1863"/>
    <w:rsid w:val="789B4CEA"/>
    <w:rsid w:val="78A234D4"/>
    <w:rsid w:val="78B23D98"/>
    <w:rsid w:val="78B92B7D"/>
    <w:rsid w:val="78D26F92"/>
    <w:rsid w:val="78E03D33"/>
    <w:rsid w:val="78FE11A5"/>
    <w:rsid w:val="79017DD4"/>
    <w:rsid w:val="7914456E"/>
    <w:rsid w:val="791B54B2"/>
    <w:rsid w:val="791F6362"/>
    <w:rsid w:val="79297378"/>
    <w:rsid w:val="79312C11"/>
    <w:rsid w:val="793E7153"/>
    <w:rsid w:val="794312EC"/>
    <w:rsid w:val="79507852"/>
    <w:rsid w:val="79511CA1"/>
    <w:rsid w:val="797C1075"/>
    <w:rsid w:val="7986063D"/>
    <w:rsid w:val="798F5EA3"/>
    <w:rsid w:val="79972730"/>
    <w:rsid w:val="79A74CF0"/>
    <w:rsid w:val="79C17325"/>
    <w:rsid w:val="79C50A1B"/>
    <w:rsid w:val="79CA6655"/>
    <w:rsid w:val="79DA5D57"/>
    <w:rsid w:val="79F10A72"/>
    <w:rsid w:val="7A144434"/>
    <w:rsid w:val="7A43170C"/>
    <w:rsid w:val="7A44472C"/>
    <w:rsid w:val="7A4A0BAA"/>
    <w:rsid w:val="7A5B1941"/>
    <w:rsid w:val="7A92550F"/>
    <w:rsid w:val="7A9B68AB"/>
    <w:rsid w:val="7AA01E69"/>
    <w:rsid w:val="7ACF3FB3"/>
    <w:rsid w:val="7AD1395E"/>
    <w:rsid w:val="7AD75582"/>
    <w:rsid w:val="7ADE0176"/>
    <w:rsid w:val="7AE614DF"/>
    <w:rsid w:val="7AE93888"/>
    <w:rsid w:val="7AF22200"/>
    <w:rsid w:val="7B085147"/>
    <w:rsid w:val="7B4255C9"/>
    <w:rsid w:val="7B61742F"/>
    <w:rsid w:val="7B8C1B10"/>
    <w:rsid w:val="7B901CC2"/>
    <w:rsid w:val="7B995234"/>
    <w:rsid w:val="7BA064C7"/>
    <w:rsid w:val="7BA62DE5"/>
    <w:rsid w:val="7BBA0843"/>
    <w:rsid w:val="7BC972F5"/>
    <w:rsid w:val="7BCE55A2"/>
    <w:rsid w:val="7BDB28E9"/>
    <w:rsid w:val="7C343021"/>
    <w:rsid w:val="7C61062A"/>
    <w:rsid w:val="7C6E32C8"/>
    <w:rsid w:val="7C85227D"/>
    <w:rsid w:val="7C8610CB"/>
    <w:rsid w:val="7CD8510F"/>
    <w:rsid w:val="7CD87DEB"/>
    <w:rsid w:val="7D03647E"/>
    <w:rsid w:val="7D2A6423"/>
    <w:rsid w:val="7D2C6E71"/>
    <w:rsid w:val="7D3B2E77"/>
    <w:rsid w:val="7D6F6E24"/>
    <w:rsid w:val="7D842F09"/>
    <w:rsid w:val="7D846E37"/>
    <w:rsid w:val="7D8F3040"/>
    <w:rsid w:val="7D9B2408"/>
    <w:rsid w:val="7DAC4334"/>
    <w:rsid w:val="7DB46C01"/>
    <w:rsid w:val="7DC57E6F"/>
    <w:rsid w:val="7DE96798"/>
    <w:rsid w:val="7DFF1773"/>
    <w:rsid w:val="7E1B5F3D"/>
    <w:rsid w:val="7E251C1B"/>
    <w:rsid w:val="7E3043E6"/>
    <w:rsid w:val="7E483FAF"/>
    <w:rsid w:val="7E583170"/>
    <w:rsid w:val="7E9C6CA2"/>
    <w:rsid w:val="7EC94058"/>
    <w:rsid w:val="7ECB43B8"/>
    <w:rsid w:val="7ECE3D88"/>
    <w:rsid w:val="7ED045EA"/>
    <w:rsid w:val="7F116B94"/>
    <w:rsid w:val="7F146310"/>
    <w:rsid w:val="7F171CD8"/>
    <w:rsid w:val="7F1862D8"/>
    <w:rsid w:val="7F3E32C5"/>
    <w:rsid w:val="7F443018"/>
    <w:rsid w:val="7F47429D"/>
    <w:rsid w:val="7F791C5D"/>
    <w:rsid w:val="7F8166A3"/>
    <w:rsid w:val="7F977605"/>
    <w:rsid w:val="7F9C7388"/>
    <w:rsid w:val="7FC15FA1"/>
    <w:rsid w:val="7FE07E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autoRedefine/>
    <w:qFormat/>
    <w:uiPriority w:val="0"/>
    <w:pPr>
      <w:keepNext/>
      <w:keepLines/>
      <w:numPr>
        <w:ilvl w:val="0"/>
        <w:numId w:val="1"/>
      </w:numPr>
      <w:outlineLvl w:val="2"/>
    </w:pPr>
    <w:rPr>
      <w:b/>
      <w:bCs/>
    </w:rPr>
  </w:style>
  <w:style w:type="paragraph" w:styleId="5">
    <w:name w:val="heading 8"/>
    <w:basedOn w:val="1"/>
    <w:next w:val="1"/>
    <w:link w:val="75"/>
    <w:autoRedefine/>
    <w:unhideWhenUsed/>
    <w:qFormat/>
    <w:uiPriority w:val="0"/>
    <w:pPr>
      <w:keepNext/>
      <w:keepLines/>
      <w:numPr>
        <w:ilvl w:val="0"/>
        <w:numId w:val="2"/>
      </w:numPr>
      <w:spacing w:before="240" w:after="64" w:line="320" w:lineRule="auto"/>
      <w:outlineLvl w:val="7"/>
    </w:pPr>
    <w:rPr>
      <w:rFonts w:asciiTheme="majorHAnsi" w:hAnsiTheme="majorHAnsi" w:eastAsiaTheme="majorEastAsia" w:cstheme="majorBidi"/>
      <w:sz w:val="24"/>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3"/>
    <w:basedOn w:val="1"/>
    <w:next w:val="1"/>
    <w:qFormat/>
    <w:uiPriority w:val="0"/>
    <w:pPr>
      <w:spacing w:line="360" w:lineRule="auto"/>
      <w:ind w:left="100" w:leftChars="400" w:hanging="200" w:hangingChars="200"/>
    </w:pPr>
    <w:rPr>
      <w:rFonts w:ascii="Times New Roman" w:hAnsi="Times New Roman" w:cs="Times New Roman"/>
      <w:sz w:val="24"/>
    </w:rPr>
  </w:style>
  <w:style w:type="paragraph" w:styleId="7">
    <w:name w:val="E-mail Signature"/>
    <w:basedOn w:val="1"/>
    <w:next w:val="8"/>
    <w:qFormat/>
    <w:uiPriority w:val="0"/>
    <w:pPr>
      <w:spacing w:line="460" w:lineRule="exact"/>
      <w:ind w:firstLine="200"/>
    </w:pPr>
    <w:rPr>
      <w:rFonts w:ascii="Times New Roman" w:hAnsi="Times New Roman" w:eastAsia="宋体" w:cs="Times New Roman"/>
      <w:sz w:val="24"/>
    </w:rPr>
  </w:style>
  <w:style w:type="paragraph" w:customStyle="1" w:styleId="8">
    <w:name w:val="文章"/>
    <w:basedOn w:val="9"/>
    <w:next w:val="11"/>
    <w:qFormat/>
    <w:uiPriority w:val="0"/>
    <w:pPr>
      <w:widowControl/>
      <w:ind w:firstLine="480"/>
      <w:jc w:val="center"/>
    </w:pPr>
    <w:rPr>
      <w:rFonts w:ascii="Times New Roman" w:hAnsi="Times New Roman" w:eastAsia="宋体" w:cs="Times New Roman"/>
      <w:sz w:val="26"/>
    </w:rPr>
  </w:style>
  <w:style w:type="paragraph" w:styleId="9">
    <w:name w:val="Body Text Indent"/>
    <w:basedOn w:val="1"/>
    <w:next w:val="10"/>
    <w:link w:val="80"/>
    <w:autoRedefine/>
    <w:qFormat/>
    <w:uiPriority w:val="0"/>
    <w:pPr>
      <w:spacing w:after="120"/>
      <w:ind w:left="420" w:leftChars="200"/>
    </w:pPr>
  </w:style>
  <w:style w:type="paragraph" w:customStyle="1" w:styleId="10">
    <w:name w:val="样式 正文文本缩进 + 行距: 1.5 倍行距"/>
    <w:qFormat/>
    <w:uiPriority w:val="0"/>
    <w:pPr>
      <w:widowControl w:val="0"/>
      <w:spacing w:after="120"/>
      <w:ind w:left="90" w:leftChars="32" w:firstLine="560"/>
      <w:jc w:val="both"/>
    </w:pPr>
    <w:rPr>
      <w:rFonts w:ascii="Times New Roman" w:hAnsi="Times New Roman" w:eastAsia="宋体" w:cs="宋体"/>
      <w:kern w:val="0"/>
      <w:sz w:val="24"/>
      <w:szCs w:val="20"/>
      <w:lang w:val="en-US" w:eastAsia="zh-CN" w:bidi="ar-SA"/>
    </w:rPr>
  </w:style>
  <w:style w:type="paragraph" w:styleId="11">
    <w:name w:val="List"/>
    <w:basedOn w:val="1"/>
    <w:next w:val="12"/>
    <w:qFormat/>
    <w:uiPriority w:val="0"/>
    <w:pPr>
      <w:widowControl/>
      <w:ind w:left="200" w:hanging="200" w:hangingChars="200"/>
      <w:jc w:val="left"/>
    </w:pPr>
    <w:rPr>
      <w:rFonts w:ascii="Times New Roman" w:hAnsi="Times New Roman" w:eastAsia="仿宋_GB2312" w:cs="Times New Roman"/>
      <w:kern w:val="0"/>
      <w:sz w:val="24"/>
      <w:szCs w:val="20"/>
    </w:rPr>
  </w:style>
  <w:style w:type="paragraph" w:styleId="12">
    <w:name w:val="List Bullet 2"/>
    <w:basedOn w:val="1"/>
    <w:next w:val="13"/>
    <w:qFormat/>
    <w:uiPriority w:val="0"/>
    <w:pPr>
      <w:numPr>
        <w:ilvl w:val="0"/>
        <w:numId w:val="3"/>
      </w:numPr>
    </w:pPr>
  </w:style>
  <w:style w:type="paragraph" w:customStyle="1" w:styleId="13">
    <w:name w:val="xl70"/>
    <w:basedOn w:val="1"/>
    <w:next w:val="14"/>
    <w:qFormat/>
    <w:uiPriority w:val="0"/>
    <w:pPr>
      <w:widowControl/>
      <w:spacing w:before="280" w:after="280"/>
    </w:pPr>
    <w:rPr>
      <w:rFonts w:ascii="宋体" w:hAnsi="Times New Roman" w:eastAsia="宋体" w:cs="Times New Roman"/>
      <w:sz w:val="24"/>
    </w:rPr>
  </w:style>
  <w:style w:type="paragraph" w:customStyle="1" w:styleId="14">
    <w:name w:val="正文缩进1"/>
    <w:basedOn w:val="15"/>
    <w:next w:val="16"/>
    <w:autoRedefine/>
    <w:qFormat/>
    <w:uiPriority w:val="0"/>
    <w:rPr>
      <w:sz w:val="28"/>
      <w:szCs w:val="20"/>
    </w:rPr>
  </w:style>
  <w:style w:type="paragraph" w:styleId="15">
    <w:name w:val="Normal Indent"/>
    <w:basedOn w:val="1"/>
    <w:next w:val="1"/>
    <w:qFormat/>
    <w:uiPriority w:val="0"/>
    <w:pPr>
      <w:ind w:firstLine="420" w:firstLineChars="200"/>
    </w:pPr>
  </w:style>
  <w:style w:type="paragraph" w:customStyle="1" w:styleId="16">
    <w:name w:val="td1"/>
    <w:basedOn w:val="1"/>
    <w:next w:val="1"/>
    <w:qFormat/>
    <w:uiPriority w:val="0"/>
    <w:pPr>
      <w:widowControl/>
      <w:spacing w:before="280" w:after="280" w:line="300" w:lineRule="atLeast"/>
      <w:ind w:firstLine="200"/>
    </w:pPr>
    <w:rPr>
      <w:rFonts w:ascii="Times New Roman" w:hAnsi="Times New Roman" w:eastAsia="宋体" w:cs="Times New Roman"/>
      <w:color w:val="000000"/>
      <w:sz w:val="18"/>
    </w:rPr>
  </w:style>
  <w:style w:type="paragraph" w:styleId="17">
    <w:name w:val="annotation text"/>
    <w:basedOn w:val="1"/>
    <w:link w:val="60"/>
    <w:autoRedefine/>
    <w:semiHidden/>
    <w:qFormat/>
    <w:uiPriority w:val="0"/>
    <w:pPr>
      <w:spacing w:line="360" w:lineRule="auto"/>
      <w:ind w:firstLine="420"/>
      <w:jc w:val="left"/>
    </w:pPr>
    <w:rPr>
      <w:sz w:val="24"/>
      <w:lang w:val="zh-CN"/>
    </w:rPr>
  </w:style>
  <w:style w:type="paragraph" w:styleId="18">
    <w:name w:val="Body Text"/>
    <w:basedOn w:val="1"/>
    <w:next w:val="19"/>
    <w:link w:val="76"/>
    <w:autoRedefine/>
    <w:qFormat/>
    <w:uiPriority w:val="0"/>
    <w:rPr>
      <w:sz w:val="24"/>
      <w:szCs w:val="20"/>
    </w:rPr>
  </w:style>
  <w:style w:type="paragraph" w:styleId="19">
    <w:name w:val="toc 5"/>
    <w:basedOn w:val="1"/>
    <w:next w:val="1"/>
    <w:autoRedefine/>
    <w:unhideWhenUsed/>
    <w:qFormat/>
    <w:uiPriority w:val="39"/>
    <w:pPr>
      <w:ind w:left="1680"/>
    </w:pPr>
  </w:style>
  <w:style w:type="paragraph" w:styleId="20">
    <w:name w:val="Block Text"/>
    <w:basedOn w:val="1"/>
    <w:autoRedefine/>
    <w:qFormat/>
    <w:uiPriority w:val="0"/>
    <w:pPr>
      <w:snapToGrid w:val="0"/>
      <w:spacing w:before="180" w:line="380" w:lineRule="atLeast"/>
      <w:ind w:left="142" w:right="170" w:firstLine="476"/>
    </w:pPr>
    <w:rPr>
      <w:sz w:val="24"/>
      <w:szCs w:val="20"/>
    </w:rPr>
  </w:style>
  <w:style w:type="paragraph" w:styleId="21">
    <w:name w:val="toc 3"/>
    <w:basedOn w:val="1"/>
    <w:next w:val="1"/>
    <w:qFormat/>
    <w:uiPriority w:val="0"/>
    <w:pPr>
      <w:ind w:left="840" w:leftChars="400"/>
    </w:pPr>
  </w:style>
  <w:style w:type="paragraph" w:styleId="22">
    <w:name w:val="Plain Text"/>
    <w:basedOn w:val="1"/>
    <w:next w:val="23"/>
    <w:autoRedefine/>
    <w:qFormat/>
    <w:uiPriority w:val="0"/>
    <w:rPr>
      <w:rFonts w:ascii="宋体" w:hAnsi="Courier New"/>
      <w:szCs w:val="20"/>
    </w:rPr>
  </w:style>
  <w:style w:type="paragraph" w:styleId="23">
    <w:name w:val="toc 1"/>
    <w:basedOn w:val="1"/>
    <w:next w:val="1"/>
    <w:autoRedefine/>
    <w:qFormat/>
    <w:uiPriority w:val="0"/>
  </w:style>
  <w:style w:type="paragraph" w:styleId="24">
    <w:name w:val="Body Text Indent 2"/>
    <w:basedOn w:val="1"/>
    <w:next w:val="18"/>
    <w:autoRedefine/>
    <w:qFormat/>
    <w:uiPriority w:val="0"/>
    <w:pPr>
      <w:spacing w:after="120" w:line="480" w:lineRule="auto"/>
      <w:ind w:left="420" w:leftChars="200" w:firstLine="420"/>
    </w:pPr>
    <w:rPr>
      <w:sz w:val="24"/>
      <w:lang w:val="zh-CN"/>
    </w:rPr>
  </w:style>
  <w:style w:type="paragraph" w:styleId="25">
    <w:name w:val="Balloon Text"/>
    <w:basedOn w:val="1"/>
    <w:link w:val="74"/>
    <w:autoRedefine/>
    <w:qFormat/>
    <w:uiPriority w:val="0"/>
    <w:rPr>
      <w:sz w:val="18"/>
      <w:szCs w:val="18"/>
    </w:rPr>
  </w:style>
  <w:style w:type="paragraph" w:styleId="26">
    <w:name w:val="footer"/>
    <w:basedOn w:val="1"/>
    <w:autoRedefine/>
    <w:qFormat/>
    <w:uiPriority w:val="0"/>
    <w:pPr>
      <w:tabs>
        <w:tab w:val="center" w:pos="4153"/>
        <w:tab w:val="right" w:pos="8306"/>
      </w:tabs>
      <w:snapToGrid w:val="0"/>
      <w:jc w:val="left"/>
    </w:pPr>
    <w:rPr>
      <w:sz w:val="18"/>
    </w:rPr>
  </w:style>
  <w:style w:type="paragraph" w:styleId="2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8">
    <w:name w:val="toc 2"/>
    <w:basedOn w:val="1"/>
    <w:next w:val="1"/>
    <w:unhideWhenUsed/>
    <w:qFormat/>
    <w:uiPriority w:val="39"/>
    <w:pPr>
      <w:ind w:left="210"/>
      <w:jc w:val="left"/>
    </w:pPr>
    <w:rPr>
      <w:smallCaps/>
      <w:sz w:val="20"/>
    </w:rPr>
  </w:style>
  <w:style w:type="paragraph" w:styleId="29">
    <w:name w:val="Normal (Web)"/>
    <w:basedOn w:val="1"/>
    <w:link w:val="82"/>
    <w:autoRedefine/>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7"/>
    <w:next w:val="17"/>
    <w:link w:val="61"/>
    <w:autoRedefine/>
    <w:qFormat/>
    <w:uiPriority w:val="0"/>
    <w:pPr>
      <w:spacing w:line="240" w:lineRule="auto"/>
      <w:ind w:firstLine="0"/>
    </w:pPr>
    <w:rPr>
      <w:b/>
      <w:bCs/>
      <w:sz w:val="21"/>
      <w:lang w:val="en-US"/>
    </w:rPr>
  </w:style>
  <w:style w:type="paragraph" w:styleId="31">
    <w:name w:val="Body Text First Indent 2"/>
    <w:basedOn w:val="9"/>
    <w:autoRedefine/>
    <w:unhideWhenUsed/>
    <w:qFormat/>
    <w:uiPriority w:val="0"/>
    <w:pPr>
      <w:ind w:firstLine="420" w:firstLineChars="200"/>
    </w:pPr>
  </w:style>
  <w:style w:type="table" w:styleId="33">
    <w:name w:val="Table Grid"/>
    <w:basedOn w:val="3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page number"/>
    <w:basedOn w:val="34"/>
    <w:autoRedefine/>
    <w:qFormat/>
    <w:uiPriority w:val="0"/>
  </w:style>
  <w:style w:type="character" w:styleId="37">
    <w:name w:val="Emphasis"/>
    <w:basedOn w:val="34"/>
    <w:autoRedefine/>
    <w:qFormat/>
    <w:uiPriority w:val="0"/>
    <w:rPr>
      <w:i/>
    </w:rPr>
  </w:style>
  <w:style w:type="character" w:styleId="38">
    <w:name w:val="Hyperlink"/>
    <w:basedOn w:val="34"/>
    <w:autoRedefine/>
    <w:qFormat/>
    <w:uiPriority w:val="0"/>
    <w:rPr>
      <w:color w:val="0000FF"/>
      <w:u w:val="single"/>
    </w:rPr>
  </w:style>
  <w:style w:type="character" w:styleId="39">
    <w:name w:val="annotation reference"/>
    <w:basedOn w:val="34"/>
    <w:autoRedefine/>
    <w:qFormat/>
    <w:uiPriority w:val="0"/>
    <w:rPr>
      <w:sz w:val="21"/>
      <w:szCs w:val="21"/>
    </w:rPr>
  </w:style>
  <w:style w:type="paragraph" w:customStyle="1" w:styleId="40">
    <w:name w:val="Default"/>
    <w:basedOn w:val="41"/>
    <w:next w:val="42"/>
    <w:autoRedefine/>
    <w:qFormat/>
    <w:uiPriority w:val="0"/>
    <w:pPr>
      <w:autoSpaceDE w:val="0"/>
      <w:autoSpaceDN w:val="0"/>
    </w:pPr>
    <w:rPr>
      <w:rFonts w:hAnsi="Times New Roman" w:eastAsia="宋体" w:cs="宋体"/>
      <w:color w:val="000000"/>
      <w:sz w:val="24"/>
    </w:rPr>
  </w:style>
  <w:style w:type="paragraph" w:customStyle="1" w:styleId="41">
    <w:name w:val="纯文本1"/>
    <w:basedOn w:val="1"/>
    <w:autoRedefine/>
    <w:qFormat/>
    <w:uiPriority w:val="0"/>
    <w:pPr>
      <w:adjustRightInd w:val="0"/>
      <w:jc w:val="center"/>
      <w:textAlignment w:val="baseline"/>
    </w:pPr>
    <w:rPr>
      <w:rFonts w:ascii="宋体" w:hAnsi="Courier New"/>
    </w:rPr>
  </w:style>
  <w:style w:type="paragraph" w:customStyle="1" w:styleId="42">
    <w:name w:val="样式35"/>
    <w:basedOn w:val="43"/>
    <w:next w:val="44"/>
    <w:qFormat/>
    <w:uiPriority w:val="0"/>
    <w:pPr>
      <w:spacing w:line="312" w:lineRule="auto"/>
      <w:ind w:firstLine="567"/>
    </w:pPr>
    <w:rPr>
      <w:rFonts w:ascii="宋体" w:hAnsi="Times New Roman" w:eastAsia="宋体"/>
      <w:szCs w:val="21"/>
    </w:rPr>
  </w:style>
  <w:style w:type="paragraph" w:customStyle="1" w:styleId="43">
    <w:name w:val="表 内容"/>
    <w:basedOn w:val="1"/>
    <w:qFormat/>
    <w:uiPriority w:val="0"/>
    <w:pPr>
      <w:spacing w:line="276" w:lineRule="auto"/>
      <w:jc w:val="center"/>
    </w:pPr>
    <w:rPr>
      <w:rFonts w:ascii="仿宋" w:hAnsi="仿宋" w:eastAsia="仿宋" w:cs="Times New Roman"/>
      <w:sz w:val="24"/>
    </w:rPr>
  </w:style>
  <w:style w:type="paragraph" w:customStyle="1" w:styleId="44">
    <w:name w:val="font6"/>
    <w:next w:val="28"/>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45">
    <w:name w:val="Default1"/>
    <w:basedOn w:val="46"/>
    <w:next w:val="47"/>
    <w:autoRedefine/>
    <w:qFormat/>
    <w:uiPriority w:val="0"/>
    <w:pPr>
      <w:autoSpaceDE w:val="0"/>
      <w:autoSpaceDN w:val="0"/>
      <w:adjustRightInd w:val="0"/>
    </w:pPr>
    <w:rPr>
      <w:rFonts w:ascii="宋体" w:hAnsi="Calibri" w:eastAsia="宋体" w:cs="宋体"/>
      <w:sz w:val="24"/>
      <w:szCs w:val="24"/>
    </w:rPr>
  </w:style>
  <w:style w:type="paragraph" w:customStyle="1" w:styleId="46">
    <w:name w:val="表格文字01"/>
    <w:basedOn w:val="1"/>
    <w:autoRedefine/>
    <w:qFormat/>
    <w:uiPriority w:val="0"/>
    <w:pPr>
      <w:wordWrap w:val="0"/>
      <w:overflowPunct w:val="0"/>
      <w:topLinePunct/>
      <w:jc w:val="center"/>
    </w:pPr>
    <w:rPr>
      <w:rFonts w:ascii="Arial" w:hAnsi="Arial"/>
      <w:snapToGrid w:val="0"/>
      <w:color w:val="000000"/>
      <w:szCs w:val="20"/>
    </w:rPr>
  </w:style>
  <w:style w:type="paragraph" w:customStyle="1" w:styleId="47">
    <w:name w:val="正文样式1"/>
    <w:basedOn w:val="1"/>
    <w:next w:val="1"/>
    <w:autoRedefine/>
    <w:qFormat/>
    <w:uiPriority w:val="0"/>
    <w:pPr>
      <w:adjustRightInd w:val="0"/>
      <w:spacing w:line="360" w:lineRule="auto"/>
      <w:ind w:firstLine="360" w:firstLineChars="150"/>
      <w:textAlignment w:val="baseline"/>
    </w:pPr>
    <w:rPr>
      <w:rFonts w:ascii="宋体" w:hAnsi="宋体"/>
      <w:color w:val="FF0000"/>
      <w:kern w:val="0"/>
      <w:sz w:val="24"/>
      <w:szCs w:val="20"/>
    </w:rPr>
  </w:style>
  <w:style w:type="paragraph" w:customStyle="1" w:styleId="48">
    <w:name w:val="Normal Indent1"/>
    <w:basedOn w:val="1"/>
    <w:autoRedefine/>
    <w:qFormat/>
    <w:uiPriority w:val="0"/>
    <w:pPr>
      <w:ind w:firstLine="420"/>
    </w:pPr>
  </w:style>
  <w:style w:type="paragraph" w:customStyle="1" w:styleId="49">
    <w:name w:val="样式 黑色 行距: 最小值 26 磅"/>
    <w:basedOn w:val="1"/>
    <w:autoRedefine/>
    <w:qFormat/>
    <w:uiPriority w:val="0"/>
    <w:pPr>
      <w:ind w:firstLine="200" w:firstLineChars="200"/>
      <w:jc w:val="left"/>
    </w:pPr>
    <w:rPr>
      <w:rFonts w:eastAsia="楷体_GB2312" w:cs="宋体"/>
      <w:color w:val="000000"/>
      <w:spacing w:val="6"/>
    </w:rPr>
  </w:style>
  <w:style w:type="paragraph" w:customStyle="1" w:styleId="50">
    <w:name w:val="WPSOffice手动目录 1"/>
    <w:autoRedefine/>
    <w:qFormat/>
    <w:uiPriority w:val="0"/>
    <w:rPr>
      <w:rFonts w:ascii="Times New Roman" w:hAnsi="Times New Roman" w:eastAsia="宋体" w:cs="Times New Roman"/>
      <w:lang w:val="en-US" w:eastAsia="zh-CN" w:bidi="ar-SA"/>
    </w:rPr>
  </w:style>
  <w:style w:type="paragraph" w:customStyle="1" w:styleId="51">
    <w:name w:val="表格 32"/>
    <w:basedOn w:val="1"/>
    <w:autoRedefine/>
    <w:qFormat/>
    <w:uiPriority w:val="0"/>
    <w:pPr>
      <w:autoSpaceDE w:val="0"/>
      <w:autoSpaceDN w:val="0"/>
      <w:adjustRightInd w:val="0"/>
      <w:jc w:val="center"/>
      <w:textAlignment w:val="baseline"/>
    </w:pPr>
    <w:rPr>
      <w:rFonts w:ascii="宋体" w:hAnsi="Impact"/>
      <w:kern w:val="24"/>
      <w:sz w:val="24"/>
      <w:szCs w:val="20"/>
    </w:rPr>
  </w:style>
  <w:style w:type="paragraph" w:customStyle="1" w:styleId="52">
    <w:name w:val="正文 LYP"/>
    <w:basedOn w:val="1"/>
    <w:autoRedefine/>
    <w:qFormat/>
    <w:uiPriority w:val="0"/>
    <w:pPr>
      <w:spacing w:line="360" w:lineRule="auto"/>
      <w:ind w:firstLine="200" w:firstLineChars="200"/>
    </w:pPr>
    <w:rPr>
      <w:sz w:val="24"/>
    </w:rPr>
  </w:style>
  <w:style w:type="paragraph" w:customStyle="1" w:styleId="53">
    <w:name w:val="表格正文 YP"/>
    <w:basedOn w:val="1"/>
    <w:autoRedefine/>
    <w:qFormat/>
    <w:uiPriority w:val="0"/>
    <w:pPr>
      <w:jc w:val="center"/>
    </w:pPr>
    <w:rPr>
      <w:rFonts w:hAnsi="宋体"/>
      <w:szCs w:val="21"/>
    </w:rPr>
  </w:style>
  <w:style w:type="paragraph" w:customStyle="1" w:styleId="54">
    <w:name w:val="表格"/>
    <w:basedOn w:val="1"/>
    <w:next w:val="1"/>
    <w:autoRedefine/>
    <w:qFormat/>
    <w:uiPriority w:val="0"/>
    <w:pPr>
      <w:keepNext/>
      <w:widowControl/>
      <w:autoSpaceDE w:val="0"/>
      <w:autoSpaceDN w:val="0"/>
      <w:adjustRightInd w:val="0"/>
      <w:jc w:val="center"/>
      <w:textAlignment w:val="baseline"/>
    </w:pPr>
    <w:rPr>
      <w:kern w:val="0"/>
      <w:sz w:val="24"/>
      <w:szCs w:val="20"/>
    </w:rPr>
  </w:style>
  <w:style w:type="paragraph" w:customStyle="1" w:styleId="55">
    <w:name w:val="样式 正文首行缩进:  2 字符 + 首行缩进:  2 字符"/>
    <w:basedOn w:val="1"/>
    <w:autoRedefine/>
    <w:qFormat/>
    <w:uiPriority w:val="0"/>
    <w:pPr>
      <w:spacing w:line="360" w:lineRule="auto"/>
      <w:ind w:firstLine="480" w:firstLineChars="200"/>
    </w:pPr>
    <w:rPr>
      <w:sz w:val="24"/>
      <w:szCs w:val="20"/>
    </w:rPr>
  </w:style>
  <w:style w:type="paragraph" w:customStyle="1" w:styleId="56">
    <w:name w:val="报告表正文"/>
    <w:basedOn w:val="1"/>
    <w:link w:val="81"/>
    <w:autoRedefine/>
    <w:qFormat/>
    <w:uiPriority w:val="0"/>
    <w:pPr>
      <w:adjustRightInd w:val="0"/>
      <w:spacing w:line="312" w:lineRule="auto"/>
      <w:ind w:left="113" w:right="113" w:firstLine="482"/>
    </w:pPr>
    <w:rPr>
      <w:kern w:val="0"/>
      <w:sz w:val="24"/>
      <w:szCs w:val="20"/>
    </w:rPr>
  </w:style>
  <w:style w:type="character" w:customStyle="1" w:styleId="57">
    <w:name w:val="zw1"/>
    <w:autoRedefine/>
    <w:qFormat/>
    <w:uiPriority w:val="0"/>
    <w:rPr>
      <w:rFonts w:hint="eastAsia" w:ascii="宋体" w:hAnsi="宋体" w:eastAsia="宋体"/>
      <w:sz w:val="22"/>
      <w:szCs w:val="22"/>
    </w:rPr>
  </w:style>
  <w:style w:type="paragraph" w:customStyle="1" w:styleId="58">
    <w:name w:val="正文01"/>
    <w:basedOn w:val="1"/>
    <w:autoRedefine/>
    <w:qFormat/>
    <w:uiPriority w:val="0"/>
    <w:pPr>
      <w:spacing w:line="360" w:lineRule="auto"/>
      <w:ind w:firstLine="482"/>
    </w:pPr>
    <w:rPr>
      <w:sz w:val="24"/>
      <w:szCs w:val="20"/>
    </w:rPr>
  </w:style>
  <w:style w:type="paragraph" w:customStyle="1" w:styleId="59">
    <w:name w:val="表格内容"/>
    <w:basedOn w:val="1"/>
    <w:next w:val="1"/>
    <w:link w:val="77"/>
    <w:autoRedefine/>
    <w:qFormat/>
    <w:uiPriority w:val="0"/>
    <w:pPr>
      <w:jc w:val="center"/>
    </w:pPr>
    <w:rPr>
      <w:szCs w:val="21"/>
      <w:lang w:val="zh-CN"/>
    </w:rPr>
  </w:style>
  <w:style w:type="character" w:customStyle="1" w:styleId="60">
    <w:name w:val="批注文字 字符"/>
    <w:basedOn w:val="34"/>
    <w:link w:val="17"/>
    <w:autoRedefine/>
    <w:semiHidden/>
    <w:qFormat/>
    <w:uiPriority w:val="0"/>
    <w:rPr>
      <w:rFonts w:asciiTheme="minorHAnsi" w:hAnsiTheme="minorHAnsi" w:eastAsiaTheme="minorEastAsia" w:cstheme="minorBidi"/>
      <w:kern w:val="2"/>
      <w:sz w:val="24"/>
      <w:szCs w:val="24"/>
      <w:lang w:val="zh-CN"/>
    </w:rPr>
  </w:style>
  <w:style w:type="character" w:customStyle="1" w:styleId="61">
    <w:name w:val="批注主题 字符"/>
    <w:basedOn w:val="60"/>
    <w:link w:val="30"/>
    <w:autoRedefine/>
    <w:qFormat/>
    <w:uiPriority w:val="0"/>
    <w:rPr>
      <w:rFonts w:asciiTheme="minorHAnsi" w:hAnsiTheme="minorHAnsi" w:eastAsiaTheme="minorEastAsia" w:cstheme="minorBidi"/>
      <w:b/>
      <w:bCs/>
      <w:kern w:val="2"/>
      <w:sz w:val="21"/>
      <w:szCs w:val="24"/>
      <w:lang w:val="zh-CN"/>
    </w:rPr>
  </w:style>
  <w:style w:type="paragraph" w:customStyle="1" w:styleId="62">
    <w:name w:val="指南正文"/>
    <w:basedOn w:val="63"/>
    <w:autoRedefine/>
    <w:qFormat/>
    <w:uiPriority w:val="0"/>
    <w:pPr>
      <w:spacing w:beforeLines="0" w:afterLines="0" w:line="360" w:lineRule="auto"/>
      <w:ind w:firstLine="480"/>
      <w:outlineLvl w:val="9"/>
    </w:pPr>
    <w:rPr>
      <w:b w:val="0"/>
      <w:bCs/>
      <w:sz w:val="24"/>
    </w:rPr>
  </w:style>
  <w:style w:type="paragraph" w:customStyle="1" w:styleId="63">
    <w:name w:val="指南标题2"/>
    <w:basedOn w:val="1"/>
    <w:autoRedefine/>
    <w:qFormat/>
    <w:uiPriority w:val="0"/>
    <w:pPr>
      <w:spacing w:beforeLines="50" w:afterLines="50"/>
      <w:ind w:firstLine="560" w:firstLineChars="200"/>
      <w:jc w:val="left"/>
      <w:outlineLvl w:val="1"/>
    </w:pPr>
    <w:rPr>
      <w:rFonts w:ascii="Times New Roman" w:hAnsi="Times New Roman"/>
      <w:b/>
      <w:sz w:val="28"/>
    </w:rPr>
  </w:style>
  <w:style w:type="paragraph" w:customStyle="1" w:styleId="64">
    <w:name w:val="样式48"/>
    <w:basedOn w:val="65"/>
    <w:link w:val="85"/>
    <w:autoRedefine/>
    <w:qFormat/>
    <w:uiPriority w:val="0"/>
    <w:pPr>
      <w:tabs>
        <w:tab w:val="left" w:pos="397"/>
      </w:tabs>
    </w:pPr>
    <w:rPr>
      <w:b w:val="0"/>
      <w:kern w:val="0"/>
      <w:sz w:val="20"/>
    </w:rPr>
  </w:style>
  <w:style w:type="paragraph" w:customStyle="1" w:styleId="65">
    <w:name w:val="表头 YP"/>
    <w:basedOn w:val="1"/>
    <w:autoRedefine/>
    <w:qFormat/>
    <w:uiPriority w:val="0"/>
    <w:pPr>
      <w:spacing w:before="50" w:beforeLines="50"/>
      <w:jc w:val="center"/>
      <w:outlineLvl w:val="4"/>
    </w:pPr>
    <w:rPr>
      <w:b/>
      <w:szCs w:val="20"/>
    </w:rPr>
  </w:style>
  <w:style w:type="paragraph" w:customStyle="1" w:styleId="66">
    <w:name w:val="A正文"/>
    <w:basedOn w:val="1"/>
    <w:next w:val="18"/>
    <w:autoRedefine/>
    <w:qFormat/>
    <w:uiPriority w:val="0"/>
    <w:pPr>
      <w:spacing w:line="360" w:lineRule="auto"/>
      <w:ind w:firstLine="200" w:firstLineChars="200"/>
    </w:pPr>
    <w:rPr>
      <w:sz w:val="24"/>
      <w:lang w:val="zh-CN"/>
    </w:rPr>
  </w:style>
  <w:style w:type="paragraph" w:customStyle="1" w:styleId="67">
    <w:name w:val="表头d"/>
    <w:basedOn w:val="1"/>
    <w:autoRedefine/>
    <w:qFormat/>
    <w:uiPriority w:val="0"/>
    <w:pPr>
      <w:numPr>
        <w:ilvl w:val="0"/>
        <w:numId w:val="4"/>
      </w:numPr>
      <w:jc w:val="center"/>
    </w:pPr>
    <w:rPr>
      <w:b/>
      <w:sz w:val="24"/>
    </w:rPr>
  </w:style>
  <w:style w:type="paragraph" w:styleId="68">
    <w:name w:val="No Spacing"/>
    <w:basedOn w:val="1"/>
    <w:autoRedefine/>
    <w:qFormat/>
    <w:uiPriority w:val="0"/>
  </w:style>
  <w:style w:type="paragraph" w:customStyle="1" w:styleId="69">
    <w:name w:val="宗兴正文"/>
    <w:link w:val="78"/>
    <w:autoRedefine/>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70">
    <w:name w:val="报告表正文标注文字"/>
    <w:basedOn w:val="56"/>
    <w:autoRedefine/>
    <w:qFormat/>
    <w:uiPriority w:val="0"/>
    <w:rPr>
      <w:b/>
      <w:color w:val="FF0000"/>
    </w:rPr>
  </w:style>
  <w:style w:type="paragraph" w:customStyle="1" w:styleId="71">
    <w:name w:val="Table Paragraph"/>
    <w:basedOn w:val="1"/>
    <w:autoRedefine/>
    <w:qFormat/>
    <w:uiPriority w:val="1"/>
    <w:rPr>
      <w:rFonts w:ascii="宋体" w:hAnsi="宋体" w:eastAsia="宋体" w:cs="宋体"/>
      <w:lang w:val="zh-CN" w:bidi="zh-CN"/>
    </w:rPr>
  </w:style>
  <w:style w:type="character" w:customStyle="1" w:styleId="72">
    <w:name w:val="无间隔 字符"/>
    <w:autoRedefine/>
    <w:qFormat/>
    <w:uiPriority w:val="1"/>
    <w:rPr>
      <w:kern w:val="2"/>
      <w:sz w:val="21"/>
    </w:rPr>
  </w:style>
  <w:style w:type="character" w:customStyle="1" w:styleId="73">
    <w:name w:val="font81"/>
    <w:autoRedefine/>
    <w:qFormat/>
    <w:uiPriority w:val="0"/>
    <w:rPr>
      <w:rFonts w:hint="eastAsia" w:ascii="宋体" w:hAnsi="宋体" w:eastAsia="宋体" w:cs="宋体"/>
      <w:color w:val="000000"/>
      <w:sz w:val="21"/>
      <w:szCs w:val="21"/>
      <w:u w:val="none"/>
    </w:rPr>
  </w:style>
  <w:style w:type="character" w:customStyle="1" w:styleId="74">
    <w:name w:val="批注框文本 字符"/>
    <w:basedOn w:val="34"/>
    <w:link w:val="25"/>
    <w:autoRedefine/>
    <w:qFormat/>
    <w:uiPriority w:val="0"/>
    <w:rPr>
      <w:rFonts w:asciiTheme="minorHAnsi" w:hAnsiTheme="minorHAnsi" w:eastAsiaTheme="minorEastAsia" w:cstheme="minorBidi"/>
      <w:kern w:val="2"/>
      <w:sz w:val="18"/>
      <w:szCs w:val="18"/>
    </w:rPr>
  </w:style>
  <w:style w:type="character" w:customStyle="1" w:styleId="75">
    <w:name w:val="标题 8 字符"/>
    <w:basedOn w:val="34"/>
    <w:link w:val="5"/>
    <w:autoRedefine/>
    <w:qFormat/>
    <w:uiPriority w:val="0"/>
    <w:rPr>
      <w:rFonts w:asciiTheme="majorHAnsi" w:hAnsiTheme="majorHAnsi" w:eastAsiaTheme="majorEastAsia" w:cstheme="majorBidi"/>
      <w:kern w:val="2"/>
      <w:sz w:val="24"/>
      <w:szCs w:val="24"/>
    </w:rPr>
  </w:style>
  <w:style w:type="character" w:customStyle="1" w:styleId="76">
    <w:name w:val="正文文本 字符"/>
    <w:link w:val="18"/>
    <w:autoRedefine/>
    <w:qFormat/>
    <w:locked/>
    <w:uiPriority w:val="0"/>
    <w:rPr>
      <w:rFonts w:asciiTheme="minorHAnsi" w:hAnsiTheme="minorHAnsi" w:eastAsiaTheme="minorEastAsia" w:cstheme="minorBidi"/>
      <w:kern w:val="2"/>
      <w:sz w:val="24"/>
    </w:rPr>
  </w:style>
  <w:style w:type="character" w:customStyle="1" w:styleId="77">
    <w:name w:val="表格内容 Char1"/>
    <w:link w:val="59"/>
    <w:autoRedefine/>
    <w:qFormat/>
    <w:uiPriority w:val="0"/>
    <w:rPr>
      <w:rFonts w:asciiTheme="minorHAnsi" w:hAnsiTheme="minorHAnsi" w:eastAsiaTheme="minorEastAsia" w:cstheme="minorBidi"/>
      <w:kern w:val="2"/>
      <w:sz w:val="21"/>
      <w:szCs w:val="21"/>
      <w:lang w:val="zh-CN"/>
    </w:rPr>
  </w:style>
  <w:style w:type="character" w:customStyle="1" w:styleId="78">
    <w:name w:val="宗兴正文 Char Char"/>
    <w:link w:val="69"/>
    <w:autoRedefine/>
    <w:qFormat/>
    <w:uiPriority w:val="0"/>
    <w:rPr>
      <w:kern w:val="2"/>
      <w:sz w:val="24"/>
      <w:szCs w:val="24"/>
    </w:rPr>
  </w:style>
  <w:style w:type="paragraph" w:styleId="79">
    <w:name w:val="List Paragraph"/>
    <w:basedOn w:val="1"/>
    <w:autoRedefine/>
    <w:qFormat/>
    <w:uiPriority w:val="99"/>
    <w:pPr>
      <w:ind w:firstLine="420" w:firstLineChars="200"/>
    </w:pPr>
  </w:style>
  <w:style w:type="character" w:customStyle="1" w:styleId="80">
    <w:name w:val="正文文本缩进 字符"/>
    <w:basedOn w:val="34"/>
    <w:link w:val="9"/>
    <w:autoRedefine/>
    <w:qFormat/>
    <w:uiPriority w:val="0"/>
    <w:rPr>
      <w:rFonts w:asciiTheme="minorHAnsi" w:hAnsiTheme="minorHAnsi" w:eastAsiaTheme="minorEastAsia" w:cstheme="minorBidi"/>
      <w:kern w:val="2"/>
      <w:sz w:val="21"/>
      <w:szCs w:val="24"/>
    </w:rPr>
  </w:style>
  <w:style w:type="character" w:customStyle="1" w:styleId="81">
    <w:name w:val="报告表正文 Char"/>
    <w:link w:val="56"/>
    <w:autoRedefine/>
    <w:qFormat/>
    <w:uiPriority w:val="0"/>
    <w:rPr>
      <w:rFonts w:asciiTheme="minorHAnsi" w:hAnsiTheme="minorHAnsi" w:eastAsiaTheme="minorEastAsia" w:cstheme="minorBidi"/>
      <w:sz w:val="24"/>
    </w:rPr>
  </w:style>
  <w:style w:type="character" w:customStyle="1" w:styleId="82">
    <w:name w:val="普通(网站) 字符"/>
    <w:link w:val="29"/>
    <w:autoRedefine/>
    <w:qFormat/>
    <w:locked/>
    <w:uiPriority w:val="0"/>
    <w:rPr>
      <w:rFonts w:ascii="宋体" w:hAnsi="宋体" w:eastAsiaTheme="minorEastAsia" w:cstheme="minorBidi"/>
      <w:sz w:val="24"/>
    </w:rPr>
  </w:style>
  <w:style w:type="character" w:customStyle="1" w:styleId="83">
    <w:name w:val="图文 Char"/>
    <w:link w:val="84"/>
    <w:autoRedefine/>
    <w:qFormat/>
    <w:locked/>
    <w:uiPriority w:val="0"/>
    <w:rPr>
      <w:rFonts w:ascii="Calibri" w:hAnsi="Calibri" w:cs="Calibri"/>
      <w:kern w:val="2"/>
      <w:sz w:val="24"/>
      <w:szCs w:val="22"/>
    </w:rPr>
  </w:style>
  <w:style w:type="paragraph" w:customStyle="1" w:styleId="84">
    <w:name w:val="图文"/>
    <w:basedOn w:val="1"/>
    <w:link w:val="83"/>
    <w:autoRedefine/>
    <w:qFormat/>
    <w:uiPriority w:val="0"/>
    <w:pPr>
      <w:adjustRightInd w:val="0"/>
      <w:snapToGrid w:val="0"/>
      <w:spacing w:line="240" w:lineRule="atLeast"/>
    </w:pPr>
    <w:rPr>
      <w:rFonts w:ascii="Calibri" w:hAnsi="Calibri" w:eastAsia="宋体" w:cs="Calibri"/>
      <w:sz w:val="24"/>
      <w:szCs w:val="22"/>
    </w:rPr>
  </w:style>
  <w:style w:type="character" w:customStyle="1" w:styleId="85">
    <w:name w:val="样式48 Char"/>
    <w:link w:val="64"/>
    <w:autoRedefine/>
    <w:qFormat/>
    <w:uiPriority w:val="0"/>
    <w:rPr>
      <w:rFonts w:asciiTheme="minorHAnsi" w:hAnsiTheme="minorHAnsi" w:eastAsiaTheme="minorEastAsia" w:cstheme="minorBidi"/>
    </w:rPr>
  </w:style>
  <w:style w:type="character" w:customStyle="1" w:styleId="86">
    <w:name w:val="font21"/>
    <w:basedOn w:val="34"/>
    <w:autoRedefine/>
    <w:qFormat/>
    <w:uiPriority w:val="0"/>
    <w:rPr>
      <w:rFonts w:hint="default" w:ascii="Times New Roman" w:hAnsi="Times New Roman" w:cs="Times New Roman"/>
      <w:color w:val="000000"/>
      <w:sz w:val="20"/>
      <w:szCs w:val="20"/>
      <w:u w:val="none"/>
    </w:rPr>
  </w:style>
  <w:style w:type="character" w:customStyle="1" w:styleId="87">
    <w:name w:val="font41"/>
    <w:basedOn w:val="34"/>
    <w:autoRedefine/>
    <w:qFormat/>
    <w:uiPriority w:val="0"/>
    <w:rPr>
      <w:rFonts w:hint="eastAsia" w:ascii="宋体" w:hAnsi="宋体" w:eastAsia="宋体" w:cs="宋体"/>
      <w:color w:val="000000"/>
      <w:sz w:val="20"/>
      <w:szCs w:val="20"/>
      <w:u w:val="none"/>
    </w:rPr>
  </w:style>
  <w:style w:type="character" w:customStyle="1" w:styleId="88">
    <w:name w:val="NormalCharacter"/>
    <w:autoRedefine/>
    <w:qFormat/>
    <w:uiPriority w:val="0"/>
  </w:style>
  <w:style w:type="character" w:customStyle="1" w:styleId="89">
    <w:name w:val="font11"/>
    <w:basedOn w:val="34"/>
    <w:qFormat/>
    <w:uiPriority w:val="0"/>
    <w:rPr>
      <w:rFonts w:hint="default" w:ascii="Times New Roman" w:hAnsi="Times New Roman" w:cs="Times New Roman"/>
      <w:color w:val="000000"/>
      <w:sz w:val="24"/>
      <w:szCs w:val="24"/>
      <w:u w:val="none"/>
    </w:rPr>
  </w:style>
  <w:style w:type="character" w:customStyle="1" w:styleId="90">
    <w:name w:val="font31"/>
    <w:basedOn w:val="34"/>
    <w:qFormat/>
    <w:uiPriority w:val="0"/>
    <w:rPr>
      <w:rFonts w:hint="eastAsia" w:ascii="宋体" w:hAnsi="宋体" w:eastAsia="宋体" w:cs="宋体"/>
      <w:color w:val="000000"/>
      <w:sz w:val="24"/>
      <w:szCs w:val="24"/>
      <w:u w:val="none"/>
    </w:rPr>
  </w:style>
  <w:style w:type="character" w:customStyle="1" w:styleId="91">
    <w:name w:val="font01"/>
    <w:basedOn w:val="34"/>
    <w:qFormat/>
    <w:uiPriority w:val="0"/>
    <w:rPr>
      <w:rFonts w:hint="eastAsia" w:ascii="宋体" w:hAnsi="宋体" w:eastAsia="宋体" w:cs="宋体"/>
      <w:color w:val="000000"/>
      <w:sz w:val="22"/>
      <w:szCs w:val="22"/>
      <w:u w:val="none"/>
    </w:rPr>
  </w:style>
  <w:style w:type="character" w:customStyle="1" w:styleId="92">
    <w:name w:val="font51"/>
    <w:basedOn w:val="34"/>
    <w:qFormat/>
    <w:uiPriority w:val="0"/>
    <w:rPr>
      <w:rFonts w:hint="default" w:ascii="Times New Roman" w:hAnsi="Times New Roman" w:cs="Times New Roman"/>
      <w:color w:val="000000"/>
      <w:sz w:val="24"/>
      <w:szCs w:val="24"/>
      <w:u w:val="none"/>
      <w:vertAlign w:val="superscript"/>
    </w:rPr>
  </w:style>
  <w:style w:type="paragraph" w:customStyle="1" w:styleId="93">
    <w:name w:val="自定表格"/>
    <w:basedOn w:val="1"/>
    <w:qFormat/>
    <w:uiPriority w:val="0"/>
    <w:pPr>
      <w:autoSpaceDE w:val="0"/>
      <w:autoSpaceDN w:val="0"/>
      <w:adjustRightInd w:val="0"/>
      <w:jc w:val="center"/>
      <w:textAlignment w:val="center"/>
    </w:pPr>
    <w:rPr>
      <w:rFonts w:ascii="Arial" w:hAnsi="Arial" w:eastAsia="宋体" w:cs="Times New Roman"/>
      <w:kern w:val="0"/>
      <w:szCs w:val="20"/>
    </w:rPr>
  </w:style>
  <w:style w:type="paragraph" w:customStyle="1" w:styleId="94">
    <w:name w:val="TOC 21"/>
    <w:basedOn w:val="1"/>
    <w:next w:val="7"/>
    <w:qFormat/>
    <w:locked/>
    <w:uiPriority w:val="39"/>
    <w:pPr>
      <w:ind w:left="420" w:leftChars="200"/>
    </w:pPr>
  </w:style>
  <w:style w:type="paragraph" w:customStyle="1" w:styleId="95">
    <w:name w:val="表格名称"/>
    <w:link w:val="96"/>
    <w:qFormat/>
    <w:uiPriority w:val="0"/>
    <w:pPr>
      <w:tabs>
        <w:tab w:val="left" w:pos="420"/>
      </w:tabs>
      <w:spacing w:line="360" w:lineRule="auto"/>
      <w:ind w:left="420" w:hanging="420"/>
      <w:jc w:val="center"/>
    </w:pPr>
    <w:rPr>
      <w:rFonts w:ascii="Arial" w:hAnsi="Arial" w:eastAsia="宋体" w:cs="Times New Roman"/>
      <w:b/>
      <w:sz w:val="24"/>
      <w:lang w:val="en-US" w:eastAsia="zh-CN" w:bidi="ar-SA"/>
    </w:rPr>
  </w:style>
  <w:style w:type="character" w:customStyle="1" w:styleId="96">
    <w:name w:val="表格名称 Char Char"/>
    <w:link w:val="95"/>
    <w:qFormat/>
    <w:uiPriority w:val="0"/>
    <w:rPr>
      <w:rFonts w:ascii="Arial" w:hAnsi="Arial" w:eastAsia="宋体" w:cs="Times New Roman"/>
      <w:b/>
      <w:kern w:val="0"/>
      <w:sz w:val="24"/>
      <w:szCs w:val="20"/>
    </w:rPr>
  </w:style>
  <w:style w:type="paragraph" w:customStyle="1" w:styleId="97">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98">
    <w:name w:val="1-表格内容"/>
    <w:basedOn w:val="1"/>
    <w:qFormat/>
    <w:uiPriority w:val="0"/>
    <w:pPr>
      <w:widowControl/>
      <w:jc w:val="center"/>
    </w:pPr>
    <w:rPr>
      <w:rFonts w:ascii="Times New Roman" w:hAnsi="Times New Roman" w:cs="Times New Roman"/>
      <w:color w:val="000000"/>
      <w:kern w:val="0"/>
      <w:szCs w:val="21"/>
    </w:rPr>
  </w:style>
  <w:style w:type="paragraph" w:customStyle="1" w:styleId="99">
    <w:name w:val="！表格文字"/>
    <w:basedOn w:val="1"/>
    <w:qFormat/>
    <w:uiPriority w:val="0"/>
    <w:pPr>
      <w:jc w:val="center"/>
    </w:pPr>
    <w:rPr>
      <w:szCs w:val="21"/>
    </w:rPr>
  </w:style>
  <w:style w:type="paragraph" w:customStyle="1" w:styleId="100">
    <w:name w:val="f_表格"/>
    <w:basedOn w:val="1"/>
    <w:qFormat/>
    <w:uiPriority w:val="0"/>
    <w:pPr>
      <w:wordWrap w:val="0"/>
      <w:topLinePunct/>
      <w:adjustRightInd w:val="0"/>
      <w:snapToGrid w:val="0"/>
      <w:jc w:val="center"/>
    </w:pPr>
    <w:rPr>
      <w:szCs w:val="21"/>
    </w:rPr>
  </w:style>
  <w:style w:type="paragraph" w:customStyle="1" w:styleId="101">
    <w:name w:val="样式26"/>
    <w:basedOn w:val="102"/>
    <w:qFormat/>
    <w:uiPriority w:val="0"/>
    <w:pPr>
      <w:keepNext/>
      <w:keepLines/>
      <w:widowControl w:val="0"/>
      <w:tabs>
        <w:tab w:val="left" w:pos="0"/>
        <w:tab w:val="left" w:pos="360"/>
        <w:tab w:val="left" w:pos="540"/>
        <w:tab w:val="left" w:pos="567"/>
        <w:tab w:val="center" w:pos="4153"/>
        <w:tab w:val="right" w:pos="8306"/>
      </w:tabs>
      <w:spacing w:before="120" w:beforeLines="0" w:after="120" w:afterLines="0" w:line="360" w:lineRule="auto"/>
      <w:ind w:left="567" w:right="-105" w:rightChars="-50" w:hanging="992"/>
      <w:jc w:val="center"/>
      <w:outlineLvl w:val="1"/>
    </w:pPr>
    <w:rPr>
      <w:rFonts w:ascii="Times New Roman" w:hAnsi="Times New Roman" w:eastAsia="宋体" w:cs="Times New Roman"/>
      <w:kern w:val="0"/>
      <w:sz w:val="21"/>
      <w:szCs w:val="28"/>
      <w:lang w:val="en-US" w:eastAsia="zh-CN" w:bidi="ar-SA"/>
    </w:rPr>
  </w:style>
  <w:style w:type="paragraph" w:customStyle="1" w:styleId="102">
    <w:name w:val="样式21"/>
    <w:basedOn w:val="103"/>
    <w:qFormat/>
    <w:uiPriority w:val="0"/>
    <w:pPr>
      <w:keepNext/>
      <w:keepLines/>
      <w:widowControl w:val="0"/>
      <w:tabs>
        <w:tab w:val="left" w:pos="360"/>
        <w:tab w:val="left" w:pos="567"/>
        <w:tab w:val="center" w:pos="4153"/>
        <w:tab w:val="right" w:pos="8306"/>
      </w:tabs>
      <w:spacing w:before="120" w:beforeLines="0" w:after="120" w:afterLines="0" w:line="360" w:lineRule="auto"/>
      <w:ind w:left="567" w:right="-105" w:rightChars="-50" w:hanging="992"/>
      <w:jc w:val="center"/>
      <w:outlineLvl w:val="1"/>
    </w:pPr>
    <w:rPr>
      <w:rFonts w:ascii="Times New Roman" w:hAnsi="Times New Roman" w:eastAsia="宋体" w:cs="Times New Roman"/>
      <w:kern w:val="0"/>
      <w:sz w:val="21"/>
      <w:szCs w:val="28"/>
      <w:lang w:val="en-US" w:eastAsia="zh-CN" w:bidi="ar-SA"/>
    </w:rPr>
  </w:style>
  <w:style w:type="paragraph" w:customStyle="1" w:styleId="103">
    <w:name w:val="样式5"/>
    <w:basedOn w:val="104"/>
    <w:qFormat/>
    <w:uiPriority w:val="0"/>
    <w:pPr>
      <w:keepNext/>
      <w:keepLines/>
      <w:widowControl w:val="0"/>
      <w:tabs>
        <w:tab w:val="left" w:pos="360"/>
      </w:tabs>
      <w:spacing w:before="156" w:beforeLines="50" w:after="156" w:afterLines="50" w:line="360" w:lineRule="auto"/>
      <w:ind w:left="567" w:right="-105" w:rightChars="-50" w:hanging="567"/>
      <w:jc w:val="center"/>
      <w:outlineLvl w:val="1"/>
    </w:pPr>
    <w:rPr>
      <w:rFonts w:ascii="宋体" w:hAnsi="Times New Roman" w:eastAsia="MS Mincho" w:cs="Times New Roman"/>
      <w:kern w:val="0"/>
      <w:sz w:val="21"/>
      <w:szCs w:val="28"/>
      <w:lang w:val="en-US" w:eastAsia="zh-CN" w:bidi="ar-SA"/>
    </w:rPr>
  </w:style>
  <w:style w:type="paragraph" w:customStyle="1" w:styleId="104">
    <w:name w:val="样式12"/>
    <w:qFormat/>
    <w:uiPriority w:val="0"/>
    <w:pPr>
      <w:keepNext/>
      <w:keepLines/>
      <w:widowControl w:val="0"/>
      <w:tabs>
        <w:tab w:val="left" w:pos="360"/>
      </w:tabs>
      <w:spacing w:before="156" w:beforeLines="50" w:after="156" w:afterLines="50" w:line="360" w:lineRule="auto"/>
      <w:ind w:left="567" w:hanging="567"/>
      <w:jc w:val="both"/>
      <w:outlineLvl w:val="1"/>
    </w:pPr>
    <w:rPr>
      <w:rFonts w:ascii="Times New Roman" w:hAnsi="Times New Roman" w:eastAsia="MS Mincho" w:cs="Times New Roman"/>
      <w:kern w:val="0"/>
      <w:sz w:val="28"/>
      <w:szCs w:val="28"/>
      <w:lang w:val="en-US" w:eastAsia="zh-CN" w:bidi="ar-SA"/>
    </w:rPr>
  </w:style>
  <w:style w:type="paragraph" w:customStyle="1" w:styleId="105">
    <w:name w:val="样式 首行缩进:  2 字符"/>
    <w:basedOn w:val="1"/>
    <w:qFormat/>
    <w:uiPriority w:val="0"/>
    <w:pPr>
      <w:snapToGrid w:val="0"/>
      <w:spacing w:line="360" w:lineRule="auto"/>
      <w:ind w:firstLine="480" w:firstLineChars="200"/>
    </w:pPr>
    <w:rPr>
      <w:rFonts w:ascii="Calibri" w:hAnsi="Calibri" w:eastAsia="宋体" w:cs="Calibri"/>
      <w:szCs w:val="21"/>
    </w:rPr>
  </w:style>
  <w:style w:type="paragraph" w:customStyle="1" w:styleId="106">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8" Type="http://schemas.openxmlformats.org/officeDocument/2006/relationships/fontTable" Target="fontTable.xml"/><Relationship Id="rId57" Type="http://schemas.openxmlformats.org/officeDocument/2006/relationships/numbering" Target="numbering.xml"/><Relationship Id="rId56" Type="http://schemas.openxmlformats.org/officeDocument/2006/relationships/customXml" Target="../customXml/item1.xml"/><Relationship Id="rId55" Type="http://schemas.openxmlformats.org/officeDocument/2006/relationships/image" Target="media/image40.png"/><Relationship Id="rId54" Type="http://schemas.openxmlformats.org/officeDocument/2006/relationships/image" Target="media/image39.png"/><Relationship Id="rId53" Type="http://schemas.openxmlformats.org/officeDocument/2006/relationships/image" Target="media/image38.png"/><Relationship Id="rId52" Type="http://schemas.openxmlformats.org/officeDocument/2006/relationships/image" Target="media/image37.png"/><Relationship Id="rId51" Type="http://schemas.openxmlformats.org/officeDocument/2006/relationships/image" Target="media/image36.png"/><Relationship Id="rId50" Type="http://schemas.openxmlformats.org/officeDocument/2006/relationships/image" Target="media/image35.png"/><Relationship Id="rId5" Type="http://schemas.openxmlformats.org/officeDocument/2006/relationships/footer" Target="footer3.xml"/><Relationship Id="rId49" Type="http://schemas.openxmlformats.org/officeDocument/2006/relationships/image" Target="media/image34.png"/><Relationship Id="rId48" Type="http://schemas.openxmlformats.org/officeDocument/2006/relationships/image" Target="media/image33.png"/><Relationship Id="rId47" Type="http://schemas.openxmlformats.org/officeDocument/2006/relationships/image" Target="media/image32.png"/><Relationship Id="rId46" Type="http://schemas.openxmlformats.org/officeDocument/2006/relationships/image" Target="media/image31.png"/><Relationship Id="rId45" Type="http://schemas.openxmlformats.org/officeDocument/2006/relationships/image" Target="media/image30.jpeg"/><Relationship Id="rId44" Type="http://schemas.openxmlformats.org/officeDocument/2006/relationships/image" Target="media/image29.jpeg"/><Relationship Id="rId43" Type="http://schemas.openxmlformats.org/officeDocument/2006/relationships/image" Target="media/image28.jpeg"/><Relationship Id="rId42" Type="http://schemas.openxmlformats.org/officeDocument/2006/relationships/image" Target="media/image27.jpeg"/><Relationship Id="rId41" Type="http://schemas.openxmlformats.org/officeDocument/2006/relationships/image" Target="media/image26.jpeg"/><Relationship Id="rId40" Type="http://schemas.openxmlformats.org/officeDocument/2006/relationships/image" Target="media/image25.jpeg"/><Relationship Id="rId4" Type="http://schemas.openxmlformats.org/officeDocument/2006/relationships/footer" Target="footer2.xml"/><Relationship Id="rId39" Type="http://schemas.openxmlformats.org/officeDocument/2006/relationships/image" Target="media/image24.jpeg"/><Relationship Id="rId38" Type="http://schemas.openxmlformats.org/officeDocument/2006/relationships/image" Target="media/image23.jpeg"/><Relationship Id="rId37" Type="http://schemas.openxmlformats.org/officeDocument/2006/relationships/image" Target="media/image22.jpeg"/><Relationship Id="rId36" Type="http://schemas.openxmlformats.org/officeDocument/2006/relationships/image" Target="media/image21.jpeg"/><Relationship Id="rId35" Type="http://schemas.openxmlformats.org/officeDocument/2006/relationships/image" Target="media/image20.jpeg"/><Relationship Id="rId34" Type="http://schemas.openxmlformats.org/officeDocument/2006/relationships/image" Target="media/image19.jpeg"/><Relationship Id="rId33" Type="http://schemas.openxmlformats.org/officeDocument/2006/relationships/image" Target="media/image18.jpeg"/><Relationship Id="rId32" Type="http://schemas.openxmlformats.org/officeDocument/2006/relationships/image" Target="media/image17.jpeg"/><Relationship Id="rId31" Type="http://schemas.openxmlformats.org/officeDocument/2006/relationships/image" Target="media/image16.jpeg"/><Relationship Id="rId30" Type="http://schemas.openxmlformats.org/officeDocument/2006/relationships/image" Target="media/image15.jpeg"/><Relationship Id="rId3" Type="http://schemas.openxmlformats.org/officeDocument/2006/relationships/footer" Target="footer1.xml"/><Relationship Id="rId29" Type="http://schemas.openxmlformats.org/officeDocument/2006/relationships/image" Target="media/image14.jpeg"/><Relationship Id="rId28" Type="http://schemas.openxmlformats.org/officeDocument/2006/relationships/image" Target="media/image13.jpe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18&#12289;&#33635;&#33402;&#28783;&#39280;/documents/tencent%25252525252525252525252525252525252525252525252525252525252525252525252525252525252525252525252525252525252525252525252525252525252525252525252525252525252525252525252525252525252525252525252525252525252525252525252525252525252525252525252525252525252520files/379300943/FileRecv/AppData/Roaming/Microsoft/AppData/Local/Temp/ksohtml16632/wps4.png" TargetMode="External"/><Relationship Id="rId24" Type="http://schemas.openxmlformats.org/officeDocument/2006/relationships/image" Target="media/image10.png"/><Relationship Id="rId23" Type="http://schemas.openxmlformats.org/officeDocument/2006/relationships/image" Target="../18&#12289;&#33635;&#33402;&#28783;&#39280;/documents/tencent%25252525252525252525252525252525252525252525252525252525252525252525252525252525252525252525252525252525252525252525252525252525252525252525252525252525252525252525252525252525252525252525252525252525252525252525252525252525252525252525252525252525252520files/379300943/FileRecv/AppData/Roaming/Microsoft/AppData/Local/Temp/ksohtml16632/wps3.jpg" TargetMode="External"/><Relationship Id="rId22" Type="http://schemas.openxmlformats.org/officeDocument/2006/relationships/image" Target="media/image9.jpeg"/><Relationship Id="rId21" Type="http://schemas.openxmlformats.org/officeDocument/2006/relationships/image" Target="../18&#12289;&#33635;&#33402;&#28783;&#39280;/documents/tencent%25252525252525252525252525252525252525252525252525252525252525252525252525252525252525252525252525252525252525252525252525252525252525252525252525252525252525252525252525252525252525252525252525252525252525252525252525252525252525252525252525252525252520files/379300943/FileRecv/AppData/Roaming/Microsoft/AppData/Local/Temp/ksohtml16632/wps1.jpg" TargetMode="External"/><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emf"/><Relationship Id="rId17" Type="http://schemas.openxmlformats.org/officeDocument/2006/relationships/oleObject" Target="embeddings/oleObject2.bin"/><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e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92</Pages>
  <Words>5133</Words>
  <Characters>5538</Characters>
  <Lines>476</Lines>
  <Paragraphs>134</Paragraphs>
  <TotalTime>0</TotalTime>
  <ScaleCrop>false</ScaleCrop>
  <LinksUpToDate>false</LinksUpToDate>
  <CharactersWithSpaces>5621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2021-02-04T07:41:00Z</dcterms:created>
  <dc:creator>shinn</dc:creator>
  <cp:lastModifiedBy>T</cp:lastModifiedBy>
  <cp:lastPrinted>2022-05-19T01:04:00Z</cp:lastPrinted>
  <dcterms:modified xsi:type="dcterms:W3CDTF">2025-05-27T01:57:14Z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970B8DE68D3348AB9F012E36CFCF0ED5_13</vt:lpwstr>
  </property>
  <property fmtid="{D5CDD505-2E9C-101B-9397-08002B2CF9AE}" pid="4" name="KSOTemplateDocerSaveRecord">
    <vt:lpwstr>eyJoZGlkIjoiODk0NzM2ZGYxY2Y0NmZhMDI4OTRjMGNmZjk1MGQzZmEiLCJ1c2VySWQiOiIzMzUyNjA1ODUifQ==</vt:lpwstr>
  </property>
</Properties>
</file>