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F76231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color w:val="000000"/>
          <w:kern w:val="0"/>
          <w:sz w:val="52"/>
          <w:szCs w:val="52"/>
          <w:lang w:val="en-US" w:eastAsia="zh-CN" w:bidi="ar"/>
        </w:rPr>
      </w:pPr>
      <w:r>
        <w:rPr>
          <w:rFonts w:hint="eastAsia" w:ascii="宋体" w:hAnsi="宋体" w:eastAsia="宋体" w:cs="宋体"/>
          <w:b/>
          <w:bCs w:val="0"/>
          <w:color w:val="000000"/>
          <w:kern w:val="0"/>
          <w:sz w:val="52"/>
          <w:szCs w:val="52"/>
          <w:lang w:val="en-US" w:eastAsia="zh-CN" w:bidi="ar"/>
        </w:rPr>
        <w:t>宣城兴旺达精密科技有限公司</w:t>
      </w:r>
    </w:p>
    <w:p w14:paraId="5CA2216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color w:val="000000"/>
          <w:kern w:val="0"/>
          <w:sz w:val="52"/>
          <w:szCs w:val="52"/>
          <w:lang w:val="en-US" w:eastAsia="zh-CN" w:bidi="ar"/>
        </w:rPr>
      </w:pPr>
      <w:r>
        <w:rPr>
          <w:rFonts w:hint="eastAsia" w:ascii="宋体" w:hAnsi="宋体" w:eastAsia="宋体" w:cs="宋体"/>
          <w:b/>
          <w:bCs w:val="0"/>
          <w:color w:val="000000"/>
          <w:kern w:val="0"/>
          <w:sz w:val="52"/>
          <w:szCs w:val="52"/>
          <w:lang w:val="en-US" w:eastAsia="zh-CN" w:bidi="ar"/>
        </w:rPr>
        <w:t>年产400万件新能源汽车电池零部件项</w:t>
      </w:r>
    </w:p>
    <w:p w14:paraId="3908A688">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eastAsia" w:ascii="宋体" w:hAnsi="宋体" w:eastAsia="宋体" w:cs="宋体"/>
          <w:b/>
          <w:bCs w:val="0"/>
          <w:color w:val="000000"/>
          <w:kern w:val="0"/>
          <w:sz w:val="52"/>
          <w:szCs w:val="52"/>
          <w:lang w:val="en-US" w:eastAsia="zh-CN" w:bidi="ar"/>
        </w:rPr>
        <w:t>阶段性竣工环境保护</w:t>
      </w:r>
    </w:p>
    <w:p w14:paraId="6324C382">
      <w:pPr>
        <w:keepNext w:val="0"/>
        <w:keepLines w:val="0"/>
        <w:widowControl/>
        <w:suppressLineNumbers w:val="0"/>
        <w:adjustRightInd w:val="0"/>
        <w:snapToGrid w:val="0"/>
        <w:spacing w:before="0" w:beforeAutospacing="0" w:after="120" w:afterAutospacing="0"/>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69C47333">
      <w:pPr>
        <w:keepNext w:val="0"/>
        <w:keepLines w:val="0"/>
        <w:widowControl/>
        <w:suppressLineNumbers w:val="0"/>
        <w:adjustRightInd w:val="0"/>
        <w:snapToGrid w:val="0"/>
        <w:spacing w:before="0" w:beforeAutospacing="0" w:after="120" w:afterAutospacing="0"/>
        <w:ind w:left="0" w:right="0"/>
        <w:jc w:val="left"/>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326A7C6E">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48702B83">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4F4B4603">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4F62E00F">
      <w:pPr>
        <w:keepNext w:val="0"/>
        <w:keepLines w:val="0"/>
        <w:widowControl/>
        <w:suppressLineNumbers w:val="0"/>
        <w:adjustRightInd w:val="0"/>
        <w:snapToGrid w:val="0"/>
        <w:spacing w:before="0" w:beforeAutospacing="0" w:after="120" w:afterAutospacing="0"/>
        <w:ind w:left="0" w:right="0"/>
        <w:jc w:val="left"/>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49197D02">
      <w:pPr>
        <w:keepNext w:val="0"/>
        <w:keepLines w:val="0"/>
        <w:widowControl/>
        <w:suppressLineNumbers w:val="0"/>
        <w:adjustRightInd w:val="0"/>
        <w:snapToGrid w:val="0"/>
        <w:spacing w:before="0" w:beforeAutospacing="0" w:after="120" w:afterAutospacing="0"/>
        <w:ind w:left="0" w:right="0"/>
        <w:jc w:val="left"/>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5C3C59FC">
      <w:pPr>
        <w:keepNext w:val="0"/>
        <w:keepLines w:val="0"/>
        <w:widowControl/>
        <w:suppressLineNumbers w:val="0"/>
        <w:adjustRightInd w:val="0"/>
        <w:snapToGrid w:val="0"/>
        <w:spacing w:before="0" w:beforeAutospacing="0" w:after="120" w:afterAutospacing="0"/>
        <w:ind w:left="0" w:right="0"/>
        <w:jc w:val="left"/>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7ABAB972">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eastAsia" w:ascii="宋体" w:hAnsi="宋体" w:eastAsia="宋体" w:cs="宋体"/>
          <w:b/>
          <w:bCs w:val="0"/>
          <w:color w:val="000000"/>
          <w:kern w:val="0"/>
          <w:sz w:val="52"/>
          <w:szCs w:val="52"/>
          <w:lang w:val="en-US" w:eastAsia="zh-CN" w:bidi="ar"/>
        </w:rPr>
        <w:t>验收报告</w:t>
      </w:r>
    </w:p>
    <w:p w14:paraId="135BFDDD">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75855A92">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2"/>
          <w:szCs w:val="52"/>
          <w:lang w:val="en-US"/>
        </w:rPr>
      </w:pPr>
      <w:r>
        <w:rPr>
          <w:rFonts w:hint="default" w:ascii="Times New Roman" w:hAnsi="Times New Roman" w:eastAsia="宋体" w:cs="Times New Roman"/>
          <w:b/>
          <w:bCs w:val="0"/>
          <w:color w:val="000000"/>
          <w:kern w:val="0"/>
          <w:sz w:val="52"/>
          <w:szCs w:val="52"/>
          <w:lang w:val="en-US" w:eastAsia="zh-CN" w:bidi="ar"/>
        </w:rPr>
        <w:t xml:space="preserve"> </w:t>
      </w:r>
    </w:p>
    <w:p w14:paraId="4BA6AAEB">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32"/>
          <w:szCs w:val="32"/>
          <w:lang w:val="en-US"/>
        </w:rPr>
      </w:pPr>
      <w:r>
        <w:rPr>
          <w:rFonts w:hint="eastAsia" w:ascii="宋体" w:hAnsi="宋体" w:eastAsia="宋体" w:cs="宋体"/>
          <w:b/>
          <w:bCs w:val="0"/>
          <w:color w:val="000000"/>
          <w:kern w:val="0"/>
          <w:sz w:val="32"/>
          <w:szCs w:val="32"/>
          <w:lang w:val="en-US" w:eastAsia="zh-CN" w:bidi="ar"/>
        </w:rPr>
        <w:t>二</w:t>
      </w:r>
      <w:r>
        <w:rPr>
          <w:rFonts w:hint="default" w:ascii="Times New Roman" w:hAnsi="Times New Roman" w:eastAsia="宋体" w:cs="Times New Roman"/>
          <w:b/>
          <w:bCs w:val="0"/>
          <w:color w:val="000000"/>
          <w:kern w:val="0"/>
          <w:sz w:val="32"/>
          <w:szCs w:val="32"/>
          <w:lang w:val="en-US" w:eastAsia="zh-CN" w:bidi="ar"/>
        </w:rPr>
        <w:t>O</w:t>
      </w:r>
      <w:r>
        <w:rPr>
          <w:rFonts w:hint="eastAsia" w:ascii="宋体" w:hAnsi="宋体" w:eastAsia="宋体" w:cs="宋体"/>
          <w:b/>
          <w:bCs w:val="0"/>
          <w:color w:val="000000"/>
          <w:kern w:val="0"/>
          <w:sz w:val="32"/>
          <w:szCs w:val="32"/>
          <w:lang w:val="en-US" w:eastAsia="zh-CN" w:bidi="ar"/>
        </w:rPr>
        <w:t>二五年</w:t>
      </w:r>
      <w:r>
        <w:rPr>
          <w:rFonts w:hint="default" w:ascii="Times New Roman" w:hAnsi="Times New Roman" w:eastAsia="宋体" w:cs="Times New Roman"/>
          <w:b/>
          <w:bCs w:val="0"/>
          <w:color w:val="000000"/>
          <w:kern w:val="0"/>
          <w:sz w:val="32"/>
          <w:szCs w:val="32"/>
          <w:lang w:val="en-US" w:eastAsia="zh-CN" w:bidi="ar"/>
        </w:rPr>
        <w:t xml:space="preserve">  </w:t>
      </w:r>
      <w:r>
        <w:rPr>
          <w:rFonts w:hint="eastAsia" w:ascii="Times New Roman" w:hAnsi="Times New Roman" w:eastAsia="宋体" w:cs="宋体"/>
          <w:b/>
          <w:bCs w:val="0"/>
          <w:color w:val="000000"/>
          <w:kern w:val="0"/>
          <w:sz w:val="32"/>
          <w:szCs w:val="32"/>
          <w:lang w:val="en-US" w:eastAsia="zh-CN" w:bidi="ar"/>
        </w:rPr>
        <w:t>六</w:t>
      </w:r>
      <w:r>
        <w:rPr>
          <w:rFonts w:hint="eastAsia" w:ascii="宋体" w:hAnsi="宋体" w:eastAsia="宋体" w:cs="宋体"/>
          <w:b/>
          <w:bCs w:val="0"/>
          <w:color w:val="000000"/>
          <w:kern w:val="0"/>
          <w:sz w:val="32"/>
          <w:szCs w:val="32"/>
          <w:lang w:val="en-US" w:eastAsia="zh-CN" w:bidi="ar"/>
        </w:rPr>
        <w:t>月</w:t>
      </w:r>
    </w:p>
    <w:p w14:paraId="4818DF91">
      <w:pPr>
        <w:keepNext w:val="0"/>
        <w:keepLines w:val="0"/>
        <w:widowControl/>
        <w:suppressLineNumbers w:val="0"/>
        <w:adjustRightInd w:val="0"/>
        <w:snapToGrid w:val="0"/>
        <w:spacing w:before="0" w:beforeAutospacing="0" w:after="120" w:afterAutospacing="0"/>
        <w:ind w:left="0" w:right="0"/>
        <w:jc w:val="left"/>
        <w:rPr>
          <w:rFonts w:hint="default" w:ascii="Tahoma" w:hAnsi="Tahoma" w:eastAsia="微软雅黑" w:cs="Times New Roman"/>
          <w:kern w:val="0"/>
          <w:sz w:val="22"/>
          <w:szCs w:val="22"/>
          <w:lang w:val="en-US"/>
        </w:rPr>
      </w:pPr>
      <w:r>
        <w:rPr>
          <w:rFonts w:hint="default" w:ascii="Tahoma" w:hAnsi="Tahoma" w:eastAsia="微软雅黑" w:cs="Times New Roman"/>
          <w:kern w:val="0"/>
          <w:sz w:val="22"/>
          <w:szCs w:val="22"/>
          <w:lang w:val="en-US" w:eastAsia="zh-CN" w:bidi="ar"/>
        </w:rPr>
        <w:t xml:space="preserve"> </w:t>
      </w:r>
    </w:p>
    <w:p w14:paraId="3F0DC34E">
      <w:pPr>
        <w:rPr>
          <w:rFonts w:hint="default" w:ascii="Tahoma" w:hAnsi="Tahoma" w:eastAsia="微软雅黑" w:cs="Times New Roman"/>
          <w:sz w:val="22"/>
          <w:szCs w:val="22"/>
          <w:lang w:val="en-US" w:eastAsia="zh-CN" w:bidi="ar"/>
        </w:rPr>
        <w:sectPr>
          <w:headerReference r:id="rId3" w:type="default"/>
          <w:headerReference r:id="rId4" w:type="even"/>
          <w:pgSz w:w="11906" w:h="16838"/>
          <w:pgMar w:top="1440" w:right="1800" w:bottom="1440" w:left="1800" w:header="851" w:footer="992" w:gutter="0"/>
          <w:cols w:space="720" w:num="1"/>
          <w:docGrid w:type="lines" w:linePitch="312" w:charSpace="0"/>
        </w:sectPr>
      </w:pPr>
    </w:p>
    <w:p w14:paraId="427C389E">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6"/>
          <w:szCs w:val="56"/>
          <w:lang w:val="en-US"/>
        </w:rPr>
      </w:pPr>
      <w:r>
        <w:rPr>
          <w:rFonts w:hint="default" w:ascii="Times New Roman" w:hAnsi="Times New Roman" w:eastAsia="宋体" w:cs="Times New Roman"/>
          <w:b/>
          <w:bCs w:val="0"/>
          <w:color w:val="000000"/>
          <w:kern w:val="0"/>
          <w:sz w:val="56"/>
          <w:szCs w:val="56"/>
          <w:lang w:val="en-US" w:eastAsia="zh-CN" w:bidi="ar"/>
        </w:rPr>
        <w:t xml:space="preserve"> </w:t>
      </w:r>
    </w:p>
    <w:p w14:paraId="45B76F10">
      <w:pPr>
        <w:keepNext w:val="0"/>
        <w:keepLines w:val="0"/>
        <w:widowControl w:val="0"/>
        <w:suppressLineNumbers w:val="0"/>
        <w:adjustRightInd w:val="0"/>
        <w:snapToGrid w:val="0"/>
        <w:spacing w:before="0" w:beforeAutospacing="0" w:after="0" w:afterAutospacing="0" w:line="360" w:lineRule="auto"/>
        <w:ind w:left="0" w:right="0"/>
        <w:jc w:val="center"/>
        <w:rPr>
          <w:b/>
          <w:bCs w:val="0"/>
          <w:color w:val="000000"/>
          <w:kern w:val="0"/>
          <w:sz w:val="56"/>
          <w:szCs w:val="56"/>
          <w:lang w:val="en-US"/>
        </w:rPr>
      </w:pPr>
      <w:r>
        <w:rPr>
          <w:rFonts w:hint="eastAsia" w:ascii="宋体" w:hAnsi="宋体" w:eastAsia="宋体" w:cs="宋体"/>
          <w:b/>
          <w:bCs w:val="0"/>
          <w:color w:val="000000"/>
          <w:kern w:val="0"/>
          <w:sz w:val="56"/>
          <w:szCs w:val="56"/>
          <w:lang w:val="en-US" w:eastAsia="zh-CN" w:bidi="ar"/>
        </w:rPr>
        <w:t>目录</w:t>
      </w:r>
    </w:p>
    <w:p w14:paraId="68399F23">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一、验收监测报告</w:t>
      </w:r>
    </w:p>
    <w:p w14:paraId="46C16340">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二、总结报告</w:t>
      </w:r>
    </w:p>
    <w:p w14:paraId="28041CAF">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三、承诺书</w:t>
      </w:r>
    </w:p>
    <w:p w14:paraId="42FE46ED">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四、验收意见</w:t>
      </w:r>
    </w:p>
    <w:p w14:paraId="35294037">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五、会议名单</w:t>
      </w:r>
    </w:p>
    <w:p w14:paraId="57CCE9BC">
      <w:pPr>
        <w:keepNext w:val="0"/>
        <w:keepLines w:val="0"/>
        <w:widowControl w:val="0"/>
        <w:suppressLineNumbers w:val="0"/>
        <w:adjustRightInd w:val="0"/>
        <w:snapToGrid w:val="0"/>
        <w:spacing w:before="0" w:beforeAutospacing="0" w:after="0" w:afterAutospacing="0" w:line="600" w:lineRule="auto"/>
        <w:ind w:left="0" w:right="0"/>
        <w:jc w:val="left"/>
        <w:rPr>
          <w:b/>
          <w:bCs w:val="0"/>
          <w:color w:val="000000"/>
          <w:kern w:val="0"/>
          <w:sz w:val="36"/>
          <w:szCs w:val="36"/>
          <w:lang w:val="en-US"/>
        </w:rPr>
      </w:pPr>
      <w:r>
        <w:rPr>
          <w:rFonts w:hint="eastAsia" w:ascii="宋体" w:hAnsi="宋体" w:eastAsia="宋体" w:cs="宋体"/>
          <w:b/>
          <w:bCs w:val="0"/>
          <w:color w:val="000000"/>
          <w:kern w:val="0"/>
          <w:sz w:val="36"/>
          <w:szCs w:val="36"/>
          <w:lang w:val="en-US" w:eastAsia="zh-CN" w:bidi="ar"/>
        </w:rPr>
        <w:t>六、验收公示</w:t>
      </w:r>
    </w:p>
    <w:p w14:paraId="479ACDDC">
      <w:pPr>
        <w:keepNext w:val="0"/>
        <w:keepLines w:val="0"/>
        <w:widowControl/>
        <w:suppressLineNumbers w:val="0"/>
        <w:adjustRightInd w:val="0"/>
        <w:snapToGrid w:val="0"/>
        <w:spacing w:before="0" w:beforeAutospacing="0" w:after="120" w:afterAutospacing="0" w:line="720" w:lineRule="auto"/>
        <w:ind w:left="0" w:right="0"/>
        <w:jc w:val="left"/>
        <w:rPr>
          <w:rFonts w:hint="default" w:ascii="Tahoma" w:hAnsi="Tahoma" w:eastAsia="微软雅黑" w:cs="Times New Roman"/>
          <w:kern w:val="0"/>
          <w:sz w:val="22"/>
          <w:szCs w:val="22"/>
          <w:lang w:val="en-US"/>
        </w:rPr>
      </w:pPr>
    </w:p>
    <w:p w14:paraId="15D7861D">
      <w:pPr>
        <w:keepNext w:val="0"/>
        <w:keepLines w:val="0"/>
        <w:widowControl/>
        <w:suppressLineNumbers w:val="0"/>
        <w:adjustRightInd w:val="0"/>
        <w:snapToGrid w:val="0"/>
        <w:spacing w:before="0" w:beforeAutospacing="0" w:after="0" w:afterAutospacing="0" w:line="460" w:lineRule="exact"/>
        <w:ind w:left="0" w:right="0" w:firstLine="560" w:firstLineChars="200"/>
        <w:jc w:val="left"/>
        <w:rPr>
          <w:rFonts w:hint="default" w:ascii="Tahoma" w:hAnsi="Tahoma" w:eastAsia="微软雅黑" w:cs="Times New Roman"/>
          <w:kern w:val="0"/>
          <w:sz w:val="28"/>
          <w:szCs w:val="28"/>
          <w:lang w:val="en-US"/>
        </w:rPr>
      </w:pPr>
      <w:r>
        <w:rPr>
          <w:rFonts w:hint="default" w:ascii="Tahoma" w:hAnsi="Tahoma" w:eastAsia="微软雅黑" w:cs="Times New Roman"/>
          <w:kern w:val="0"/>
          <w:sz w:val="28"/>
          <w:szCs w:val="28"/>
          <w:lang w:val="en-US" w:eastAsia="zh-CN" w:bidi="ar"/>
        </w:rPr>
        <w:t xml:space="preserve"> </w:t>
      </w:r>
    </w:p>
    <w:p w14:paraId="6AA4CEE6">
      <w:pPr>
        <w:keepNext w:val="0"/>
        <w:keepLines w:val="0"/>
        <w:widowControl/>
        <w:suppressLineNumbers w:val="0"/>
        <w:adjustRightInd w:val="0"/>
        <w:snapToGrid w:val="0"/>
        <w:spacing w:before="0" w:beforeAutospacing="0" w:after="0" w:afterAutospacing="0" w:line="460" w:lineRule="exact"/>
        <w:ind w:left="0" w:right="0" w:firstLine="560" w:firstLineChars="200"/>
        <w:jc w:val="left"/>
        <w:rPr>
          <w:rFonts w:hint="default" w:ascii="Tahoma" w:hAnsi="Tahoma" w:eastAsia="微软雅黑" w:cs="Times New Roman"/>
          <w:kern w:val="0"/>
          <w:sz w:val="28"/>
          <w:szCs w:val="28"/>
          <w:lang w:val="en-US"/>
        </w:rPr>
      </w:pPr>
      <w:r>
        <w:rPr>
          <w:rFonts w:hint="default" w:ascii="Tahoma" w:hAnsi="Tahoma" w:eastAsia="微软雅黑" w:cs="Times New Roman"/>
          <w:kern w:val="0"/>
          <w:sz w:val="28"/>
          <w:szCs w:val="28"/>
          <w:lang w:val="en-US" w:eastAsia="zh-CN" w:bidi="ar"/>
        </w:rPr>
        <w:t xml:space="preserve"> </w:t>
      </w:r>
    </w:p>
    <w:p w14:paraId="4C9A9321">
      <w:pPr>
        <w:keepNext w:val="0"/>
        <w:keepLines w:val="0"/>
        <w:widowControl/>
        <w:suppressLineNumbers w:val="0"/>
        <w:adjustRightInd w:val="0"/>
        <w:snapToGrid w:val="0"/>
        <w:spacing w:before="0" w:beforeAutospacing="0" w:after="0" w:afterAutospacing="0" w:line="460" w:lineRule="exact"/>
        <w:ind w:left="0" w:right="0" w:firstLine="560" w:firstLineChars="200"/>
        <w:jc w:val="left"/>
        <w:rPr>
          <w:rFonts w:hint="default" w:ascii="Tahoma" w:hAnsi="Tahoma" w:eastAsia="微软雅黑" w:cs="Times New Roman"/>
          <w:kern w:val="0"/>
          <w:sz w:val="28"/>
          <w:szCs w:val="28"/>
          <w:lang w:val="en-US"/>
        </w:rPr>
      </w:pPr>
      <w:r>
        <w:rPr>
          <w:rFonts w:hint="default" w:ascii="Tahoma" w:hAnsi="Tahoma" w:eastAsia="微软雅黑" w:cs="Times New Roman"/>
          <w:kern w:val="0"/>
          <w:sz w:val="28"/>
          <w:szCs w:val="28"/>
          <w:lang w:val="en-US" w:eastAsia="zh-CN" w:bidi="ar"/>
        </w:rPr>
        <w:t xml:space="preserve"> </w:t>
      </w:r>
    </w:p>
    <w:p w14:paraId="58C28929">
      <w:pPr>
        <w:keepNext w:val="0"/>
        <w:keepLines w:val="0"/>
        <w:widowControl/>
        <w:suppressLineNumbers w:val="0"/>
        <w:adjustRightInd w:val="0"/>
        <w:snapToGrid w:val="0"/>
        <w:spacing w:before="0" w:beforeAutospacing="0" w:after="0" w:afterAutospacing="0" w:line="460" w:lineRule="exact"/>
        <w:ind w:left="0" w:right="0" w:firstLine="560" w:firstLineChars="200"/>
        <w:jc w:val="left"/>
        <w:rPr>
          <w:rFonts w:hint="default" w:ascii="Tahoma" w:hAnsi="Tahoma" w:eastAsia="微软雅黑" w:cs="Times New Roman"/>
          <w:kern w:val="0"/>
          <w:sz w:val="28"/>
          <w:szCs w:val="28"/>
          <w:lang w:val="en-US"/>
        </w:rPr>
      </w:pPr>
      <w:r>
        <w:rPr>
          <w:rFonts w:hint="default" w:ascii="Tahoma" w:hAnsi="Tahoma" w:eastAsia="微软雅黑" w:cs="Times New Roman"/>
          <w:kern w:val="0"/>
          <w:sz w:val="28"/>
          <w:szCs w:val="28"/>
          <w:lang w:val="en-US" w:eastAsia="zh-CN" w:bidi="ar"/>
        </w:rPr>
        <w:t xml:space="preserve"> </w:t>
      </w:r>
    </w:p>
    <w:p w14:paraId="1FC4A881">
      <w:pPr>
        <w:keepNext w:val="0"/>
        <w:keepLines w:val="0"/>
        <w:widowControl/>
        <w:suppressLineNumbers w:val="0"/>
        <w:adjustRightInd w:val="0"/>
        <w:snapToGrid w:val="0"/>
        <w:spacing w:before="0" w:beforeAutospacing="0" w:after="0" w:afterAutospacing="0" w:line="460" w:lineRule="exact"/>
        <w:ind w:left="0" w:right="0" w:firstLine="560" w:firstLineChars="200"/>
        <w:jc w:val="left"/>
        <w:rPr>
          <w:rFonts w:hint="default" w:ascii="Tahoma" w:hAnsi="Tahoma" w:eastAsia="微软雅黑" w:cs="Times New Roman"/>
          <w:kern w:val="0"/>
          <w:sz w:val="28"/>
          <w:szCs w:val="28"/>
          <w:lang w:val="en-US"/>
        </w:rPr>
      </w:pPr>
      <w:r>
        <w:rPr>
          <w:rFonts w:hint="default" w:ascii="Tahoma" w:hAnsi="Tahoma" w:eastAsia="微软雅黑" w:cs="Times New Roman"/>
          <w:sz w:val="28"/>
          <w:szCs w:val="28"/>
          <w:lang w:val="en-US" w:eastAsia="zh-CN" w:bidi="ar"/>
        </w:rPr>
        <w:br w:type="page"/>
      </w:r>
      <w:r>
        <w:rPr>
          <w:rFonts w:hint="default" w:ascii="Tahoma" w:hAnsi="Tahoma" w:eastAsia="微软雅黑" w:cs="Times New Roman"/>
          <w:kern w:val="0"/>
          <w:sz w:val="28"/>
          <w:szCs w:val="28"/>
          <w:lang w:val="en-US" w:eastAsia="zh-CN" w:bidi="ar"/>
        </w:rPr>
        <w:t xml:space="preserve"> </w:t>
      </w:r>
    </w:p>
    <w:p w14:paraId="6C79C9D7">
      <w:pPr>
        <w:widowControl w:val="0"/>
        <w:autoSpaceDE w:val="0"/>
        <w:autoSpaceDN w:val="0"/>
        <w:adjustRightInd w:val="0"/>
        <w:snapToGrid w:val="0"/>
        <w:spacing w:line="360" w:lineRule="auto"/>
        <w:ind w:right="-172" w:firstLine="560" w:firstLineChars="200"/>
        <w:rPr>
          <w:bCs/>
          <w:kern w:val="0"/>
          <w:sz w:val="24"/>
          <w:szCs w:val="44"/>
        </w:rPr>
      </w:pPr>
      <w:r>
        <w:rPr>
          <w:rFonts w:hint="default" w:ascii="Tahoma" w:hAnsi="Tahoma" w:eastAsia="微软雅黑" w:cs="Times New Roman"/>
          <w:sz w:val="28"/>
          <w:szCs w:val="28"/>
          <w:lang w:val="en-US" w:eastAsia="zh-CN" w:bidi="ar"/>
        </w:rPr>
        <w:br w:type="page"/>
      </w:r>
    </w:p>
    <w:p w14:paraId="1E585A49">
      <w:pPr>
        <w:pStyle w:val="24"/>
        <w:ind w:right="-172"/>
      </w:pPr>
    </w:p>
    <w:p w14:paraId="3E8C5E03">
      <w:pPr>
        <w:widowControl w:val="0"/>
        <w:autoSpaceDE w:val="0"/>
        <w:autoSpaceDN w:val="0"/>
        <w:adjustRightInd w:val="0"/>
        <w:snapToGrid w:val="0"/>
        <w:spacing w:line="360" w:lineRule="auto"/>
        <w:ind w:right="-172" w:firstLine="480" w:firstLineChars="200"/>
        <w:rPr>
          <w:bCs/>
          <w:kern w:val="0"/>
          <w:sz w:val="24"/>
          <w:szCs w:val="44"/>
        </w:rPr>
      </w:pPr>
    </w:p>
    <w:p w14:paraId="29FF7B79">
      <w:pPr>
        <w:adjustRightInd w:val="0"/>
        <w:snapToGrid w:val="0"/>
        <w:spacing w:line="360" w:lineRule="auto"/>
        <w:ind w:left="-25" w:right="-172" w:firstLine="964"/>
        <w:rPr>
          <w:b/>
          <w:bCs/>
          <w:kern w:val="0"/>
          <w:sz w:val="48"/>
          <w:szCs w:val="48"/>
        </w:rPr>
      </w:pPr>
    </w:p>
    <w:p w14:paraId="49309764">
      <w:pPr>
        <w:adjustRightInd w:val="0"/>
        <w:snapToGrid w:val="0"/>
        <w:spacing w:line="360" w:lineRule="auto"/>
        <w:ind w:left="-25" w:right="-172" w:firstLine="964"/>
        <w:jc w:val="center"/>
        <w:rPr>
          <w:b/>
          <w:bCs/>
          <w:kern w:val="0"/>
          <w:sz w:val="48"/>
          <w:szCs w:val="48"/>
        </w:rPr>
      </w:pPr>
      <w:r>
        <w:rPr>
          <w:rFonts w:hint="eastAsia"/>
          <w:b/>
          <w:bCs/>
          <w:kern w:val="0"/>
          <w:sz w:val="48"/>
          <w:szCs w:val="48"/>
        </w:rPr>
        <w:t>宣城兴旺达精密科技有限公司</w:t>
      </w:r>
    </w:p>
    <w:p w14:paraId="682CA746">
      <w:pPr>
        <w:adjustRightInd w:val="0"/>
        <w:snapToGrid w:val="0"/>
        <w:spacing w:line="360" w:lineRule="auto"/>
        <w:ind w:left="-25" w:right="-172" w:firstLine="964"/>
        <w:jc w:val="center"/>
        <w:rPr>
          <w:b/>
          <w:bCs/>
          <w:kern w:val="0"/>
          <w:sz w:val="48"/>
          <w:szCs w:val="48"/>
        </w:rPr>
      </w:pPr>
      <w:r>
        <w:rPr>
          <w:rFonts w:hint="eastAsia"/>
          <w:b/>
          <w:bCs/>
          <w:kern w:val="0"/>
          <w:sz w:val="48"/>
          <w:szCs w:val="48"/>
        </w:rPr>
        <w:t>年产400万件新能源汽车电池零部件项目</w:t>
      </w:r>
    </w:p>
    <w:p w14:paraId="141A215E">
      <w:pPr>
        <w:adjustRightInd w:val="0"/>
        <w:snapToGrid w:val="0"/>
        <w:spacing w:line="360" w:lineRule="auto"/>
        <w:ind w:left="-25" w:right="-172" w:firstLine="964"/>
        <w:jc w:val="center"/>
        <w:rPr>
          <w:b/>
          <w:bCs/>
          <w:kern w:val="0"/>
          <w:sz w:val="48"/>
          <w:szCs w:val="48"/>
        </w:rPr>
      </w:pPr>
      <w:r>
        <w:rPr>
          <w:rFonts w:hint="eastAsia"/>
          <w:b/>
          <w:bCs/>
          <w:kern w:val="0"/>
          <w:sz w:val="48"/>
          <w:szCs w:val="48"/>
        </w:rPr>
        <w:t>阶段性竣工环境保护</w:t>
      </w:r>
      <w:r>
        <w:rPr>
          <w:rFonts w:hint="eastAsia"/>
          <w:b/>
          <w:bCs/>
          <w:sz w:val="48"/>
          <w:szCs w:val="48"/>
        </w:rPr>
        <w:t>验收监测报告表</w:t>
      </w:r>
    </w:p>
    <w:p w14:paraId="497ECD11">
      <w:pPr>
        <w:widowControl w:val="0"/>
        <w:autoSpaceDE w:val="0"/>
        <w:autoSpaceDN w:val="0"/>
        <w:adjustRightInd w:val="0"/>
        <w:snapToGrid w:val="0"/>
        <w:spacing w:line="360" w:lineRule="auto"/>
        <w:ind w:right="-172" w:firstLine="480" w:firstLineChars="200"/>
        <w:rPr>
          <w:bCs/>
          <w:sz w:val="24"/>
          <w:szCs w:val="36"/>
        </w:rPr>
      </w:pPr>
    </w:p>
    <w:p w14:paraId="208DEEAD">
      <w:pPr>
        <w:widowControl w:val="0"/>
        <w:autoSpaceDE w:val="0"/>
        <w:autoSpaceDN w:val="0"/>
        <w:adjustRightInd w:val="0"/>
        <w:snapToGrid w:val="0"/>
        <w:spacing w:line="360" w:lineRule="auto"/>
        <w:ind w:right="-172" w:firstLine="480" w:firstLineChars="200"/>
        <w:rPr>
          <w:bCs/>
          <w:sz w:val="24"/>
          <w:szCs w:val="36"/>
        </w:rPr>
      </w:pPr>
    </w:p>
    <w:p w14:paraId="000A331A">
      <w:pPr>
        <w:widowControl w:val="0"/>
        <w:autoSpaceDE w:val="0"/>
        <w:autoSpaceDN w:val="0"/>
        <w:adjustRightInd w:val="0"/>
        <w:snapToGrid w:val="0"/>
        <w:spacing w:line="360" w:lineRule="auto"/>
        <w:ind w:right="-172" w:firstLine="480" w:firstLineChars="200"/>
        <w:rPr>
          <w:bCs/>
          <w:sz w:val="24"/>
          <w:szCs w:val="36"/>
        </w:rPr>
      </w:pPr>
    </w:p>
    <w:p w14:paraId="22570E2A">
      <w:pPr>
        <w:widowControl w:val="0"/>
        <w:autoSpaceDE w:val="0"/>
        <w:autoSpaceDN w:val="0"/>
        <w:adjustRightInd w:val="0"/>
        <w:snapToGrid w:val="0"/>
        <w:spacing w:line="360" w:lineRule="auto"/>
        <w:ind w:right="-172" w:firstLine="480" w:firstLineChars="200"/>
        <w:rPr>
          <w:bCs/>
          <w:sz w:val="24"/>
          <w:szCs w:val="36"/>
        </w:rPr>
      </w:pPr>
    </w:p>
    <w:p w14:paraId="00C73110">
      <w:pPr>
        <w:widowControl w:val="0"/>
        <w:autoSpaceDE w:val="0"/>
        <w:autoSpaceDN w:val="0"/>
        <w:adjustRightInd w:val="0"/>
        <w:snapToGrid w:val="0"/>
        <w:spacing w:line="360" w:lineRule="auto"/>
        <w:ind w:right="-172" w:firstLine="480" w:firstLineChars="200"/>
        <w:rPr>
          <w:bCs/>
          <w:sz w:val="24"/>
          <w:szCs w:val="36"/>
        </w:rPr>
      </w:pPr>
    </w:p>
    <w:p w14:paraId="74B1DEB8">
      <w:pPr>
        <w:widowControl w:val="0"/>
        <w:autoSpaceDE w:val="0"/>
        <w:autoSpaceDN w:val="0"/>
        <w:adjustRightInd w:val="0"/>
        <w:snapToGrid w:val="0"/>
        <w:spacing w:line="360" w:lineRule="auto"/>
        <w:ind w:right="-172" w:firstLine="480" w:firstLineChars="200"/>
        <w:rPr>
          <w:bCs/>
          <w:sz w:val="24"/>
          <w:szCs w:val="36"/>
        </w:rPr>
      </w:pPr>
    </w:p>
    <w:p w14:paraId="66BA239E">
      <w:pPr>
        <w:widowControl w:val="0"/>
        <w:autoSpaceDE w:val="0"/>
        <w:autoSpaceDN w:val="0"/>
        <w:adjustRightInd w:val="0"/>
        <w:snapToGrid w:val="0"/>
        <w:spacing w:line="360" w:lineRule="auto"/>
        <w:ind w:right="-172" w:firstLine="480" w:firstLineChars="200"/>
        <w:rPr>
          <w:bCs/>
          <w:sz w:val="24"/>
          <w:szCs w:val="36"/>
        </w:rPr>
      </w:pPr>
    </w:p>
    <w:p w14:paraId="0DF543A3">
      <w:pPr>
        <w:widowControl w:val="0"/>
        <w:autoSpaceDE w:val="0"/>
        <w:autoSpaceDN w:val="0"/>
        <w:adjustRightInd w:val="0"/>
        <w:snapToGrid w:val="0"/>
        <w:spacing w:line="360" w:lineRule="auto"/>
        <w:ind w:right="-172" w:firstLine="480" w:firstLineChars="200"/>
        <w:rPr>
          <w:bCs/>
          <w:sz w:val="24"/>
          <w:szCs w:val="36"/>
        </w:rPr>
      </w:pPr>
    </w:p>
    <w:p w14:paraId="15307286">
      <w:pPr>
        <w:widowControl w:val="0"/>
        <w:autoSpaceDE w:val="0"/>
        <w:autoSpaceDN w:val="0"/>
        <w:adjustRightInd w:val="0"/>
        <w:snapToGrid w:val="0"/>
        <w:spacing w:line="360" w:lineRule="auto"/>
        <w:ind w:right="-172" w:firstLine="480" w:firstLineChars="200"/>
        <w:rPr>
          <w:bCs/>
          <w:sz w:val="24"/>
          <w:szCs w:val="36"/>
        </w:rPr>
      </w:pPr>
    </w:p>
    <w:p w14:paraId="7EA63BE5">
      <w:pPr>
        <w:widowControl w:val="0"/>
        <w:autoSpaceDE w:val="0"/>
        <w:autoSpaceDN w:val="0"/>
        <w:adjustRightInd w:val="0"/>
        <w:snapToGrid w:val="0"/>
        <w:spacing w:line="360" w:lineRule="auto"/>
        <w:ind w:right="-172" w:firstLine="480" w:firstLineChars="200"/>
        <w:rPr>
          <w:bCs/>
          <w:sz w:val="24"/>
          <w:szCs w:val="28"/>
        </w:rPr>
      </w:pPr>
    </w:p>
    <w:p w14:paraId="4A54A964">
      <w:pPr>
        <w:widowControl w:val="0"/>
        <w:autoSpaceDE w:val="0"/>
        <w:autoSpaceDN w:val="0"/>
        <w:adjustRightInd w:val="0"/>
        <w:snapToGrid w:val="0"/>
        <w:spacing w:line="360" w:lineRule="auto"/>
        <w:ind w:right="-172" w:firstLine="480" w:firstLineChars="200"/>
        <w:rPr>
          <w:bCs/>
          <w:sz w:val="24"/>
          <w:szCs w:val="28"/>
        </w:rPr>
      </w:pPr>
    </w:p>
    <w:p w14:paraId="2CF33C11">
      <w:pPr>
        <w:widowControl w:val="0"/>
        <w:autoSpaceDE w:val="0"/>
        <w:autoSpaceDN w:val="0"/>
        <w:adjustRightInd w:val="0"/>
        <w:snapToGrid w:val="0"/>
        <w:spacing w:line="360" w:lineRule="auto"/>
        <w:ind w:right="-172" w:firstLine="480"/>
        <w:rPr>
          <w:bCs/>
          <w:sz w:val="24"/>
          <w:szCs w:val="28"/>
        </w:rPr>
      </w:pPr>
    </w:p>
    <w:p w14:paraId="0A5430BF">
      <w:pPr>
        <w:widowControl w:val="0"/>
        <w:autoSpaceDE w:val="0"/>
        <w:autoSpaceDN w:val="0"/>
        <w:adjustRightInd w:val="0"/>
        <w:snapToGrid w:val="0"/>
        <w:spacing w:line="360" w:lineRule="auto"/>
        <w:ind w:right="-172" w:firstLine="480" w:firstLineChars="200"/>
        <w:rPr>
          <w:bCs/>
          <w:sz w:val="24"/>
          <w:szCs w:val="28"/>
        </w:rPr>
      </w:pPr>
    </w:p>
    <w:p w14:paraId="5ADEB752">
      <w:pPr>
        <w:widowControl w:val="0"/>
        <w:autoSpaceDE w:val="0"/>
        <w:autoSpaceDN w:val="0"/>
        <w:adjustRightInd w:val="0"/>
        <w:snapToGrid w:val="0"/>
        <w:spacing w:line="360" w:lineRule="auto"/>
        <w:ind w:right="-172" w:firstLine="480" w:firstLineChars="200"/>
        <w:rPr>
          <w:bCs/>
          <w:sz w:val="24"/>
          <w:szCs w:val="28"/>
        </w:rPr>
      </w:pPr>
    </w:p>
    <w:p w14:paraId="2D2BBDE0">
      <w:pPr>
        <w:spacing w:line="360" w:lineRule="auto"/>
        <w:ind w:right="-172" w:firstLine="562"/>
        <w:jc w:val="center"/>
        <w:rPr>
          <w:b/>
          <w:sz w:val="28"/>
          <w:szCs w:val="28"/>
        </w:rPr>
      </w:pPr>
      <w:r>
        <w:rPr>
          <w:rFonts w:hint="eastAsia"/>
          <w:b/>
          <w:sz w:val="28"/>
          <w:szCs w:val="28"/>
        </w:rPr>
        <w:t>建设单位：宣城兴旺达精密科技有限公司</w:t>
      </w:r>
    </w:p>
    <w:p w14:paraId="7C8A65B6">
      <w:pPr>
        <w:spacing w:line="360" w:lineRule="auto"/>
        <w:ind w:right="-172" w:firstLine="562"/>
        <w:jc w:val="center"/>
        <w:rPr>
          <w:b/>
          <w:sz w:val="28"/>
          <w:szCs w:val="28"/>
        </w:rPr>
        <w:sectPr>
          <w:headerReference r:id="rId5" w:type="default"/>
          <w:headerReference r:id="rId6" w:type="even"/>
          <w:pgSz w:w="12240" w:h="15840"/>
          <w:pgMar w:top="1418" w:right="1418" w:bottom="1418" w:left="1418" w:header="720" w:footer="720" w:gutter="0"/>
          <w:cols w:space="720" w:num="1"/>
          <w:docGrid w:type="lines" w:linePitch="312" w:charSpace="0"/>
        </w:sectPr>
      </w:pPr>
      <w:r>
        <w:rPr>
          <w:rFonts w:hint="eastAsia"/>
          <w:b/>
          <w:sz w:val="28"/>
          <w:szCs w:val="28"/>
        </w:rPr>
        <w:t>二0二</w:t>
      </w:r>
      <w:r>
        <w:rPr>
          <w:rFonts w:hint="eastAsia"/>
          <w:b/>
          <w:sz w:val="28"/>
          <w:szCs w:val="28"/>
          <w:lang w:val="en-US" w:eastAsia="zh-CN"/>
        </w:rPr>
        <w:t>五</w:t>
      </w:r>
      <w:r>
        <w:rPr>
          <w:rFonts w:hint="eastAsia"/>
          <w:b/>
          <w:sz w:val="28"/>
          <w:szCs w:val="28"/>
        </w:rPr>
        <w:t>年</w:t>
      </w:r>
      <w:r>
        <w:rPr>
          <w:rFonts w:hint="eastAsia"/>
          <w:b/>
          <w:sz w:val="28"/>
          <w:szCs w:val="28"/>
          <w:lang w:val="en-US" w:eastAsia="zh-CN"/>
        </w:rPr>
        <w:t>三</w:t>
      </w:r>
      <w:r>
        <w:rPr>
          <w:rFonts w:hint="eastAsia"/>
          <w:b/>
          <w:sz w:val="28"/>
          <w:szCs w:val="28"/>
        </w:rPr>
        <w:t>月</w:t>
      </w:r>
    </w:p>
    <w:p w14:paraId="4872A8C3">
      <w:pPr>
        <w:pStyle w:val="11"/>
        <w:ind w:right="-172" w:firstLine="480"/>
        <w:rPr>
          <w:rFonts w:hint="eastAsia"/>
        </w:rPr>
        <w:sectPr>
          <w:pgSz w:w="12240" w:h="15840"/>
          <w:pgMar w:top="1418" w:right="1418" w:bottom="1418" w:left="1418" w:header="720" w:footer="720" w:gutter="0"/>
          <w:cols w:space="720" w:num="1"/>
          <w:docGrid w:type="lines" w:linePitch="312" w:charSpace="0"/>
        </w:sectPr>
      </w:pPr>
    </w:p>
    <w:p w14:paraId="75F6C14C">
      <w:pPr>
        <w:ind w:right="-172" w:firstLine="600"/>
        <w:jc w:val="left"/>
        <w:rPr>
          <w:rFonts w:hint="eastAsia" w:ascii="宋体" w:hAnsi="宋体"/>
          <w:sz w:val="30"/>
          <w:szCs w:val="30"/>
        </w:rPr>
      </w:pPr>
      <w:r>
        <w:rPr>
          <w:rFonts w:hint="eastAsia" w:ascii="宋体" w:hAnsi="宋体"/>
          <w:sz w:val="30"/>
          <w:szCs w:val="30"/>
        </w:rPr>
        <w:t>建设单位：宣城兴旺达精密科技有限公司</w:t>
      </w:r>
    </w:p>
    <w:p w14:paraId="16627F04">
      <w:pPr>
        <w:ind w:right="-172" w:firstLine="600"/>
        <w:jc w:val="left"/>
        <w:rPr>
          <w:rFonts w:hint="eastAsia" w:ascii="宋体" w:hAnsi="宋体"/>
          <w:sz w:val="30"/>
          <w:szCs w:val="30"/>
        </w:rPr>
      </w:pPr>
      <w:r>
        <w:rPr>
          <w:rFonts w:hint="eastAsia" w:ascii="宋体" w:hAnsi="宋体"/>
          <w:sz w:val="30"/>
          <w:szCs w:val="30"/>
        </w:rPr>
        <w:t>法人代表：刘建</w:t>
      </w:r>
    </w:p>
    <w:p w14:paraId="5BAF8069">
      <w:pPr>
        <w:ind w:right="-172" w:firstLine="600"/>
        <w:jc w:val="left"/>
        <w:rPr>
          <w:rFonts w:hint="eastAsia" w:ascii="宋体" w:hAnsi="宋体"/>
          <w:sz w:val="30"/>
          <w:szCs w:val="30"/>
        </w:rPr>
      </w:pPr>
      <w:r>
        <w:rPr>
          <w:rFonts w:hint="eastAsia" w:ascii="宋体" w:hAnsi="宋体"/>
          <w:sz w:val="30"/>
          <w:szCs w:val="30"/>
        </w:rPr>
        <w:t>编制单位：宣城兴旺达精密科技有限公司</w:t>
      </w:r>
    </w:p>
    <w:p w14:paraId="76DE32AE">
      <w:pPr>
        <w:ind w:right="-172" w:firstLine="600"/>
        <w:jc w:val="left"/>
        <w:rPr>
          <w:rFonts w:hint="eastAsia" w:ascii="宋体" w:hAnsi="宋体"/>
          <w:sz w:val="30"/>
          <w:szCs w:val="30"/>
        </w:rPr>
      </w:pPr>
      <w:r>
        <w:rPr>
          <w:rFonts w:hint="eastAsia" w:ascii="宋体" w:hAnsi="宋体"/>
          <w:sz w:val="30"/>
          <w:szCs w:val="30"/>
        </w:rPr>
        <w:t>法人代表：刘建</w:t>
      </w:r>
    </w:p>
    <w:p w14:paraId="454B24B0">
      <w:pPr>
        <w:ind w:right="-172" w:firstLine="560"/>
        <w:jc w:val="left"/>
        <w:rPr>
          <w:rFonts w:hint="eastAsia" w:ascii="宋体" w:hAnsi="宋体"/>
          <w:sz w:val="28"/>
        </w:rPr>
      </w:pPr>
    </w:p>
    <w:p w14:paraId="6ECB47EE">
      <w:pPr>
        <w:ind w:right="-172" w:firstLine="560"/>
        <w:jc w:val="left"/>
        <w:rPr>
          <w:rFonts w:hint="eastAsia" w:ascii="宋体" w:hAnsi="宋体"/>
          <w:sz w:val="28"/>
        </w:rPr>
      </w:pPr>
    </w:p>
    <w:p w14:paraId="0793670E">
      <w:pPr>
        <w:ind w:right="-172" w:firstLine="560"/>
        <w:jc w:val="left"/>
        <w:rPr>
          <w:rFonts w:hint="eastAsia" w:ascii="宋体" w:hAnsi="宋体"/>
          <w:sz w:val="28"/>
        </w:rPr>
      </w:pPr>
      <w:r>
        <w:rPr>
          <w:rFonts w:hint="eastAsia" w:ascii="宋体" w:hAnsi="宋体"/>
          <w:sz w:val="28"/>
        </w:rPr>
        <w:t>建设单位：</w:t>
      </w:r>
      <w:r>
        <w:rPr>
          <w:rFonts w:hint="eastAsia" w:ascii="宋体" w:hAnsi="宋体"/>
          <w:sz w:val="28"/>
          <w:szCs w:val="28"/>
        </w:rPr>
        <w:t>宣城兴旺达精密科技有限公司</w:t>
      </w:r>
    </w:p>
    <w:p w14:paraId="3CE545A6">
      <w:pPr>
        <w:ind w:right="-172" w:firstLine="560"/>
        <w:jc w:val="left"/>
        <w:rPr>
          <w:sz w:val="28"/>
        </w:rPr>
      </w:pPr>
      <w:r>
        <w:rPr>
          <w:sz w:val="28"/>
        </w:rPr>
        <w:t>电话：</w:t>
      </w:r>
      <w:bookmarkStart w:id="0" w:name="OLE_LINK66"/>
      <w:r>
        <w:rPr>
          <w:rFonts w:hint="eastAsia"/>
          <w:sz w:val="28"/>
        </w:rPr>
        <w:t>13451788087</w:t>
      </w:r>
      <w:bookmarkEnd w:id="0"/>
    </w:p>
    <w:p w14:paraId="42ADC8AC">
      <w:pPr>
        <w:ind w:right="-172" w:firstLine="560"/>
        <w:jc w:val="left"/>
        <w:rPr>
          <w:rFonts w:hint="eastAsia" w:ascii="TimesNewRomanPSMT" w:hAnsi="TimesNewRomanPSMT" w:eastAsia="TimesNewRomanPSMT"/>
          <w:sz w:val="28"/>
        </w:rPr>
      </w:pPr>
      <w:r>
        <w:rPr>
          <w:rFonts w:hint="eastAsia" w:ascii="宋体" w:hAnsi="宋体"/>
          <w:sz w:val="28"/>
        </w:rPr>
        <w:t>传真：</w:t>
      </w:r>
      <w:r>
        <w:rPr>
          <w:rFonts w:hint="eastAsia" w:ascii="TimesNewRomanPSMT" w:hAnsi="TimesNewRomanPSMT" w:eastAsia="TimesNewRomanPSMT"/>
          <w:sz w:val="28"/>
        </w:rPr>
        <w:t>/</w:t>
      </w:r>
    </w:p>
    <w:p w14:paraId="1FF84062">
      <w:pPr>
        <w:ind w:right="-172" w:firstLine="560"/>
        <w:jc w:val="left"/>
        <w:rPr>
          <w:rFonts w:eastAsia="TimesNewRomanPSMT"/>
          <w:sz w:val="28"/>
        </w:rPr>
      </w:pPr>
      <w:r>
        <w:rPr>
          <w:sz w:val="28"/>
        </w:rPr>
        <w:t>邮编：</w:t>
      </w:r>
      <w:r>
        <w:rPr>
          <w:rFonts w:eastAsia="TimesNewRomanPSMT"/>
          <w:sz w:val="28"/>
        </w:rPr>
        <w:t>242</w:t>
      </w:r>
      <w:r>
        <w:rPr>
          <w:rFonts w:hint="eastAsia"/>
          <w:sz w:val="28"/>
        </w:rPr>
        <w:t>1</w:t>
      </w:r>
      <w:r>
        <w:rPr>
          <w:rFonts w:eastAsia="TimesNewRomanPSMT"/>
          <w:sz w:val="28"/>
        </w:rPr>
        <w:t>00</w:t>
      </w:r>
    </w:p>
    <w:p w14:paraId="11CAB789">
      <w:pPr>
        <w:ind w:right="-172" w:firstLine="560"/>
        <w:jc w:val="left"/>
        <w:rPr>
          <w:rFonts w:hint="eastAsia" w:ascii="宋体" w:hAnsi="宋体"/>
          <w:sz w:val="28"/>
        </w:rPr>
      </w:pPr>
      <w:r>
        <w:rPr>
          <w:rFonts w:hint="eastAsia" w:ascii="宋体" w:hAnsi="宋体"/>
          <w:sz w:val="28"/>
        </w:rPr>
        <w:t>地址：安徽省宣城市郎溪县梅渚镇大梁工业园区</w:t>
      </w:r>
    </w:p>
    <w:p w14:paraId="28EFC4A2">
      <w:pPr>
        <w:ind w:right="-172" w:firstLine="560"/>
        <w:jc w:val="left"/>
        <w:rPr>
          <w:rFonts w:hint="eastAsia" w:ascii="宋体" w:hAnsi="宋体"/>
          <w:sz w:val="28"/>
        </w:rPr>
      </w:pPr>
    </w:p>
    <w:p w14:paraId="115747BB">
      <w:pPr>
        <w:ind w:right="-172" w:firstLine="560"/>
        <w:jc w:val="left"/>
        <w:rPr>
          <w:rFonts w:hint="eastAsia" w:ascii="宋体" w:hAnsi="宋体"/>
          <w:sz w:val="28"/>
        </w:rPr>
      </w:pPr>
    </w:p>
    <w:p w14:paraId="5C679258">
      <w:pPr>
        <w:ind w:right="-172" w:firstLine="560"/>
        <w:jc w:val="left"/>
        <w:rPr>
          <w:rFonts w:hint="eastAsia" w:ascii="宋体" w:hAnsi="宋体"/>
          <w:sz w:val="28"/>
        </w:rPr>
      </w:pPr>
    </w:p>
    <w:p w14:paraId="0C6629C4">
      <w:pPr>
        <w:ind w:right="-172" w:firstLine="560"/>
        <w:jc w:val="left"/>
        <w:rPr>
          <w:rFonts w:hint="eastAsia" w:ascii="宋体" w:hAnsi="宋体"/>
          <w:sz w:val="28"/>
        </w:rPr>
      </w:pPr>
      <w:r>
        <w:rPr>
          <w:rFonts w:hint="eastAsia" w:ascii="宋体" w:hAnsi="宋体"/>
          <w:sz w:val="28"/>
        </w:rPr>
        <w:t>编制单位：</w:t>
      </w:r>
      <w:r>
        <w:rPr>
          <w:rFonts w:hint="eastAsia" w:ascii="宋体" w:hAnsi="宋体"/>
          <w:sz w:val="28"/>
          <w:szCs w:val="28"/>
        </w:rPr>
        <w:t>宣城兴旺达精密科技有限公司</w:t>
      </w:r>
    </w:p>
    <w:p w14:paraId="465CF7FB">
      <w:pPr>
        <w:ind w:right="-172" w:firstLine="560"/>
        <w:jc w:val="left"/>
        <w:rPr>
          <w:sz w:val="28"/>
        </w:rPr>
      </w:pPr>
      <w:r>
        <w:rPr>
          <w:sz w:val="28"/>
        </w:rPr>
        <w:t>电话：</w:t>
      </w:r>
      <w:r>
        <w:rPr>
          <w:rFonts w:hint="eastAsia"/>
          <w:sz w:val="28"/>
        </w:rPr>
        <w:t>13451788087</w:t>
      </w:r>
    </w:p>
    <w:p w14:paraId="77A21F5D">
      <w:pPr>
        <w:ind w:right="-172" w:firstLine="560"/>
        <w:jc w:val="left"/>
        <w:rPr>
          <w:rFonts w:eastAsia="TimesNewRomanPSMT"/>
          <w:sz w:val="28"/>
        </w:rPr>
      </w:pPr>
      <w:r>
        <w:rPr>
          <w:sz w:val="28"/>
        </w:rPr>
        <w:t>邮编：</w:t>
      </w:r>
      <w:r>
        <w:rPr>
          <w:rFonts w:eastAsia="TimesNewRomanPSMT"/>
          <w:sz w:val="28"/>
        </w:rPr>
        <w:t>242</w:t>
      </w:r>
      <w:r>
        <w:rPr>
          <w:rFonts w:hint="eastAsia"/>
          <w:sz w:val="28"/>
        </w:rPr>
        <w:t>1</w:t>
      </w:r>
      <w:r>
        <w:rPr>
          <w:rFonts w:eastAsia="TimesNewRomanPSMT"/>
          <w:sz w:val="28"/>
        </w:rPr>
        <w:t>00</w:t>
      </w:r>
    </w:p>
    <w:p w14:paraId="219A220E">
      <w:pPr>
        <w:spacing w:line="360" w:lineRule="auto"/>
        <w:ind w:right="-172" w:firstLine="560"/>
        <w:rPr>
          <w:sz w:val="28"/>
        </w:rPr>
      </w:pPr>
      <w:r>
        <w:rPr>
          <w:sz w:val="28"/>
        </w:rPr>
        <w:t>地址：</w:t>
      </w:r>
      <w:r>
        <w:rPr>
          <w:rFonts w:hint="eastAsia" w:ascii="宋体" w:hAnsi="宋体"/>
          <w:sz w:val="28"/>
        </w:rPr>
        <w:t>安徽省宣城市郎溪县梅渚镇大梁工业园区</w:t>
      </w:r>
    </w:p>
    <w:p w14:paraId="311942E3">
      <w:pPr>
        <w:pStyle w:val="4"/>
        <w:keepNext w:val="0"/>
        <w:keepLines w:val="0"/>
        <w:widowControl w:val="0"/>
        <w:autoSpaceDE w:val="0"/>
        <w:autoSpaceDN w:val="0"/>
        <w:adjustRightInd w:val="0"/>
        <w:snapToGrid w:val="0"/>
        <w:ind w:right="-172" w:firstLine="562"/>
        <w:rPr>
          <w:sz w:val="28"/>
        </w:rPr>
      </w:pPr>
    </w:p>
    <w:p w14:paraId="3127C31A">
      <w:pPr>
        <w:ind w:right="-172" w:firstLine="560"/>
        <w:rPr>
          <w:sz w:val="28"/>
        </w:rPr>
      </w:pPr>
    </w:p>
    <w:p w14:paraId="5D747E9B">
      <w:pPr>
        <w:pStyle w:val="24"/>
        <w:ind w:left="0" w:leftChars="0" w:right="-172" w:firstLine="0" w:firstLineChars="0"/>
        <w:rPr>
          <w:sz w:val="28"/>
        </w:rPr>
      </w:pPr>
    </w:p>
    <w:sdt>
      <w:sdtPr>
        <w:rPr>
          <w:rFonts w:ascii="Times New Roman" w:hAnsi="Times New Roman" w:eastAsia="宋体" w:cs="Times New Roman"/>
          <w:b w:val="0"/>
          <w:bCs w:val="0"/>
          <w:color w:val="auto"/>
          <w:kern w:val="2"/>
          <w:sz w:val="21"/>
          <w:szCs w:val="20"/>
          <w:lang w:val="zh-CN"/>
        </w:rPr>
        <w:id w:val="-284428517"/>
        <w:docPartObj>
          <w:docPartGallery w:val="Table of Contents"/>
          <w:docPartUnique/>
        </w:docPartObj>
      </w:sdtPr>
      <w:sdtEndPr>
        <w:rPr>
          <w:rFonts w:ascii="Times New Roman" w:hAnsi="Times New Roman" w:eastAsia="宋体" w:cs="Times New Roman"/>
          <w:b w:val="0"/>
          <w:bCs w:val="0"/>
          <w:color w:val="auto"/>
          <w:kern w:val="2"/>
          <w:sz w:val="21"/>
          <w:szCs w:val="20"/>
          <w:lang w:val="en-US"/>
        </w:rPr>
      </w:sdtEndPr>
      <w:sdtContent>
        <w:p w14:paraId="5929E90F">
          <w:pPr>
            <w:pStyle w:val="40"/>
            <w:ind w:right="-172" w:firstLine="420"/>
            <w:jc w:val="center"/>
            <w:rPr>
              <w:rFonts w:ascii="Times New Roman" w:hAnsi="Times New Roman" w:eastAsia="宋体" w:cs="Times New Roman"/>
              <w:color w:val="auto"/>
            </w:rPr>
          </w:pPr>
          <w:r>
            <w:rPr>
              <w:rFonts w:ascii="Times New Roman" w:hAnsi="Times New Roman" w:eastAsia="宋体" w:cs="Times New Roman"/>
              <w:color w:val="auto"/>
              <w:lang w:val="zh-CN"/>
            </w:rPr>
            <w:t>目录</w:t>
          </w:r>
        </w:p>
        <w:p w14:paraId="37DEBBBE">
          <w:pPr>
            <w:pStyle w:val="19"/>
            <w:tabs>
              <w:tab w:val="right" w:leader="dot" w:pos="9404"/>
            </w:tabs>
            <w:ind w:right="-172" w:firstLine="440"/>
          </w:pPr>
          <w:r>
            <w:rPr>
              <w:rFonts w:ascii="Times New Roman" w:hAnsi="Times New Roman" w:eastAsia="宋体" w:cs="Times New Roman"/>
            </w:rPr>
            <w:fldChar w:fldCharType="begin"/>
          </w:r>
          <w:r>
            <w:rPr>
              <w:rFonts w:ascii="Times New Roman" w:hAnsi="Times New Roman" w:eastAsia="宋体" w:cs="Times New Roman"/>
            </w:rPr>
            <w:instrText xml:space="preserve"> TOC \o "1-3" \h \z \u </w:instrText>
          </w:r>
          <w:r>
            <w:rPr>
              <w:rFonts w:ascii="Times New Roman" w:hAnsi="Times New Roman" w:eastAsia="宋体" w:cs="Times New Roman"/>
            </w:rPr>
            <w:fldChar w:fldCharType="separate"/>
          </w:r>
          <w:r>
            <w:fldChar w:fldCharType="begin"/>
          </w:r>
          <w:r>
            <w:instrText xml:space="preserve"> HYPERLINK \l "_Toc1870" </w:instrText>
          </w:r>
          <w:r>
            <w:fldChar w:fldCharType="separate"/>
          </w:r>
          <w:r>
            <w:rPr>
              <w:rFonts w:hint="eastAsia"/>
            </w:rPr>
            <w:t>表一</w:t>
          </w:r>
          <w:r>
            <w:tab/>
          </w:r>
          <w:r>
            <w:fldChar w:fldCharType="begin"/>
          </w:r>
          <w:r>
            <w:instrText xml:space="preserve"> PAGEREF _Toc1870 \h </w:instrText>
          </w:r>
          <w:r>
            <w:fldChar w:fldCharType="separate"/>
          </w:r>
          <w:r>
            <w:t>1</w:t>
          </w:r>
          <w:r>
            <w:fldChar w:fldCharType="end"/>
          </w:r>
          <w:r>
            <w:fldChar w:fldCharType="end"/>
          </w:r>
        </w:p>
        <w:p w14:paraId="76D532F3">
          <w:pPr>
            <w:pStyle w:val="19"/>
            <w:tabs>
              <w:tab w:val="right" w:leader="dot" w:pos="9404"/>
            </w:tabs>
            <w:ind w:right="-172" w:firstLine="440"/>
          </w:pPr>
          <w:r>
            <w:fldChar w:fldCharType="begin"/>
          </w:r>
          <w:r>
            <w:instrText xml:space="preserve"> HYPERLINK \l "_Toc14805" </w:instrText>
          </w:r>
          <w:r>
            <w:fldChar w:fldCharType="separate"/>
          </w:r>
          <w:r>
            <w:rPr>
              <w:rFonts w:hint="eastAsia"/>
              <w:szCs w:val="13"/>
            </w:rPr>
            <w:t>表二</w:t>
          </w:r>
          <w:r>
            <w:tab/>
          </w:r>
          <w:r>
            <w:fldChar w:fldCharType="begin"/>
          </w:r>
          <w:r>
            <w:instrText xml:space="preserve"> PAGEREF _Toc14805 \h </w:instrText>
          </w:r>
          <w:r>
            <w:fldChar w:fldCharType="separate"/>
          </w:r>
          <w:r>
            <w:t>4</w:t>
          </w:r>
          <w:r>
            <w:fldChar w:fldCharType="end"/>
          </w:r>
          <w:r>
            <w:fldChar w:fldCharType="end"/>
          </w:r>
        </w:p>
        <w:p w14:paraId="6C1086B1">
          <w:pPr>
            <w:pStyle w:val="19"/>
            <w:tabs>
              <w:tab w:val="right" w:leader="dot" w:pos="9404"/>
            </w:tabs>
            <w:ind w:right="-172" w:firstLine="440"/>
          </w:pPr>
          <w:r>
            <w:fldChar w:fldCharType="begin"/>
          </w:r>
          <w:r>
            <w:instrText xml:space="preserve"> HYPERLINK \l "_Toc11673" </w:instrText>
          </w:r>
          <w:r>
            <w:fldChar w:fldCharType="separate"/>
          </w:r>
          <w:r>
            <w:rPr>
              <w:rFonts w:hint="eastAsia"/>
            </w:rPr>
            <w:t>表三</w:t>
          </w:r>
          <w:r>
            <w:tab/>
          </w:r>
          <w:r>
            <w:fldChar w:fldCharType="begin"/>
          </w:r>
          <w:r>
            <w:instrText xml:space="preserve"> PAGEREF _Toc11673 \h </w:instrText>
          </w:r>
          <w:r>
            <w:fldChar w:fldCharType="separate"/>
          </w:r>
          <w:r>
            <w:t>18</w:t>
          </w:r>
          <w:r>
            <w:fldChar w:fldCharType="end"/>
          </w:r>
          <w:r>
            <w:fldChar w:fldCharType="end"/>
          </w:r>
        </w:p>
        <w:p w14:paraId="510C1C3A">
          <w:pPr>
            <w:pStyle w:val="19"/>
            <w:tabs>
              <w:tab w:val="right" w:leader="dot" w:pos="9404"/>
            </w:tabs>
            <w:ind w:right="-172" w:firstLine="440"/>
          </w:pPr>
          <w:r>
            <w:fldChar w:fldCharType="begin"/>
          </w:r>
          <w:r>
            <w:instrText xml:space="preserve"> HYPERLINK \l "_Toc17591" </w:instrText>
          </w:r>
          <w:r>
            <w:fldChar w:fldCharType="separate"/>
          </w:r>
          <w:r>
            <w:rPr>
              <w:rFonts w:hint="eastAsia"/>
              <w:szCs w:val="13"/>
            </w:rPr>
            <w:t>表四</w:t>
          </w:r>
          <w:r>
            <w:tab/>
          </w:r>
          <w:r>
            <w:fldChar w:fldCharType="begin"/>
          </w:r>
          <w:r>
            <w:instrText xml:space="preserve"> PAGEREF _Toc17591 \h </w:instrText>
          </w:r>
          <w:r>
            <w:fldChar w:fldCharType="separate"/>
          </w:r>
          <w:r>
            <w:t>20</w:t>
          </w:r>
          <w:r>
            <w:fldChar w:fldCharType="end"/>
          </w:r>
          <w:r>
            <w:fldChar w:fldCharType="end"/>
          </w:r>
        </w:p>
        <w:p w14:paraId="58A3B483">
          <w:pPr>
            <w:pStyle w:val="19"/>
            <w:tabs>
              <w:tab w:val="right" w:leader="dot" w:pos="9404"/>
            </w:tabs>
            <w:ind w:right="-172" w:firstLine="440"/>
          </w:pPr>
          <w:r>
            <w:fldChar w:fldCharType="begin"/>
          </w:r>
          <w:r>
            <w:instrText xml:space="preserve"> HYPERLINK \l "_Toc30372" </w:instrText>
          </w:r>
          <w:r>
            <w:fldChar w:fldCharType="separate"/>
          </w:r>
          <w:r>
            <w:rPr>
              <w:rFonts w:hint="eastAsia"/>
              <w:szCs w:val="13"/>
            </w:rPr>
            <w:t>表五</w:t>
          </w:r>
          <w:r>
            <w:tab/>
          </w:r>
          <w:r>
            <w:fldChar w:fldCharType="begin"/>
          </w:r>
          <w:r>
            <w:instrText xml:space="preserve"> PAGEREF _Toc30372 \h </w:instrText>
          </w:r>
          <w:r>
            <w:fldChar w:fldCharType="separate"/>
          </w:r>
          <w:r>
            <w:t>30</w:t>
          </w:r>
          <w:r>
            <w:fldChar w:fldCharType="end"/>
          </w:r>
          <w:r>
            <w:fldChar w:fldCharType="end"/>
          </w:r>
        </w:p>
        <w:p w14:paraId="1B50DE75">
          <w:pPr>
            <w:pStyle w:val="19"/>
            <w:tabs>
              <w:tab w:val="right" w:leader="dot" w:pos="9404"/>
            </w:tabs>
            <w:ind w:right="-172" w:firstLine="440"/>
          </w:pPr>
          <w:r>
            <w:fldChar w:fldCharType="begin"/>
          </w:r>
          <w:r>
            <w:instrText xml:space="preserve"> HYPERLINK \l "_Toc3842" </w:instrText>
          </w:r>
          <w:r>
            <w:fldChar w:fldCharType="separate"/>
          </w:r>
          <w:r>
            <w:rPr>
              <w:rFonts w:hint="eastAsia"/>
              <w:szCs w:val="13"/>
            </w:rPr>
            <w:t>表六</w:t>
          </w:r>
          <w:r>
            <w:tab/>
          </w:r>
          <w:r>
            <w:fldChar w:fldCharType="begin"/>
          </w:r>
          <w:r>
            <w:instrText xml:space="preserve"> PAGEREF _Toc3842 \h </w:instrText>
          </w:r>
          <w:r>
            <w:fldChar w:fldCharType="separate"/>
          </w:r>
          <w:r>
            <w:t>33</w:t>
          </w:r>
          <w:r>
            <w:fldChar w:fldCharType="end"/>
          </w:r>
          <w:r>
            <w:fldChar w:fldCharType="end"/>
          </w:r>
        </w:p>
        <w:p w14:paraId="0872F251">
          <w:pPr>
            <w:pStyle w:val="19"/>
            <w:tabs>
              <w:tab w:val="right" w:leader="dot" w:pos="9404"/>
            </w:tabs>
            <w:ind w:right="-172" w:firstLine="440"/>
          </w:pPr>
          <w:r>
            <w:fldChar w:fldCharType="begin"/>
          </w:r>
          <w:r>
            <w:instrText xml:space="preserve"> HYPERLINK \l "_Toc7332" </w:instrText>
          </w:r>
          <w:r>
            <w:fldChar w:fldCharType="separate"/>
          </w:r>
          <w:r>
            <w:rPr>
              <w:rFonts w:hint="eastAsia"/>
              <w:szCs w:val="13"/>
            </w:rPr>
            <w:t>表七</w:t>
          </w:r>
          <w:r>
            <w:tab/>
          </w:r>
          <w:r>
            <w:fldChar w:fldCharType="begin"/>
          </w:r>
          <w:r>
            <w:instrText xml:space="preserve"> PAGEREF _Toc7332 \h </w:instrText>
          </w:r>
          <w:r>
            <w:fldChar w:fldCharType="separate"/>
          </w:r>
          <w:r>
            <w:t>35</w:t>
          </w:r>
          <w:r>
            <w:fldChar w:fldCharType="end"/>
          </w:r>
          <w:r>
            <w:fldChar w:fldCharType="end"/>
          </w:r>
        </w:p>
        <w:p w14:paraId="3CC6CFAA">
          <w:pPr>
            <w:pStyle w:val="19"/>
            <w:tabs>
              <w:tab w:val="right" w:leader="dot" w:pos="9404"/>
            </w:tabs>
            <w:ind w:right="-172" w:firstLine="440"/>
          </w:pPr>
          <w:r>
            <w:fldChar w:fldCharType="begin"/>
          </w:r>
          <w:r>
            <w:instrText xml:space="preserve"> HYPERLINK \l "_Toc3067" </w:instrText>
          </w:r>
          <w:r>
            <w:fldChar w:fldCharType="separate"/>
          </w:r>
          <w:r>
            <w:rPr>
              <w:rFonts w:hint="eastAsia"/>
              <w:szCs w:val="13"/>
            </w:rPr>
            <w:t>表八</w:t>
          </w:r>
          <w:r>
            <w:tab/>
          </w:r>
          <w:r>
            <w:fldChar w:fldCharType="begin"/>
          </w:r>
          <w:r>
            <w:instrText xml:space="preserve"> PAGEREF _Toc3067 \h </w:instrText>
          </w:r>
          <w:r>
            <w:fldChar w:fldCharType="separate"/>
          </w:r>
          <w:r>
            <w:t>41</w:t>
          </w:r>
          <w:r>
            <w:fldChar w:fldCharType="end"/>
          </w:r>
          <w:r>
            <w:fldChar w:fldCharType="end"/>
          </w:r>
        </w:p>
        <w:p w14:paraId="3219761D">
          <w:pPr>
            <w:ind w:right="-172" w:firstLine="420"/>
          </w:pPr>
          <w:r>
            <w:fldChar w:fldCharType="end"/>
          </w:r>
        </w:p>
      </w:sdtContent>
    </w:sdt>
    <w:p w14:paraId="15D509B5">
      <w:pPr>
        <w:pStyle w:val="41"/>
        <w:tabs>
          <w:tab w:val="right" w:leader="dot" w:pos="8640"/>
        </w:tabs>
        <w:spacing w:line="360" w:lineRule="auto"/>
        <w:rPr>
          <w:b/>
          <w:bCs/>
          <w:sz w:val="24"/>
          <w:szCs w:val="24"/>
        </w:rPr>
      </w:pPr>
      <w:r>
        <w:rPr>
          <w:rFonts w:hint="eastAsia"/>
          <w:b/>
          <w:bCs/>
          <w:sz w:val="24"/>
          <w:szCs w:val="24"/>
        </w:rPr>
        <w:t>附图：</w:t>
      </w:r>
    </w:p>
    <w:p w14:paraId="28E2300F">
      <w:pPr>
        <w:pStyle w:val="41"/>
        <w:tabs>
          <w:tab w:val="right" w:leader="dot" w:pos="8640"/>
        </w:tabs>
        <w:spacing w:line="360" w:lineRule="auto"/>
        <w:rPr>
          <w:sz w:val="24"/>
          <w:szCs w:val="24"/>
        </w:rPr>
      </w:pPr>
      <w:r>
        <w:rPr>
          <w:rFonts w:hint="eastAsia"/>
          <w:sz w:val="24"/>
          <w:szCs w:val="24"/>
        </w:rPr>
        <w:t>附图1 厂区地理位置图</w:t>
      </w:r>
    </w:p>
    <w:p w14:paraId="085A77FC">
      <w:pPr>
        <w:pStyle w:val="41"/>
        <w:tabs>
          <w:tab w:val="right" w:leader="dot" w:pos="8640"/>
        </w:tabs>
        <w:spacing w:line="360" w:lineRule="auto"/>
        <w:rPr>
          <w:sz w:val="24"/>
          <w:szCs w:val="24"/>
        </w:rPr>
      </w:pPr>
      <w:r>
        <w:rPr>
          <w:rFonts w:hint="eastAsia"/>
          <w:sz w:val="24"/>
          <w:szCs w:val="24"/>
        </w:rPr>
        <w:t>附图2 项目周边概况</w:t>
      </w:r>
    </w:p>
    <w:p w14:paraId="11B9AB6F">
      <w:pPr>
        <w:pStyle w:val="41"/>
        <w:tabs>
          <w:tab w:val="right" w:leader="dot" w:pos="8640"/>
        </w:tabs>
        <w:spacing w:line="360" w:lineRule="auto"/>
        <w:rPr>
          <w:sz w:val="24"/>
          <w:szCs w:val="24"/>
        </w:rPr>
      </w:pPr>
      <w:r>
        <w:rPr>
          <w:rFonts w:hint="eastAsia"/>
          <w:sz w:val="24"/>
          <w:szCs w:val="24"/>
        </w:rPr>
        <w:t>附图3 厂区平面布置图</w:t>
      </w:r>
    </w:p>
    <w:p w14:paraId="1AF26D3C">
      <w:pPr>
        <w:pStyle w:val="41"/>
        <w:tabs>
          <w:tab w:val="right" w:leader="dot" w:pos="8640"/>
        </w:tabs>
        <w:spacing w:line="360" w:lineRule="auto"/>
        <w:rPr>
          <w:sz w:val="24"/>
          <w:szCs w:val="24"/>
        </w:rPr>
      </w:pPr>
      <w:r>
        <w:rPr>
          <w:rFonts w:hint="eastAsia"/>
          <w:sz w:val="24"/>
          <w:szCs w:val="24"/>
        </w:rPr>
        <w:t>附图4 雨污管网图</w:t>
      </w:r>
    </w:p>
    <w:p w14:paraId="61555B34">
      <w:pPr>
        <w:pStyle w:val="41"/>
        <w:tabs>
          <w:tab w:val="right" w:leader="dot" w:pos="8640"/>
        </w:tabs>
        <w:spacing w:line="360" w:lineRule="auto"/>
        <w:rPr>
          <w:sz w:val="24"/>
          <w:szCs w:val="24"/>
        </w:rPr>
      </w:pPr>
      <w:r>
        <w:rPr>
          <w:rFonts w:hint="eastAsia"/>
          <w:sz w:val="24"/>
          <w:szCs w:val="24"/>
        </w:rPr>
        <w:t>附图5 环境防护距离包络线图</w:t>
      </w:r>
    </w:p>
    <w:p w14:paraId="2298D3E0">
      <w:pPr>
        <w:pStyle w:val="41"/>
        <w:tabs>
          <w:tab w:val="right" w:leader="dot" w:pos="8640"/>
        </w:tabs>
        <w:spacing w:line="360" w:lineRule="auto"/>
        <w:rPr>
          <w:sz w:val="24"/>
          <w:szCs w:val="24"/>
        </w:rPr>
      </w:pPr>
      <w:r>
        <w:rPr>
          <w:sz w:val="24"/>
          <w:szCs w:val="24"/>
        </w:rPr>
        <w:t>附图</w:t>
      </w:r>
      <w:r>
        <w:rPr>
          <w:rFonts w:hint="eastAsia"/>
          <w:sz w:val="24"/>
          <w:szCs w:val="24"/>
        </w:rPr>
        <w:t>6</w:t>
      </w:r>
      <w:r>
        <w:rPr>
          <w:sz w:val="24"/>
          <w:szCs w:val="24"/>
        </w:rPr>
        <w:t xml:space="preserve"> 项目验收监测现场照片</w:t>
      </w:r>
    </w:p>
    <w:p w14:paraId="5C050720">
      <w:pPr>
        <w:pStyle w:val="41"/>
        <w:tabs>
          <w:tab w:val="right" w:leader="dot" w:pos="8640"/>
        </w:tabs>
        <w:spacing w:line="360" w:lineRule="auto"/>
        <w:rPr>
          <w:b/>
          <w:bCs/>
          <w:sz w:val="24"/>
          <w:szCs w:val="24"/>
        </w:rPr>
      </w:pPr>
      <w:r>
        <w:rPr>
          <w:rFonts w:hint="eastAsia"/>
          <w:b/>
          <w:bCs/>
          <w:sz w:val="24"/>
          <w:szCs w:val="24"/>
        </w:rPr>
        <w:t>附件：</w:t>
      </w:r>
    </w:p>
    <w:p w14:paraId="47EF2CCB">
      <w:pPr>
        <w:pStyle w:val="41"/>
        <w:tabs>
          <w:tab w:val="right" w:leader="dot" w:pos="8640"/>
        </w:tabs>
        <w:spacing w:line="360" w:lineRule="auto"/>
        <w:rPr>
          <w:sz w:val="24"/>
          <w:szCs w:val="24"/>
        </w:rPr>
      </w:pPr>
      <w:r>
        <w:rPr>
          <w:rFonts w:hint="eastAsia"/>
          <w:sz w:val="24"/>
          <w:szCs w:val="24"/>
        </w:rPr>
        <w:t>附件1 关于宣城兴旺达精密科技有限公司</w:t>
      </w:r>
      <w:bookmarkStart w:id="1" w:name="_Hlk140675530"/>
      <w:r>
        <w:rPr>
          <w:rFonts w:hint="eastAsia"/>
          <w:sz w:val="24"/>
          <w:szCs w:val="24"/>
        </w:rPr>
        <w:t>年产400万件新能源汽车电池零部件项目</w:t>
      </w:r>
      <w:bookmarkEnd w:id="1"/>
      <w:r>
        <w:rPr>
          <w:rFonts w:hint="eastAsia"/>
          <w:sz w:val="24"/>
          <w:szCs w:val="24"/>
        </w:rPr>
        <w:t>报告表审批意见</w:t>
      </w:r>
    </w:p>
    <w:p w14:paraId="3D963D3D">
      <w:pPr>
        <w:pStyle w:val="41"/>
        <w:tabs>
          <w:tab w:val="right" w:leader="dot" w:pos="8640"/>
        </w:tabs>
        <w:spacing w:line="360" w:lineRule="auto"/>
        <w:rPr>
          <w:sz w:val="24"/>
          <w:szCs w:val="24"/>
        </w:rPr>
      </w:pPr>
      <w:r>
        <w:rPr>
          <w:rFonts w:hint="eastAsia"/>
          <w:sz w:val="24"/>
          <w:szCs w:val="24"/>
        </w:rPr>
        <w:t>附件2 验收监测期间生产报表</w:t>
      </w:r>
    </w:p>
    <w:p w14:paraId="47B830AA">
      <w:pPr>
        <w:pStyle w:val="41"/>
        <w:tabs>
          <w:tab w:val="right" w:leader="dot" w:pos="8640"/>
        </w:tabs>
        <w:spacing w:line="360" w:lineRule="auto"/>
        <w:rPr>
          <w:sz w:val="24"/>
          <w:szCs w:val="24"/>
        </w:rPr>
      </w:pPr>
      <w:r>
        <w:rPr>
          <w:rFonts w:hint="eastAsia"/>
          <w:sz w:val="24"/>
          <w:szCs w:val="24"/>
        </w:rPr>
        <w:t>附件3 验收监测报告</w:t>
      </w:r>
    </w:p>
    <w:p w14:paraId="002FCBFE">
      <w:pPr>
        <w:pStyle w:val="41"/>
        <w:tabs>
          <w:tab w:val="right" w:leader="dot" w:pos="8640"/>
        </w:tabs>
        <w:spacing w:line="360" w:lineRule="auto"/>
        <w:rPr>
          <w:sz w:val="24"/>
          <w:szCs w:val="24"/>
        </w:rPr>
      </w:pPr>
      <w:r>
        <w:rPr>
          <w:rFonts w:hint="eastAsia"/>
          <w:sz w:val="24"/>
          <w:szCs w:val="24"/>
        </w:rPr>
        <w:t>附件4 排污许可证</w:t>
      </w:r>
    </w:p>
    <w:p w14:paraId="44B187C5">
      <w:pPr>
        <w:pStyle w:val="41"/>
        <w:tabs>
          <w:tab w:val="right" w:leader="dot" w:pos="8640"/>
        </w:tabs>
        <w:spacing w:line="360" w:lineRule="auto"/>
        <w:rPr>
          <w:sz w:val="24"/>
          <w:szCs w:val="24"/>
        </w:rPr>
      </w:pPr>
      <w:r>
        <w:rPr>
          <w:rFonts w:hint="eastAsia"/>
          <w:sz w:val="24"/>
          <w:szCs w:val="24"/>
        </w:rPr>
        <w:t>附件5 危废合同</w:t>
      </w:r>
    </w:p>
    <w:p w14:paraId="6FB5945F">
      <w:pPr>
        <w:pStyle w:val="41"/>
        <w:tabs>
          <w:tab w:val="right" w:leader="dot" w:pos="8640"/>
        </w:tabs>
        <w:spacing w:line="360" w:lineRule="auto"/>
        <w:rPr>
          <w:sz w:val="28"/>
        </w:rPr>
        <w:sectPr>
          <w:pgSz w:w="12240" w:h="15840"/>
          <w:pgMar w:top="1418" w:right="1418" w:bottom="1418" w:left="1418" w:header="720" w:footer="720" w:gutter="0"/>
          <w:cols w:space="720" w:num="1"/>
          <w:docGrid w:type="lines" w:linePitch="312" w:charSpace="0"/>
        </w:sectPr>
      </w:pPr>
      <w:r>
        <w:rPr>
          <w:rFonts w:hint="eastAsia"/>
          <w:b/>
          <w:bCs/>
          <w:sz w:val="24"/>
          <w:szCs w:val="24"/>
        </w:rPr>
        <w:t>附表：</w:t>
      </w:r>
      <w:r>
        <w:rPr>
          <w:rFonts w:hint="eastAsia"/>
          <w:sz w:val="24"/>
          <w:szCs w:val="24"/>
        </w:rPr>
        <w:t>建设项目工程竣工环境保护“三同时”验收登记</w:t>
      </w:r>
    </w:p>
    <w:p w14:paraId="7C69BAAE">
      <w:pPr>
        <w:pStyle w:val="4"/>
        <w:keepNext w:val="0"/>
        <w:keepLines w:val="0"/>
        <w:widowControl w:val="0"/>
        <w:autoSpaceDE w:val="0"/>
        <w:autoSpaceDN w:val="0"/>
        <w:adjustRightInd w:val="0"/>
        <w:snapToGrid w:val="0"/>
        <w:ind w:right="-172" w:firstLine="562"/>
        <w:rPr>
          <w:sz w:val="28"/>
        </w:rPr>
      </w:pPr>
      <w:bookmarkStart w:id="2" w:name="_Toc1870"/>
      <w:r>
        <w:rPr>
          <w:rFonts w:hint="eastAsia"/>
          <w:sz w:val="28"/>
        </w:rPr>
        <w:t>表一</w:t>
      </w:r>
      <w:bookmarkEnd w:id="2"/>
    </w:p>
    <w:tbl>
      <w:tblPr>
        <w:tblStyle w:val="26"/>
        <w:tblpPr w:leftFromText="180" w:rightFromText="180" w:vertAnchor="text" w:tblpXSpec="center" w:tblpY="1"/>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35"/>
        <w:gridCol w:w="2308"/>
        <w:gridCol w:w="2268"/>
        <w:gridCol w:w="597"/>
        <w:gridCol w:w="821"/>
        <w:gridCol w:w="912"/>
      </w:tblGrid>
      <w:tr w14:paraId="5C39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7F2BAE1A">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建设项目名称</w:t>
            </w:r>
          </w:p>
        </w:tc>
        <w:tc>
          <w:tcPr>
            <w:tcW w:w="6906" w:type="dxa"/>
            <w:gridSpan w:val="5"/>
            <w:vAlign w:val="center"/>
          </w:tcPr>
          <w:p w14:paraId="49C31641">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年产400万件新能源汽车电池零部件项目</w:t>
            </w:r>
          </w:p>
        </w:tc>
      </w:tr>
      <w:tr w14:paraId="568D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267DE7F4">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建设单位名称</w:t>
            </w:r>
          </w:p>
        </w:tc>
        <w:tc>
          <w:tcPr>
            <w:tcW w:w="6906" w:type="dxa"/>
            <w:gridSpan w:val="5"/>
            <w:vAlign w:val="center"/>
          </w:tcPr>
          <w:p w14:paraId="47385122">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宣城兴旺达精密科技有限公司</w:t>
            </w:r>
          </w:p>
        </w:tc>
      </w:tr>
      <w:tr w14:paraId="6425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09FC7BCB">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建设项目性质</w:t>
            </w:r>
          </w:p>
        </w:tc>
        <w:tc>
          <w:tcPr>
            <w:tcW w:w="6906" w:type="dxa"/>
            <w:gridSpan w:val="5"/>
            <w:vAlign w:val="center"/>
          </w:tcPr>
          <w:p w14:paraId="3625D33E">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√新建  扩建 技改  迁建</w:t>
            </w:r>
          </w:p>
        </w:tc>
      </w:tr>
      <w:tr w14:paraId="02E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18B8434E">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建设地点</w:t>
            </w:r>
          </w:p>
        </w:tc>
        <w:tc>
          <w:tcPr>
            <w:tcW w:w="6906" w:type="dxa"/>
            <w:gridSpan w:val="5"/>
            <w:vAlign w:val="center"/>
          </w:tcPr>
          <w:p w14:paraId="6FFAC84C">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安徽省宣城市郎溪县梅渚镇大梁工业园区</w:t>
            </w:r>
          </w:p>
        </w:tc>
      </w:tr>
      <w:tr w14:paraId="34D4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584F3EA8">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主要产品名称</w:t>
            </w:r>
          </w:p>
        </w:tc>
        <w:tc>
          <w:tcPr>
            <w:tcW w:w="6906" w:type="dxa"/>
            <w:gridSpan w:val="5"/>
            <w:vAlign w:val="center"/>
          </w:tcPr>
          <w:p w14:paraId="732385E7">
            <w:pPr>
              <w:pStyle w:val="55"/>
              <w:widowControl w:val="0"/>
              <w:rPr>
                <w:rFonts w:hint="default" w:ascii="Times New Roman" w:hAnsi="Times New Roman" w:cs="Times New Roman"/>
                <w:lang w:val="en-US"/>
              </w:rPr>
            </w:pPr>
            <w:r>
              <w:rPr>
                <w:rFonts w:hint="default" w:ascii="Times New Roman" w:hAnsi="Times New Roman" w:cs="Times New Roman"/>
                <w:bCs w:val="0"/>
                <w:sz w:val="24"/>
                <w:szCs w:val="24"/>
                <w:lang w:val="en-US"/>
              </w:rPr>
              <w:t>背板、连杆、机械配件A、机械配件B</w:t>
            </w:r>
          </w:p>
        </w:tc>
      </w:tr>
      <w:tr w14:paraId="6D7D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64FDCB6D">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设计生产能力</w:t>
            </w:r>
          </w:p>
        </w:tc>
        <w:tc>
          <w:tcPr>
            <w:tcW w:w="6906" w:type="dxa"/>
            <w:gridSpan w:val="5"/>
            <w:vAlign w:val="center"/>
          </w:tcPr>
          <w:p w14:paraId="77720D87">
            <w:pPr>
              <w:pStyle w:val="55"/>
              <w:widowControl w:val="0"/>
              <w:rPr>
                <w:rFonts w:hint="default" w:ascii="Times New Roman" w:hAnsi="Times New Roman" w:cs="Times New Roman"/>
                <w:lang w:val="en-US"/>
              </w:rPr>
            </w:pPr>
            <w:r>
              <w:rPr>
                <w:rFonts w:hint="default" w:ascii="Times New Roman" w:hAnsi="Times New Roman" w:cs="Times New Roman"/>
                <w:bCs w:val="0"/>
                <w:sz w:val="24"/>
                <w:szCs w:val="24"/>
                <w:lang w:val="en-US"/>
              </w:rPr>
              <w:t>背板100万件/年、连杆100万件/年、机械配件A100万件/年、机械配件B100万件/年</w:t>
            </w:r>
          </w:p>
        </w:tc>
      </w:tr>
      <w:tr w14:paraId="2E4D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15071B84">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实际生产能力</w:t>
            </w:r>
          </w:p>
        </w:tc>
        <w:tc>
          <w:tcPr>
            <w:tcW w:w="6906" w:type="dxa"/>
            <w:gridSpan w:val="5"/>
            <w:vAlign w:val="center"/>
          </w:tcPr>
          <w:p w14:paraId="4CB747E1">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背板100万件/年、连杆100万件/年、机械配件A100万件/年、机械配件B100万件/年</w:t>
            </w:r>
          </w:p>
        </w:tc>
      </w:tr>
      <w:tr w14:paraId="6D23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6C6922F5">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建设项目环评时间</w:t>
            </w:r>
          </w:p>
        </w:tc>
        <w:tc>
          <w:tcPr>
            <w:tcW w:w="2308" w:type="dxa"/>
            <w:vAlign w:val="center"/>
          </w:tcPr>
          <w:p w14:paraId="186EF8DB">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2024.7</w:t>
            </w:r>
          </w:p>
        </w:tc>
        <w:tc>
          <w:tcPr>
            <w:tcW w:w="2268" w:type="dxa"/>
            <w:vAlign w:val="center"/>
          </w:tcPr>
          <w:p w14:paraId="744DBA1B">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开工建设时间</w:t>
            </w:r>
          </w:p>
        </w:tc>
        <w:tc>
          <w:tcPr>
            <w:tcW w:w="2330" w:type="dxa"/>
            <w:gridSpan w:val="3"/>
            <w:vAlign w:val="center"/>
          </w:tcPr>
          <w:p w14:paraId="64E981C3">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2024.6</w:t>
            </w:r>
          </w:p>
        </w:tc>
      </w:tr>
      <w:tr w14:paraId="286B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187AA332">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调试时间</w:t>
            </w:r>
          </w:p>
        </w:tc>
        <w:tc>
          <w:tcPr>
            <w:tcW w:w="2308" w:type="dxa"/>
            <w:vAlign w:val="center"/>
          </w:tcPr>
          <w:p w14:paraId="33D36126">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2024.8</w:t>
            </w:r>
          </w:p>
        </w:tc>
        <w:tc>
          <w:tcPr>
            <w:tcW w:w="2268" w:type="dxa"/>
            <w:vAlign w:val="center"/>
          </w:tcPr>
          <w:p w14:paraId="4F42BA2F">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验收现场监测时间</w:t>
            </w:r>
          </w:p>
        </w:tc>
        <w:tc>
          <w:tcPr>
            <w:tcW w:w="2330" w:type="dxa"/>
            <w:gridSpan w:val="3"/>
            <w:vAlign w:val="center"/>
          </w:tcPr>
          <w:p w14:paraId="4DED6C93">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2024.10</w:t>
            </w:r>
          </w:p>
        </w:tc>
      </w:tr>
      <w:tr w14:paraId="1F04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2EB297B1">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环评审批部门</w:t>
            </w:r>
          </w:p>
        </w:tc>
        <w:tc>
          <w:tcPr>
            <w:tcW w:w="2308" w:type="dxa"/>
            <w:vAlign w:val="center"/>
          </w:tcPr>
          <w:p w14:paraId="14722231">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郎溪县生态环境分局</w:t>
            </w:r>
          </w:p>
        </w:tc>
        <w:tc>
          <w:tcPr>
            <w:tcW w:w="2268" w:type="dxa"/>
            <w:vAlign w:val="center"/>
          </w:tcPr>
          <w:p w14:paraId="799670D0">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环评编制单位</w:t>
            </w:r>
          </w:p>
        </w:tc>
        <w:tc>
          <w:tcPr>
            <w:tcW w:w="2330" w:type="dxa"/>
            <w:gridSpan w:val="3"/>
            <w:vAlign w:val="center"/>
          </w:tcPr>
          <w:p w14:paraId="1B72D28D">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安徽水风清生态环境科技有限公司</w:t>
            </w:r>
          </w:p>
        </w:tc>
      </w:tr>
      <w:tr w14:paraId="54BB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7EA9ED36">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环保设施设计单位</w:t>
            </w:r>
          </w:p>
        </w:tc>
        <w:tc>
          <w:tcPr>
            <w:tcW w:w="2308" w:type="dxa"/>
            <w:vAlign w:val="center"/>
          </w:tcPr>
          <w:p w14:paraId="57FE1D7D">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宣城兴旺达精密科技有限公司</w:t>
            </w:r>
          </w:p>
        </w:tc>
        <w:tc>
          <w:tcPr>
            <w:tcW w:w="2268" w:type="dxa"/>
            <w:vAlign w:val="center"/>
          </w:tcPr>
          <w:p w14:paraId="4ABE1B67">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环保设施施工单位</w:t>
            </w:r>
          </w:p>
        </w:tc>
        <w:tc>
          <w:tcPr>
            <w:tcW w:w="2330" w:type="dxa"/>
            <w:gridSpan w:val="3"/>
            <w:vAlign w:val="center"/>
          </w:tcPr>
          <w:p w14:paraId="7A2E13D5">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宣城兴旺达精密科技有限公司</w:t>
            </w:r>
          </w:p>
        </w:tc>
      </w:tr>
      <w:tr w14:paraId="741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44F1EB38">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投资总投资(万元)</w:t>
            </w:r>
          </w:p>
        </w:tc>
        <w:tc>
          <w:tcPr>
            <w:tcW w:w="2308" w:type="dxa"/>
            <w:vAlign w:val="center"/>
          </w:tcPr>
          <w:p w14:paraId="0FD9A8CD">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5000</w:t>
            </w:r>
          </w:p>
        </w:tc>
        <w:tc>
          <w:tcPr>
            <w:tcW w:w="2268" w:type="dxa"/>
            <w:vAlign w:val="center"/>
          </w:tcPr>
          <w:p w14:paraId="2C2D71B4">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环保投资(万元)</w:t>
            </w:r>
          </w:p>
        </w:tc>
        <w:tc>
          <w:tcPr>
            <w:tcW w:w="597" w:type="dxa"/>
            <w:vAlign w:val="center"/>
          </w:tcPr>
          <w:p w14:paraId="666FC6D4">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500</w:t>
            </w:r>
          </w:p>
        </w:tc>
        <w:tc>
          <w:tcPr>
            <w:tcW w:w="821" w:type="dxa"/>
            <w:vAlign w:val="center"/>
          </w:tcPr>
          <w:p w14:paraId="692B94F2">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比例</w:t>
            </w:r>
          </w:p>
        </w:tc>
        <w:tc>
          <w:tcPr>
            <w:tcW w:w="912" w:type="dxa"/>
            <w:vAlign w:val="center"/>
          </w:tcPr>
          <w:p w14:paraId="47FDF143">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67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36" w:type="dxa"/>
            <w:gridSpan w:val="2"/>
            <w:vAlign w:val="center"/>
          </w:tcPr>
          <w:p w14:paraId="2AC4E9C7">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实际总投资(万元)</w:t>
            </w:r>
          </w:p>
        </w:tc>
        <w:tc>
          <w:tcPr>
            <w:tcW w:w="2308" w:type="dxa"/>
            <w:vAlign w:val="center"/>
          </w:tcPr>
          <w:p w14:paraId="5F494657">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2500</w:t>
            </w:r>
          </w:p>
        </w:tc>
        <w:tc>
          <w:tcPr>
            <w:tcW w:w="2268" w:type="dxa"/>
            <w:vAlign w:val="center"/>
          </w:tcPr>
          <w:p w14:paraId="191C69A6">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实际环保投资(万元)</w:t>
            </w:r>
          </w:p>
        </w:tc>
        <w:tc>
          <w:tcPr>
            <w:tcW w:w="597" w:type="dxa"/>
            <w:vAlign w:val="center"/>
          </w:tcPr>
          <w:p w14:paraId="720DCA50">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821" w:type="dxa"/>
            <w:vAlign w:val="center"/>
          </w:tcPr>
          <w:p w14:paraId="16174412">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比例</w:t>
            </w:r>
          </w:p>
        </w:tc>
        <w:tc>
          <w:tcPr>
            <w:tcW w:w="912" w:type="dxa"/>
            <w:vAlign w:val="center"/>
          </w:tcPr>
          <w:p w14:paraId="159B1453">
            <w:pPr>
              <w:widowControl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r>
      <w:tr w14:paraId="5C48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01" w:type="dxa"/>
            <w:vAlign w:val="center"/>
          </w:tcPr>
          <w:p w14:paraId="0EE57E54">
            <w:pPr>
              <w:widowControl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验收监测依据</w:t>
            </w:r>
          </w:p>
        </w:tc>
        <w:tc>
          <w:tcPr>
            <w:tcW w:w="8141" w:type="dxa"/>
            <w:gridSpan w:val="6"/>
            <w:vAlign w:val="center"/>
          </w:tcPr>
          <w:p w14:paraId="152C0E59">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(1)《中华人民共和国环境保护法》（2015.1.1）；</w:t>
            </w:r>
          </w:p>
          <w:p w14:paraId="562F17CA">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(2)环境保护部国环规环评[2017]4号《建设项目竣工环境保护验收暂行办法》2017.11.22；</w:t>
            </w:r>
          </w:p>
          <w:p w14:paraId="67B087B5">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(3)生态环境部公告（公告2018年第9号）《建设项目竣工环境保护验收技术指南污染影响类》2018.05.15；</w:t>
            </w:r>
          </w:p>
          <w:p w14:paraId="7A531719">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(4)环境保护部环发〔2009〕、150号文：《建设项目“三同时”监督检查和竣工环保验收管理规程（试行）》，2009.10；</w:t>
            </w:r>
          </w:p>
          <w:p w14:paraId="60AA0CF2">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(5)环境保护部办公厅文件环办[2015]113号：《关于印发建设项目竣工环境保护验收现场检查及审查要点的通知》；</w:t>
            </w:r>
          </w:p>
          <w:p w14:paraId="76BF8B49">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(6)宣城兴旺达精密科技有限公司 年产400万件新能源汽车电池零部件项目项目于2022年10月28日经郎溪县发展和改革委员会备案表（项目代码：2210-341821-04-05-263586）</w:t>
            </w:r>
            <w:r>
              <w:rPr>
                <w:rFonts w:hint="default" w:ascii="Times New Roman" w:hAnsi="Times New Roman" w:cs="Times New Roman"/>
                <w:sz w:val="24"/>
              </w:rPr>
              <w:t>；</w:t>
            </w:r>
          </w:p>
          <w:p w14:paraId="2D4F5486">
            <w:pPr>
              <w:widowControl w:val="0"/>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4"/>
              </w:rPr>
              <w:t>(7)</w:t>
            </w:r>
            <w:r>
              <w:rPr>
                <w:rFonts w:hint="default" w:ascii="Times New Roman" w:hAnsi="Times New Roman" w:cs="Times New Roman"/>
                <w:color w:val="000000" w:themeColor="text1"/>
                <w:sz w:val="24"/>
                <w:szCs w:val="24"/>
                <w14:textFill>
                  <w14:solidFill>
                    <w14:schemeClr w14:val="tx1"/>
                  </w14:solidFill>
                </w14:textFill>
              </w:rPr>
              <w:t>宣城市郎溪县生态环境局于2024年9月30日对《宣城兴旺达精密科技有限公司 年产400万件新能源汽车电池零部件项目》进行了批复，文号：郎环函〔2024〕82号</w:t>
            </w:r>
            <w:r>
              <w:rPr>
                <w:rFonts w:hint="default" w:ascii="Times New Roman" w:hAnsi="Times New Roman" w:cs="Times New Roman"/>
                <w:sz w:val="24"/>
                <w:szCs w:val="24"/>
              </w:rPr>
              <w:t>；</w:t>
            </w:r>
          </w:p>
          <w:p w14:paraId="576A6CD3">
            <w:pPr>
              <w:pStyle w:val="24"/>
              <w:widowControl/>
              <w:spacing w:after="0" w:line="360" w:lineRule="auto"/>
              <w:ind w:left="0" w:leftChars="0"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(8)宣城兴旺达精密科技有限公司于2024年1月16日取得排污许可证登记管理，登记编号：91341821MA8PJU2R38001X。</w:t>
            </w:r>
          </w:p>
          <w:p w14:paraId="28DDB3D2">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(11）</w:t>
            </w:r>
            <w:r>
              <w:rPr>
                <w:rFonts w:hint="default" w:ascii="Times New Roman" w:hAnsi="Times New Roman" w:cs="Times New Roman"/>
                <w:sz w:val="24"/>
              </w:rPr>
              <w:t>建设单位提供的其它基础材料。</w:t>
            </w:r>
          </w:p>
        </w:tc>
      </w:tr>
      <w:tr w14:paraId="5E98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01" w:type="dxa"/>
            <w:vAlign w:val="center"/>
          </w:tcPr>
          <w:p w14:paraId="59B090C9">
            <w:pPr>
              <w:widowControl w:val="0"/>
              <w:autoSpaceDE w:val="0"/>
              <w:autoSpaceDN w:val="0"/>
              <w:adjustRightInd w:val="0"/>
              <w:snapToGrid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验收监测评价标准、标号、级别、限值</w:t>
            </w:r>
          </w:p>
        </w:tc>
        <w:tc>
          <w:tcPr>
            <w:tcW w:w="8141" w:type="dxa"/>
            <w:gridSpan w:val="6"/>
            <w:vAlign w:val="center"/>
          </w:tcPr>
          <w:p w14:paraId="65AF603C">
            <w:pPr>
              <w:widowControl w:val="0"/>
              <w:tabs>
                <w:tab w:val="left" w:pos="5142"/>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验收阶段主要废水主要为生活污水、生产废水，近期生活污水经隔油池、化粪池预处理后用于厂区绿化，远期生活污水经隔油池、化粪池预处理后接管至梅渚镇污水处理厂；生产废水经过厂区自建的三级沉淀池处理后回用于生产，</w:t>
            </w:r>
            <w:r>
              <w:rPr>
                <w:rFonts w:hint="default" w:ascii="Times New Roman" w:hAnsi="Times New Roman" w:cs="Times New Roman"/>
                <w:sz w:val="24"/>
                <w:lang w:val="en-US" w:eastAsia="zh-CN"/>
              </w:rPr>
              <w:t>验收阶段</w:t>
            </w:r>
            <w:r>
              <w:rPr>
                <w:rFonts w:hint="default" w:ascii="Times New Roman" w:hAnsi="Times New Roman" w:cs="Times New Roman"/>
                <w:sz w:val="24"/>
              </w:rPr>
              <w:t>生活污水经化粪池预处理后满足《城市污水再生利用 绿地灌溉水质》（GB/T 25499-2010）中表一相关限值，用于厂区绿化，</w:t>
            </w:r>
            <w:r>
              <w:rPr>
                <w:rFonts w:hint="default" w:ascii="Times New Roman" w:hAnsi="Times New Roman" w:cs="Times New Roman"/>
                <w:sz w:val="24"/>
                <w:lang w:val="en-US" w:eastAsia="zh-CN"/>
              </w:rPr>
              <w:t>环评中要求</w:t>
            </w:r>
            <w:r>
              <w:rPr>
                <w:rFonts w:hint="default" w:ascii="Times New Roman" w:hAnsi="Times New Roman" w:cs="Times New Roman"/>
                <w:sz w:val="24"/>
              </w:rPr>
              <w:t>远期生活污水接管至梅渚镇污水处理厂集中处理，处理达到《城镇污水处理厂污染物排放标准》（GB18918-2002）表1中一级A标准后排入梅溧河。</w:t>
            </w:r>
          </w:p>
          <w:p w14:paraId="140BC93F">
            <w:pPr>
              <w:widowControl w:val="0"/>
              <w:ind w:firstLine="482"/>
              <w:jc w:val="center"/>
              <w:rPr>
                <w:rFonts w:hint="default" w:ascii="Times New Roman" w:hAnsi="Times New Roman" w:cs="Times New Roman"/>
                <w:b/>
                <w:bCs/>
                <w:sz w:val="24"/>
                <w:szCs w:val="24"/>
              </w:rPr>
            </w:pPr>
            <w:r>
              <w:rPr>
                <w:rFonts w:hint="default" w:ascii="Times New Roman" w:hAnsi="Times New Roman" w:cs="Times New Roman"/>
                <w:b/>
                <w:bCs/>
                <w:sz w:val="24"/>
                <w:szCs w:val="24"/>
              </w:rPr>
              <w:t>1-1《城市污水再生利用 绿地灌溉水质》（GB/T 25499-2010）中表一相关限值</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5806"/>
            </w:tblGrid>
            <w:tr w14:paraId="6845C96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vMerge w:val="restart"/>
                  <w:tcBorders>
                    <w:top w:val="single" w:color="auto" w:sz="6" w:space="0"/>
                    <w:left w:val="single" w:color="auto" w:sz="6" w:space="0"/>
                    <w:bottom w:val="single" w:color="auto" w:sz="4" w:space="0"/>
                    <w:right w:val="single" w:color="auto" w:sz="4" w:space="0"/>
                  </w:tcBorders>
                  <w:vAlign w:val="center"/>
                </w:tcPr>
                <w:p w14:paraId="23343B7F">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3670" w:type="pct"/>
                  <w:tcBorders>
                    <w:top w:val="single" w:color="auto" w:sz="6" w:space="0"/>
                    <w:left w:val="nil"/>
                    <w:bottom w:val="single" w:color="auto" w:sz="4" w:space="0"/>
                    <w:right w:val="single" w:color="auto" w:sz="6" w:space="0"/>
                  </w:tcBorders>
                  <w:vAlign w:val="center"/>
                </w:tcPr>
                <w:p w14:paraId="25DB4729">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《城市污水再生利用 绿地灌溉水质》（GB/T 25499-2010）</w:t>
                  </w:r>
                </w:p>
              </w:tc>
            </w:tr>
            <w:tr w14:paraId="6DE7CB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vMerge w:val="continue"/>
                  <w:tcBorders>
                    <w:top w:val="single" w:color="auto" w:sz="6" w:space="0"/>
                    <w:left w:val="single" w:color="auto" w:sz="6" w:space="0"/>
                    <w:bottom w:val="single" w:color="auto" w:sz="4" w:space="0"/>
                    <w:right w:val="single" w:color="auto" w:sz="4" w:space="0"/>
                  </w:tcBorders>
                  <w:vAlign w:val="center"/>
                </w:tcPr>
                <w:p w14:paraId="584D837C">
                  <w:pPr>
                    <w:adjustRightInd w:val="0"/>
                    <w:snapToGrid w:val="0"/>
                    <w:jc w:val="center"/>
                    <w:rPr>
                      <w:rFonts w:hint="default" w:ascii="Times New Roman" w:hAnsi="Times New Roman" w:cs="Times New Roman"/>
                      <w:b/>
                      <w:szCs w:val="21"/>
                    </w:rPr>
                  </w:pPr>
                </w:p>
              </w:tc>
              <w:tc>
                <w:tcPr>
                  <w:tcW w:w="3670" w:type="pct"/>
                  <w:tcBorders>
                    <w:top w:val="single" w:color="auto" w:sz="4" w:space="0"/>
                    <w:left w:val="nil"/>
                    <w:bottom w:val="single" w:color="auto" w:sz="4" w:space="0"/>
                    <w:right w:val="single" w:color="auto" w:sz="6" w:space="0"/>
                  </w:tcBorders>
                  <w:vAlign w:val="center"/>
                </w:tcPr>
                <w:p w14:paraId="30BA15EC">
                  <w:pPr>
                    <w:widowControl w:val="0"/>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灌溉要求</w:t>
                  </w:r>
                </w:p>
              </w:tc>
            </w:tr>
            <w:tr w14:paraId="40E85A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op w:val="single" w:color="auto" w:sz="4" w:space="0"/>
                    <w:left w:val="single" w:color="auto" w:sz="6" w:space="0"/>
                    <w:bottom w:val="single" w:color="auto" w:sz="4" w:space="0"/>
                    <w:right w:val="single" w:color="auto" w:sz="4" w:space="0"/>
                  </w:tcBorders>
                  <w:vAlign w:val="center"/>
                </w:tcPr>
                <w:p w14:paraId="707547B4">
                  <w:pPr>
                    <w:jc w:val="center"/>
                    <w:rPr>
                      <w:rFonts w:hint="default" w:ascii="Times New Roman" w:hAnsi="Times New Roman" w:cs="Times New Roman"/>
                      <w:szCs w:val="21"/>
                    </w:rPr>
                  </w:pPr>
                  <w:r>
                    <w:rPr>
                      <w:rFonts w:hint="default" w:ascii="Times New Roman" w:hAnsi="Times New Roman" w:cs="Times New Roman"/>
                      <w:szCs w:val="21"/>
                    </w:rPr>
                    <w:t>pH</w:t>
                  </w:r>
                </w:p>
              </w:tc>
              <w:tc>
                <w:tcPr>
                  <w:tcW w:w="3670" w:type="pct"/>
                  <w:tcBorders>
                    <w:top w:val="single" w:color="auto" w:sz="4" w:space="0"/>
                    <w:left w:val="nil"/>
                    <w:bottom w:val="single" w:color="auto" w:sz="4" w:space="0"/>
                    <w:right w:val="single" w:color="auto" w:sz="6" w:space="0"/>
                  </w:tcBorders>
                  <w:vAlign w:val="center"/>
                </w:tcPr>
                <w:p w14:paraId="5E4CBC80">
                  <w:pPr>
                    <w:jc w:val="center"/>
                    <w:rPr>
                      <w:rFonts w:hint="default" w:ascii="Times New Roman" w:hAnsi="Times New Roman" w:cs="Times New Roman"/>
                      <w:szCs w:val="21"/>
                    </w:rPr>
                  </w:pPr>
                  <w:r>
                    <w:rPr>
                      <w:rFonts w:hint="default" w:ascii="Times New Roman" w:hAnsi="Times New Roman" w:cs="Times New Roman"/>
                      <w:szCs w:val="21"/>
                    </w:rPr>
                    <w:t>6.0~9.0</w:t>
                  </w:r>
                </w:p>
              </w:tc>
            </w:tr>
            <w:tr w14:paraId="568B6B2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op w:val="single" w:color="auto" w:sz="4" w:space="0"/>
                    <w:left w:val="single" w:color="auto" w:sz="6" w:space="0"/>
                    <w:bottom w:val="single" w:color="auto" w:sz="4" w:space="0"/>
                    <w:right w:val="single" w:color="auto" w:sz="4" w:space="0"/>
                  </w:tcBorders>
                  <w:vAlign w:val="center"/>
                </w:tcPr>
                <w:p w14:paraId="2CF553E6">
                  <w:pPr>
                    <w:jc w:val="center"/>
                    <w:rPr>
                      <w:rFonts w:hint="default" w:ascii="Times New Roman" w:hAnsi="Times New Roman" w:cs="Times New Roman"/>
                      <w:szCs w:val="21"/>
                    </w:rPr>
                  </w:pPr>
                  <w:r>
                    <w:rPr>
                      <w:rFonts w:hint="default" w:ascii="Times New Roman" w:hAnsi="Times New Roman" w:cs="Times New Roman"/>
                      <w:szCs w:val="21"/>
                    </w:rPr>
                    <w:t>BOD5</w:t>
                  </w:r>
                </w:p>
              </w:tc>
              <w:tc>
                <w:tcPr>
                  <w:tcW w:w="3670" w:type="pct"/>
                  <w:tcBorders>
                    <w:top w:val="single" w:color="auto" w:sz="4" w:space="0"/>
                    <w:left w:val="nil"/>
                    <w:bottom w:val="single" w:color="auto" w:sz="4" w:space="0"/>
                    <w:right w:val="single" w:color="auto" w:sz="6" w:space="0"/>
                  </w:tcBorders>
                  <w:vAlign w:val="center"/>
                </w:tcPr>
                <w:p w14:paraId="5AA0668F">
                  <w:pPr>
                    <w:jc w:val="center"/>
                    <w:rPr>
                      <w:rFonts w:hint="default" w:ascii="Times New Roman" w:hAnsi="Times New Roman" w:cs="Times New Roman"/>
                      <w:szCs w:val="21"/>
                    </w:rPr>
                  </w:pPr>
                  <w:r>
                    <w:rPr>
                      <w:rFonts w:hint="default" w:ascii="Times New Roman" w:hAnsi="Times New Roman" w:cs="Times New Roman"/>
                      <w:szCs w:val="21"/>
                    </w:rPr>
                    <w:t>20</w:t>
                  </w:r>
                </w:p>
              </w:tc>
            </w:tr>
            <w:tr w14:paraId="3B5F025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op w:val="single" w:color="auto" w:sz="4" w:space="0"/>
                    <w:left w:val="single" w:color="auto" w:sz="6" w:space="0"/>
                    <w:bottom w:val="single" w:color="auto" w:sz="4" w:space="0"/>
                    <w:right w:val="single" w:color="auto" w:sz="4" w:space="0"/>
                  </w:tcBorders>
                  <w:vAlign w:val="center"/>
                </w:tcPr>
                <w:p w14:paraId="3D9A3332">
                  <w:pPr>
                    <w:jc w:val="center"/>
                    <w:rPr>
                      <w:rFonts w:hint="default" w:ascii="Times New Roman" w:hAnsi="Times New Roman" w:cs="Times New Roman"/>
                      <w:szCs w:val="21"/>
                    </w:rPr>
                  </w:pPr>
                  <w:r>
                    <w:rPr>
                      <w:rFonts w:hint="default" w:ascii="Times New Roman" w:hAnsi="Times New Roman" w:cs="Times New Roman"/>
                      <w:szCs w:val="21"/>
                    </w:rPr>
                    <w:t>NH3-N</w:t>
                  </w:r>
                </w:p>
              </w:tc>
              <w:tc>
                <w:tcPr>
                  <w:tcW w:w="3670" w:type="pct"/>
                  <w:tcBorders>
                    <w:top w:val="single" w:color="auto" w:sz="4" w:space="0"/>
                    <w:left w:val="nil"/>
                    <w:bottom w:val="single" w:color="auto" w:sz="4" w:space="0"/>
                    <w:right w:val="single" w:color="auto" w:sz="6" w:space="0"/>
                  </w:tcBorders>
                  <w:vAlign w:val="center"/>
                </w:tcPr>
                <w:p w14:paraId="5FAAED50">
                  <w:pPr>
                    <w:jc w:val="center"/>
                    <w:rPr>
                      <w:rFonts w:hint="default" w:ascii="Times New Roman" w:hAnsi="Times New Roman" w:cs="Times New Roman"/>
                      <w:szCs w:val="21"/>
                    </w:rPr>
                  </w:pPr>
                  <w:r>
                    <w:rPr>
                      <w:rFonts w:hint="default" w:ascii="Times New Roman" w:hAnsi="Times New Roman" w:cs="Times New Roman"/>
                      <w:szCs w:val="21"/>
                    </w:rPr>
                    <w:t>20</w:t>
                  </w:r>
                </w:p>
              </w:tc>
            </w:tr>
            <w:tr w14:paraId="652E74F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op w:val="single" w:color="auto" w:sz="4" w:space="0"/>
                    <w:left w:val="single" w:color="auto" w:sz="6" w:space="0"/>
                    <w:bottom w:val="single" w:color="auto" w:sz="4" w:space="0"/>
                    <w:right w:val="single" w:color="auto" w:sz="4" w:space="0"/>
                  </w:tcBorders>
                  <w:vAlign w:val="center"/>
                </w:tcPr>
                <w:p w14:paraId="46E962C7">
                  <w:pPr>
                    <w:jc w:val="center"/>
                    <w:rPr>
                      <w:rFonts w:hint="default" w:ascii="Times New Roman" w:hAnsi="Times New Roman" w:cs="Times New Roman"/>
                      <w:szCs w:val="21"/>
                    </w:rPr>
                  </w:pPr>
                  <w:r>
                    <w:rPr>
                      <w:rFonts w:hint="default" w:ascii="Times New Roman" w:hAnsi="Times New Roman" w:cs="Times New Roman"/>
                      <w:szCs w:val="21"/>
                    </w:rPr>
                    <w:t>SS</w:t>
                  </w:r>
                </w:p>
              </w:tc>
              <w:tc>
                <w:tcPr>
                  <w:tcW w:w="3670" w:type="pct"/>
                  <w:tcBorders>
                    <w:top w:val="single" w:color="auto" w:sz="4" w:space="0"/>
                    <w:left w:val="nil"/>
                    <w:bottom w:val="single" w:color="auto" w:sz="4" w:space="0"/>
                    <w:right w:val="single" w:color="auto" w:sz="6" w:space="0"/>
                  </w:tcBorders>
                  <w:vAlign w:val="center"/>
                </w:tcPr>
                <w:p w14:paraId="027F355A">
                  <w:pPr>
                    <w:jc w:val="center"/>
                    <w:rPr>
                      <w:rFonts w:hint="default" w:ascii="Times New Roman" w:hAnsi="Times New Roman" w:cs="Times New Roman"/>
                      <w:szCs w:val="21"/>
                    </w:rPr>
                  </w:pPr>
                  <w:r>
                    <w:rPr>
                      <w:rFonts w:hint="default" w:ascii="Times New Roman" w:hAnsi="Times New Roman" w:cs="Times New Roman"/>
                      <w:szCs w:val="21"/>
                    </w:rPr>
                    <w:t>/</w:t>
                  </w:r>
                </w:p>
              </w:tc>
            </w:tr>
            <w:tr w14:paraId="1B6A441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op w:val="single" w:color="auto" w:sz="4" w:space="0"/>
                    <w:left w:val="single" w:color="auto" w:sz="6" w:space="0"/>
                    <w:bottom w:val="single" w:color="auto" w:sz="4" w:space="0"/>
                    <w:right w:val="single" w:color="auto" w:sz="4" w:space="0"/>
                  </w:tcBorders>
                  <w:vAlign w:val="center"/>
                </w:tcPr>
                <w:p w14:paraId="424B1010">
                  <w:pPr>
                    <w:jc w:val="center"/>
                    <w:rPr>
                      <w:rFonts w:hint="default" w:ascii="Times New Roman" w:hAnsi="Times New Roman" w:cs="Times New Roman"/>
                      <w:szCs w:val="21"/>
                    </w:rPr>
                  </w:pPr>
                  <w:r>
                    <w:rPr>
                      <w:rFonts w:hint="default" w:ascii="Times New Roman" w:hAnsi="Times New Roman" w:cs="Times New Roman"/>
                      <w:szCs w:val="21"/>
                    </w:rPr>
                    <w:t>阴离子表面活性剂</w:t>
                  </w:r>
                </w:p>
              </w:tc>
              <w:tc>
                <w:tcPr>
                  <w:tcW w:w="3670" w:type="pct"/>
                  <w:tcBorders>
                    <w:top w:val="single" w:color="auto" w:sz="4" w:space="0"/>
                    <w:left w:val="nil"/>
                    <w:bottom w:val="single" w:color="auto" w:sz="4" w:space="0"/>
                    <w:right w:val="single" w:color="auto" w:sz="6" w:space="0"/>
                  </w:tcBorders>
                  <w:vAlign w:val="center"/>
                </w:tcPr>
                <w:p w14:paraId="54B413D9">
                  <w:pPr>
                    <w:jc w:val="center"/>
                    <w:rPr>
                      <w:rFonts w:hint="default" w:ascii="Times New Roman" w:hAnsi="Times New Roman" w:cs="Times New Roman"/>
                      <w:szCs w:val="21"/>
                    </w:rPr>
                  </w:pPr>
                  <w:r>
                    <w:rPr>
                      <w:rFonts w:hint="default" w:ascii="Times New Roman" w:hAnsi="Times New Roman" w:cs="Times New Roman"/>
                      <w:szCs w:val="21"/>
                    </w:rPr>
                    <w:t>1.0</w:t>
                  </w:r>
                </w:p>
              </w:tc>
            </w:tr>
          </w:tbl>
          <w:p w14:paraId="56C34BDF">
            <w:pPr>
              <w:widowControl w:val="0"/>
              <w:adjustRightInd w:val="0"/>
              <w:snapToGrid w:val="0"/>
              <w:ind w:firstLine="482" w:firstLineChars="200"/>
              <w:jc w:val="center"/>
              <w:rPr>
                <w:rFonts w:hint="default" w:ascii="Times New Roman" w:hAnsi="Times New Roman" w:cs="Times New Roman"/>
                <w:b/>
                <w:sz w:val="24"/>
                <w:szCs w:val="24"/>
              </w:rPr>
            </w:pPr>
            <w:r>
              <w:rPr>
                <w:rFonts w:hint="default" w:ascii="Times New Roman" w:hAnsi="Times New Roman" w:cs="Times New Roman"/>
                <w:b/>
                <w:sz w:val="24"/>
                <w:szCs w:val="24"/>
              </w:rPr>
              <w:t>表 1-2 水污染物接管及排放标准  单位：mg/L（pH无量纲）</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3438"/>
              <w:gridCol w:w="3302"/>
            </w:tblGrid>
            <w:tr w14:paraId="646DB9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restart"/>
                  <w:tcBorders>
                    <w:top w:val="single" w:color="auto" w:sz="6" w:space="0"/>
                    <w:left w:val="single" w:color="auto" w:sz="6" w:space="0"/>
                    <w:bottom w:val="single" w:color="auto" w:sz="4" w:space="0"/>
                    <w:right w:val="single" w:color="auto" w:sz="4" w:space="0"/>
                  </w:tcBorders>
                  <w:vAlign w:val="center"/>
                </w:tcPr>
                <w:p w14:paraId="1D428D38">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4260" w:type="pct"/>
                  <w:gridSpan w:val="2"/>
                  <w:tcBorders>
                    <w:top w:val="single" w:color="auto" w:sz="6" w:space="0"/>
                    <w:left w:val="single" w:color="auto" w:sz="4" w:space="0"/>
                    <w:bottom w:val="single" w:color="auto" w:sz="4" w:space="0"/>
                    <w:right w:val="single" w:color="auto" w:sz="6" w:space="0"/>
                  </w:tcBorders>
                  <w:vAlign w:val="center"/>
                </w:tcPr>
                <w:p w14:paraId="1D3063B4">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郎溪经济开发区东区污水处理厂</w:t>
                  </w:r>
                </w:p>
              </w:tc>
            </w:tr>
            <w:tr w14:paraId="63D6DBD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tcBorders>
                    <w:top w:val="single" w:color="auto" w:sz="6" w:space="0"/>
                    <w:left w:val="single" w:color="auto" w:sz="6" w:space="0"/>
                    <w:bottom w:val="single" w:color="auto" w:sz="4" w:space="0"/>
                    <w:right w:val="single" w:color="auto" w:sz="4" w:space="0"/>
                  </w:tcBorders>
                  <w:vAlign w:val="center"/>
                </w:tcPr>
                <w:p w14:paraId="606D4834">
                  <w:pPr>
                    <w:jc w:val="center"/>
                    <w:rPr>
                      <w:rFonts w:hint="default" w:ascii="Times New Roman" w:hAnsi="Times New Roman" w:cs="Times New Roman"/>
                      <w:b/>
                      <w:szCs w:val="21"/>
                    </w:rPr>
                  </w:pPr>
                </w:p>
              </w:tc>
              <w:tc>
                <w:tcPr>
                  <w:tcW w:w="2173" w:type="pct"/>
                  <w:tcBorders>
                    <w:top w:val="single" w:color="auto" w:sz="4" w:space="0"/>
                    <w:left w:val="single" w:color="auto" w:sz="4" w:space="0"/>
                    <w:bottom w:val="single" w:color="auto" w:sz="4" w:space="0"/>
                    <w:right w:val="single" w:color="auto" w:sz="4" w:space="0"/>
                  </w:tcBorders>
                  <w:vAlign w:val="center"/>
                </w:tcPr>
                <w:p w14:paraId="5B77D2CC">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接管要求</w:t>
                  </w:r>
                </w:p>
              </w:tc>
              <w:tc>
                <w:tcPr>
                  <w:tcW w:w="2087" w:type="pct"/>
                  <w:tcBorders>
                    <w:top w:val="single" w:color="auto" w:sz="4" w:space="0"/>
                    <w:left w:val="single" w:color="auto" w:sz="4" w:space="0"/>
                    <w:bottom w:val="single" w:color="auto" w:sz="4" w:space="0"/>
                    <w:right w:val="single" w:color="auto" w:sz="6" w:space="0"/>
                  </w:tcBorders>
                  <w:vAlign w:val="center"/>
                </w:tcPr>
                <w:p w14:paraId="1EDEC922">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排放标准</w:t>
                  </w:r>
                </w:p>
              </w:tc>
            </w:tr>
            <w:tr w14:paraId="4395C30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44BCB3AD">
                  <w:pPr>
                    <w:jc w:val="center"/>
                    <w:rPr>
                      <w:rFonts w:hint="default" w:ascii="Times New Roman" w:hAnsi="Times New Roman" w:cs="Times New Roman"/>
                      <w:spacing w:val="3"/>
                      <w:sz w:val="20"/>
                    </w:rPr>
                  </w:pPr>
                  <w:r>
                    <w:rPr>
                      <w:rFonts w:hint="default" w:ascii="Times New Roman" w:hAnsi="Times New Roman" w:cs="Times New Roman"/>
                      <w:spacing w:val="3"/>
                      <w:sz w:val="20"/>
                    </w:rPr>
                    <w:t>pH</w:t>
                  </w:r>
                </w:p>
              </w:tc>
              <w:tc>
                <w:tcPr>
                  <w:tcW w:w="2173" w:type="pct"/>
                  <w:tcBorders>
                    <w:top w:val="single" w:color="auto" w:sz="6" w:space="0"/>
                    <w:left w:val="single" w:color="auto" w:sz="6" w:space="0"/>
                    <w:bottom w:val="single" w:color="auto" w:sz="6" w:space="0"/>
                    <w:right w:val="single" w:color="auto" w:sz="6" w:space="0"/>
                  </w:tcBorders>
                  <w:vAlign w:val="center"/>
                </w:tcPr>
                <w:p w14:paraId="1645D542">
                  <w:pPr>
                    <w:jc w:val="center"/>
                    <w:rPr>
                      <w:rFonts w:hint="default" w:ascii="Times New Roman" w:hAnsi="Times New Roman" w:cs="Times New Roman"/>
                      <w:spacing w:val="3"/>
                      <w:sz w:val="20"/>
                    </w:rPr>
                  </w:pPr>
                  <w:r>
                    <w:rPr>
                      <w:rFonts w:hint="default" w:ascii="Times New Roman" w:hAnsi="Times New Roman" w:cs="Times New Roman"/>
                      <w:szCs w:val="21"/>
                    </w:rPr>
                    <w:t>6~9（无量纲）</w:t>
                  </w:r>
                </w:p>
              </w:tc>
              <w:tc>
                <w:tcPr>
                  <w:tcW w:w="2087" w:type="pct"/>
                  <w:tcBorders>
                    <w:top w:val="single" w:color="auto" w:sz="6" w:space="0"/>
                    <w:left w:val="single" w:color="auto" w:sz="6" w:space="0"/>
                    <w:bottom w:val="single" w:color="auto" w:sz="6" w:space="0"/>
                    <w:right w:val="single" w:color="auto" w:sz="6" w:space="0"/>
                  </w:tcBorders>
                  <w:vAlign w:val="center"/>
                </w:tcPr>
                <w:p w14:paraId="1012FD8D">
                  <w:pPr>
                    <w:jc w:val="center"/>
                    <w:rPr>
                      <w:rFonts w:hint="default" w:ascii="Times New Roman" w:hAnsi="Times New Roman" w:cs="Times New Roman"/>
                      <w:spacing w:val="3"/>
                      <w:sz w:val="20"/>
                    </w:rPr>
                  </w:pPr>
                  <w:r>
                    <w:rPr>
                      <w:rFonts w:hint="default" w:ascii="Times New Roman" w:hAnsi="Times New Roman" w:cs="Times New Roman"/>
                      <w:szCs w:val="21"/>
                    </w:rPr>
                    <w:t>6~9（无量纲）</w:t>
                  </w:r>
                </w:p>
              </w:tc>
            </w:tr>
            <w:tr w14:paraId="3B62EE0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63676484">
                  <w:pPr>
                    <w:jc w:val="center"/>
                    <w:rPr>
                      <w:rFonts w:hint="default" w:ascii="Times New Roman" w:hAnsi="Times New Roman" w:cs="Times New Roman"/>
                      <w:spacing w:val="3"/>
                      <w:sz w:val="20"/>
                    </w:rPr>
                  </w:pPr>
                  <w:r>
                    <w:rPr>
                      <w:rFonts w:hint="default" w:ascii="Times New Roman" w:hAnsi="Times New Roman" w:cs="Times New Roman"/>
                      <w:spacing w:val="3"/>
                      <w:sz w:val="20"/>
                    </w:rPr>
                    <w:t>COD</w:t>
                  </w:r>
                </w:p>
              </w:tc>
              <w:tc>
                <w:tcPr>
                  <w:tcW w:w="2173" w:type="pct"/>
                  <w:tcBorders>
                    <w:top w:val="single" w:color="auto" w:sz="6" w:space="0"/>
                    <w:left w:val="single" w:color="auto" w:sz="6" w:space="0"/>
                    <w:bottom w:val="single" w:color="auto" w:sz="6" w:space="0"/>
                    <w:right w:val="single" w:color="auto" w:sz="6" w:space="0"/>
                  </w:tcBorders>
                  <w:vAlign w:val="center"/>
                </w:tcPr>
                <w:p w14:paraId="108803A8">
                  <w:pPr>
                    <w:jc w:val="center"/>
                    <w:rPr>
                      <w:rFonts w:hint="default" w:ascii="Times New Roman" w:hAnsi="Times New Roman" w:cs="Times New Roman"/>
                      <w:spacing w:val="3"/>
                      <w:sz w:val="20"/>
                    </w:rPr>
                  </w:pPr>
                  <w:r>
                    <w:rPr>
                      <w:rFonts w:hint="default" w:ascii="Times New Roman" w:hAnsi="Times New Roman" w:cs="Times New Roman"/>
                      <w:szCs w:val="21"/>
                    </w:rPr>
                    <w:t>320</w:t>
                  </w:r>
                </w:p>
              </w:tc>
              <w:tc>
                <w:tcPr>
                  <w:tcW w:w="2087" w:type="pct"/>
                  <w:tcBorders>
                    <w:top w:val="single" w:color="auto" w:sz="6" w:space="0"/>
                    <w:left w:val="single" w:color="auto" w:sz="6" w:space="0"/>
                    <w:bottom w:val="single" w:color="auto" w:sz="6" w:space="0"/>
                    <w:right w:val="single" w:color="auto" w:sz="6" w:space="0"/>
                  </w:tcBorders>
                  <w:vAlign w:val="center"/>
                </w:tcPr>
                <w:p w14:paraId="4D01067E">
                  <w:pPr>
                    <w:jc w:val="center"/>
                    <w:rPr>
                      <w:rFonts w:hint="default" w:ascii="Times New Roman" w:hAnsi="Times New Roman" w:cs="Times New Roman"/>
                      <w:spacing w:val="3"/>
                      <w:sz w:val="20"/>
                    </w:rPr>
                  </w:pPr>
                  <w:r>
                    <w:rPr>
                      <w:rFonts w:hint="default" w:ascii="Times New Roman" w:hAnsi="Times New Roman" w:cs="Times New Roman"/>
                      <w:szCs w:val="21"/>
                    </w:rPr>
                    <w:t>50</w:t>
                  </w:r>
                </w:p>
              </w:tc>
            </w:tr>
            <w:tr w14:paraId="2944D5A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5D529613">
                  <w:pPr>
                    <w:jc w:val="center"/>
                    <w:rPr>
                      <w:rFonts w:hint="default" w:ascii="Times New Roman" w:hAnsi="Times New Roman" w:cs="Times New Roman"/>
                      <w:spacing w:val="3"/>
                      <w:sz w:val="20"/>
                    </w:rPr>
                  </w:pPr>
                  <w:r>
                    <w:rPr>
                      <w:rFonts w:hint="default" w:ascii="Times New Roman" w:hAnsi="Times New Roman" w:cs="Times New Roman"/>
                      <w:spacing w:val="3"/>
                      <w:sz w:val="20"/>
                    </w:rPr>
                    <w:t>BOD5</w:t>
                  </w:r>
                </w:p>
              </w:tc>
              <w:tc>
                <w:tcPr>
                  <w:tcW w:w="2173" w:type="pct"/>
                  <w:tcBorders>
                    <w:top w:val="single" w:color="auto" w:sz="6" w:space="0"/>
                    <w:left w:val="single" w:color="auto" w:sz="6" w:space="0"/>
                    <w:bottom w:val="single" w:color="auto" w:sz="6" w:space="0"/>
                    <w:right w:val="single" w:color="auto" w:sz="6" w:space="0"/>
                  </w:tcBorders>
                  <w:vAlign w:val="center"/>
                </w:tcPr>
                <w:p w14:paraId="445449B1">
                  <w:pPr>
                    <w:jc w:val="center"/>
                    <w:rPr>
                      <w:rFonts w:hint="default" w:ascii="Times New Roman" w:hAnsi="Times New Roman" w:cs="Times New Roman"/>
                      <w:spacing w:val="3"/>
                      <w:sz w:val="20"/>
                    </w:rPr>
                  </w:pPr>
                  <w:r>
                    <w:rPr>
                      <w:rFonts w:hint="default" w:ascii="Times New Roman" w:hAnsi="Times New Roman" w:cs="Times New Roman"/>
                      <w:szCs w:val="21"/>
                    </w:rPr>
                    <w:t>150</w:t>
                  </w:r>
                </w:p>
              </w:tc>
              <w:tc>
                <w:tcPr>
                  <w:tcW w:w="2087" w:type="pct"/>
                  <w:tcBorders>
                    <w:top w:val="single" w:color="auto" w:sz="6" w:space="0"/>
                    <w:left w:val="single" w:color="auto" w:sz="6" w:space="0"/>
                    <w:bottom w:val="single" w:color="auto" w:sz="6" w:space="0"/>
                    <w:right w:val="single" w:color="auto" w:sz="6" w:space="0"/>
                  </w:tcBorders>
                  <w:vAlign w:val="center"/>
                </w:tcPr>
                <w:p w14:paraId="709BEFA1">
                  <w:pPr>
                    <w:jc w:val="center"/>
                    <w:rPr>
                      <w:rFonts w:hint="default" w:ascii="Times New Roman" w:hAnsi="Times New Roman" w:cs="Times New Roman"/>
                      <w:spacing w:val="3"/>
                      <w:sz w:val="20"/>
                    </w:rPr>
                  </w:pPr>
                  <w:r>
                    <w:rPr>
                      <w:rFonts w:hint="default" w:ascii="Times New Roman" w:hAnsi="Times New Roman" w:cs="Times New Roman"/>
                      <w:szCs w:val="21"/>
                    </w:rPr>
                    <w:t>10</w:t>
                  </w:r>
                </w:p>
              </w:tc>
            </w:tr>
            <w:tr w14:paraId="1AF2BEA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50C4F2FB">
                  <w:pPr>
                    <w:jc w:val="center"/>
                    <w:rPr>
                      <w:rFonts w:hint="default" w:ascii="Times New Roman" w:hAnsi="Times New Roman" w:cs="Times New Roman"/>
                      <w:spacing w:val="3"/>
                      <w:sz w:val="20"/>
                    </w:rPr>
                  </w:pPr>
                  <w:r>
                    <w:rPr>
                      <w:rFonts w:hint="default" w:ascii="Times New Roman" w:hAnsi="Times New Roman" w:cs="Times New Roman"/>
                      <w:spacing w:val="3"/>
                      <w:sz w:val="20"/>
                    </w:rPr>
                    <w:t>NH3-N</w:t>
                  </w:r>
                </w:p>
              </w:tc>
              <w:tc>
                <w:tcPr>
                  <w:tcW w:w="2173" w:type="pct"/>
                  <w:tcBorders>
                    <w:top w:val="single" w:color="auto" w:sz="6" w:space="0"/>
                    <w:left w:val="single" w:color="auto" w:sz="6" w:space="0"/>
                    <w:bottom w:val="single" w:color="auto" w:sz="6" w:space="0"/>
                    <w:right w:val="single" w:color="auto" w:sz="6" w:space="0"/>
                  </w:tcBorders>
                  <w:vAlign w:val="center"/>
                </w:tcPr>
                <w:p w14:paraId="2EAA716F">
                  <w:pPr>
                    <w:jc w:val="center"/>
                    <w:rPr>
                      <w:rFonts w:hint="default" w:ascii="Times New Roman" w:hAnsi="Times New Roman" w:cs="Times New Roman"/>
                      <w:spacing w:val="3"/>
                      <w:sz w:val="20"/>
                    </w:rPr>
                  </w:pPr>
                  <w:r>
                    <w:rPr>
                      <w:rFonts w:hint="default" w:ascii="Times New Roman" w:hAnsi="Times New Roman" w:cs="Times New Roman"/>
                      <w:szCs w:val="21"/>
                    </w:rPr>
                    <w:t>30</w:t>
                  </w:r>
                </w:p>
              </w:tc>
              <w:tc>
                <w:tcPr>
                  <w:tcW w:w="2087" w:type="pct"/>
                  <w:tcBorders>
                    <w:top w:val="single" w:color="auto" w:sz="6" w:space="0"/>
                    <w:left w:val="single" w:color="auto" w:sz="6" w:space="0"/>
                    <w:bottom w:val="single" w:color="auto" w:sz="6" w:space="0"/>
                    <w:right w:val="single" w:color="auto" w:sz="6" w:space="0"/>
                  </w:tcBorders>
                  <w:vAlign w:val="center"/>
                </w:tcPr>
                <w:p w14:paraId="5BCE7887">
                  <w:pPr>
                    <w:jc w:val="center"/>
                    <w:rPr>
                      <w:rFonts w:hint="default" w:ascii="Times New Roman" w:hAnsi="Times New Roman" w:cs="Times New Roman"/>
                      <w:spacing w:val="3"/>
                      <w:sz w:val="20"/>
                    </w:rPr>
                  </w:pPr>
                  <w:r>
                    <w:rPr>
                      <w:rFonts w:hint="default" w:ascii="Times New Roman" w:hAnsi="Times New Roman" w:cs="Times New Roman"/>
                      <w:szCs w:val="21"/>
                    </w:rPr>
                    <w:t>10</w:t>
                  </w:r>
                </w:p>
              </w:tc>
            </w:tr>
            <w:tr w14:paraId="242F83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6D886D1F">
                  <w:pPr>
                    <w:jc w:val="center"/>
                    <w:rPr>
                      <w:rFonts w:hint="default" w:ascii="Times New Roman" w:hAnsi="Times New Roman" w:cs="Times New Roman"/>
                      <w:spacing w:val="3"/>
                      <w:sz w:val="20"/>
                    </w:rPr>
                  </w:pPr>
                  <w:r>
                    <w:rPr>
                      <w:rFonts w:hint="default" w:ascii="Times New Roman" w:hAnsi="Times New Roman" w:cs="Times New Roman"/>
                      <w:spacing w:val="3"/>
                      <w:sz w:val="20"/>
                    </w:rPr>
                    <w:t>SS</w:t>
                  </w:r>
                </w:p>
              </w:tc>
              <w:tc>
                <w:tcPr>
                  <w:tcW w:w="2173" w:type="pct"/>
                  <w:tcBorders>
                    <w:top w:val="single" w:color="auto" w:sz="6" w:space="0"/>
                    <w:left w:val="single" w:color="auto" w:sz="6" w:space="0"/>
                    <w:bottom w:val="single" w:color="auto" w:sz="6" w:space="0"/>
                    <w:right w:val="single" w:color="auto" w:sz="6" w:space="0"/>
                  </w:tcBorders>
                  <w:vAlign w:val="center"/>
                </w:tcPr>
                <w:p w14:paraId="25CF2C69">
                  <w:pPr>
                    <w:jc w:val="center"/>
                    <w:rPr>
                      <w:rFonts w:hint="default" w:ascii="Times New Roman" w:hAnsi="Times New Roman" w:cs="Times New Roman"/>
                      <w:spacing w:val="3"/>
                      <w:sz w:val="20"/>
                    </w:rPr>
                  </w:pPr>
                  <w:r>
                    <w:rPr>
                      <w:rFonts w:hint="default" w:ascii="Times New Roman" w:hAnsi="Times New Roman" w:cs="Times New Roman"/>
                      <w:szCs w:val="21"/>
                    </w:rPr>
                    <w:t>200</w:t>
                  </w:r>
                </w:p>
              </w:tc>
              <w:tc>
                <w:tcPr>
                  <w:tcW w:w="2087" w:type="pct"/>
                  <w:tcBorders>
                    <w:top w:val="single" w:color="auto" w:sz="6" w:space="0"/>
                    <w:left w:val="single" w:color="auto" w:sz="6" w:space="0"/>
                    <w:bottom w:val="single" w:color="auto" w:sz="6" w:space="0"/>
                    <w:right w:val="single" w:color="auto" w:sz="6" w:space="0"/>
                  </w:tcBorders>
                  <w:vAlign w:val="center"/>
                </w:tcPr>
                <w:p w14:paraId="17E76C39">
                  <w:pPr>
                    <w:jc w:val="center"/>
                    <w:rPr>
                      <w:rFonts w:hint="default" w:ascii="Times New Roman" w:hAnsi="Times New Roman" w:cs="Times New Roman"/>
                      <w:spacing w:val="3"/>
                      <w:sz w:val="20"/>
                    </w:rPr>
                  </w:pPr>
                  <w:r>
                    <w:rPr>
                      <w:rFonts w:hint="default" w:ascii="Times New Roman" w:hAnsi="Times New Roman" w:cs="Times New Roman"/>
                      <w:szCs w:val="21"/>
                    </w:rPr>
                    <w:t>5（8）</w:t>
                  </w:r>
                </w:p>
              </w:tc>
            </w:tr>
            <w:tr w14:paraId="39E772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4" w:space="0"/>
                    <w:right w:val="single" w:color="auto" w:sz="4" w:space="0"/>
                  </w:tcBorders>
                  <w:vAlign w:val="center"/>
                </w:tcPr>
                <w:p w14:paraId="4DD0BED7">
                  <w:pPr>
                    <w:jc w:val="center"/>
                    <w:rPr>
                      <w:rFonts w:hint="default" w:ascii="Times New Roman" w:hAnsi="Times New Roman" w:cs="Times New Roman"/>
                      <w:spacing w:val="3"/>
                      <w:sz w:val="20"/>
                    </w:rPr>
                  </w:pPr>
                  <w:r>
                    <w:rPr>
                      <w:rFonts w:hint="default" w:ascii="Times New Roman" w:hAnsi="Times New Roman" w:cs="Times New Roman"/>
                      <w:spacing w:val="3"/>
                      <w:sz w:val="20"/>
                    </w:rPr>
                    <w:t>动植物油</w:t>
                  </w:r>
                </w:p>
              </w:tc>
              <w:tc>
                <w:tcPr>
                  <w:tcW w:w="2173" w:type="pct"/>
                  <w:tcBorders>
                    <w:top w:val="single" w:color="auto" w:sz="6" w:space="0"/>
                    <w:left w:val="single" w:color="auto" w:sz="6" w:space="0"/>
                    <w:bottom w:val="single" w:color="auto" w:sz="6" w:space="0"/>
                    <w:right w:val="single" w:color="auto" w:sz="6" w:space="0"/>
                  </w:tcBorders>
                  <w:vAlign w:val="center"/>
                </w:tcPr>
                <w:p w14:paraId="5C360F54">
                  <w:pPr>
                    <w:jc w:val="center"/>
                    <w:rPr>
                      <w:rFonts w:hint="default" w:ascii="Times New Roman" w:hAnsi="Times New Roman" w:cs="Times New Roman"/>
                      <w:spacing w:val="3"/>
                      <w:sz w:val="20"/>
                    </w:rPr>
                  </w:pPr>
                  <w:r>
                    <w:rPr>
                      <w:rFonts w:hint="default" w:ascii="Times New Roman" w:hAnsi="Times New Roman" w:cs="Times New Roman"/>
                      <w:szCs w:val="21"/>
                    </w:rPr>
                    <w:t>100</w:t>
                  </w:r>
                </w:p>
              </w:tc>
              <w:tc>
                <w:tcPr>
                  <w:tcW w:w="2087" w:type="pct"/>
                  <w:tcBorders>
                    <w:top w:val="single" w:color="auto" w:sz="6" w:space="0"/>
                    <w:left w:val="single" w:color="auto" w:sz="6" w:space="0"/>
                    <w:bottom w:val="single" w:color="auto" w:sz="6" w:space="0"/>
                    <w:right w:val="single" w:color="auto" w:sz="6" w:space="0"/>
                  </w:tcBorders>
                  <w:vAlign w:val="center"/>
                </w:tcPr>
                <w:p w14:paraId="20F6DF76">
                  <w:pPr>
                    <w:jc w:val="center"/>
                    <w:rPr>
                      <w:rFonts w:hint="default" w:ascii="Times New Roman" w:hAnsi="Times New Roman" w:cs="Times New Roman"/>
                      <w:spacing w:val="3"/>
                      <w:sz w:val="20"/>
                    </w:rPr>
                  </w:pPr>
                  <w:r>
                    <w:rPr>
                      <w:rFonts w:hint="default" w:ascii="Times New Roman" w:hAnsi="Times New Roman" w:cs="Times New Roman"/>
                      <w:szCs w:val="21"/>
                    </w:rPr>
                    <w:t>1</w:t>
                  </w:r>
                </w:p>
              </w:tc>
            </w:tr>
            <w:tr w14:paraId="1EF7AD1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tcBorders>
                    <w:top w:val="single" w:color="auto" w:sz="4" w:space="0"/>
                    <w:left w:val="single" w:color="auto" w:sz="6" w:space="0"/>
                    <w:bottom w:val="single" w:color="auto" w:sz="6" w:space="0"/>
                    <w:right w:val="single" w:color="auto" w:sz="4" w:space="0"/>
                  </w:tcBorders>
                  <w:vAlign w:val="center"/>
                </w:tcPr>
                <w:p w14:paraId="7F1EBC0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标准</w:t>
                  </w:r>
                </w:p>
              </w:tc>
              <w:tc>
                <w:tcPr>
                  <w:tcW w:w="2173" w:type="pct"/>
                  <w:tcBorders>
                    <w:top w:val="single" w:color="auto" w:sz="4" w:space="0"/>
                    <w:left w:val="single" w:color="auto" w:sz="4" w:space="0"/>
                    <w:bottom w:val="single" w:color="auto" w:sz="6" w:space="0"/>
                    <w:right w:val="single" w:color="auto" w:sz="4" w:space="0"/>
                  </w:tcBorders>
                  <w:vAlign w:val="center"/>
                </w:tcPr>
                <w:p w14:paraId="591F79D5">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《梅渚镇污水处理厂接管标准》及《污水综合排放标准》（GB8978-1996）表4中三级标准</w:t>
                  </w:r>
                </w:p>
              </w:tc>
              <w:tc>
                <w:tcPr>
                  <w:tcW w:w="2087" w:type="pct"/>
                  <w:tcBorders>
                    <w:top w:val="single" w:color="auto" w:sz="4" w:space="0"/>
                    <w:left w:val="single" w:color="auto" w:sz="4" w:space="0"/>
                    <w:bottom w:val="single" w:color="auto" w:sz="6" w:space="0"/>
                    <w:right w:val="single" w:color="auto" w:sz="6" w:space="0"/>
                  </w:tcBorders>
                  <w:vAlign w:val="center"/>
                </w:tcPr>
                <w:p w14:paraId="2791C9C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《城镇污水处理厂污水排放标准》（GB18918-2002）一级A标准及《关于郎溪县南漪湖流域水环境治理实施方案》</w:t>
                  </w:r>
                </w:p>
              </w:tc>
            </w:tr>
          </w:tbl>
          <w:p w14:paraId="1EB9241A">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验收阶段项目生产过程中废气污染物主要颗粒物、非甲烷总烃、二甲苯、二氧化硫、氮氧化物，机加工、涂装工段产生的颗粒物执行《大气污染物综合排放标准》（GB16297-1996)表2新污染源大气污染物排放限值中二级标准的排放限值，涂装工段非甲烷总烃、二甲苯执行《固定源挥发性有机物综合排放标准 第6部分：其他行业》（DB34 4812.6-2024)表1挥发性有机物基本污染物项目排放限值和表2挥发性有机物特征污染物项目排放限值；丙烷燃烧废气颗粒物、二氧化硫、氮氧化物执行《工业炉窑大气污染综合治理方案》（环大气〔2019〕56号）中排放限值。</w:t>
            </w:r>
          </w:p>
          <w:p w14:paraId="3FAAC8DF">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厂界颗粒物、非甲烷总烃、二甲苯无组织排放执行《大气污染物综合排放标准》（GB16297-1996)表2新污染源大气污染物排放限值中二级标准的排放限值；厂区内VOCs无组织排放限值执行《固定源挥发性有机物综合排放标准 第6部分：其他行业》（DB34 4812.6-2024)表4 厂区内VOCs无组织排放限值。具体标准限值详见下表：</w:t>
            </w:r>
          </w:p>
          <w:p w14:paraId="15E8DB2C">
            <w:pPr>
              <w:widowControl w:val="0"/>
              <w:ind w:firstLine="482"/>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 1-3 大气污染物排放标准限值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067"/>
              <w:gridCol w:w="1097"/>
              <w:gridCol w:w="1332"/>
              <w:gridCol w:w="1185"/>
              <w:gridCol w:w="2251"/>
            </w:tblGrid>
            <w:tr w14:paraId="2BAF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212CD764">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序号</w:t>
                  </w:r>
                </w:p>
              </w:tc>
              <w:tc>
                <w:tcPr>
                  <w:tcW w:w="1135" w:type="dxa"/>
                  <w:tcBorders>
                    <w:top w:val="single" w:color="auto" w:sz="4" w:space="0"/>
                    <w:left w:val="nil"/>
                    <w:bottom w:val="single" w:color="auto" w:sz="4" w:space="0"/>
                    <w:right w:val="single" w:color="auto" w:sz="4" w:space="0"/>
                  </w:tcBorders>
                  <w:vAlign w:val="center"/>
                </w:tcPr>
                <w:p w14:paraId="504FD7D7">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工序</w:t>
                  </w:r>
                </w:p>
              </w:tc>
              <w:tc>
                <w:tcPr>
                  <w:tcW w:w="1202" w:type="dxa"/>
                  <w:tcBorders>
                    <w:top w:val="single" w:color="auto" w:sz="4" w:space="0"/>
                    <w:left w:val="nil"/>
                    <w:bottom w:val="single" w:color="auto" w:sz="4" w:space="0"/>
                    <w:right w:val="single" w:color="auto" w:sz="4" w:space="0"/>
                  </w:tcBorders>
                  <w:vAlign w:val="center"/>
                </w:tcPr>
                <w:p w14:paraId="22183C02">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污染物</w:t>
                  </w:r>
                </w:p>
              </w:tc>
              <w:tc>
                <w:tcPr>
                  <w:tcW w:w="1350" w:type="dxa"/>
                  <w:tcBorders>
                    <w:top w:val="single" w:color="auto" w:sz="4" w:space="0"/>
                    <w:left w:val="nil"/>
                    <w:bottom w:val="single" w:color="auto" w:sz="4" w:space="0"/>
                    <w:right w:val="single" w:color="auto" w:sz="4" w:space="0"/>
                  </w:tcBorders>
                  <w:vAlign w:val="center"/>
                </w:tcPr>
                <w:p w14:paraId="16C2D798">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排放浓度（mg/m</w:t>
                  </w:r>
                  <w:r>
                    <w:rPr>
                      <w:rFonts w:hint="default" w:ascii="Times New Roman" w:hAnsi="Times New Roman" w:cs="Times New Roman"/>
                      <w:b/>
                      <w:bCs/>
                      <w:vertAlign w:val="superscript"/>
                    </w:rPr>
                    <w:t>3</w:t>
                  </w:r>
                  <w:r>
                    <w:rPr>
                      <w:rFonts w:hint="default" w:ascii="Times New Roman" w:hAnsi="Times New Roman" w:cs="Times New Roman"/>
                      <w:b/>
                      <w:bCs/>
                    </w:rPr>
                    <w:t>）</w:t>
                  </w:r>
                </w:p>
              </w:tc>
              <w:tc>
                <w:tcPr>
                  <w:tcW w:w="1209" w:type="dxa"/>
                  <w:tcBorders>
                    <w:top w:val="single" w:color="auto" w:sz="4" w:space="0"/>
                    <w:left w:val="nil"/>
                    <w:bottom w:val="single" w:color="auto" w:sz="4" w:space="0"/>
                    <w:right w:val="single" w:color="auto" w:sz="4" w:space="0"/>
                  </w:tcBorders>
                  <w:vAlign w:val="center"/>
                </w:tcPr>
                <w:p w14:paraId="4BD5A4E8">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排放速率（kg/h）</w:t>
                  </w:r>
                </w:p>
              </w:tc>
              <w:tc>
                <w:tcPr>
                  <w:tcW w:w="2298" w:type="dxa"/>
                  <w:tcBorders>
                    <w:top w:val="single" w:color="auto" w:sz="4" w:space="0"/>
                    <w:left w:val="nil"/>
                    <w:bottom w:val="single" w:color="auto" w:sz="4" w:space="0"/>
                    <w:right w:val="single" w:color="auto" w:sz="4" w:space="0"/>
                  </w:tcBorders>
                  <w:vAlign w:val="center"/>
                </w:tcPr>
                <w:p w14:paraId="5E242515">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标准名称及级(类)别</w:t>
                  </w:r>
                </w:p>
              </w:tc>
            </w:tr>
            <w:tr w14:paraId="4F07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0585D13E">
                  <w:pPr>
                    <w:pStyle w:val="8"/>
                    <w:ind w:firstLine="0" w:firstLineChars="0"/>
                    <w:jc w:val="center"/>
                    <w:rPr>
                      <w:rFonts w:hint="default" w:ascii="Times New Roman" w:hAnsi="Times New Roman" w:cs="Times New Roman"/>
                    </w:rPr>
                  </w:pPr>
                  <w:r>
                    <w:rPr>
                      <w:rFonts w:hint="default" w:ascii="Times New Roman" w:hAnsi="Times New Roman" w:cs="Times New Roman"/>
                    </w:rPr>
                    <w:t>1</w:t>
                  </w:r>
                </w:p>
              </w:tc>
              <w:tc>
                <w:tcPr>
                  <w:tcW w:w="1135" w:type="dxa"/>
                  <w:vMerge w:val="restart"/>
                  <w:tcBorders>
                    <w:top w:val="nil"/>
                    <w:left w:val="nil"/>
                    <w:bottom w:val="single" w:color="auto" w:sz="4" w:space="0"/>
                    <w:right w:val="single" w:color="auto" w:sz="4" w:space="0"/>
                  </w:tcBorders>
                  <w:vAlign w:val="center"/>
                </w:tcPr>
                <w:p w14:paraId="79B8EAEC">
                  <w:pPr>
                    <w:pStyle w:val="8"/>
                    <w:ind w:firstLine="0" w:firstLineChars="0"/>
                    <w:jc w:val="center"/>
                    <w:rPr>
                      <w:rFonts w:hint="default" w:ascii="Times New Roman" w:hAnsi="Times New Roman" w:cs="Times New Roman"/>
                    </w:rPr>
                  </w:pPr>
                  <w:r>
                    <w:rPr>
                      <w:rFonts w:hint="default" w:ascii="Times New Roman" w:hAnsi="Times New Roman" w:cs="Times New Roman"/>
                    </w:rPr>
                    <w:t>喷漆工序</w:t>
                  </w:r>
                </w:p>
              </w:tc>
              <w:tc>
                <w:tcPr>
                  <w:tcW w:w="1202" w:type="dxa"/>
                  <w:tcBorders>
                    <w:top w:val="single" w:color="auto" w:sz="4" w:space="0"/>
                    <w:left w:val="nil"/>
                    <w:bottom w:val="single" w:color="auto" w:sz="4" w:space="0"/>
                    <w:right w:val="single" w:color="auto" w:sz="4" w:space="0"/>
                  </w:tcBorders>
                  <w:vAlign w:val="center"/>
                </w:tcPr>
                <w:p w14:paraId="461950CD">
                  <w:pPr>
                    <w:pStyle w:val="8"/>
                    <w:ind w:firstLine="0" w:firstLineChars="0"/>
                    <w:jc w:val="center"/>
                    <w:rPr>
                      <w:rFonts w:hint="default" w:ascii="Times New Roman" w:hAnsi="Times New Roman" w:cs="Times New Roman"/>
                    </w:rPr>
                  </w:pPr>
                  <w:r>
                    <w:rPr>
                      <w:rFonts w:hint="default" w:ascii="Times New Roman" w:hAnsi="Times New Roman" w:cs="Times New Roman"/>
                    </w:rPr>
                    <w:t>非甲烷总烃</w:t>
                  </w:r>
                </w:p>
              </w:tc>
              <w:tc>
                <w:tcPr>
                  <w:tcW w:w="1350" w:type="dxa"/>
                  <w:tcBorders>
                    <w:top w:val="single" w:color="auto" w:sz="4" w:space="0"/>
                    <w:left w:val="nil"/>
                    <w:bottom w:val="single" w:color="auto" w:sz="4" w:space="0"/>
                    <w:right w:val="single" w:color="auto" w:sz="4" w:space="0"/>
                  </w:tcBorders>
                  <w:vAlign w:val="center"/>
                </w:tcPr>
                <w:p w14:paraId="543DA60F">
                  <w:pPr>
                    <w:pStyle w:val="8"/>
                    <w:ind w:firstLine="0" w:firstLineChars="0"/>
                    <w:jc w:val="center"/>
                    <w:rPr>
                      <w:rFonts w:hint="default" w:ascii="Times New Roman" w:hAnsi="Times New Roman" w:cs="Times New Roman"/>
                    </w:rPr>
                  </w:pPr>
                  <w:r>
                    <w:rPr>
                      <w:rFonts w:hint="default" w:ascii="Times New Roman" w:hAnsi="Times New Roman" w:cs="Times New Roman"/>
                    </w:rPr>
                    <w:t>60</w:t>
                  </w:r>
                </w:p>
              </w:tc>
              <w:tc>
                <w:tcPr>
                  <w:tcW w:w="1209" w:type="dxa"/>
                  <w:tcBorders>
                    <w:top w:val="single" w:color="auto" w:sz="4" w:space="0"/>
                    <w:left w:val="nil"/>
                    <w:bottom w:val="single" w:color="auto" w:sz="4" w:space="0"/>
                    <w:right w:val="single" w:color="auto" w:sz="4" w:space="0"/>
                  </w:tcBorders>
                  <w:vAlign w:val="center"/>
                </w:tcPr>
                <w:p w14:paraId="5C186244">
                  <w:pPr>
                    <w:pStyle w:val="8"/>
                    <w:ind w:firstLine="0" w:firstLineChars="0"/>
                    <w:jc w:val="center"/>
                    <w:rPr>
                      <w:rFonts w:hint="default" w:ascii="Times New Roman" w:hAnsi="Times New Roman" w:cs="Times New Roman"/>
                    </w:rPr>
                  </w:pPr>
                  <w:r>
                    <w:rPr>
                      <w:rFonts w:hint="default" w:ascii="Times New Roman" w:hAnsi="Times New Roman" w:cs="Times New Roman"/>
                    </w:rPr>
                    <w:t>2.0</w:t>
                  </w:r>
                </w:p>
              </w:tc>
              <w:tc>
                <w:tcPr>
                  <w:tcW w:w="2298" w:type="dxa"/>
                  <w:vMerge w:val="restart"/>
                  <w:tcBorders>
                    <w:top w:val="nil"/>
                    <w:left w:val="nil"/>
                    <w:bottom w:val="single" w:color="auto" w:sz="4" w:space="0"/>
                    <w:right w:val="single" w:color="auto" w:sz="4" w:space="0"/>
                  </w:tcBorders>
                  <w:vAlign w:val="center"/>
                </w:tcPr>
                <w:p w14:paraId="2E7EBC39">
                  <w:pPr>
                    <w:pStyle w:val="8"/>
                    <w:ind w:firstLine="0" w:firstLineChars="0"/>
                    <w:jc w:val="center"/>
                    <w:rPr>
                      <w:rFonts w:hint="default" w:ascii="Times New Roman" w:hAnsi="Times New Roman" w:cs="Times New Roman"/>
                    </w:rPr>
                  </w:pPr>
                  <w:r>
                    <w:rPr>
                      <w:rFonts w:hint="default" w:ascii="Times New Roman" w:hAnsi="Times New Roman" w:cs="Times New Roman"/>
                    </w:rPr>
                    <w:t>《固定源挥发性有机物综合排放标准 第6部分：其他行业》（DB34 4812.6-2024)表1挥发性有机物基本污染物项目排放限值和</w:t>
                  </w:r>
                  <w:bookmarkStart w:id="3" w:name="OLE_LINK51"/>
                  <w:r>
                    <w:rPr>
                      <w:rFonts w:hint="default" w:ascii="Times New Roman" w:hAnsi="Times New Roman" w:cs="Times New Roman"/>
                    </w:rPr>
                    <w:t>表2挥发性有机物特征污染物项目排放限值</w:t>
                  </w:r>
                  <w:bookmarkEnd w:id="3"/>
                </w:p>
              </w:tc>
            </w:tr>
            <w:tr w14:paraId="2284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705E1275">
                  <w:pPr>
                    <w:pStyle w:val="8"/>
                    <w:ind w:firstLine="0" w:firstLineChars="0"/>
                    <w:jc w:val="center"/>
                    <w:rPr>
                      <w:rFonts w:hint="default" w:ascii="Times New Roman" w:hAnsi="Times New Roman" w:cs="Times New Roman"/>
                    </w:rPr>
                  </w:pPr>
                  <w:r>
                    <w:rPr>
                      <w:rFonts w:hint="default" w:ascii="Times New Roman" w:hAnsi="Times New Roman" w:cs="Times New Roman"/>
                    </w:rPr>
                    <w:t>2</w:t>
                  </w:r>
                </w:p>
              </w:tc>
              <w:tc>
                <w:tcPr>
                  <w:tcW w:w="1135" w:type="dxa"/>
                  <w:vMerge w:val="continue"/>
                  <w:tcBorders>
                    <w:top w:val="nil"/>
                    <w:left w:val="nil"/>
                    <w:bottom w:val="single" w:color="auto" w:sz="4" w:space="0"/>
                    <w:right w:val="single" w:color="auto" w:sz="4" w:space="0"/>
                  </w:tcBorders>
                  <w:vAlign w:val="center"/>
                </w:tcPr>
                <w:p w14:paraId="63F70A63">
                  <w:pPr>
                    <w:jc w:val="left"/>
                    <w:rPr>
                      <w:rFonts w:hint="default" w:ascii="Times New Roman" w:hAnsi="Times New Roman" w:cs="Times New Roman"/>
                      <w:szCs w:val="21"/>
                    </w:rPr>
                  </w:pPr>
                </w:p>
              </w:tc>
              <w:tc>
                <w:tcPr>
                  <w:tcW w:w="1202" w:type="dxa"/>
                  <w:tcBorders>
                    <w:top w:val="single" w:color="auto" w:sz="4" w:space="0"/>
                    <w:left w:val="nil"/>
                    <w:bottom w:val="single" w:color="auto" w:sz="4" w:space="0"/>
                    <w:right w:val="single" w:color="auto" w:sz="4" w:space="0"/>
                  </w:tcBorders>
                  <w:vAlign w:val="center"/>
                </w:tcPr>
                <w:p w14:paraId="175669C9">
                  <w:pPr>
                    <w:pStyle w:val="8"/>
                    <w:ind w:firstLine="0" w:firstLineChars="0"/>
                    <w:jc w:val="center"/>
                    <w:rPr>
                      <w:rFonts w:hint="default" w:ascii="Times New Roman" w:hAnsi="Times New Roman" w:cs="Times New Roman"/>
                    </w:rPr>
                  </w:pPr>
                  <w:r>
                    <w:rPr>
                      <w:rFonts w:hint="default" w:ascii="Times New Roman" w:hAnsi="Times New Roman" w:cs="Times New Roman"/>
                    </w:rPr>
                    <w:t>二甲苯</w:t>
                  </w:r>
                </w:p>
              </w:tc>
              <w:tc>
                <w:tcPr>
                  <w:tcW w:w="1350" w:type="dxa"/>
                  <w:tcBorders>
                    <w:top w:val="single" w:color="auto" w:sz="4" w:space="0"/>
                    <w:left w:val="nil"/>
                    <w:bottom w:val="single" w:color="auto" w:sz="4" w:space="0"/>
                    <w:right w:val="single" w:color="auto" w:sz="4" w:space="0"/>
                  </w:tcBorders>
                  <w:vAlign w:val="center"/>
                </w:tcPr>
                <w:p w14:paraId="6924F41F">
                  <w:pPr>
                    <w:pStyle w:val="8"/>
                    <w:ind w:firstLine="0" w:firstLineChars="0"/>
                    <w:jc w:val="center"/>
                    <w:rPr>
                      <w:rFonts w:hint="default" w:ascii="Times New Roman" w:hAnsi="Times New Roman" w:cs="Times New Roman"/>
                    </w:rPr>
                  </w:pPr>
                  <w:r>
                    <w:rPr>
                      <w:rFonts w:hint="default" w:ascii="Times New Roman" w:hAnsi="Times New Roman" w:cs="Times New Roman"/>
                    </w:rPr>
                    <w:t>20</w:t>
                  </w:r>
                </w:p>
              </w:tc>
              <w:tc>
                <w:tcPr>
                  <w:tcW w:w="1209" w:type="dxa"/>
                  <w:tcBorders>
                    <w:top w:val="single" w:color="auto" w:sz="4" w:space="0"/>
                    <w:left w:val="nil"/>
                    <w:bottom w:val="single" w:color="auto" w:sz="4" w:space="0"/>
                    <w:right w:val="single" w:color="auto" w:sz="4" w:space="0"/>
                  </w:tcBorders>
                  <w:vAlign w:val="center"/>
                </w:tcPr>
                <w:p w14:paraId="49B63AA1">
                  <w:pPr>
                    <w:pStyle w:val="8"/>
                    <w:ind w:firstLine="0" w:firstLineChars="0"/>
                    <w:jc w:val="center"/>
                    <w:rPr>
                      <w:rFonts w:hint="default" w:ascii="Times New Roman" w:hAnsi="Times New Roman" w:cs="Times New Roman"/>
                    </w:rPr>
                  </w:pPr>
                  <w:r>
                    <w:rPr>
                      <w:rFonts w:hint="default" w:ascii="Times New Roman" w:hAnsi="Times New Roman" w:cs="Times New Roman"/>
                    </w:rPr>
                    <w:t>1.6</w:t>
                  </w:r>
                </w:p>
              </w:tc>
              <w:tc>
                <w:tcPr>
                  <w:tcW w:w="2298" w:type="dxa"/>
                  <w:vMerge w:val="continue"/>
                  <w:tcBorders>
                    <w:top w:val="nil"/>
                    <w:left w:val="nil"/>
                    <w:bottom w:val="single" w:color="auto" w:sz="4" w:space="0"/>
                    <w:right w:val="single" w:color="auto" w:sz="4" w:space="0"/>
                  </w:tcBorders>
                  <w:vAlign w:val="center"/>
                </w:tcPr>
                <w:p w14:paraId="6EF40582">
                  <w:pPr>
                    <w:jc w:val="left"/>
                    <w:rPr>
                      <w:rFonts w:hint="default" w:ascii="Times New Roman" w:hAnsi="Times New Roman" w:cs="Times New Roman"/>
                      <w:szCs w:val="21"/>
                    </w:rPr>
                  </w:pPr>
                </w:p>
              </w:tc>
            </w:tr>
            <w:tr w14:paraId="6730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44309ADA">
                  <w:pPr>
                    <w:pStyle w:val="8"/>
                    <w:ind w:firstLine="0" w:firstLineChars="0"/>
                    <w:jc w:val="center"/>
                    <w:rPr>
                      <w:rFonts w:hint="default" w:ascii="Times New Roman" w:hAnsi="Times New Roman" w:cs="Times New Roman"/>
                    </w:rPr>
                  </w:pPr>
                  <w:r>
                    <w:rPr>
                      <w:rFonts w:hint="default" w:ascii="Times New Roman" w:hAnsi="Times New Roman" w:cs="Times New Roman"/>
                    </w:rPr>
                    <w:t>3</w:t>
                  </w:r>
                </w:p>
              </w:tc>
              <w:tc>
                <w:tcPr>
                  <w:tcW w:w="1135" w:type="dxa"/>
                  <w:tcBorders>
                    <w:top w:val="single" w:color="auto" w:sz="4" w:space="0"/>
                    <w:left w:val="nil"/>
                    <w:bottom w:val="single" w:color="auto" w:sz="4" w:space="0"/>
                    <w:right w:val="single" w:color="auto" w:sz="4" w:space="0"/>
                  </w:tcBorders>
                  <w:vAlign w:val="center"/>
                </w:tcPr>
                <w:p w14:paraId="17B176AA">
                  <w:pPr>
                    <w:pStyle w:val="8"/>
                    <w:ind w:firstLine="0" w:firstLineChars="0"/>
                    <w:jc w:val="center"/>
                    <w:rPr>
                      <w:rFonts w:hint="default" w:ascii="Times New Roman" w:hAnsi="Times New Roman" w:cs="Times New Roman"/>
                    </w:rPr>
                  </w:pPr>
                  <w:r>
                    <w:rPr>
                      <w:rFonts w:hint="default" w:ascii="Times New Roman" w:hAnsi="Times New Roman" w:cs="Times New Roman"/>
                    </w:rPr>
                    <w:t>喷漆、砂修、焊接、抛丸工序</w:t>
                  </w:r>
                </w:p>
              </w:tc>
              <w:tc>
                <w:tcPr>
                  <w:tcW w:w="1202" w:type="dxa"/>
                  <w:tcBorders>
                    <w:top w:val="single" w:color="auto" w:sz="4" w:space="0"/>
                    <w:left w:val="nil"/>
                    <w:bottom w:val="single" w:color="auto" w:sz="4" w:space="0"/>
                    <w:right w:val="single" w:color="auto" w:sz="4" w:space="0"/>
                  </w:tcBorders>
                  <w:vAlign w:val="center"/>
                </w:tcPr>
                <w:p w14:paraId="0E220697">
                  <w:pPr>
                    <w:pStyle w:val="8"/>
                    <w:ind w:firstLine="0" w:firstLineChars="0"/>
                    <w:jc w:val="center"/>
                    <w:rPr>
                      <w:rFonts w:hint="default" w:ascii="Times New Roman" w:hAnsi="Times New Roman" w:cs="Times New Roman"/>
                    </w:rPr>
                  </w:pPr>
                  <w:r>
                    <w:rPr>
                      <w:rFonts w:hint="default" w:ascii="Times New Roman" w:hAnsi="Times New Roman" w:cs="Times New Roman"/>
                    </w:rPr>
                    <w:t>颗粒物</w:t>
                  </w:r>
                </w:p>
              </w:tc>
              <w:tc>
                <w:tcPr>
                  <w:tcW w:w="1350" w:type="dxa"/>
                  <w:tcBorders>
                    <w:top w:val="single" w:color="auto" w:sz="4" w:space="0"/>
                    <w:left w:val="nil"/>
                    <w:bottom w:val="single" w:color="auto" w:sz="4" w:space="0"/>
                    <w:right w:val="single" w:color="auto" w:sz="4" w:space="0"/>
                  </w:tcBorders>
                  <w:vAlign w:val="center"/>
                </w:tcPr>
                <w:p w14:paraId="4A63967D">
                  <w:pPr>
                    <w:pStyle w:val="8"/>
                    <w:ind w:firstLine="0" w:firstLineChars="0"/>
                    <w:jc w:val="center"/>
                    <w:rPr>
                      <w:rFonts w:hint="default" w:ascii="Times New Roman" w:hAnsi="Times New Roman" w:cs="Times New Roman"/>
                    </w:rPr>
                  </w:pPr>
                  <w:r>
                    <w:rPr>
                      <w:rFonts w:hint="default" w:ascii="Times New Roman" w:hAnsi="Times New Roman" w:cs="Times New Roman"/>
                    </w:rPr>
                    <w:t>120</w:t>
                  </w:r>
                </w:p>
              </w:tc>
              <w:tc>
                <w:tcPr>
                  <w:tcW w:w="1209" w:type="dxa"/>
                  <w:tcBorders>
                    <w:top w:val="single" w:color="auto" w:sz="4" w:space="0"/>
                    <w:left w:val="nil"/>
                    <w:bottom w:val="single" w:color="auto" w:sz="4" w:space="0"/>
                    <w:right w:val="single" w:color="auto" w:sz="4" w:space="0"/>
                  </w:tcBorders>
                  <w:vAlign w:val="center"/>
                </w:tcPr>
                <w:p w14:paraId="699105C3">
                  <w:pPr>
                    <w:pStyle w:val="8"/>
                    <w:ind w:firstLine="0" w:firstLineChars="0"/>
                    <w:jc w:val="center"/>
                    <w:rPr>
                      <w:rFonts w:hint="default" w:ascii="Times New Roman" w:hAnsi="Times New Roman" w:cs="Times New Roman"/>
                    </w:rPr>
                  </w:pPr>
                  <w:r>
                    <w:rPr>
                      <w:rFonts w:hint="default" w:ascii="Times New Roman" w:hAnsi="Times New Roman" w:cs="Times New Roman"/>
                    </w:rPr>
                    <w:t>3.5</w:t>
                  </w:r>
                </w:p>
              </w:tc>
              <w:tc>
                <w:tcPr>
                  <w:tcW w:w="2298" w:type="dxa"/>
                  <w:tcBorders>
                    <w:top w:val="nil"/>
                    <w:left w:val="nil"/>
                    <w:bottom w:val="single" w:color="auto" w:sz="4" w:space="0"/>
                    <w:right w:val="single" w:color="auto" w:sz="4" w:space="0"/>
                  </w:tcBorders>
                  <w:vAlign w:val="center"/>
                </w:tcPr>
                <w:p w14:paraId="7B96E732">
                  <w:pPr>
                    <w:jc w:val="center"/>
                    <w:rPr>
                      <w:rFonts w:hint="default" w:ascii="Times New Roman" w:hAnsi="Times New Roman" w:cs="Times New Roman"/>
                    </w:rPr>
                  </w:pPr>
                  <w:r>
                    <w:rPr>
                      <w:rFonts w:hint="default" w:ascii="Times New Roman" w:hAnsi="Times New Roman" w:cs="Times New Roman"/>
                      <w:bCs/>
                    </w:rPr>
                    <w:t>《大气污染物综合排放标准》（GB16297-1996)表2新污染源大气污染物排放限值中二级标准的排放限值</w:t>
                  </w:r>
                </w:p>
              </w:tc>
            </w:tr>
            <w:tr w14:paraId="0238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4924376D">
                  <w:pPr>
                    <w:pStyle w:val="8"/>
                    <w:ind w:firstLine="0" w:firstLineChars="0"/>
                    <w:jc w:val="center"/>
                    <w:rPr>
                      <w:rFonts w:hint="default" w:ascii="Times New Roman" w:hAnsi="Times New Roman" w:cs="Times New Roman"/>
                    </w:rPr>
                  </w:pPr>
                  <w:r>
                    <w:rPr>
                      <w:rFonts w:hint="default" w:ascii="Times New Roman" w:hAnsi="Times New Roman" w:cs="Times New Roman"/>
                    </w:rPr>
                    <w:t>4</w:t>
                  </w:r>
                </w:p>
              </w:tc>
              <w:tc>
                <w:tcPr>
                  <w:tcW w:w="1135" w:type="dxa"/>
                  <w:vMerge w:val="restart"/>
                  <w:tcBorders>
                    <w:top w:val="nil"/>
                    <w:left w:val="nil"/>
                    <w:bottom w:val="single" w:color="auto" w:sz="4" w:space="0"/>
                    <w:right w:val="single" w:color="auto" w:sz="4" w:space="0"/>
                  </w:tcBorders>
                  <w:vAlign w:val="center"/>
                </w:tcPr>
                <w:p w14:paraId="0D6F3767">
                  <w:pPr>
                    <w:pStyle w:val="8"/>
                    <w:ind w:firstLine="0" w:firstLineChars="0"/>
                    <w:jc w:val="center"/>
                    <w:rPr>
                      <w:rFonts w:hint="default" w:ascii="Times New Roman" w:hAnsi="Times New Roman" w:cs="Times New Roman"/>
                    </w:rPr>
                  </w:pPr>
                  <w:r>
                    <w:rPr>
                      <w:rFonts w:hint="default" w:ascii="Times New Roman" w:hAnsi="Times New Roman" w:cs="Times New Roman"/>
                    </w:rPr>
                    <w:t>丙烷燃烧器工序</w:t>
                  </w:r>
                </w:p>
              </w:tc>
              <w:tc>
                <w:tcPr>
                  <w:tcW w:w="1202" w:type="dxa"/>
                  <w:tcBorders>
                    <w:top w:val="single" w:color="auto" w:sz="4" w:space="0"/>
                    <w:left w:val="nil"/>
                    <w:bottom w:val="single" w:color="auto" w:sz="4" w:space="0"/>
                    <w:right w:val="single" w:color="auto" w:sz="4" w:space="0"/>
                  </w:tcBorders>
                  <w:vAlign w:val="center"/>
                </w:tcPr>
                <w:p w14:paraId="7EAD25FC">
                  <w:pPr>
                    <w:pStyle w:val="8"/>
                    <w:ind w:firstLine="0" w:firstLineChars="0"/>
                    <w:jc w:val="center"/>
                    <w:rPr>
                      <w:rFonts w:hint="default" w:ascii="Times New Roman" w:hAnsi="Times New Roman" w:cs="Times New Roman"/>
                    </w:rPr>
                  </w:pPr>
                  <w:r>
                    <w:rPr>
                      <w:rFonts w:hint="default" w:ascii="Times New Roman" w:hAnsi="Times New Roman" w:cs="Times New Roman"/>
                    </w:rPr>
                    <w:t>颗粒物</w:t>
                  </w:r>
                </w:p>
              </w:tc>
              <w:tc>
                <w:tcPr>
                  <w:tcW w:w="1350" w:type="dxa"/>
                  <w:tcBorders>
                    <w:top w:val="single" w:color="auto" w:sz="4" w:space="0"/>
                    <w:left w:val="nil"/>
                    <w:bottom w:val="single" w:color="auto" w:sz="4" w:space="0"/>
                    <w:right w:val="single" w:color="auto" w:sz="4" w:space="0"/>
                  </w:tcBorders>
                  <w:vAlign w:val="center"/>
                </w:tcPr>
                <w:p w14:paraId="53971DE5">
                  <w:pPr>
                    <w:pStyle w:val="8"/>
                    <w:ind w:firstLine="0" w:firstLineChars="0"/>
                    <w:jc w:val="center"/>
                    <w:rPr>
                      <w:rFonts w:hint="default" w:ascii="Times New Roman" w:hAnsi="Times New Roman" w:cs="Times New Roman"/>
                    </w:rPr>
                  </w:pPr>
                  <w:r>
                    <w:rPr>
                      <w:rFonts w:hint="default" w:ascii="Times New Roman" w:hAnsi="Times New Roman" w:cs="Times New Roman"/>
                    </w:rPr>
                    <w:t>30</w:t>
                  </w:r>
                </w:p>
              </w:tc>
              <w:tc>
                <w:tcPr>
                  <w:tcW w:w="1209" w:type="dxa"/>
                  <w:tcBorders>
                    <w:top w:val="single" w:color="auto" w:sz="4" w:space="0"/>
                    <w:left w:val="nil"/>
                    <w:bottom w:val="single" w:color="auto" w:sz="4" w:space="0"/>
                    <w:right w:val="single" w:color="auto" w:sz="4" w:space="0"/>
                  </w:tcBorders>
                  <w:vAlign w:val="center"/>
                </w:tcPr>
                <w:p w14:paraId="6762C304">
                  <w:pPr>
                    <w:jc w:val="center"/>
                    <w:rPr>
                      <w:rFonts w:hint="default" w:ascii="Times New Roman" w:hAnsi="Times New Roman" w:cs="Times New Roman"/>
                    </w:rPr>
                  </w:pPr>
                  <w:r>
                    <w:rPr>
                      <w:rFonts w:hint="default" w:ascii="Times New Roman" w:hAnsi="Times New Roman" w:cs="Times New Roman"/>
                    </w:rPr>
                    <w:t>/</w:t>
                  </w:r>
                </w:p>
              </w:tc>
              <w:tc>
                <w:tcPr>
                  <w:tcW w:w="2298" w:type="dxa"/>
                  <w:vMerge w:val="restart"/>
                  <w:tcBorders>
                    <w:top w:val="nil"/>
                    <w:left w:val="nil"/>
                    <w:bottom w:val="single" w:color="auto" w:sz="4" w:space="0"/>
                    <w:right w:val="single" w:color="auto" w:sz="4" w:space="0"/>
                  </w:tcBorders>
                  <w:vAlign w:val="center"/>
                </w:tcPr>
                <w:p w14:paraId="52E04EB6">
                  <w:pPr>
                    <w:pStyle w:val="8"/>
                    <w:ind w:firstLine="0" w:firstLineChars="0"/>
                    <w:jc w:val="center"/>
                    <w:rPr>
                      <w:rFonts w:hint="default" w:ascii="Times New Roman" w:hAnsi="Times New Roman" w:cs="Times New Roman"/>
                    </w:rPr>
                  </w:pPr>
                  <w:r>
                    <w:rPr>
                      <w:rFonts w:hint="default" w:ascii="Times New Roman" w:hAnsi="Times New Roman" w:cs="Times New Roman"/>
                    </w:rPr>
                    <w:t>《工业炉窑大气污染综合治理方案》（环大气〔2019〕56号）</w:t>
                  </w:r>
                </w:p>
              </w:tc>
            </w:tr>
            <w:tr w14:paraId="4527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4DF7A84F">
                  <w:pPr>
                    <w:pStyle w:val="8"/>
                    <w:ind w:firstLine="0" w:firstLineChars="0"/>
                    <w:jc w:val="center"/>
                    <w:rPr>
                      <w:rFonts w:hint="default" w:ascii="Times New Roman" w:hAnsi="Times New Roman" w:cs="Times New Roman"/>
                    </w:rPr>
                  </w:pPr>
                  <w:r>
                    <w:rPr>
                      <w:rFonts w:hint="default" w:ascii="Times New Roman" w:hAnsi="Times New Roman" w:cs="Times New Roman"/>
                    </w:rPr>
                    <w:t>5</w:t>
                  </w:r>
                </w:p>
              </w:tc>
              <w:tc>
                <w:tcPr>
                  <w:tcW w:w="1135" w:type="dxa"/>
                  <w:vMerge w:val="continue"/>
                  <w:tcBorders>
                    <w:top w:val="nil"/>
                    <w:left w:val="nil"/>
                    <w:bottom w:val="single" w:color="auto" w:sz="4" w:space="0"/>
                    <w:right w:val="single" w:color="auto" w:sz="4" w:space="0"/>
                  </w:tcBorders>
                  <w:vAlign w:val="center"/>
                </w:tcPr>
                <w:p w14:paraId="3100C308">
                  <w:pPr>
                    <w:jc w:val="left"/>
                    <w:rPr>
                      <w:rFonts w:hint="default" w:ascii="Times New Roman" w:hAnsi="Times New Roman" w:cs="Times New Roman"/>
                      <w:szCs w:val="21"/>
                    </w:rPr>
                  </w:pPr>
                </w:p>
              </w:tc>
              <w:tc>
                <w:tcPr>
                  <w:tcW w:w="1202" w:type="dxa"/>
                  <w:tcBorders>
                    <w:top w:val="single" w:color="auto" w:sz="4" w:space="0"/>
                    <w:left w:val="nil"/>
                    <w:bottom w:val="single" w:color="auto" w:sz="4" w:space="0"/>
                    <w:right w:val="single" w:color="auto" w:sz="4" w:space="0"/>
                  </w:tcBorders>
                  <w:vAlign w:val="center"/>
                </w:tcPr>
                <w:p w14:paraId="0546DCB5">
                  <w:pPr>
                    <w:pStyle w:val="8"/>
                    <w:ind w:firstLine="0" w:firstLineChars="0"/>
                    <w:jc w:val="center"/>
                    <w:rPr>
                      <w:rFonts w:hint="default" w:ascii="Times New Roman" w:hAnsi="Times New Roman" w:cs="Times New Roman"/>
                    </w:rPr>
                  </w:pPr>
                  <w:r>
                    <w:rPr>
                      <w:rFonts w:hint="default" w:ascii="Times New Roman" w:hAnsi="Times New Roman" w:cs="Times New Roman"/>
                    </w:rPr>
                    <w:t>二氧化硫</w:t>
                  </w:r>
                </w:p>
              </w:tc>
              <w:tc>
                <w:tcPr>
                  <w:tcW w:w="1350" w:type="dxa"/>
                  <w:tcBorders>
                    <w:top w:val="single" w:color="auto" w:sz="4" w:space="0"/>
                    <w:left w:val="nil"/>
                    <w:bottom w:val="single" w:color="auto" w:sz="4" w:space="0"/>
                    <w:right w:val="single" w:color="auto" w:sz="4" w:space="0"/>
                  </w:tcBorders>
                  <w:vAlign w:val="center"/>
                </w:tcPr>
                <w:p w14:paraId="0A8DB438">
                  <w:pPr>
                    <w:pStyle w:val="8"/>
                    <w:ind w:firstLine="0" w:firstLineChars="0"/>
                    <w:jc w:val="center"/>
                    <w:rPr>
                      <w:rFonts w:hint="default" w:ascii="Times New Roman" w:hAnsi="Times New Roman" w:cs="Times New Roman"/>
                    </w:rPr>
                  </w:pPr>
                  <w:r>
                    <w:rPr>
                      <w:rFonts w:hint="default" w:ascii="Times New Roman" w:hAnsi="Times New Roman" w:cs="Times New Roman"/>
                    </w:rPr>
                    <w:t>200</w:t>
                  </w:r>
                </w:p>
              </w:tc>
              <w:tc>
                <w:tcPr>
                  <w:tcW w:w="1209" w:type="dxa"/>
                  <w:tcBorders>
                    <w:top w:val="single" w:color="auto" w:sz="4" w:space="0"/>
                    <w:left w:val="nil"/>
                    <w:bottom w:val="single" w:color="auto" w:sz="4" w:space="0"/>
                    <w:right w:val="single" w:color="auto" w:sz="4" w:space="0"/>
                  </w:tcBorders>
                  <w:vAlign w:val="center"/>
                </w:tcPr>
                <w:p w14:paraId="79477F1D">
                  <w:pPr>
                    <w:jc w:val="center"/>
                    <w:rPr>
                      <w:rFonts w:hint="default" w:ascii="Times New Roman" w:hAnsi="Times New Roman" w:cs="Times New Roman"/>
                    </w:rPr>
                  </w:pPr>
                  <w:r>
                    <w:rPr>
                      <w:rFonts w:hint="default" w:ascii="Times New Roman" w:hAnsi="Times New Roman" w:cs="Times New Roman"/>
                    </w:rPr>
                    <w:t>/</w:t>
                  </w:r>
                </w:p>
              </w:tc>
              <w:tc>
                <w:tcPr>
                  <w:tcW w:w="2298" w:type="dxa"/>
                  <w:vMerge w:val="continue"/>
                  <w:tcBorders>
                    <w:top w:val="nil"/>
                    <w:left w:val="nil"/>
                    <w:bottom w:val="single" w:color="auto" w:sz="4" w:space="0"/>
                    <w:right w:val="single" w:color="auto" w:sz="4" w:space="0"/>
                  </w:tcBorders>
                  <w:vAlign w:val="center"/>
                </w:tcPr>
                <w:p w14:paraId="46E47345">
                  <w:pPr>
                    <w:jc w:val="left"/>
                    <w:rPr>
                      <w:rFonts w:hint="default" w:ascii="Times New Roman" w:hAnsi="Times New Roman" w:cs="Times New Roman"/>
                      <w:szCs w:val="21"/>
                    </w:rPr>
                  </w:pPr>
                </w:p>
              </w:tc>
            </w:tr>
            <w:tr w14:paraId="08FC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04883F5E">
                  <w:pPr>
                    <w:pStyle w:val="8"/>
                    <w:ind w:firstLine="0" w:firstLineChars="0"/>
                    <w:jc w:val="center"/>
                    <w:rPr>
                      <w:rFonts w:hint="default" w:ascii="Times New Roman" w:hAnsi="Times New Roman" w:cs="Times New Roman"/>
                    </w:rPr>
                  </w:pPr>
                  <w:r>
                    <w:rPr>
                      <w:rFonts w:hint="default" w:ascii="Times New Roman" w:hAnsi="Times New Roman" w:cs="Times New Roman"/>
                    </w:rPr>
                    <w:t>6</w:t>
                  </w:r>
                </w:p>
              </w:tc>
              <w:tc>
                <w:tcPr>
                  <w:tcW w:w="1135" w:type="dxa"/>
                  <w:vMerge w:val="continue"/>
                  <w:tcBorders>
                    <w:top w:val="nil"/>
                    <w:left w:val="nil"/>
                    <w:bottom w:val="single" w:color="auto" w:sz="4" w:space="0"/>
                    <w:right w:val="single" w:color="auto" w:sz="4" w:space="0"/>
                  </w:tcBorders>
                  <w:vAlign w:val="center"/>
                </w:tcPr>
                <w:p w14:paraId="79F3BB28">
                  <w:pPr>
                    <w:jc w:val="left"/>
                    <w:rPr>
                      <w:rFonts w:hint="default" w:ascii="Times New Roman" w:hAnsi="Times New Roman" w:cs="Times New Roman"/>
                      <w:szCs w:val="21"/>
                    </w:rPr>
                  </w:pPr>
                </w:p>
              </w:tc>
              <w:tc>
                <w:tcPr>
                  <w:tcW w:w="1202" w:type="dxa"/>
                  <w:tcBorders>
                    <w:top w:val="single" w:color="auto" w:sz="4" w:space="0"/>
                    <w:left w:val="nil"/>
                    <w:bottom w:val="single" w:color="auto" w:sz="4" w:space="0"/>
                    <w:right w:val="single" w:color="auto" w:sz="4" w:space="0"/>
                  </w:tcBorders>
                  <w:vAlign w:val="center"/>
                </w:tcPr>
                <w:p w14:paraId="165FEEB6">
                  <w:pPr>
                    <w:pStyle w:val="8"/>
                    <w:ind w:firstLine="0" w:firstLineChars="0"/>
                    <w:jc w:val="center"/>
                    <w:rPr>
                      <w:rFonts w:hint="default" w:ascii="Times New Roman" w:hAnsi="Times New Roman" w:cs="Times New Roman"/>
                    </w:rPr>
                  </w:pPr>
                  <w:r>
                    <w:rPr>
                      <w:rFonts w:hint="default" w:ascii="Times New Roman" w:hAnsi="Times New Roman" w:cs="Times New Roman"/>
                    </w:rPr>
                    <w:t>氮氧化物</w:t>
                  </w:r>
                </w:p>
              </w:tc>
              <w:tc>
                <w:tcPr>
                  <w:tcW w:w="1350" w:type="dxa"/>
                  <w:tcBorders>
                    <w:top w:val="single" w:color="auto" w:sz="4" w:space="0"/>
                    <w:left w:val="nil"/>
                    <w:bottom w:val="single" w:color="auto" w:sz="4" w:space="0"/>
                    <w:right w:val="single" w:color="auto" w:sz="4" w:space="0"/>
                  </w:tcBorders>
                  <w:vAlign w:val="center"/>
                </w:tcPr>
                <w:p w14:paraId="79557549">
                  <w:pPr>
                    <w:pStyle w:val="8"/>
                    <w:ind w:firstLine="0" w:firstLineChars="0"/>
                    <w:jc w:val="center"/>
                    <w:rPr>
                      <w:rFonts w:hint="default" w:ascii="Times New Roman" w:hAnsi="Times New Roman" w:cs="Times New Roman"/>
                    </w:rPr>
                  </w:pPr>
                  <w:r>
                    <w:rPr>
                      <w:rFonts w:hint="default" w:ascii="Times New Roman" w:hAnsi="Times New Roman" w:cs="Times New Roman"/>
                    </w:rPr>
                    <w:t>300</w:t>
                  </w:r>
                </w:p>
              </w:tc>
              <w:tc>
                <w:tcPr>
                  <w:tcW w:w="1209" w:type="dxa"/>
                  <w:tcBorders>
                    <w:top w:val="single" w:color="auto" w:sz="4" w:space="0"/>
                    <w:left w:val="nil"/>
                    <w:bottom w:val="single" w:color="auto" w:sz="4" w:space="0"/>
                    <w:right w:val="single" w:color="auto" w:sz="4" w:space="0"/>
                  </w:tcBorders>
                  <w:vAlign w:val="center"/>
                </w:tcPr>
                <w:p w14:paraId="5E81620F">
                  <w:pPr>
                    <w:jc w:val="center"/>
                    <w:rPr>
                      <w:rFonts w:hint="default" w:ascii="Times New Roman" w:hAnsi="Times New Roman" w:cs="Times New Roman"/>
                    </w:rPr>
                  </w:pPr>
                  <w:r>
                    <w:rPr>
                      <w:rFonts w:hint="default" w:ascii="Times New Roman" w:hAnsi="Times New Roman" w:cs="Times New Roman"/>
                    </w:rPr>
                    <w:t>/</w:t>
                  </w:r>
                </w:p>
              </w:tc>
              <w:tc>
                <w:tcPr>
                  <w:tcW w:w="2298" w:type="dxa"/>
                  <w:vMerge w:val="continue"/>
                  <w:tcBorders>
                    <w:top w:val="nil"/>
                    <w:left w:val="nil"/>
                    <w:bottom w:val="single" w:color="auto" w:sz="4" w:space="0"/>
                    <w:right w:val="single" w:color="auto" w:sz="4" w:space="0"/>
                  </w:tcBorders>
                  <w:vAlign w:val="center"/>
                </w:tcPr>
                <w:p w14:paraId="249BD30F">
                  <w:pPr>
                    <w:jc w:val="left"/>
                    <w:rPr>
                      <w:rFonts w:hint="default" w:ascii="Times New Roman" w:hAnsi="Times New Roman" w:cs="Times New Roman"/>
                      <w:szCs w:val="21"/>
                    </w:rPr>
                  </w:pPr>
                </w:p>
              </w:tc>
            </w:tr>
            <w:tr w14:paraId="77D3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6247559D">
                  <w:pPr>
                    <w:pStyle w:val="8"/>
                    <w:ind w:firstLine="0" w:firstLineChars="0"/>
                    <w:jc w:val="center"/>
                    <w:rPr>
                      <w:rFonts w:hint="default" w:ascii="Times New Roman" w:hAnsi="Times New Roman" w:cs="Times New Roman"/>
                    </w:rPr>
                  </w:pPr>
                  <w:r>
                    <w:rPr>
                      <w:rFonts w:hint="default" w:ascii="Times New Roman" w:hAnsi="Times New Roman" w:cs="Times New Roman"/>
                    </w:rPr>
                    <w:t>7</w:t>
                  </w:r>
                </w:p>
              </w:tc>
              <w:tc>
                <w:tcPr>
                  <w:tcW w:w="1135" w:type="dxa"/>
                  <w:vMerge w:val="restart"/>
                  <w:tcBorders>
                    <w:top w:val="nil"/>
                    <w:left w:val="nil"/>
                    <w:bottom w:val="single" w:color="auto" w:sz="4" w:space="0"/>
                    <w:right w:val="single" w:color="auto" w:sz="4" w:space="0"/>
                  </w:tcBorders>
                  <w:vAlign w:val="center"/>
                </w:tcPr>
                <w:p w14:paraId="65AC6204">
                  <w:pPr>
                    <w:pStyle w:val="8"/>
                    <w:ind w:firstLine="0" w:firstLineChars="0"/>
                    <w:jc w:val="center"/>
                    <w:rPr>
                      <w:rFonts w:hint="default" w:ascii="Times New Roman" w:hAnsi="Times New Roman" w:cs="Times New Roman"/>
                    </w:rPr>
                  </w:pPr>
                  <w:r>
                    <w:rPr>
                      <w:rFonts w:hint="default" w:ascii="Times New Roman" w:hAnsi="Times New Roman" w:cs="Times New Roman"/>
                    </w:rPr>
                    <w:t>喷粉、固化工序</w:t>
                  </w:r>
                </w:p>
              </w:tc>
              <w:tc>
                <w:tcPr>
                  <w:tcW w:w="1202" w:type="dxa"/>
                  <w:tcBorders>
                    <w:top w:val="single" w:color="auto" w:sz="4" w:space="0"/>
                    <w:left w:val="nil"/>
                    <w:bottom w:val="single" w:color="auto" w:sz="4" w:space="0"/>
                    <w:right w:val="single" w:color="auto" w:sz="4" w:space="0"/>
                  </w:tcBorders>
                  <w:vAlign w:val="center"/>
                </w:tcPr>
                <w:p w14:paraId="21392891">
                  <w:pPr>
                    <w:pStyle w:val="8"/>
                    <w:ind w:firstLine="0" w:firstLineChars="0"/>
                    <w:jc w:val="center"/>
                    <w:rPr>
                      <w:rFonts w:hint="default" w:ascii="Times New Roman" w:hAnsi="Times New Roman" w:cs="Times New Roman"/>
                    </w:rPr>
                  </w:pPr>
                  <w:r>
                    <w:rPr>
                      <w:rFonts w:hint="default" w:ascii="Times New Roman" w:hAnsi="Times New Roman" w:cs="Times New Roman"/>
                    </w:rPr>
                    <w:t>颗粒物</w:t>
                  </w:r>
                </w:p>
              </w:tc>
              <w:tc>
                <w:tcPr>
                  <w:tcW w:w="1350" w:type="dxa"/>
                  <w:tcBorders>
                    <w:top w:val="single" w:color="auto" w:sz="4" w:space="0"/>
                    <w:left w:val="nil"/>
                    <w:bottom w:val="single" w:color="auto" w:sz="4" w:space="0"/>
                    <w:right w:val="single" w:color="auto" w:sz="4" w:space="0"/>
                  </w:tcBorders>
                  <w:vAlign w:val="center"/>
                </w:tcPr>
                <w:p w14:paraId="28D618D8">
                  <w:pPr>
                    <w:pStyle w:val="8"/>
                    <w:ind w:firstLine="0" w:firstLineChars="0"/>
                    <w:jc w:val="center"/>
                    <w:rPr>
                      <w:rFonts w:hint="default" w:ascii="Times New Roman" w:hAnsi="Times New Roman" w:cs="Times New Roman"/>
                    </w:rPr>
                  </w:pPr>
                  <w:r>
                    <w:rPr>
                      <w:rFonts w:hint="default" w:ascii="Times New Roman" w:hAnsi="Times New Roman" w:cs="Times New Roman"/>
                    </w:rPr>
                    <w:t>20</w:t>
                  </w:r>
                </w:p>
              </w:tc>
              <w:tc>
                <w:tcPr>
                  <w:tcW w:w="1209" w:type="dxa"/>
                  <w:tcBorders>
                    <w:top w:val="single" w:color="auto" w:sz="4" w:space="0"/>
                    <w:left w:val="nil"/>
                    <w:bottom w:val="single" w:color="auto" w:sz="4" w:space="0"/>
                    <w:right w:val="single" w:color="auto" w:sz="4" w:space="0"/>
                  </w:tcBorders>
                  <w:vAlign w:val="center"/>
                </w:tcPr>
                <w:p w14:paraId="3883EBF6">
                  <w:pPr>
                    <w:jc w:val="center"/>
                    <w:rPr>
                      <w:rFonts w:hint="default" w:ascii="Times New Roman" w:hAnsi="Times New Roman" w:cs="Times New Roman"/>
                    </w:rPr>
                  </w:pPr>
                  <w:r>
                    <w:rPr>
                      <w:rFonts w:hint="default" w:ascii="Times New Roman" w:hAnsi="Times New Roman" w:cs="Times New Roman"/>
                    </w:rPr>
                    <w:t>/</w:t>
                  </w:r>
                </w:p>
              </w:tc>
              <w:tc>
                <w:tcPr>
                  <w:tcW w:w="2298" w:type="dxa"/>
                  <w:tcBorders>
                    <w:top w:val="single" w:color="auto" w:sz="4" w:space="0"/>
                    <w:left w:val="nil"/>
                    <w:bottom w:val="single" w:color="auto" w:sz="4" w:space="0"/>
                    <w:right w:val="single" w:color="auto" w:sz="4" w:space="0"/>
                  </w:tcBorders>
                  <w:vAlign w:val="center"/>
                </w:tcPr>
                <w:p w14:paraId="38001FDF">
                  <w:pPr>
                    <w:jc w:val="center"/>
                    <w:rPr>
                      <w:rFonts w:hint="default" w:ascii="Times New Roman" w:hAnsi="Times New Roman" w:cs="Times New Roman"/>
                    </w:rPr>
                  </w:pPr>
                  <w:r>
                    <w:rPr>
                      <w:rFonts w:hint="default" w:ascii="Times New Roman" w:hAnsi="Times New Roman" w:cs="Times New Roman"/>
                    </w:rPr>
                    <w:t>《合成树脂工业污染物排放标准》（GB31572-2015）表5中规定的限值</w:t>
                  </w:r>
                </w:p>
              </w:tc>
            </w:tr>
            <w:tr w14:paraId="3A77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0" w:type="dxa"/>
                  <w:tcBorders>
                    <w:top w:val="single" w:color="auto" w:sz="4" w:space="0"/>
                    <w:left w:val="single" w:color="auto" w:sz="4" w:space="0"/>
                    <w:bottom w:val="single" w:color="auto" w:sz="4" w:space="0"/>
                    <w:right w:val="single" w:color="auto" w:sz="4" w:space="0"/>
                  </w:tcBorders>
                  <w:vAlign w:val="center"/>
                </w:tcPr>
                <w:p w14:paraId="0A517963">
                  <w:pPr>
                    <w:pStyle w:val="8"/>
                    <w:ind w:firstLine="0" w:firstLineChars="0"/>
                    <w:jc w:val="center"/>
                    <w:rPr>
                      <w:rFonts w:hint="default" w:ascii="Times New Roman" w:hAnsi="Times New Roman" w:cs="Times New Roman"/>
                    </w:rPr>
                  </w:pPr>
                  <w:r>
                    <w:rPr>
                      <w:rFonts w:hint="default" w:ascii="Times New Roman" w:hAnsi="Times New Roman" w:cs="Times New Roman"/>
                    </w:rPr>
                    <w:t>8</w:t>
                  </w:r>
                </w:p>
              </w:tc>
              <w:tc>
                <w:tcPr>
                  <w:tcW w:w="1135" w:type="dxa"/>
                  <w:vMerge w:val="continue"/>
                  <w:tcBorders>
                    <w:top w:val="nil"/>
                    <w:left w:val="nil"/>
                    <w:bottom w:val="single" w:color="auto" w:sz="4" w:space="0"/>
                    <w:right w:val="single" w:color="auto" w:sz="4" w:space="0"/>
                  </w:tcBorders>
                  <w:vAlign w:val="center"/>
                </w:tcPr>
                <w:p w14:paraId="72AA7CF0">
                  <w:pPr>
                    <w:jc w:val="left"/>
                    <w:rPr>
                      <w:rFonts w:hint="default" w:ascii="Times New Roman" w:hAnsi="Times New Roman" w:cs="Times New Roman"/>
                      <w:szCs w:val="21"/>
                    </w:rPr>
                  </w:pPr>
                </w:p>
              </w:tc>
              <w:tc>
                <w:tcPr>
                  <w:tcW w:w="1202" w:type="dxa"/>
                  <w:tcBorders>
                    <w:top w:val="single" w:color="auto" w:sz="4" w:space="0"/>
                    <w:left w:val="nil"/>
                    <w:bottom w:val="single" w:color="auto" w:sz="4" w:space="0"/>
                    <w:right w:val="single" w:color="auto" w:sz="4" w:space="0"/>
                  </w:tcBorders>
                  <w:vAlign w:val="center"/>
                </w:tcPr>
                <w:p w14:paraId="11880950">
                  <w:pPr>
                    <w:pStyle w:val="8"/>
                    <w:ind w:firstLine="0" w:firstLineChars="0"/>
                    <w:jc w:val="center"/>
                    <w:rPr>
                      <w:rFonts w:hint="default" w:ascii="Times New Roman" w:hAnsi="Times New Roman" w:cs="Times New Roman"/>
                    </w:rPr>
                  </w:pPr>
                  <w:r>
                    <w:rPr>
                      <w:rFonts w:hint="default" w:ascii="Times New Roman" w:hAnsi="Times New Roman" w:cs="Times New Roman"/>
                    </w:rPr>
                    <w:t>非甲烷总烃</w:t>
                  </w:r>
                </w:p>
              </w:tc>
              <w:tc>
                <w:tcPr>
                  <w:tcW w:w="1350" w:type="dxa"/>
                  <w:tcBorders>
                    <w:top w:val="single" w:color="auto" w:sz="4" w:space="0"/>
                    <w:left w:val="nil"/>
                    <w:bottom w:val="single" w:color="auto" w:sz="4" w:space="0"/>
                    <w:right w:val="single" w:color="auto" w:sz="4" w:space="0"/>
                  </w:tcBorders>
                  <w:vAlign w:val="center"/>
                </w:tcPr>
                <w:p w14:paraId="2AD9FAEF">
                  <w:pPr>
                    <w:pStyle w:val="8"/>
                    <w:ind w:firstLine="0" w:firstLineChars="0"/>
                    <w:jc w:val="center"/>
                    <w:rPr>
                      <w:rFonts w:hint="default" w:ascii="Times New Roman" w:hAnsi="Times New Roman" w:cs="Times New Roman"/>
                    </w:rPr>
                  </w:pPr>
                  <w:r>
                    <w:rPr>
                      <w:rFonts w:hint="default" w:ascii="Times New Roman" w:hAnsi="Times New Roman" w:cs="Times New Roman"/>
                    </w:rPr>
                    <w:t>60</w:t>
                  </w:r>
                </w:p>
              </w:tc>
              <w:tc>
                <w:tcPr>
                  <w:tcW w:w="1209" w:type="dxa"/>
                  <w:tcBorders>
                    <w:top w:val="single" w:color="auto" w:sz="4" w:space="0"/>
                    <w:left w:val="nil"/>
                    <w:bottom w:val="single" w:color="auto" w:sz="4" w:space="0"/>
                    <w:right w:val="single" w:color="auto" w:sz="4" w:space="0"/>
                  </w:tcBorders>
                  <w:vAlign w:val="center"/>
                </w:tcPr>
                <w:p w14:paraId="077C777F">
                  <w:pPr>
                    <w:jc w:val="center"/>
                    <w:rPr>
                      <w:rFonts w:hint="default" w:ascii="Times New Roman" w:hAnsi="Times New Roman" w:cs="Times New Roman"/>
                    </w:rPr>
                  </w:pPr>
                  <w:r>
                    <w:rPr>
                      <w:rFonts w:hint="default" w:ascii="Times New Roman" w:hAnsi="Times New Roman" w:cs="Times New Roman"/>
                    </w:rPr>
                    <w:t>2.0</w:t>
                  </w:r>
                </w:p>
              </w:tc>
              <w:tc>
                <w:tcPr>
                  <w:tcW w:w="2298" w:type="dxa"/>
                  <w:tcBorders>
                    <w:top w:val="single" w:color="auto" w:sz="4" w:space="0"/>
                    <w:left w:val="nil"/>
                    <w:bottom w:val="single" w:color="auto" w:sz="4" w:space="0"/>
                    <w:right w:val="single" w:color="auto" w:sz="4" w:space="0"/>
                  </w:tcBorders>
                  <w:vAlign w:val="center"/>
                </w:tcPr>
                <w:p w14:paraId="4D01005A">
                  <w:pPr>
                    <w:jc w:val="center"/>
                    <w:rPr>
                      <w:rFonts w:hint="default" w:ascii="Times New Roman" w:hAnsi="Times New Roman" w:cs="Times New Roman"/>
                    </w:rPr>
                  </w:pPr>
                  <w:r>
                    <w:rPr>
                      <w:rFonts w:hint="default" w:ascii="Times New Roman" w:hAnsi="Times New Roman" w:cs="Times New Roman"/>
                    </w:rPr>
                    <w:t>《固定源挥发性有机物综合排放标准 第6部分：其他行业》（DB34 4812.6-2024)表1挥发性有机物基本污染物项目排放限值</w:t>
                  </w:r>
                </w:p>
              </w:tc>
            </w:tr>
          </w:tbl>
          <w:p w14:paraId="118CDCEF">
            <w:pPr>
              <w:widowControl w:val="0"/>
              <w:spacing w:line="360" w:lineRule="auto"/>
              <w:ind w:firstLine="482"/>
              <w:jc w:val="center"/>
              <w:rPr>
                <w:rFonts w:hint="default" w:ascii="Times New Roman" w:hAnsi="Times New Roman" w:cs="Times New Roman"/>
                <w:sz w:val="24"/>
                <w:szCs w:val="24"/>
              </w:rPr>
            </w:pPr>
            <w:r>
              <w:rPr>
                <w:rFonts w:hint="default" w:ascii="Times New Roman" w:hAnsi="Times New Roman" w:cs="Times New Roman"/>
                <w:b/>
                <w:bCs/>
                <w:sz w:val="24"/>
                <w:szCs w:val="24"/>
              </w:rPr>
              <w:t>表 1-4无组织大气污染物排放执行标准</w:t>
            </w:r>
          </w:p>
          <w:tbl>
            <w:tblPr>
              <w:tblStyle w:val="25"/>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3"/>
              <w:gridCol w:w="1292"/>
              <w:gridCol w:w="2315"/>
              <w:gridCol w:w="1259"/>
              <w:gridCol w:w="2429"/>
            </w:tblGrid>
            <w:tr w14:paraId="4A7C0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64046F06">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序号</w:t>
                  </w:r>
                </w:p>
              </w:tc>
              <w:tc>
                <w:tcPr>
                  <w:tcW w:w="1256" w:type="dxa"/>
                  <w:tcBorders>
                    <w:top w:val="single" w:color="auto" w:sz="6" w:space="0"/>
                    <w:left w:val="nil"/>
                    <w:bottom w:val="single" w:color="auto" w:sz="6" w:space="0"/>
                    <w:right w:val="single" w:color="auto" w:sz="6" w:space="0"/>
                  </w:tcBorders>
                  <w:vAlign w:val="center"/>
                </w:tcPr>
                <w:p w14:paraId="19242DD9">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污染物项目</w:t>
                  </w:r>
                </w:p>
              </w:tc>
              <w:tc>
                <w:tcPr>
                  <w:tcW w:w="2251" w:type="dxa"/>
                  <w:tcBorders>
                    <w:top w:val="single" w:color="auto" w:sz="6" w:space="0"/>
                    <w:left w:val="nil"/>
                    <w:bottom w:val="single" w:color="auto" w:sz="6" w:space="0"/>
                    <w:right w:val="single" w:color="auto" w:sz="6" w:space="0"/>
                  </w:tcBorders>
                  <w:vAlign w:val="center"/>
                </w:tcPr>
                <w:p w14:paraId="1BFF8A31">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排放浓度限值（mg/m3）</w:t>
                  </w:r>
                </w:p>
              </w:tc>
              <w:tc>
                <w:tcPr>
                  <w:tcW w:w="1224" w:type="dxa"/>
                  <w:tcBorders>
                    <w:top w:val="single" w:color="auto" w:sz="6" w:space="0"/>
                    <w:left w:val="nil"/>
                    <w:bottom w:val="single" w:color="auto" w:sz="6" w:space="0"/>
                    <w:right w:val="single" w:color="auto" w:sz="6" w:space="0"/>
                  </w:tcBorders>
                  <w:vAlign w:val="center"/>
                </w:tcPr>
                <w:p w14:paraId="356541A8">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监控位置</w:t>
                  </w:r>
                </w:p>
              </w:tc>
              <w:tc>
                <w:tcPr>
                  <w:tcW w:w="2362" w:type="dxa"/>
                  <w:tcBorders>
                    <w:top w:val="single" w:color="auto" w:sz="6" w:space="0"/>
                    <w:left w:val="nil"/>
                    <w:bottom w:val="single" w:color="auto" w:sz="6" w:space="0"/>
                    <w:right w:val="single" w:color="auto" w:sz="6" w:space="0"/>
                  </w:tcBorders>
                  <w:vAlign w:val="center"/>
                </w:tcPr>
                <w:p w14:paraId="0894AB4B">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排放标准</w:t>
                  </w:r>
                </w:p>
              </w:tc>
            </w:tr>
            <w:tr w14:paraId="76D0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1320CD24">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256" w:type="dxa"/>
                  <w:tcBorders>
                    <w:top w:val="single" w:color="auto" w:sz="6" w:space="0"/>
                    <w:left w:val="nil"/>
                    <w:bottom w:val="single" w:color="auto" w:sz="6" w:space="0"/>
                    <w:right w:val="single" w:color="auto" w:sz="6" w:space="0"/>
                  </w:tcBorders>
                  <w:vAlign w:val="center"/>
                </w:tcPr>
                <w:p w14:paraId="6C6AAB07">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非甲烷总烃</w:t>
                  </w:r>
                </w:p>
              </w:tc>
              <w:tc>
                <w:tcPr>
                  <w:tcW w:w="2251" w:type="dxa"/>
                  <w:tcBorders>
                    <w:top w:val="single" w:color="auto" w:sz="6" w:space="0"/>
                    <w:left w:val="nil"/>
                    <w:bottom w:val="single" w:color="auto" w:sz="6" w:space="0"/>
                    <w:right w:val="single" w:color="auto" w:sz="6" w:space="0"/>
                  </w:tcBorders>
                  <w:vAlign w:val="center"/>
                </w:tcPr>
                <w:p w14:paraId="53301A49">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4.0</w:t>
                  </w:r>
                </w:p>
              </w:tc>
              <w:tc>
                <w:tcPr>
                  <w:tcW w:w="1224" w:type="dxa"/>
                  <w:tcBorders>
                    <w:top w:val="single" w:color="auto" w:sz="6" w:space="0"/>
                    <w:left w:val="nil"/>
                    <w:bottom w:val="single" w:color="auto" w:sz="6" w:space="0"/>
                    <w:right w:val="single" w:color="auto" w:sz="6" w:space="0"/>
                  </w:tcBorders>
                  <w:vAlign w:val="center"/>
                </w:tcPr>
                <w:p w14:paraId="776D4E57">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厂界</w:t>
                  </w:r>
                </w:p>
              </w:tc>
              <w:tc>
                <w:tcPr>
                  <w:tcW w:w="2362" w:type="dxa"/>
                  <w:vMerge w:val="restart"/>
                  <w:tcBorders>
                    <w:top w:val="nil"/>
                    <w:left w:val="nil"/>
                    <w:bottom w:val="single" w:color="auto" w:sz="6" w:space="0"/>
                    <w:right w:val="single" w:color="auto" w:sz="6" w:space="0"/>
                  </w:tcBorders>
                  <w:vAlign w:val="center"/>
                </w:tcPr>
                <w:p w14:paraId="3763480E">
                  <w:pPr>
                    <w:jc w:val="center"/>
                    <w:rPr>
                      <w:rFonts w:hint="default" w:ascii="Times New Roman" w:hAnsi="Times New Roman" w:cs="Times New Roman"/>
                      <w:kern w:val="0"/>
                      <w:szCs w:val="21"/>
                    </w:rPr>
                  </w:pPr>
                  <w:r>
                    <w:rPr>
                      <w:rFonts w:hint="default" w:ascii="Times New Roman" w:hAnsi="Times New Roman" w:cs="Times New Roman"/>
                      <w:szCs w:val="21"/>
                    </w:rPr>
                    <w:t>《大气污染物综合排放标准》（GB16297-1996)表2新污染源大气污染物排放限值中二级标准的排放限值</w:t>
                  </w:r>
                </w:p>
              </w:tc>
            </w:tr>
            <w:tr w14:paraId="30E78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29DC39CE">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256" w:type="dxa"/>
                  <w:tcBorders>
                    <w:top w:val="single" w:color="auto" w:sz="6" w:space="0"/>
                    <w:left w:val="nil"/>
                    <w:bottom w:val="single" w:color="auto" w:sz="6" w:space="0"/>
                    <w:right w:val="single" w:color="auto" w:sz="6" w:space="0"/>
                  </w:tcBorders>
                  <w:vAlign w:val="center"/>
                </w:tcPr>
                <w:p w14:paraId="00A2564D">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二甲苯</w:t>
                  </w:r>
                </w:p>
              </w:tc>
              <w:tc>
                <w:tcPr>
                  <w:tcW w:w="2251" w:type="dxa"/>
                  <w:tcBorders>
                    <w:top w:val="single" w:color="auto" w:sz="6" w:space="0"/>
                    <w:left w:val="nil"/>
                    <w:bottom w:val="single" w:color="auto" w:sz="6" w:space="0"/>
                    <w:right w:val="single" w:color="auto" w:sz="6" w:space="0"/>
                  </w:tcBorders>
                  <w:vAlign w:val="center"/>
                </w:tcPr>
                <w:p w14:paraId="6ED57FDE">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1224" w:type="dxa"/>
                  <w:tcBorders>
                    <w:top w:val="single" w:color="auto" w:sz="6" w:space="0"/>
                    <w:left w:val="nil"/>
                    <w:bottom w:val="single" w:color="auto" w:sz="6" w:space="0"/>
                    <w:right w:val="single" w:color="auto" w:sz="6" w:space="0"/>
                  </w:tcBorders>
                  <w:vAlign w:val="center"/>
                </w:tcPr>
                <w:p w14:paraId="0F9754D3">
                  <w:pPr>
                    <w:jc w:val="center"/>
                    <w:rPr>
                      <w:rFonts w:hint="default" w:ascii="Times New Roman" w:hAnsi="Times New Roman" w:cs="Times New Roman"/>
                      <w:szCs w:val="21"/>
                    </w:rPr>
                  </w:pPr>
                  <w:r>
                    <w:rPr>
                      <w:rFonts w:hint="default" w:ascii="Times New Roman" w:hAnsi="Times New Roman" w:cs="Times New Roman"/>
                      <w:szCs w:val="21"/>
                    </w:rPr>
                    <w:t>厂界</w:t>
                  </w:r>
                </w:p>
              </w:tc>
              <w:tc>
                <w:tcPr>
                  <w:tcW w:w="2362" w:type="dxa"/>
                  <w:vMerge w:val="continue"/>
                  <w:tcBorders>
                    <w:top w:val="nil"/>
                    <w:left w:val="nil"/>
                    <w:bottom w:val="single" w:color="auto" w:sz="6" w:space="0"/>
                    <w:right w:val="single" w:color="auto" w:sz="6" w:space="0"/>
                  </w:tcBorders>
                  <w:vAlign w:val="center"/>
                </w:tcPr>
                <w:p w14:paraId="3B9DD455">
                  <w:pPr>
                    <w:jc w:val="left"/>
                    <w:rPr>
                      <w:rFonts w:hint="default" w:ascii="Times New Roman" w:hAnsi="Times New Roman" w:cs="Times New Roman"/>
                      <w:kern w:val="0"/>
                      <w:szCs w:val="21"/>
                    </w:rPr>
                  </w:pPr>
                </w:p>
              </w:tc>
            </w:tr>
            <w:tr w14:paraId="42FEB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3CDD1C69">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256" w:type="dxa"/>
                  <w:tcBorders>
                    <w:top w:val="single" w:color="auto" w:sz="6" w:space="0"/>
                    <w:left w:val="nil"/>
                    <w:bottom w:val="single" w:color="auto" w:sz="6" w:space="0"/>
                    <w:right w:val="single" w:color="auto" w:sz="6" w:space="0"/>
                  </w:tcBorders>
                  <w:vAlign w:val="center"/>
                </w:tcPr>
                <w:p w14:paraId="0997AD62">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颗粒物</w:t>
                  </w:r>
                </w:p>
              </w:tc>
              <w:tc>
                <w:tcPr>
                  <w:tcW w:w="2251" w:type="dxa"/>
                  <w:tcBorders>
                    <w:top w:val="single" w:color="auto" w:sz="6" w:space="0"/>
                    <w:left w:val="nil"/>
                    <w:bottom w:val="single" w:color="auto" w:sz="6" w:space="0"/>
                    <w:right w:val="single" w:color="auto" w:sz="6" w:space="0"/>
                  </w:tcBorders>
                  <w:vAlign w:val="center"/>
                </w:tcPr>
                <w:p w14:paraId="1AE335C9">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224" w:type="dxa"/>
                  <w:tcBorders>
                    <w:top w:val="single" w:color="auto" w:sz="6" w:space="0"/>
                    <w:left w:val="nil"/>
                    <w:bottom w:val="single" w:color="auto" w:sz="6" w:space="0"/>
                    <w:right w:val="single" w:color="auto" w:sz="6" w:space="0"/>
                  </w:tcBorders>
                  <w:vAlign w:val="center"/>
                </w:tcPr>
                <w:p w14:paraId="199327CE">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厂界</w:t>
                  </w:r>
                </w:p>
              </w:tc>
              <w:tc>
                <w:tcPr>
                  <w:tcW w:w="2362" w:type="dxa"/>
                  <w:vMerge w:val="continue"/>
                  <w:tcBorders>
                    <w:top w:val="nil"/>
                    <w:left w:val="nil"/>
                    <w:bottom w:val="single" w:color="auto" w:sz="6" w:space="0"/>
                    <w:right w:val="single" w:color="auto" w:sz="6" w:space="0"/>
                  </w:tcBorders>
                  <w:vAlign w:val="center"/>
                </w:tcPr>
                <w:p w14:paraId="3D6ABDC3">
                  <w:pPr>
                    <w:jc w:val="left"/>
                    <w:rPr>
                      <w:rFonts w:hint="default" w:ascii="Times New Roman" w:hAnsi="Times New Roman" w:cs="Times New Roman"/>
                      <w:kern w:val="0"/>
                      <w:szCs w:val="21"/>
                    </w:rPr>
                  </w:pPr>
                </w:p>
              </w:tc>
            </w:tr>
            <w:tr w14:paraId="0E7B7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40BDBC08">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1256" w:type="dxa"/>
                  <w:tcBorders>
                    <w:top w:val="single" w:color="auto" w:sz="6" w:space="0"/>
                    <w:left w:val="nil"/>
                    <w:bottom w:val="single" w:color="auto" w:sz="6" w:space="0"/>
                    <w:right w:val="single" w:color="auto" w:sz="6" w:space="0"/>
                  </w:tcBorders>
                  <w:vAlign w:val="center"/>
                </w:tcPr>
                <w:p w14:paraId="49E34F61">
                  <w:pPr>
                    <w:widowControl w:val="0"/>
                    <w:jc w:val="center"/>
                    <w:rPr>
                      <w:rFonts w:hint="default" w:ascii="Times New Roman" w:hAnsi="Times New Roman" w:cs="Times New Roman"/>
                      <w:szCs w:val="21"/>
                    </w:rPr>
                  </w:pPr>
                  <w:r>
                    <w:rPr>
                      <w:rFonts w:hint="default" w:ascii="Times New Roman" w:hAnsi="Times New Roman" w:cs="Times New Roman"/>
                      <w:szCs w:val="21"/>
                    </w:rPr>
                    <w:t>二氧化硫</w:t>
                  </w:r>
                </w:p>
              </w:tc>
              <w:tc>
                <w:tcPr>
                  <w:tcW w:w="2251" w:type="dxa"/>
                  <w:tcBorders>
                    <w:top w:val="single" w:color="auto" w:sz="6" w:space="0"/>
                    <w:left w:val="nil"/>
                    <w:bottom w:val="single" w:color="auto" w:sz="6" w:space="0"/>
                    <w:right w:val="single" w:color="auto" w:sz="6" w:space="0"/>
                  </w:tcBorders>
                  <w:vAlign w:val="center"/>
                </w:tcPr>
                <w:p w14:paraId="3069193A">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0.4</w:t>
                  </w:r>
                </w:p>
              </w:tc>
              <w:tc>
                <w:tcPr>
                  <w:tcW w:w="1224" w:type="dxa"/>
                  <w:tcBorders>
                    <w:top w:val="single" w:color="auto" w:sz="6" w:space="0"/>
                    <w:left w:val="nil"/>
                    <w:bottom w:val="single" w:color="auto" w:sz="6" w:space="0"/>
                    <w:right w:val="single" w:color="auto" w:sz="6" w:space="0"/>
                  </w:tcBorders>
                  <w:vAlign w:val="center"/>
                </w:tcPr>
                <w:p w14:paraId="4AF98981">
                  <w:pPr>
                    <w:jc w:val="center"/>
                    <w:rPr>
                      <w:rFonts w:hint="default" w:ascii="Times New Roman" w:hAnsi="Times New Roman" w:cs="Times New Roman"/>
                      <w:szCs w:val="21"/>
                    </w:rPr>
                  </w:pPr>
                  <w:r>
                    <w:rPr>
                      <w:rFonts w:hint="default" w:ascii="Times New Roman" w:hAnsi="Times New Roman" w:cs="Times New Roman"/>
                      <w:szCs w:val="21"/>
                    </w:rPr>
                    <w:t>厂界</w:t>
                  </w:r>
                </w:p>
              </w:tc>
              <w:tc>
                <w:tcPr>
                  <w:tcW w:w="2362" w:type="dxa"/>
                  <w:vMerge w:val="continue"/>
                  <w:tcBorders>
                    <w:top w:val="nil"/>
                    <w:left w:val="nil"/>
                    <w:bottom w:val="single" w:color="auto" w:sz="6" w:space="0"/>
                    <w:right w:val="single" w:color="auto" w:sz="6" w:space="0"/>
                  </w:tcBorders>
                  <w:vAlign w:val="center"/>
                </w:tcPr>
                <w:p w14:paraId="621D05FC">
                  <w:pPr>
                    <w:jc w:val="left"/>
                    <w:rPr>
                      <w:rFonts w:hint="default" w:ascii="Times New Roman" w:hAnsi="Times New Roman" w:cs="Times New Roman"/>
                      <w:kern w:val="0"/>
                      <w:szCs w:val="21"/>
                    </w:rPr>
                  </w:pPr>
                </w:p>
              </w:tc>
            </w:tr>
            <w:tr w14:paraId="0E75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tcBorders>
                    <w:top w:val="single" w:color="auto" w:sz="6" w:space="0"/>
                    <w:left w:val="single" w:color="auto" w:sz="6" w:space="0"/>
                    <w:bottom w:val="single" w:color="auto" w:sz="6" w:space="0"/>
                    <w:right w:val="single" w:color="auto" w:sz="6" w:space="0"/>
                  </w:tcBorders>
                  <w:vAlign w:val="center"/>
                </w:tcPr>
                <w:p w14:paraId="30E4B686">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1256" w:type="dxa"/>
                  <w:tcBorders>
                    <w:top w:val="single" w:color="auto" w:sz="6" w:space="0"/>
                    <w:left w:val="nil"/>
                    <w:bottom w:val="single" w:color="auto" w:sz="6" w:space="0"/>
                    <w:right w:val="single" w:color="auto" w:sz="6" w:space="0"/>
                  </w:tcBorders>
                  <w:vAlign w:val="center"/>
                </w:tcPr>
                <w:p w14:paraId="513B0F97">
                  <w:pPr>
                    <w:widowControl w:val="0"/>
                    <w:jc w:val="center"/>
                    <w:rPr>
                      <w:rFonts w:hint="default" w:ascii="Times New Roman" w:hAnsi="Times New Roman" w:cs="Times New Roman"/>
                      <w:szCs w:val="21"/>
                    </w:rPr>
                  </w:pPr>
                  <w:r>
                    <w:rPr>
                      <w:rFonts w:hint="default" w:ascii="Times New Roman" w:hAnsi="Times New Roman" w:cs="Times New Roman"/>
                      <w:szCs w:val="21"/>
                    </w:rPr>
                    <w:t>氮氧化物</w:t>
                  </w:r>
                </w:p>
              </w:tc>
              <w:tc>
                <w:tcPr>
                  <w:tcW w:w="2251" w:type="dxa"/>
                  <w:tcBorders>
                    <w:top w:val="single" w:color="auto" w:sz="6" w:space="0"/>
                    <w:left w:val="nil"/>
                    <w:bottom w:val="single" w:color="auto" w:sz="6" w:space="0"/>
                    <w:right w:val="single" w:color="auto" w:sz="6" w:space="0"/>
                  </w:tcBorders>
                  <w:vAlign w:val="center"/>
                </w:tcPr>
                <w:p w14:paraId="61D1F6AF">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0.12</w:t>
                  </w:r>
                </w:p>
              </w:tc>
              <w:tc>
                <w:tcPr>
                  <w:tcW w:w="1224" w:type="dxa"/>
                  <w:tcBorders>
                    <w:top w:val="single" w:color="auto" w:sz="6" w:space="0"/>
                    <w:left w:val="nil"/>
                    <w:bottom w:val="single" w:color="auto" w:sz="6" w:space="0"/>
                    <w:right w:val="single" w:color="auto" w:sz="6" w:space="0"/>
                  </w:tcBorders>
                  <w:vAlign w:val="center"/>
                </w:tcPr>
                <w:p w14:paraId="4EF187D1">
                  <w:pPr>
                    <w:jc w:val="center"/>
                    <w:rPr>
                      <w:rFonts w:hint="default" w:ascii="Times New Roman" w:hAnsi="Times New Roman" w:cs="Times New Roman"/>
                      <w:szCs w:val="21"/>
                    </w:rPr>
                  </w:pPr>
                  <w:r>
                    <w:rPr>
                      <w:rFonts w:hint="default" w:ascii="Times New Roman" w:hAnsi="Times New Roman" w:cs="Times New Roman"/>
                      <w:szCs w:val="21"/>
                    </w:rPr>
                    <w:t>厂界</w:t>
                  </w:r>
                </w:p>
              </w:tc>
              <w:tc>
                <w:tcPr>
                  <w:tcW w:w="2362" w:type="dxa"/>
                  <w:vMerge w:val="continue"/>
                  <w:tcBorders>
                    <w:top w:val="nil"/>
                    <w:left w:val="nil"/>
                    <w:bottom w:val="single" w:color="auto" w:sz="6" w:space="0"/>
                    <w:right w:val="single" w:color="auto" w:sz="6" w:space="0"/>
                  </w:tcBorders>
                  <w:vAlign w:val="center"/>
                </w:tcPr>
                <w:p w14:paraId="22F43A83">
                  <w:pPr>
                    <w:jc w:val="left"/>
                    <w:rPr>
                      <w:rFonts w:hint="default" w:ascii="Times New Roman" w:hAnsi="Times New Roman" w:cs="Times New Roman"/>
                      <w:kern w:val="0"/>
                      <w:szCs w:val="21"/>
                    </w:rPr>
                  </w:pPr>
                </w:p>
              </w:tc>
            </w:tr>
            <w:tr w14:paraId="03EEE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vMerge w:val="restart"/>
                  <w:tcBorders>
                    <w:top w:val="nil"/>
                    <w:left w:val="single" w:color="auto" w:sz="6" w:space="0"/>
                    <w:bottom w:val="single" w:color="auto" w:sz="6" w:space="0"/>
                    <w:right w:val="single" w:color="auto" w:sz="6" w:space="0"/>
                  </w:tcBorders>
                  <w:vAlign w:val="center"/>
                </w:tcPr>
                <w:p w14:paraId="4DFEEF4C">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1256" w:type="dxa"/>
                  <w:vMerge w:val="restart"/>
                  <w:tcBorders>
                    <w:top w:val="nil"/>
                    <w:left w:val="nil"/>
                    <w:bottom w:val="single" w:color="auto" w:sz="6" w:space="0"/>
                    <w:right w:val="single" w:color="auto" w:sz="6" w:space="0"/>
                  </w:tcBorders>
                  <w:vAlign w:val="center"/>
                </w:tcPr>
                <w:p w14:paraId="482F1791">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非甲烷总烃</w:t>
                  </w:r>
                </w:p>
              </w:tc>
              <w:tc>
                <w:tcPr>
                  <w:tcW w:w="2251" w:type="dxa"/>
                  <w:tcBorders>
                    <w:top w:val="single" w:color="auto" w:sz="6" w:space="0"/>
                    <w:left w:val="nil"/>
                    <w:bottom w:val="single" w:color="auto" w:sz="6" w:space="0"/>
                    <w:right w:val="single" w:color="auto" w:sz="6" w:space="0"/>
                  </w:tcBorders>
                  <w:vAlign w:val="center"/>
                </w:tcPr>
                <w:p w14:paraId="51A7F12A">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6（监控点处1h平均值）</w:t>
                  </w:r>
                </w:p>
              </w:tc>
              <w:tc>
                <w:tcPr>
                  <w:tcW w:w="1224" w:type="dxa"/>
                  <w:vMerge w:val="restart"/>
                  <w:tcBorders>
                    <w:top w:val="nil"/>
                    <w:left w:val="nil"/>
                    <w:bottom w:val="single" w:color="auto" w:sz="6" w:space="0"/>
                    <w:right w:val="single" w:color="auto" w:sz="6" w:space="0"/>
                  </w:tcBorders>
                  <w:vAlign w:val="center"/>
                </w:tcPr>
                <w:p w14:paraId="32DBA9C8">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在厂房外设置监控点</w:t>
                  </w:r>
                </w:p>
              </w:tc>
              <w:tc>
                <w:tcPr>
                  <w:tcW w:w="2362" w:type="dxa"/>
                  <w:vMerge w:val="restart"/>
                  <w:tcBorders>
                    <w:top w:val="nil"/>
                    <w:left w:val="nil"/>
                    <w:bottom w:val="single" w:color="auto" w:sz="6" w:space="0"/>
                    <w:right w:val="single" w:color="auto" w:sz="6" w:space="0"/>
                  </w:tcBorders>
                  <w:vAlign w:val="center"/>
                </w:tcPr>
                <w:p w14:paraId="300D291C">
                  <w:pPr>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《固定源挥发性有机物综合排放标准 第6部分：其他行业》（DB34 4812.6-2024)表4 厂区内VOCs无组织排放限值</w:t>
                  </w:r>
                </w:p>
              </w:tc>
            </w:tr>
            <w:tr w14:paraId="5EB3A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7" w:type="dxa"/>
                  <w:vMerge w:val="continue"/>
                  <w:tcBorders>
                    <w:top w:val="nil"/>
                    <w:left w:val="single" w:color="auto" w:sz="6" w:space="0"/>
                    <w:bottom w:val="single" w:color="auto" w:sz="6" w:space="0"/>
                    <w:right w:val="single" w:color="auto" w:sz="6" w:space="0"/>
                  </w:tcBorders>
                  <w:vAlign w:val="center"/>
                </w:tcPr>
                <w:p w14:paraId="001F7796">
                  <w:pPr>
                    <w:jc w:val="left"/>
                    <w:rPr>
                      <w:rFonts w:hint="default" w:ascii="Times New Roman" w:hAnsi="Times New Roman" w:cs="Times New Roman"/>
                      <w:kern w:val="0"/>
                      <w:szCs w:val="21"/>
                    </w:rPr>
                  </w:pPr>
                </w:p>
              </w:tc>
              <w:tc>
                <w:tcPr>
                  <w:tcW w:w="1256" w:type="dxa"/>
                  <w:vMerge w:val="continue"/>
                  <w:tcBorders>
                    <w:top w:val="nil"/>
                    <w:left w:val="nil"/>
                    <w:bottom w:val="single" w:color="auto" w:sz="6" w:space="0"/>
                    <w:right w:val="single" w:color="auto" w:sz="6" w:space="0"/>
                  </w:tcBorders>
                  <w:vAlign w:val="center"/>
                </w:tcPr>
                <w:p w14:paraId="523B6226">
                  <w:pPr>
                    <w:jc w:val="left"/>
                    <w:rPr>
                      <w:rFonts w:hint="default" w:ascii="Times New Roman" w:hAnsi="Times New Roman" w:cs="Times New Roman"/>
                      <w:kern w:val="0"/>
                      <w:szCs w:val="21"/>
                    </w:rPr>
                  </w:pPr>
                </w:p>
              </w:tc>
              <w:tc>
                <w:tcPr>
                  <w:tcW w:w="2251" w:type="dxa"/>
                  <w:tcBorders>
                    <w:top w:val="single" w:color="auto" w:sz="6" w:space="0"/>
                    <w:left w:val="nil"/>
                    <w:bottom w:val="single" w:color="auto" w:sz="6" w:space="0"/>
                    <w:right w:val="single" w:color="auto" w:sz="6" w:space="0"/>
                  </w:tcBorders>
                  <w:vAlign w:val="center"/>
                </w:tcPr>
                <w:p w14:paraId="4B312F89">
                  <w:pPr>
                    <w:snapToGrid w:val="0"/>
                    <w:jc w:val="center"/>
                    <w:rPr>
                      <w:rFonts w:hint="default" w:ascii="Times New Roman" w:hAnsi="Times New Roman" w:cs="Times New Roman"/>
                      <w:kern w:val="0"/>
                      <w:sz w:val="18"/>
                      <w:szCs w:val="18"/>
                    </w:rPr>
                  </w:pPr>
                  <w:r>
                    <w:rPr>
                      <w:rFonts w:hint="default" w:ascii="Times New Roman" w:hAnsi="Times New Roman" w:cs="Times New Roman"/>
                      <w:kern w:val="0"/>
                      <w:szCs w:val="21"/>
                    </w:rPr>
                    <w:t>20（监控点处任意一次浓度值）</w:t>
                  </w:r>
                </w:p>
              </w:tc>
              <w:tc>
                <w:tcPr>
                  <w:tcW w:w="1224" w:type="dxa"/>
                  <w:vMerge w:val="continue"/>
                  <w:tcBorders>
                    <w:top w:val="nil"/>
                    <w:left w:val="nil"/>
                    <w:bottom w:val="single" w:color="auto" w:sz="6" w:space="0"/>
                    <w:right w:val="single" w:color="auto" w:sz="6" w:space="0"/>
                  </w:tcBorders>
                  <w:vAlign w:val="center"/>
                </w:tcPr>
                <w:p w14:paraId="38F979EE">
                  <w:pPr>
                    <w:jc w:val="left"/>
                    <w:rPr>
                      <w:rFonts w:hint="default" w:ascii="Times New Roman" w:hAnsi="Times New Roman" w:cs="Times New Roman"/>
                      <w:kern w:val="0"/>
                      <w:szCs w:val="21"/>
                    </w:rPr>
                  </w:pPr>
                </w:p>
              </w:tc>
              <w:tc>
                <w:tcPr>
                  <w:tcW w:w="2362" w:type="dxa"/>
                  <w:vMerge w:val="continue"/>
                  <w:tcBorders>
                    <w:top w:val="nil"/>
                    <w:left w:val="nil"/>
                    <w:bottom w:val="single" w:color="auto" w:sz="6" w:space="0"/>
                    <w:right w:val="single" w:color="auto" w:sz="6" w:space="0"/>
                  </w:tcBorders>
                  <w:vAlign w:val="center"/>
                </w:tcPr>
                <w:p w14:paraId="55C76D29">
                  <w:pPr>
                    <w:jc w:val="left"/>
                    <w:rPr>
                      <w:rFonts w:hint="default" w:ascii="Times New Roman" w:hAnsi="Times New Roman" w:cs="Times New Roman"/>
                      <w:kern w:val="0"/>
                      <w:szCs w:val="21"/>
                    </w:rPr>
                  </w:pPr>
                </w:p>
              </w:tc>
            </w:tr>
          </w:tbl>
          <w:p w14:paraId="2CE4A10B">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3、噪声执行《工业企业厂界环境噪声排放标准》（GB12348-2008）表1中3类功能区标准，和环评一致。</w:t>
            </w:r>
          </w:p>
          <w:p w14:paraId="5A030141">
            <w:pPr>
              <w:widowControl w:val="0"/>
              <w:autoSpaceDE w:val="0"/>
              <w:autoSpaceDN w:val="0"/>
              <w:snapToGrid w:val="0"/>
              <w:ind w:firstLine="490"/>
              <w:jc w:val="center"/>
              <w:rPr>
                <w:rFonts w:hint="default" w:ascii="Times New Roman" w:hAnsi="Times New Roman" w:cs="Times New Roman"/>
                <w:b/>
                <w:bCs/>
                <w:color w:val="000000" w:themeColor="text1"/>
                <w:spacing w:val="2"/>
                <w:kern w:val="0"/>
                <w:sz w:val="24"/>
                <w:szCs w:val="24"/>
                <w14:textFill>
                  <w14:solidFill>
                    <w14:schemeClr w14:val="tx1"/>
                  </w14:solidFill>
                </w14:textFill>
              </w:rPr>
            </w:pPr>
            <w:r>
              <w:rPr>
                <w:rFonts w:hint="default" w:ascii="Times New Roman" w:hAnsi="Times New Roman" w:cs="Times New Roman"/>
                <w:b/>
                <w:bCs/>
                <w:color w:val="000000" w:themeColor="text1"/>
                <w:spacing w:val="2"/>
                <w:kern w:val="0"/>
                <w:sz w:val="24"/>
                <w:szCs w:val="24"/>
                <w14:textFill>
                  <w14:solidFill>
                    <w14:schemeClr w14:val="tx1"/>
                  </w14:solidFill>
                </w14:textFill>
              </w:rPr>
              <w:t>表 1-5 工业企业厂界环境噪声排放标准</w:t>
            </w:r>
          </w:p>
          <w:p w14:paraId="405407C9">
            <w:pPr>
              <w:widowControl w:val="0"/>
              <w:autoSpaceDE w:val="0"/>
              <w:autoSpaceDN w:val="0"/>
              <w:snapToGrid w:val="0"/>
              <w:ind w:firstLine="490"/>
              <w:jc w:val="center"/>
              <w:rPr>
                <w:rFonts w:hint="default" w:ascii="Times New Roman" w:hAnsi="Times New Roman" w:cs="Times New Roman"/>
                <w:b/>
                <w:bCs/>
                <w:color w:val="000000" w:themeColor="text1"/>
                <w:spacing w:val="2"/>
                <w:kern w:val="0"/>
                <w:sz w:val="24"/>
                <w:szCs w:val="24"/>
                <w14:textFill>
                  <w14:solidFill>
                    <w14:schemeClr w14:val="tx1"/>
                  </w14:solidFill>
                </w14:textFill>
              </w:rPr>
            </w:pPr>
          </w:p>
          <w:tbl>
            <w:tblPr>
              <w:tblStyle w:val="25"/>
              <w:tblpPr w:leftFromText="180" w:rightFromText="180" w:vertAnchor="text" w:tblpXSpec="center" w:tblpY="1"/>
              <w:tblOverlap w:val="never"/>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641"/>
              <w:gridCol w:w="2637"/>
              <w:gridCol w:w="2642"/>
            </w:tblGrid>
            <w:tr w14:paraId="42D57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41" w:type="dxa"/>
                  <w:vAlign w:val="center"/>
                </w:tcPr>
                <w:p w14:paraId="72BB7672">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时段</w:t>
                  </w:r>
                </w:p>
              </w:tc>
              <w:tc>
                <w:tcPr>
                  <w:tcW w:w="2637" w:type="dxa"/>
                  <w:vAlign w:val="center"/>
                </w:tcPr>
                <w:p w14:paraId="1CBBD7BF">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昼间</w:t>
                  </w:r>
                </w:p>
              </w:tc>
              <w:tc>
                <w:tcPr>
                  <w:tcW w:w="2641" w:type="dxa"/>
                  <w:vAlign w:val="center"/>
                </w:tcPr>
                <w:p w14:paraId="6D507641">
                  <w:pPr>
                    <w:pStyle w:val="8"/>
                    <w:ind w:firstLine="0" w:firstLineChars="0"/>
                    <w:jc w:val="center"/>
                    <w:rPr>
                      <w:rFonts w:hint="default" w:ascii="Times New Roman" w:hAnsi="Times New Roman" w:cs="Times New Roman"/>
                      <w:b/>
                      <w:bCs/>
                    </w:rPr>
                  </w:pPr>
                  <w:r>
                    <w:rPr>
                      <w:rFonts w:hint="default" w:ascii="Times New Roman" w:hAnsi="Times New Roman" w:cs="Times New Roman"/>
                      <w:b/>
                      <w:bCs/>
                    </w:rPr>
                    <w:t>夜间</w:t>
                  </w:r>
                </w:p>
              </w:tc>
            </w:tr>
            <w:tr w14:paraId="1E0BDC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641" w:type="dxa"/>
                  <w:vAlign w:val="center"/>
                </w:tcPr>
                <w:p w14:paraId="12C84C4D">
                  <w:pPr>
                    <w:widowControl w:val="0"/>
                    <w:autoSpaceDE w:val="0"/>
                    <w:autoSpaceDN w:val="0"/>
                    <w:adjustRightInd w:val="0"/>
                    <w:snapToGrid w:val="0"/>
                    <w:ind w:firstLine="420"/>
                    <w:jc w:val="center"/>
                    <w:rPr>
                      <w:rFonts w:hint="default" w:ascii="Times New Roman" w:hAnsi="Times New Roman" w:cs="Times New Roman"/>
                      <w:szCs w:val="32"/>
                    </w:rPr>
                  </w:pPr>
                  <w:r>
                    <w:rPr>
                      <w:rFonts w:hint="default" w:ascii="Times New Roman" w:hAnsi="Times New Roman" w:cs="Times New Roman"/>
                      <w:szCs w:val="32"/>
                    </w:rPr>
                    <w:t>3类标准值</w:t>
                  </w:r>
                </w:p>
              </w:tc>
              <w:tc>
                <w:tcPr>
                  <w:tcW w:w="2637" w:type="dxa"/>
                  <w:vAlign w:val="center"/>
                </w:tcPr>
                <w:p w14:paraId="2923DF5F">
                  <w:pPr>
                    <w:widowControl w:val="0"/>
                    <w:autoSpaceDE w:val="0"/>
                    <w:autoSpaceDN w:val="0"/>
                    <w:adjustRightInd w:val="0"/>
                    <w:snapToGrid w:val="0"/>
                    <w:ind w:firstLine="420"/>
                    <w:jc w:val="center"/>
                    <w:rPr>
                      <w:rFonts w:hint="default" w:ascii="Times New Roman" w:hAnsi="Times New Roman" w:cs="Times New Roman"/>
                      <w:bCs/>
                      <w:color w:val="FF0000"/>
                      <w:szCs w:val="32"/>
                    </w:rPr>
                  </w:pPr>
                  <w:r>
                    <w:rPr>
                      <w:rFonts w:hint="default" w:ascii="Times New Roman" w:hAnsi="Times New Roman" w:cs="Times New Roman"/>
                      <w:bCs/>
                      <w:szCs w:val="32"/>
                    </w:rPr>
                    <w:t>65</w:t>
                  </w:r>
                </w:p>
              </w:tc>
              <w:tc>
                <w:tcPr>
                  <w:tcW w:w="2641" w:type="dxa"/>
                  <w:vAlign w:val="center"/>
                </w:tcPr>
                <w:p w14:paraId="603CF83B">
                  <w:pPr>
                    <w:widowControl w:val="0"/>
                    <w:autoSpaceDE w:val="0"/>
                    <w:autoSpaceDN w:val="0"/>
                    <w:adjustRightInd w:val="0"/>
                    <w:snapToGrid w:val="0"/>
                    <w:ind w:firstLine="420"/>
                    <w:jc w:val="center"/>
                    <w:rPr>
                      <w:rFonts w:hint="default" w:ascii="Times New Roman" w:hAnsi="Times New Roman" w:cs="Times New Roman"/>
                      <w:bCs/>
                      <w:szCs w:val="32"/>
                    </w:rPr>
                  </w:pPr>
                  <w:r>
                    <w:rPr>
                      <w:rFonts w:hint="default" w:ascii="Times New Roman" w:hAnsi="Times New Roman" w:cs="Times New Roman"/>
                      <w:bCs/>
                      <w:szCs w:val="32"/>
                    </w:rPr>
                    <w:t>55</w:t>
                  </w:r>
                </w:p>
              </w:tc>
            </w:tr>
          </w:tbl>
          <w:p w14:paraId="481812DD">
            <w:pPr>
              <w:widowControl w:val="0"/>
              <w:autoSpaceDE w:val="0"/>
              <w:autoSpaceDN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项</w:t>
            </w:r>
            <w:r>
              <w:rPr>
                <w:rFonts w:hint="default" w:ascii="Times New Roman" w:hAnsi="Times New Roman" w:cs="Times New Roman"/>
                <w:sz w:val="24"/>
                <w:szCs w:val="24"/>
              </w:rPr>
              <w:t>目一般固废执行一般固体废物暂存管理执行《安徽省实施&lt; 中华人民共和国固体废物污染环境防治法&gt;办法》（2021年9月1日）。危险固废执行《危险废物贮存污染控制标准》（GB 18597-2023）中要求。</w:t>
            </w:r>
          </w:p>
        </w:tc>
      </w:tr>
    </w:tbl>
    <w:p w14:paraId="1DF55E15">
      <w:pPr>
        <w:spacing w:line="20" w:lineRule="exact"/>
        <w:ind w:firstLine="420"/>
      </w:pPr>
      <w:r>
        <w:br w:type="page"/>
      </w:r>
    </w:p>
    <w:p w14:paraId="692700AD">
      <w:pPr>
        <w:pStyle w:val="4"/>
        <w:ind w:firstLine="562"/>
        <w:rPr>
          <w:sz w:val="28"/>
          <w:szCs w:val="13"/>
        </w:rPr>
      </w:pPr>
      <w:bookmarkStart w:id="4" w:name="_Toc14805"/>
      <w:r>
        <w:rPr>
          <w:rFonts w:hint="eastAsia"/>
          <w:sz w:val="28"/>
          <w:szCs w:val="13"/>
        </w:rPr>
        <w:t>表二</w:t>
      </w:r>
      <w:bookmarkEnd w:id="4"/>
    </w:p>
    <w:tbl>
      <w:tblPr>
        <w:tblStyle w:val="26"/>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20"/>
      </w:tblGrid>
      <w:tr w14:paraId="1C4F9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42" w:type="dxa"/>
            <w:tcBorders>
              <w:tl2br w:val="nil"/>
              <w:tr2bl w:val="nil"/>
            </w:tcBorders>
          </w:tcPr>
          <w:p w14:paraId="1851DDC4">
            <w:pPr>
              <w:widowControl w:val="0"/>
              <w:spacing w:line="360" w:lineRule="auto"/>
              <w:ind w:firstLine="482"/>
              <w:rPr>
                <w:b/>
                <w:bCs/>
                <w:sz w:val="24"/>
                <w:szCs w:val="24"/>
              </w:rPr>
            </w:pPr>
            <w:r>
              <w:rPr>
                <w:rFonts w:hint="eastAsia"/>
                <w:b/>
                <w:bCs/>
                <w:sz w:val="24"/>
                <w:szCs w:val="24"/>
              </w:rPr>
              <w:t>工程建设内容：</w:t>
            </w:r>
          </w:p>
          <w:p w14:paraId="17B577C8">
            <w:pPr>
              <w:widowControl w:val="0"/>
              <w:spacing w:line="360" w:lineRule="auto"/>
              <w:ind w:firstLine="482"/>
              <w:rPr>
                <w:b/>
                <w:bCs/>
                <w:sz w:val="24"/>
                <w:szCs w:val="24"/>
              </w:rPr>
            </w:pPr>
            <w:r>
              <w:rPr>
                <w:rFonts w:hint="eastAsia"/>
                <w:b/>
                <w:bCs/>
                <w:sz w:val="24"/>
                <w:szCs w:val="24"/>
              </w:rPr>
              <w:t>1、</w:t>
            </w:r>
            <w:r>
              <w:rPr>
                <w:b/>
                <w:bCs/>
                <w:sz w:val="24"/>
                <w:szCs w:val="24"/>
              </w:rPr>
              <w:t>项目概况</w:t>
            </w:r>
          </w:p>
          <w:p w14:paraId="27C0E363">
            <w:pPr>
              <w:widowControl w:val="0"/>
              <w:spacing w:line="360" w:lineRule="auto"/>
              <w:ind w:firstLine="480" w:firstLineChars="200"/>
              <w:rPr>
                <w:sz w:val="24"/>
                <w:szCs w:val="24"/>
              </w:rPr>
            </w:pPr>
            <w:r>
              <w:rPr>
                <w:rFonts w:hint="eastAsia"/>
                <w:sz w:val="24"/>
                <w:szCs w:val="24"/>
              </w:rPr>
              <w:t>项目名称： 年产400万件新能源汽车电池零部件项目；</w:t>
            </w:r>
          </w:p>
          <w:p w14:paraId="2DE01B7E">
            <w:pPr>
              <w:widowControl w:val="0"/>
              <w:spacing w:line="360" w:lineRule="auto"/>
              <w:ind w:firstLine="480" w:firstLineChars="200"/>
              <w:rPr>
                <w:sz w:val="24"/>
                <w:szCs w:val="24"/>
              </w:rPr>
            </w:pPr>
            <w:r>
              <w:rPr>
                <w:rFonts w:hint="eastAsia"/>
                <w:sz w:val="24"/>
                <w:szCs w:val="24"/>
              </w:rPr>
              <w:t>建设单位：宣城兴旺达精密科技有限公司；</w:t>
            </w:r>
          </w:p>
          <w:p w14:paraId="098B720A">
            <w:pPr>
              <w:widowControl w:val="0"/>
              <w:spacing w:line="360" w:lineRule="auto"/>
              <w:ind w:firstLine="480" w:firstLineChars="200"/>
              <w:rPr>
                <w:sz w:val="24"/>
                <w:szCs w:val="24"/>
              </w:rPr>
            </w:pPr>
            <w:r>
              <w:rPr>
                <w:rFonts w:hint="eastAsia"/>
                <w:sz w:val="24"/>
                <w:szCs w:val="24"/>
              </w:rPr>
              <w:t>建设地点：郎溪经济开发区梅渚工业园区；</w:t>
            </w:r>
          </w:p>
          <w:p w14:paraId="45A2A520">
            <w:pPr>
              <w:widowControl w:val="0"/>
              <w:spacing w:line="360" w:lineRule="auto"/>
              <w:ind w:firstLine="480" w:firstLineChars="200"/>
              <w:rPr>
                <w:sz w:val="24"/>
                <w:szCs w:val="24"/>
              </w:rPr>
            </w:pPr>
            <w:r>
              <w:rPr>
                <w:rFonts w:hint="eastAsia"/>
                <w:sz w:val="24"/>
                <w:szCs w:val="24"/>
              </w:rPr>
              <w:t>建设性质：</w:t>
            </w:r>
            <w:r>
              <w:rPr>
                <w:sz w:val="24"/>
                <w:szCs w:val="24"/>
              </w:rPr>
              <w:t>新建</w:t>
            </w:r>
            <w:r>
              <w:rPr>
                <w:rFonts w:hint="eastAsia"/>
                <w:sz w:val="24"/>
                <w:szCs w:val="24"/>
              </w:rPr>
              <w:t>；</w:t>
            </w:r>
          </w:p>
          <w:p w14:paraId="0BA59F02">
            <w:pPr>
              <w:widowControl w:val="0"/>
              <w:numPr>
                <w:ilvl w:val="0"/>
                <w:numId w:val="3"/>
              </w:numPr>
              <w:spacing w:line="360" w:lineRule="auto"/>
              <w:ind w:firstLine="482"/>
              <w:rPr>
                <w:b/>
                <w:bCs/>
                <w:sz w:val="24"/>
                <w:szCs w:val="24"/>
              </w:rPr>
            </w:pPr>
            <w:r>
              <w:rPr>
                <w:rFonts w:hint="eastAsia"/>
                <w:b/>
                <w:bCs/>
                <w:sz w:val="24"/>
                <w:szCs w:val="24"/>
              </w:rPr>
              <w:t>项目建设背景及历史沿革</w:t>
            </w:r>
          </w:p>
          <w:p w14:paraId="6BD1D628">
            <w:pPr>
              <w:widowControl w:val="0"/>
              <w:autoSpaceDE w:val="0"/>
              <w:autoSpaceDN w:val="0"/>
              <w:adjustRightInd w:val="0"/>
              <w:snapToGrid w:val="0"/>
              <w:spacing w:line="360" w:lineRule="auto"/>
              <w:ind w:firstLine="480" w:firstLineChars="200"/>
              <w:rPr>
                <w:sz w:val="24"/>
                <w:szCs w:val="24"/>
              </w:rPr>
            </w:pPr>
            <w:r>
              <w:rPr>
                <w:rFonts w:hint="eastAsia"/>
                <w:sz w:val="24"/>
                <w:szCs w:val="24"/>
              </w:rPr>
              <w:t>宣城兴旺达精密科技有限公司 年产400万件新能源汽车电池零部件项目于22023年03月30日经郎溪县发展和改革委员会备案表（项目代码：</w:t>
            </w:r>
            <w:r>
              <w:rPr>
                <w:sz w:val="24"/>
                <w:szCs w:val="24"/>
              </w:rPr>
              <w:t>2210-341821-04-05-263586</w:t>
            </w:r>
            <w:r>
              <w:rPr>
                <w:rFonts w:hint="eastAsia"/>
                <w:sz w:val="24"/>
                <w:szCs w:val="24"/>
              </w:rPr>
              <w:t>）；</w:t>
            </w:r>
          </w:p>
          <w:p w14:paraId="6C11B2D7">
            <w:pPr>
              <w:widowControl w:val="0"/>
              <w:autoSpaceDE w:val="0"/>
              <w:autoSpaceDN w:val="0"/>
              <w:adjustRightInd w:val="0"/>
              <w:snapToGrid w:val="0"/>
              <w:spacing w:line="360" w:lineRule="auto"/>
              <w:ind w:firstLine="480" w:firstLineChars="200"/>
              <w:rPr>
                <w:sz w:val="24"/>
                <w:szCs w:val="24"/>
              </w:rPr>
            </w:pPr>
            <w:r>
              <w:rPr>
                <w:rFonts w:hint="eastAsia"/>
                <w:sz w:val="24"/>
                <w:szCs w:val="24"/>
              </w:rPr>
              <w:t>宣城市郎溪县生态环境局于</w:t>
            </w:r>
            <w:r>
              <w:rPr>
                <w:rFonts w:hint="eastAsia"/>
                <w:color w:val="000000" w:themeColor="text1"/>
                <w:sz w:val="24"/>
                <w:szCs w:val="24"/>
                <w14:textFill>
                  <w14:solidFill>
                    <w14:schemeClr w14:val="tx1"/>
                  </w14:solidFill>
                </w14:textFill>
              </w:rPr>
              <w:t>2024年9月30日</w:t>
            </w:r>
            <w:r>
              <w:rPr>
                <w:rFonts w:hint="eastAsia"/>
                <w:sz w:val="24"/>
                <w:szCs w:val="24"/>
              </w:rPr>
              <w:t>对《宣城兴旺达精密科技有限公司 年产400万件新能源汽车电池零部件项目》进行了批复，文号：</w:t>
            </w:r>
            <w:r>
              <w:rPr>
                <w:rFonts w:hint="eastAsia"/>
                <w:color w:val="000000" w:themeColor="text1"/>
                <w:sz w:val="24"/>
                <w:szCs w:val="24"/>
                <w14:textFill>
                  <w14:solidFill>
                    <w14:schemeClr w14:val="tx1"/>
                  </w14:solidFill>
                </w14:textFill>
              </w:rPr>
              <w:t>郎环函〔2024〕82号</w:t>
            </w:r>
          </w:p>
          <w:p w14:paraId="7E06DB1C">
            <w:pPr>
              <w:widowControl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宣城兴旺达精密科技有限公司于2024年1月16日取得排污许可证登记管理，登记编号：91341821MA8PJU2R38001X。</w:t>
            </w:r>
          </w:p>
          <w:p w14:paraId="6810CEDC">
            <w:pPr>
              <w:widowControl w:val="0"/>
              <w:spacing w:line="360" w:lineRule="auto"/>
              <w:ind w:firstLine="480" w:firstLineChars="200"/>
              <w:rPr>
                <w:sz w:val="24"/>
              </w:rPr>
            </w:pPr>
            <w:r>
              <w:rPr>
                <w:rFonts w:hint="eastAsia"/>
                <w:sz w:val="24"/>
              </w:rPr>
              <w:t>项目于2024年</w:t>
            </w:r>
            <w:r>
              <w:rPr>
                <w:rFonts w:hint="eastAsia"/>
                <w:sz w:val="24"/>
                <w:lang w:val="en-US" w:eastAsia="zh-CN"/>
              </w:rPr>
              <w:t>9</w:t>
            </w:r>
            <w:r>
              <w:rPr>
                <w:rFonts w:hint="eastAsia"/>
                <w:sz w:val="24"/>
              </w:rPr>
              <w:t>月开始进行建设，于2024年</w:t>
            </w:r>
            <w:r>
              <w:rPr>
                <w:rFonts w:hint="eastAsia"/>
                <w:sz w:val="24"/>
                <w:lang w:val="en-US" w:eastAsia="zh-CN"/>
              </w:rPr>
              <w:t>10</w:t>
            </w:r>
            <w:r>
              <w:rPr>
                <w:rFonts w:hint="eastAsia"/>
                <w:sz w:val="24"/>
              </w:rPr>
              <w:t>月开始调试生产。目前项目主要生产设备均已到位，与之配套共用工程、辅助工程以及环保工程均同步投入使用。</w:t>
            </w:r>
          </w:p>
          <w:p w14:paraId="67DCBA57">
            <w:pPr>
              <w:widowControl w:val="0"/>
              <w:numPr>
                <w:ilvl w:val="0"/>
                <w:numId w:val="3"/>
              </w:numPr>
              <w:spacing w:line="360" w:lineRule="auto"/>
              <w:ind w:firstLine="482"/>
              <w:rPr>
                <w:b/>
                <w:bCs/>
                <w:sz w:val="24"/>
                <w:szCs w:val="24"/>
              </w:rPr>
            </w:pPr>
            <w:r>
              <w:rPr>
                <w:rFonts w:hint="eastAsia"/>
                <w:b/>
                <w:bCs/>
                <w:sz w:val="24"/>
                <w:szCs w:val="24"/>
              </w:rPr>
              <w:t>建设内容及规模</w:t>
            </w:r>
          </w:p>
          <w:p w14:paraId="19E59571">
            <w:pPr>
              <w:widowControl w:val="0"/>
              <w:spacing w:line="360" w:lineRule="auto"/>
              <w:ind w:firstLine="480"/>
              <w:rPr>
                <w:sz w:val="24"/>
                <w:szCs w:val="24"/>
              </w:rPr>
            </w:pPr>
            <w:r>
              <w:rPr>
                <w:rFonts w:hint="eastAsia"/>
                <w:sz w:val="24"/>
                <w:szCs w:val="24"/>
              </w:rPr>
              <w:t>具体建设内容一览表见表2-1。</w:t>
            </w:r>
          </w:p>
          <w:p w14:paraId="17A2D0DE">
            <w:pPr>
              <w:widowControl w:val="0"/>
              <w:autoSpaceDE w:val="0"/>
              <w:autoSpaceDN w:val="0"/>
              <w:snapToGrid w:val="0"/>
              <w:spacing w:line="360" w:lineRule="auto"/>
              <w:ind w:firstLine="490"/>
              <w:jc w:val="center"/>
              <w:rPr>
                <w:b/>
                <w:bCs/>
                <w:color w:val="000000" w:themeColor="text1"/>
                <w:spacing w:val="2"/>
                <w:kern w:val="0"/>
                <w:sz w:val="24"/>
                <w:szCs w:val="24"/>
                <w14:textFill>
                  <w14:solidFill>
                    <w14:schemeClr w14:val="tx1"/>
                  </w14:solidFill>
                </w14:textFill>
              </w:rPr>
            </w:pPr>
            <w:r>
              <w:rPr>
                <w:rFonts w:hint="eastAsia"/>
                <w:b/>
                <w:bCs/>
                <w:color w:val="000000" w:themeColor="text1"/>
                <w:spacing w:val="2"/>
                <w:kern w:val="0"/>
                <w:sz w:val="24"/>
                <w:szCs w:val="24"/>
                <w14:textFill>
                  <w14:solidFill>
                    <w14:schemeClr w14:val="tx1"/>
                  </w14:solidFill>
                </w14:textFill>
              </w:rPr>
              <w:t>表 2-1 项目工程一览表</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88"/>
              <w:gridCol w:w="1328"/>
              <w:gridCol w:w="3690"/>
              <w:gridCol w:w="3583"/>
            </w:tblGrid>
            <w:tr w14:paraId="18071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left w:val="single" w:color="auto" w:sz="6" w:space="0"/>
                    <w:bottom w:val="single" w:color="auto" w:sz="6" w:space="0"/>
                    <w:right w:val="single" w:color="auto" w:sz="6" w:space="0"/>
                  </w:tcBorders>
                  <w:vAlign w:val="center"/>
                </w:tcPr>
                <w:p w14:paraId="5C338CB2">
                  <w:pPr>
                    <w:jc w:val="center"/>
                    <w:rPr>
                      <w:b/>
                      <w:bCs/>
                    </w:rPr>
                  </w:pPr>
                  <w:r>
                    <w:rPr>
                      <w:b/>
                      <w:bCs/>
                    </w:rPr>
                    <w:t>工程</w:t>
                  </w:r>
                </w:p>
                <w:p w14:paraId="40A95D69">
                  <w:pPr>
                    <w:jc w:val="center"/>
                    <w:rPr>
                      <w:b/>
                      <w:bCs/>
                    </w:rPr>
                  </w:pPr>
                  <w:r>
                    <w:rPr>
                      <w:b/>
                      <w:bCs/>
                    </w:rPr>
                    <w:t>类别</w:t>
                  </w:r>
                </w:p>
              </w:tc>
              <w:tc>
                <w:tcPr>
                  <w:tcW w:w="707" w:type="pct"/>
                  <w:tcBorders>
                    <w:top w:val="single" w:color="auto" w:sz="6" w:space="0"/>
                    <w:left w:val="single" w:color="auto" w:sz="6" w:space="0"/>
                    <w:bottom w:val="single" w:color="auto" w:sz="6" w:space="0"/>
                    <w:right w:val="single" w:color="auto" w:sz="6" w:space="0"/>
                  </w:tcBorders>
                  <w:vAlign w:val="center"/>
                </w:tcPr>
                <w:p w14:paraId="3C714954">
                  <w:pPr>
                    <w:jc w:val="center"/>
                    <w:rPr>
                      <w:b/>
                      <w:bCs/>
                    </w:rPr>
                  </w:pPr>
                  <w:r>
                    <w:rPr>
                      <w:b/>
                      <w:bCs/>
                    </w:rPr>
                    <w:t>单项工程</w:t>
                  </w:r>
                </w:p>
                <w:p w14:paraId="61170098">
                  <w:pPr>
                    <w:jc w:val="center"/>
                    <w:rPr>
                      <w:b/>
                      <w:bCs/>
                    </w:rPr>
                  </w:pPr>
                  <w:r>
                    <w:rPr>
                      <w:b/>
                      <w:bCs/>
                    </w:rPr>
                    <w:t>名称</w:t>
                  </w:r>
                </w:p>
              </w:tc>
              <w:tc>
                <w:tcPr>
                  <w:tcW w:w="1965" w:type="pct"/>
                  <w:tcBorders>
                    <w:top w:val="single" w:color="auto" w:sz="6" w:space="0"/>
                    <w:left w:val="single" w:color="auto" w:sz="6" w:space="0"/>
                    <w:bottom w:val="single" w:color="auto" w:sz="6" w:space="0"/>
                    <w:right w:val="single" w:color="auto" w:sz="6" w:space="0"/>
                  </w:tcBorders>
                  <w:vAlign w:val="center"/>
                </w:tcPr>
                <w:p w14:paraId="4A7EA255">
                  <w:pPr>
                    <w:jc w:val="center"/>
                    <w:rPr>
                      <w:b/>
                      <w:bCs/>
                    </w:rPr>
                  </w:pPr>
                  <w:r>
                    <w:rPr>
                      <w:rFonts w:hint="eastAsia"/>
                      <w:b/>
                      <w:bCs/>
                    </w:rPr>
                    <w:t>环评建设情况</w:t>
                  </w:r>
                </w:p>
              </w:tc>
              <w:tc>
                <w:tcPr>
                  <w:tcW w:w="1908" w:type="pct"/>
                  <w:tcBorders>
                    <w:top w:val="single" w:color="auto" w:sz="6" w:space="0"/>
                    <w:left w:val="single" w:color="auto" w:sz="6" w:space="0"/>
                    <w:bottom w:val="single" w:color="auto" w:sz="6" w:space="0"/>
                    <w:right w:val="single" w:color="auto" w:sz="6" w:space="0"/>
                  </w:tcBorders>
                  <w:vAlign w:val="center"/>
                </w:tcPr>
                <w:p w14:paraId="77266BEB">
                  <w:pPr>
                    <w:jc w:val="center"/>
                    <w:rPr>
                      <w:b/>
                      <w:bCs/>
                    </w:rPr>
                  </w:pPr>
                  <w:r>
                    <w:rPr>
                      <w:rFonts w:hint="eastAsia"/>
                      <w:b/>
                      <w:bCs/>
                    </w:rPr>
                    <w:t>实际建设情况</w:t>
                  </w:r>
                </w:p>
              </w:tc>
            </w:tr>
            <w:tr w14:paraId="233AF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420" w:type="pct"/>
                  <w:vMerge w:val="restart"/>
                  <w:tcBorders>
                    <w:top w:val="single" w:color="auto" w:sz="6" w:space="0"/>
                    <w:left w:val="single" w:color="auto" w:sz="6" w:space="0"/>
                    <w:right w:val="single" w:color="auto" w:sz="6" w:space="0"/>
                  </w:tcBorders>
                  <w:vAlign w:val="center"/>
                </w:tcPr>
                <w:p w14:paraId="63E86C7D">
                  <w:pPr>
                    <w:jc w:val="center"/>
                    <w:rPr>
                      <w:b/>
                      <w:bCs/>
                    </w:rPr>
                  </w:pPr>
                  <w:r>
                    <w:rPr>
                      <w:b/>
                      <w:bCs/>
                    </w:rPr>
                    <w:t>主体</w:t>
                  </w:r>
                </w:p>
                <w:p w14:paraId="6696E1F5">
                  <w:pPr>
                    <w:jc w:val="center"/>
                    <w:rPr>
                      <w:b/>
                      <w:bCs/>
                    </w:rPr>
                  </w:pPr>
                  <w:r>
                    <w:rPr>
                      <w:b/>
                      <w:bCs/>
                    </w:rPr>
                    <w:t>工程</w:t>
                  </w:r>
                </w:p>
              </w:tc>
              <w:tc>
                <w:tcPr>
                  <w:tcW w:w="707" w:type="pct"/>
                  <w:tcBorders>
                    <w:top w:val="single" w:color="auto" w:sz="6" w:space="0"/>
                    <w:left w:val="single" w:color="auto" w:sz="6" w:space="0"/>
                    <w:bottom w:val="single" w:color="auto" w:sz="6" w:space="0"/>
                    <w:right w:val="single" w:color="auto" w:sz="6" w:space="0"/>
                  </w:tcBorders>
                  <w:vAlign w:val="center"/>
                </w:tcPr>
                <w:p w14:paraId="45675915">
                  <w:pPr>
                    <w:jc w:val="center"/>
                    <w:rPr>
                      <w:spacing w:val="-20"/>
                    </w:rPr>
                  </w:pPr>
                  <w:r>
                    <w:t>1#车间</w:t>
                  </w:r>
                </w:p>
              </w:tc>
              <w:tc>
                <w:tcPr>
                  <w:tcW w:w="1965" w:type="pct"/>
                  <w:tcBorders>
                    <w:top w:val="single" w:color="auto" w:sz="6" w:space="0"/>
                    <w:left w:val="single" w:color="auto" w:sz="6" w:space="0"/>
                    <w:bottom w:val="single" w:color="auto" w:sz="6" w:space="0"/>
                    <w:right w:val="single" w:color="auto" w:sz="6" w:space="0"/>
                  </w:tcBorders>
                  <w:vAlign w:val="center"/>
                </w:tcPr>
                <w:p w14:paraId="28D155BE">
                  <w:pPr>
                    <w:jc w:val="center"/>
                  </w:pPr>
                  <w:r>
                    <w:t>建筑面积1100m</w:t>
                  </w:r>
                  <w:r>
                    <w:rPr>
                      <w:vertAlign w:val="superscript"/>
                    </w:rPr>
                    <w:t>2</w:t>
                  </w:r>
                  <w:r>
                    <w:t>，1层建筑，分为机械加工区、喷漆</w:t>
                  </w:r>
                  <w:r>
                    <w:rPr>
                      <w:rFonts w:hint="eastAsia"/>
                    </w:rPr>
                    <w:t>生产线</w:t>
                  </w:r>
                  <w:r>
                    <w:t>、组装区，主要用做新能源汽车电池零部件的加工及组装。</w:t>
                  </w:r>
                  <w:r>
                    <w:rPr>
                      <w:rFonts w:hint="eastAsia"/>
                    </w:rPr>
                    <w:t>（</w:t>
                  </w:r>
                  <w:r>
                    <w:t>租赁大梁村工业园区厂房</w:t>
                  </w:r>
                  <w:r>
                    <w:rPr>
                      <w:rFonts w:hint="eastAsia"/>
                    </w:rPr>
                    <w:t>）</w:t>
                  </w:r>
                </w:p>
              </w:tc>
              <w:tc>
                <w:tcPr>
                  <w:tcW w:w="1908" w:type="pct"/>
                  <w:tcBorders>
                    <w:top w:val="single" w:color="auto" w:sz="6" w:space="0"/>
                    <w:left w:val="single" w:color="auto" w:sz="6" w:space="0"/>
                    <w:bottom w:val="single" w:color="auto" w:sz="6" w:space="0"/>
                    <w:right w:val="single" w:color="auto" w:sz="6" w:space="0"/>
                  </w:tcBorders>
                  <w:vAlign w:val="center"/>
                </w:tcPr>
                <w:p w14:paraId="01D32F12">
                  <w:pPr>
                    <w:jc w:val="center"/>
                  </w:pPr>
                  <w:r>
                    <w:rPr>
                      <w:rFonts w:hint="eastAsia"/>
                    </w:rPr>
                    <w:t>与环评基本一致</w:t>
                  </w:r>
                </w:p>
                <w:p w14:paraId="1DC17F3C">
                  <w:pPr>
                    <w:jc w:val="center"/>
                  </w:pPr>
                  <w:r>
                    <w:t>机械加工区</w:t>
                  </w:r>
                  <w:r>
                    <w:rPr>
                      <w:rFonts w:hint="eastAsia"/>
                    </w:rPr>
                    <w:t>、</w:t>
                  </w:r>
                  <w:r>
                    <w:t>组装区</w:t>
                  </w:r>
                  <w:r>
                    <w:rPr>
                      <w:rFonts w:hint="eastAsia"/>
                    </w:rPr>
                    <w:t>工艺未建设</w:t>
                  </w:r>
                </w:p>
              </w:tc>
            </w:tr>
            <w:tr w14:paraId="2FBBA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420" w:type="pct"/>
                  <w:vMerge w:val="continue"/>
                  <w:tcBorders>
                    <w:left w:val="single" w:color="auto" w:sz="6" w:space="0"/>
                    <w:right w:val="single" w:color="auto" w:sz="6" w:space="0"/>
                  </w:tcBorders>
                  <w:vAlign w:val="center"/>
                </w:tcPr>
                <w:p w14:paraId="27E4F0F2">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14FC31CF">
                  <w:pPr>
                    <w:jc w:val="center"/>
                  </w:pPr>
                  <w:r>
                    <w:t>2#车间</w:t>
                  </w:r>
                </w:p>
              </w:tc>
              <w:tc>
                <w:tcPr>
                  <w:tcW w:w="1965" w:type="pct"/>
                  <w:tcBorders>
                    <w:top w:val="single" w:color="auto" w:sz="6" w:space="0"/>
                    <w:left w:val="single" w:color="auto" w:sz="6" w:space="0"/>
                    <w:bottom w:val="single" w:color="auto" w:sz="6" w:space="0"/>
                    <w:right w:val="single" w:color="auto" w:sz="6" w:space="0"/>
                  </w:tcBorders>
                  <w:vAlign w:val="center"/>
                </w:tcPr>
                <w:p w14:paraId="2A0F8706">
                  <w:pPr>
                    <w:jc w:val="center"/>
                  </w:pPr>
                  <w:r>
                    <w:t>建筑面积1100m</w:t>
                  </w:r>
                  <w:r>
                    <w:rPr>
                      <w:vertAlign w:val="superscript"/>
                    </w:rPr>
                    <w:t>2</w:t>
                  </w:r>
                  <w:r>
                    <w:t>，1层建筑，主要设置有喷粉生产线、砂修区域及焊接区域，涉及的工艺有喷粉、砂修、焊接</w:t>
                  </w:r>
                </w:p>
              </w:tc>
              <w:tc>
                <w:tcPr>
                  <w:tcW w:w="1908" w:type="pct"/>
                  <w:tcBorders>
                    <w:top w:val="single" w:color="auto" w:sz="6" w:space="0"/>
                    <w:left w:val="single" w:color="auto" w:sz="6" w:space="0"/>
                    <w:bottom w:val="single" w:color="auto" w:sz="6" w:space="0"/>
                    <w:right w:val="single" w:color="auto" w:sz="6" w:space="0"/>
                  </w:tcBorders>
                  <w:vAlign w:val="center"/>
                </w:tcPr>
                <w:p w14:paraId="30BBCD31">
                  <w:pPr>
                    <w:jc w:val="center"/>
                  </w:pPr>
                  <w:r>
                    <w:rPr>
                      <w:rFonts w:hint="eastAsia"/>
                    </w:rPr>
                    <w:t>与环评一致</w:t>
                  </w:r>
                </w:p>
              </w:tc>
            </w:tr>
            <w:tr w14:paraId="6A10B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5" w:hRule="atLeast"/>
                <w:jc w:val="center"/>
              </w:trPr>
              <w:tc>
                <w:tcPr>
                  <w:tcW w:w="420" w:type="pct"/>
                  <w:vMerge w:val="continue"/>
                  <w:tcBorders>
                    <w:left w:val="single" w:color="auto" w:sz="6" w:space="0"/>
                    <w:bottom w:val="single" w:color="auto" w:sz="6" w:space="0"/>
                    <w:right w:val="single" w:color="auto" w:sz="6" w:space="0"/>
                  </w:tcBorders>
                  <w:vAlign w:val="center"/>
                </w:tcPr>
                <w:p w14:paraId="4DDEA3A1">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71383093">
                  <w:pPr>
                    <w:jc w:val="center"/>
                  </w:pPr>
                  <w:r>
                    <w:t>3#车间</w:t>
                  </w:r>
                </w:p>
              </w:tc>
              <w:tc>
                <w:tcPr>
                  <w:tcW w:w="1965" w:type="pct"/>
                  <w:tcBorders>
                    <w:top w:val="single" w:color="auto" w:sz="6" w:space="0"/>
                    <w:left w:val="single" w:color="auto" w:sz="6" w:space="0"/>
                    <w:bottom w:val="single" w:color="auto" w:sz="6" w:space="0"/>
                    <w:right w:val="single" w:color="auto" w:sz="6" w:space="0"/>
                  </w:tcBorders>
                  <w:vAlign w:val="center"/>
                </w:tcPr>
                <w:p w14:paraId="13AC767C">
                  <w:pPr>
                    <w:jc w:val="center"/>
                  </w:pPr>
                  <w:r>
                    <w:t>建筑面积1100m</w:t>
                  </w:r>
                  <w:r>
                    <w:rPr>
                      <w:vertAlign w:val="superscript"/>
                    </w:rPr>
                    <w:t>2</w:t>
                  </w:r>
                  <w:r>
                    <w:t>，1层建筑，设置为成品及原材料仓库</w:t>
                  </w:r>
                </w:p>
              </w:tc>
              <w:tc>
                <w:tcPr>
                  <w:tcW w:w="1908" w:type="pct"/>
                  <w:tcBorders>
                    <w:top w:val="single" w:color="auto" w:sz="6" w:space="0"/>
                    <w:left w:val="single" w:color="auto" w:sz="6" w:space="0"/>
                    <w:bottom w:val="single" w:color="auto" w:sz="6" w:space="0"/>
                    <w:right w:val="single" w:color="auto" w:sz="6" w:space="0"/>
                  </w:tcBorders>
                  <w:vAlign w:val="center"/>
                </w:tcPr>
                <w:p w14:paraId="5A4A28EB">
                  <w:pPr>
                    <w:jc w:val="center"/>
                  </w:pPr>
                  <w:r>
                    <w:rPr>
                      <w:rFonts w:hint="eastAsia"/>
                    </w:rPr>
                    <w:t>与环评一致</w:t>
                  </w:r>
                </w:p>
              </w:tc>
            </w:tr>
            <w:tr w14:paraId="6A969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20" w:type="pct"/>
                  <w:vMerge w:val="restart"/>
                  <w:tcBorders>
                    <w:top w:val="single" w:color="auto" w:sz="6" w:space="0"/>
                    <w:left w:val="single" w:color="auto" w:sz="6" w:space="0"/>
                    <w:right w:val="single" w:color="auto" w:sz="6" w:space="0"/>
                  </w:tcBorders>
                  <w:vAlign w:val="center"/>
                </w:tcPr>
                <w:p w14:paraId="1D44F697">
                  <w:pPr>
                    <w:jc w:val="center"/>
                    <w:rPr>
                      <w:b/>
                      <w:bCs/>
                    </w:rPr>
                  </w:pPr>
                  <w:r>
                    <w:rPr>
                      <w:b/>
                      <w:bCs/>
                    </w:rPr>
                    <w:t>辅助工程</w:t>
                  </w:r>
                </w:p>
              </w:tc>
              <w:tc>
                <w:tcPr>
                  <w:tcW w:w="707" w:type="pct"/>
                  <w:tcBorders>
                    <w:top w:val="single" w:color="auto" w:sz="6" w:space="0"/>
                    <w:left w:val="single" w:color="auto" w:sz="6" w:space="0"/>
                    <w:bottom w:val="single" w:color="auto" w:sz="6" w:space="0"/>
                    <w:right w:val="single" w:color="auto" w:sz="6" w:space="0"/>
                  </w:tcBorders>
                  <w:vAlign w:val="center"/>
                </w:tcPr>
                <w:p w14:paraId="79B4B2B4">
                  <w:pPr>
                    <w:jc w:val="center"/>
                  </w:pPr>
                  <w:r>
                    <w:t>综合楼</w:t>
                  </w:r>
                </w:p>
              </w:tc>
              <w:tc>
                <w:tcPr>
                  <w:tcW w:w="1965" w:type="pct"/>
                  <w:tcBorders>
                    <w:top w:val="single" w:color="auto" w:sz="6" w:space="0"/>
                    <w:left w:val="single" w:color="auto" w:sz="6" w:space="0"/>
                    <w:bottom w:val="single" w:color="auto" w:sz="6" w:space="0"/>
                    <w:right w:val="single" w:color="auto" w:sz="6" w:space="0"/>
                  </w:tcBorders>
                  <w:vAlign w:val="center"/>
                </w:tcPr>
                <w:p w14:paraId="243897E8">
                  <w:pPr>
                    <w:jc w:val="center"/>
                  </w:pPr>
                  <w:r>
                    <w:t>建筑面积约为1060m</w:t>
                  </w:r>
                  <w:r>
                    <w:rPr>
                      <w:vertAlign w:val="superscript"/>
                    </w:rPr>
                    <w:t>2</w:t>
                  </w:r>
                  <w:r>
                    <w:t>，主要为员工办公区域、食堂。</w:t>
                  </w:r>
                  <w:r>
                    <w:rPr>
                      <w:rFonts w:hint="eastAsia"/>
                    </w:rPr>
                    <w:t>（</w:t>
                  </w:r>
                  <w:r>
                    <w:t>租赁大梁村工业园区厂房</w:t>
                  </w:r>
                  <w:r>
                    <w:rPr>
                      <w:rFonts w:hint="eastAsia"/>
                    </w:rPr>
                    <w:t>）</w:t>
                  </w:r>
                </w:p>
              </w:tc>
              <w:tc>
                <w:tcPr>
                  <w:tcW w:w="1908" w:type="pct"/>
                  <w:tcBorders>
                    <w:top w:val="single" w:color="auto" w:sz="6" w:space="0"/>
                    <w:left w:val="single" w:color="auto" w:sz="6" w:space="0"/>
                    <w:bottom w:val="single" w:color="auto" w:sz="6" w:space="0"/>
                    <w:right w:val="single" w:color="auto" w:sz="6" w:space="0"/>
                  </w:tcBorders>
                  <w:vAlign w:val="center"/>
                </w:tcPr>
                <w:p w14:paraId="2A286424">
                  <w:pPr>
                    <w:jc w:val="center"/>
                  </w:pPr>
                  <w:r>
                    <w:rPr>
                      <w:rFonts w:hint="eastAsia"/>
                    </w:rPr>
                    <w:t>与环评一致</w:t>
                  </w:r>
                </w:p>
              </w:tc>
            </w:tr>
            <w:tr w14:paraId="2E9BC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20" w:type="pct"/>
                  <w:vMerge w:val="continue"/>
                  <w:tcBorders>
                    <w:left w:val="single" w:color="auto" w:sz="6" w:space="0"/>
                    <w:right w:val="single" w:color="auto" w:sz="6" w:space="0"/>
                  </w:tcBorders>
                  <w:vAlign w:val="center"/>
                </w:tcPr>
                <w:p w14:paraId="2D24B7D4">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74AD186E">
                  <w:pPr>
                    <w:jc w:val="center"/>
                  </w:pPr>
                  <w:r>
                    <w:t>丙烷气站</w:t>
                  </w:r>
                </w:p>
              </w:tc>
              <w:tc>
                <w:tcPr>
                  <w:tcW w:w="1965" w:type="pct"/>
                  <w:tcBorders>
                    <w:top w:val="single" w:color="auto" w:sz="6" w:space="0"/>
                    <w:left w:val="single" w:color="auto" w:sz="6" w:space="0"/>
                    <w:bottom w:val="single" w:color="auto" w:sz="6" w:space="0"/>
                    <w:right w:val="single" w:color="auto" w:sz="6" w:space="0"/>
                  </w:tcBorders>
                  <w:vAlign w:val="center"/>
                </w:tcPr>
                <w:p w14:paraId="2F8F1AB0">
                  <w:pPr>
                    <w:jc w:val="center"/>
                  </w:pPr>
                  <w:r>
                    <w:t>建筑面积为30m</w:t>
                  </w:r>
                  <w:r>
                    <w:rPr>
                      <w:vertAlign w:val="superscript"/>
                    </w:rPr>
                    <w:t>2</w:t>
                  </w:r>
                  <w:r>
                    <w:t>，位于厂房东北侧，配备有丙烷气化装置</w:t>
                  </w:r>
                </w:p>
              </w:tc>
              <w:tc>
                <w:tcPr>
                  <w:tcW w:w="1908" w:type="pct"/>
                  <w:tcBorders>
                    <w:top w:val="single" w:color="auto" w:sz="6" w:space="0"/>
                    <w:left w:val="single" w:color="auto" w:sz="6" w:space="0"/>
                    <w:bottom w:val="single" w:color="auto" w:sz="6" w:space="0"/>
                    <w:right w:val="single" w:color="auto" w:sz="6" w:space="0"/>
                  </w:tcBorders>
                  <w:vAlign w:val="center"/>
                </w:tcPr>
                <w:p w14:paraId="1FFFACFA">
                  <w:pPr>
                    <w:jc w:val="center"/>
                  </w:pPr>
                  <w:r>
                    <w:rPr>
                      <w:rFonts w:hint="eastAsia"/>
                    </w:rPr>
                    <w:t>与环评一致</w:t>
                  </w:r>
                </w:p>
              </w:tc>
            </w:tr>
            <w:tr w14:paraId="0B0B8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20" w:type="pct"/>
                  <w:vMerge w:val="continue"/>
                  <w:tcBorders>
                    <w:left w:val="single" w:color="auto" w:sz="6" w:space="0"/>
                    <w:bottom w:val="single" w:color="auto" w:sz="6" w:space="0"/>
                    <w:right w:val="single" w:color="auto" w:sz="6" w:space="0"/>
                  </w:tcBorders>
                  <w:vAlign w:val="center"/>
                </w:tcPr>
                <w:p w14:paraId="2843F55F">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522911BB">
                  <w:pPr>
                    <w:jc w:val="center"/>
                  </w:pPr>
                  <w:r>
                    <w:t>空压机房</w:t>
                  </w:r>
                </w:p>
              </w:tc>
              <w:tc>
                <w:tcPr>
                  <w:tcW w:w="1965" w:type="pct"/>
                  <w:tcBorders>
                    <w:top w:val="single" w:color="auto" w:sz="6" w:space="0"/>
                    <w:left w:val="single" w:color="auto" w:sz="6" w:space="0"/>
                    <w:bottom w:val="single" w:color="auto" w:sz="6" w:space="0"/>
                    <w:right w:val="single" w:color="auto" w:sz="6" w:space="0"/>
                  </w:tcBorders>
                  <w:vAlign w:val="center"/>
                </w:tcPr>
                <w:p w14:paraId="0C9A1312">
                  <w:pPr>
                    <w:jc w:val="center"/>
                  </w:pPr>
                  <w:r>
                    <w:t>建筑面积约为20m</w:t>
                  </w:r>
                  <w:r>
                    <w:rPr>
                      <w:vertAlign w:val="superscript"/>
                    </w:rPr>
                    <w:t>2</w:t>
                  </w:r>
                  <w:r>
                    <w:t>，位于厂房北侧。</w:t>
                  </w:r>
                </w:p>
              </w:tc>
              <w:tc>
                <w:tcPr>
                  <w:tcW w:w="1908" w:type="pct"/>
                  <w:tcBorders>
                    <w:top w:val="single" w:color="auto" w:sz="6" w:space="0"/>
                    <w:left w:val="single" w:color="auto" w:sz="6" w:space="0"/>
                    <w:bottom w:val="single" w:color="auto" w:sz="6" w:space="0"/>
                    <w:right w:val="single" w:color="auto" w:sz="6" w:space="0"/>
                  </w:tcBorders>
                  <w:vAlign w:val="center"/>
                </w:tcPr>
                <w:p w14:paraId="0DDA4EBE">
                  <w:pPr>
                    <w:jc w:val="center"/>
                  </w:pPr>
                  <w:r>
                    <w:rPr>
                      <w:rFonts w:hint="eastAsia"/>
                    </w:rPr>
                    <w:t>与环评一致</w:t>
                  </w:r>
                </w:p>
              </w:tc>
            </w:tr>
            <w:tr w14:paraId="3F054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restart"/>
                  <w:tcBorders>
                    <w:top w:val="single" w:color="auto" w:sz="6" w:space="0"/>
                    <w:left w:val="single" w:color="auto" w:sz="6" w:space="0"/>
                    <w:right w:val="single" w:color="auto" w:sz="6" w:space="0"/>
                  </w:tcBorders>
                  <w:vAlign w:val="center"/>
                </w:tcPr>
                <w:p w14:paraId="53667C80">
                  <w:pPr>
                    <w:jc w:val="center"/>
                    <w:rPr>
                      <w:b/>
                      <w:bCs/>
                    </w:rPr>
                  </w:pPr>
                  <w:r>
                    <w:rPr>
                      <w:b/>
                      <w:bCs/>
                    </w:rPr>
                    <w:t>储运</w:t>
                  </w:r>
                </w:p>
                <w:p w14:paraId="1DC31158">
                  <w:pPr>
                    <w:jc w:val="center"/>
                    <w:rPr>
                      <w:b/>
                      <w:bCs/>
                    </w:rPr>
                  </w:pPr>
                  <w:r>
                    <w:rPr>
                      <w:b/>
                      <w:bCs/>
                    </w:rPr>
                    <w:t>工程</w:t>
                  </w:r>
                </w:p>
              </w:tc>
              <w:tc>
                <w:tcPr>
                  <w:tcW w:w="707" w:type="pct"/>
                  <w:tcBorders>
                    <w:top w:val="single" w:color="auto" w:sz="6" w:space="0"/>
                    <w:left w:val="single" w:color="auto" w:sz="6" w:space="0"/>
                    <w:bottom w:val="single" w:color="auto" w:sz="6" w:space="0"/>
                    <w:right w:val="single" w:color="auto" w:sz="6" w:space="0"/>
                  </w:tcBorders>
                  <w:vAlign w:val="center"/>
                </w:tcPr>
                <w:p w14:paraId="5F7D2473">
                  <w:pPr>
                    <w:jc w:val="center"/>
                  </w:pPr>
                  <w:r>
                    <w:t>原料仓库</w:t>
                  </w:r>
                </w:p>
              </w:tc>
              <w:tc>
                <w:tcPr>
                  <w:tcW w:w="1965" w:type="pct"/>
                  <w:tcBorders>
                    <w:top w:val="single" w:color="auto" w:sz="6" w:space="0"/>
                    <w:left w:val="single" w:color="auto" w:sz="6" w:space="0"/>
                    <w:bottom w:val="single" w:color="auto" w:sz="6" w:space="0"/>
                    <w:right w:val="single" w:color="auto" w:sz="6" w:space="0"/>
                  </w:tcBorders>
                  <w:vAlign w:val="center"/>
                </w:tcPr>
                <w:p w14:paraId="5EEC348E">
                  <w:pPr>
                    <w:jc w:val="center"/>
                  </w:pPr>
                  <w:r>
                    <w:t>建筑面积约为200m</w:t>
                  </w:r>
                  <w:r>
                    <w:rPr>
                      <w:vertAlign w:val="superscript"/>
                    </w:rPr>
                    <w:t>2</w:t>
                  </w:r>
                  <w:r>
                    <w:t>，位于3#厂房内北侧</w:t>
                  </w:r>
                  <w:r>
                    <w:rPr>
                      <w:kern w:val="0"/>
                    </w:rPr>
                    <w:t>，用于堆放原材料品。</w:t>
                  </w:r>
                </w:p>
              </w:tc>
              <w:tc>
                <w:tcPr>
                  <w:tcW w:w="1908" w:type="pct"/>
                  <w:tcBorders>
                    <w:top w:val="single" w:color="auto" w:sz="6" w:space="0"/>
                    <w:left w:val="single" w:color="auto" w:sz="6" w:space="0"/>
                    <w:bottom w:val="single" w:color="auto" w:sz="6" w:space="0"/>
                    <w:right w:val="single" w:color="auto" w:sz="6" w:space="0"/>
                  </w:tcBorders>
                  <w:vAlign w:val="center"/>
                </w:tcPr>
                <w:p w14:paraId="26A91131">
                  <w:pPr>
                    <w:jc w:val="center"/>
                  </w:pPr>
                  <w:r>
                    <w:rPr>
                      <w:rFonts w:hint="eastAsia"/>
                    </w:rPr>
                    <w:t>与环评一致</w:t>
                  </w:r>
                </w:p>
              </w:tc>
            </w:tr>
            <w:tr w14:paraId="7017F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right w:val="single" w:color="auto" w:sz="6" w:space="0"/>
                  </w:tcBorders>
                  <w:vAlign w:val="center"/>
                </w:tcPr>
                <w:p w14:paraId="480D394A">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3E5BAE90">
                  <w:pPr>
                    <w:jc w:val="center"/>
                  </w:pPr>
                  <w:r>
                    <w:t>化学品仓库</w:t>
                  </w:r>
                </w:p>
              </w:tc>
              <w:tc>
                <w:tcPr>
                  <w:tcW w:w="1965" w:type="pct"/>
                  <w:tcBorders>
                    <w:top w:val="single" w:color="auto" w:sz="6" w:space="0"/>
                    <w:left w:val="single" w:color="auto" w:sz="6" w:space="0"/>
                    <w:bottom w:val="single" w:color="auto" w:sz="6" w:space="0"/>
                    <w:right w:val="single" w:color="auto" w:sz="6" w:space="0"/>
                  </w:tcBorders>
                  <w:vAlign w:val="center"/>
                </w:tcPr>
                <w:p w14:paraId="5E44AC9E">
                  <w:pPr>
                    <w:jc w:val="center"/>
                  </w:pPr>
                  <w:r>
                    <w:rPr>
                      <w:kern w:val="0"/>
                    </w:rPr>
                    <w:t>建筑面积：30m</w:t>
                  </w:r>
                  <w:r>
                    <w:rPr>
                      <w:kern w:val="0"/>
                      <w:vertAlign w:val="superscript"/>
                    </w:rPr>
                    <w:t>2</w:t>
                  </w:r>
                  <w:r>
                    <w:rPr>
                      <w:kern w:val="0"/>
                    </w:rPr>
                    <w:t>，位置：3#厂房内南侧，主要存放油漆、固化剂、稀释剂、切削液等</w:t>
                  </w:r>
                </w:p>
              </w:tc>
              <w:tc>
                <w:tcPr>
                  <w:tcW w:w="1908" w:type="pct"/>
                  <w:tcBorders>
                    <w:top w:val="single" w:color="auto" w:sz="6" w:space="0"/>
                    <w:left w:val="single" w:color="auto" w:sz="6" w:space="0"/>
                    <w:bottom w:val="single" w:color="auto" w:sz="6" w:space="0"/>
                    <w:right w:val="single" w:color="auto" w:sz="6" w:space="0"/>
                  </w:tcBorders>
                  <w:vAlign w:val="center"/>
                </w:tcPr>
                <w:p w14:paraId="0B9F0F3B">
                  <w:pPr>
                    <w:jc w:val="center"/>
                  </w:pPr>
                  <w:r>
                    <w:rPr>
                      <w:rFonts w:hint="eastAsia"/>
                    </w:rPr>
                    <w:t>与环评一致</w:t>
                  </w:r>
                </w:p>
              </w:tc>
            </w:tr>
            <w:tr w14:paraId="3BF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bottom w:val="single" w:color="auto" w:sz="6" w:space="0"/>
                    <w:right w:val="single" w:color="auto" w:sz="6" w:space="0"/>
                  </w:tcBorders>
                  <w:vAlign w:val="center"/>
                </w:tcPr>
                <w:p w14:paraId="62974F46">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61C9144F">
                  <w:pPr>
                    <w:jc w:val="center"/>
                  </w:pPr>
                  <w:r>
                    <w:t>成品库</w:t>
                  </w:r>
                </w:p>
              </w:tc>
              <w:tc>
                <w:tcPr>
                  <w:tcW w:w="1965" w:type="pct"/>
                  <w:tcBorders>
                    <w:top w:val="single" w:color="auto" w:sz="6" w:space="0"/>
                    <w:left w:val="single" w:color="auto" w:sz="6" w:space="0"/>
                    <w:bottom w:val="single" w:color="auto" w:sz="6" w:space="0"/>
                    <w:right w:val="single" w:color="auto" w:sz="6" w:space="0"/>
                  </w:tcBorders>
                  <w:vAlign w:val="center"/>
                </w:tcPr>
                <w:p w14:paraId="7A1CF968">
                  <w:pPr>
                    <w:jc w:val="center"/>
                    <w:rPr>
                      <w:kern w:val="0"/>
                    </w:rPr>
                  </w:pPr>
                  <w:r>
                    <w:rPr>
                      <w:kern w:val="0"/>
                    </w:rPr>
                    <w:t>建筑面积：300m</w:t>
                  </w:r>
                  <w:r>
                    <w:rPr>
                      <w:kern w:val="0"/>
                      <w:vertAlign w:val="superscript"/>
                    </w:rPr>
                    <w:t>2</w:t>
                  </w:r>
                  <w:r>
                    <w:rPr>
                      <w:kern w:val="0"/>
                    </w:rPr>
                    <w:t>，位置：3#厂房内南侧，主要存放成品</w:t>
                  </w:r>
                </w:p>
              </w:tc>
              <w:tc>
                <w:tcPr>
                  <w:tcW w:w="1908" w:type="pct"/>
                  <w:tcBorders>
                    <w:top w:val="single" w:color="auto" w:sz="6" w:space="0"/>
                    <w:left w:val="single" w:color="auto" w:sz="6" w:space="0"/>
                    <w:bottom w:val="single" w:color="auto" w:sz="6" w:space="0"/>
                    <w:right w:val="single" w:color="auto" w:sz="6" w:space="0"/>
                  </w:tcBorders>
                  <w:vAlign w:val="center"/>
                </w:tcPr>
                <w:p w14:paraId="4498FB66">
                  <w:pPr>
                    <w:jc w:val="center"/>
                  </w:pPr>
                  <w:r>
                    <w:rPr>
                      <w:rFonts w:hint="eastAsia"/>
                    </w:rPr>
                    <w:t>与环评一致</w:t>
                  </w:r>
                </w:p>
              </w:tc>
            </w:tr>
            <w:tr w14:paraId="0D3A1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0" w:type="pct"/>
                  <w:vMerge w:val="restart"/>
                  <w:tcBorders>
                    <w:top w:val="single" w:color="auto" w:sz="6" w:space="0"/>
                    <w:left w:val="single" w:color="auto" w:sz="6" w:space="0"/>
                    <w:right w:val="single" w:color="auto" w:sz="6" w:space="0"/>
                  </w:tcBorders>
                  <w:vAlign w:val="center"/>
                </w:tcPr>
                <w:p w14:paraId="33EB0F59">
                  <w:pPr>
                    <w:jc w:val="center"/>
                    <w:rPr>
                      <w:b/>
                      <w:bCs/>
                    </w:rPr>
                  </w:pPr>
                  <w:r>
                    <w:rPr>
                      <w:b/>
                      <w:bCs/>
                    </w:rPr>
                    <w:t>公用</w:t>
                  </w:r>
                </w:p>
                <w:p w14:paraId="5BB8923C">
                  <w:pPr>
                    <w:jc w:val="center"/>
                    <w:rPr>
                      <w:b/>
                      <w:bCs/>
                    </w:rPr>
                  </w:pPr>
                  <w:r>
                    <w:rPr>
                      <w:b/>
                      <w:bCs/>
                    </w:rPr>
                    <w:t>工程</w:t>
                  </w:r>
                </w:p>
              </w:tc>
              <w:tc>
                <w:tcPr>
                  <w:tcW w:w="707" w:type="pct"/>
                  <w:tcBorders>
                    <w:top w:val="single" w:color="auto" w:sz="6" w:space="0"/>
                    <w:left w:val="single" w:color="auto" w:sz="6" w:space="0"/>
                    <w:bottom w:val="single" w:color="auto" w:sz="6" w:space="0"/>
                    <w:right w:val="single" w:color="auto" w:sz="6" w:space="0"/>
                  </w:tcBorders>
                  <w:vAlign w:val="center"/>
                </w:tcPr>
                <w:p w14:paraId="52CEFDE2">
                  <w:pPr>
                    <w:jc w:val="center"/>
                  </w:pPr>
                  <w:r>
                    <w:t>供电</w:t>
                  </w:r>
                </w:p>
              </w:tc>
              <w:tc>
                <w:tcPr>
                  <w:tcW w:w="1965" w:type="pct"/>
                  <w:tcBorders>
                    <w:top w:val="single" w:color="auto" w:sz="6" w:space="0"/>
                    <w:left w:val="single" w:color="auto" w:sz="6" w:space="0"/>
                    <w:bottom w:val="single" w:color="auto" w:sz="6" w:space="0"/>
                    <w:right w:val="single" w:color="auto" w:sz="6" w:space="0"/>
                  </w:tcBorders>
                  <w:vAlign w:val="center"/>
                </w:tcPr>
                <w:p w14:paraId="69EEAB21">
                  <w:pPr>
                    <w:jc w:val="center"/>
                  </w:pPr>
                  <w:r>
                    <w:t>依托区域市政供电系统，由市政电网供给，年耗电100万kW·h。</w:t>
                  </w:r>
                </w:p>
              </w:tc>
              <w:tc>
                <w:tcPr>
                  <w:tcW w:w="1908" w:type="pct"/>
                  <w:tcBorders>
                    <w:top w:val="single" w:color="auto" w:sz="6" w:space="0"/>
                    <w:left w:val="single" w:color="auto" w:sz="6" w:space="0"/>
                    <w:bottom w:val="single" w:color="auto" w:sz="6" w:space="0"/>
                    <w:right w:val="single" w:color="auto" w:sz="6" w:space="0"/>
                  </w:tcBorders>
                  <w:vAlign w:val="center"/>
                </w:tcPr>
                <w:p w14:paraId="0427FDA3">
                  <w:pPr>
                    <w:jc w:val="center"/>
                  </w:pPr>
                  <w:r>
                    <w:rPr>
                      <w:rFonts w:hint="eastAsia"/>
                    </w:rPr>
                    <w:t>与环评一致</w:t>
                  </w:r>
                </w:p>
              </w:tc>
            </w:tr>
            <w:tr w14:paraId="20019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right w:val="single" w:color="auto" w:sz="6" w:space="0"/>
                  </w:tcBorders>
                  <w:vAlign w:val="center"/>
                </w:tcPr>
                <w:p w14:paraId="08C043E3">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52F914A2">
                  <w:pPr>
                    <w:jc w:val="center"/>
                  </w:pPr>
                  <w:r>
                    <w:t>供水</w:t>
                  </w:r>
                </w:p>
              </w:tc>
              <w:tc>
                <w:tcPr>
                  <w:tcW w:w="1965" w:type="pct"/>
                  <w:tcBorders>
                    <w:top w:val="single" w:color="auto" w:sz="6" w:space="0"/>
                    <w:left w:val="single" w:color="auto" w:sz="6" w:space="0"/>
                    <w:bottom w:val="single" w:color="auto" w:sz="6" w:space="0"/>
                    <w:right w:val="single" w:color="auto" w:sz="6" w:space="0"/>
                  </w:tcBorders>
                  <w:vAlign w:val="center"/>
                </w:tcPr>
                <w:p w14:paraId="38997B65">
                  <w:pPr>
                    <w:jc w:val="center"/>
                  </w:pPr>
                  <w:r>
                    <w:t>依托区域市政供水系统，由市政供水管网供给，年用水量4128.6t/a。</w:t>
                  </w:r>
                </w:p>
              </w:tc>
              <w:tc>
                <w:tcPr>
                  <w:tcW w:w="1908" w:type="pct"/>
                  <w:tcBorders>
                    <w:top w:val="single" w:color="auto" w:sz="6" w:space="0"/>
                    <w:left w:val="single" w:color="auto" w:sz="6" w:space="0"/>
                    <w:bottom w:val="single" w:color="auto" w:sz="6" w:space="0"/>
                    <w:right w:val="single" w:color="auto" w:sz="6" w:space="0"/>
                  </w:tcBorders>
                  <w:vAlign w:val="center"/>
                </w:tcPr>
                <w:p w14:paraId="731FA4C9">
                  <w:pPr>
                    <w:jc w:val="center"/>
                  </w:pPr>
                  <w:r>
                    <w:rPr>
                      <w:rFonts w:hint="eastAsia"/>
                    </w:rPr>
                    <w:t>与环评一致</w:t>
                  </w:r>
                </w:p>
              </w:tc>
            </w:tr>
            <w:tr w14:paraId="3A356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right w:val="single" w:color="auto" w:sz="6" w:space="0"/>
                  </w:tcBorders>
                  <w:vAlign w:val="center"/>
                </w:tcPr>
                <w:p w14:paraId="790C687E">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6C11A301">
                  <w:pPr>
                    <w:jc w:val="center"/>
                  </w:pPr>
                  <w:r>
                    <w:t>供热</w:t>
                  </w:r>
                </w:p>
              </w:tc>
              <w:tc>
                <w:tcPr>
                  <w:tcW w:w="1965" w:type="pct"/>
                  <w:tcBorders>
                    <w:top w:val="single" w:color="auto" w:sz="6" w:space="0"/>
                    <w:left w:val="single" w:color="auto" w:sz="6" w:space="0"/>
                    <w:bottom w:val="single" w:color="auto" w:sz="6" w:space="0"/>
                    <w:right w:val="single" w:color="auto" w:sz="6" w:space="0"/>
                  </w:tcBorders>
                  <w:vAlign w:val="center"/>
                </w:tcPr>
                <w:p w14:paraId="7BA759AA">
                  <w:pPr>
                    <w:jc w:val="center"/>
                  </w:pPr>
                  <w:r>
                    <w:t>本项目使用外购丙烷供热，年使用丙烷量为20t/a，丙烷50kg/瓶，为液态，厂区内建设丙烷气化装置</w:t>
                  </w:r>
                </w:p>
              </w:tc>
              <w:tc>
                <w:tcPr>
                  <w:tcW w:w="1908" w:type="pct"/>
                  <w:tcBorders>
                    <w:top w:val="single" w:color="auto" w:sz="6" w:space="0"/>
                    <w:left w:val="single" w:color="auto" w:sz="6" w:space="0"/>
                    <w:bottom w:val="single" w:color="auto" w:sz="6" w:space="0"/>
                    <w:right w:val="single" w:color="auto" w:sz="6" w:space="0"/>
                  </w:tcBorders>
                  <w:vAlign w:val="center"/>
                </w:tcPr>
                <w:p w14:paraId="5E27DC25">
                  <w:pPr>
                    <w:jc w:val="center"/>
                  </w:pPr>
                  <w:r>
                    <w:rPr>
                      <w:rFonts w:hint="eastAsia"/>
                    </w:rPr>
                    <w:t>与环评一致</w:t>
                  </w:r>
                </w:p>
              </w:tc>
            </w:tr>
            <w:tr w14:paraId="726D9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bottom w:val="single" w:color="auto" w:sz="6" w:space="0"/>
                    <w:right w:val="single" w:color="auto" w:sz="6" w:space="0"/>
                  </w:tcBorders>
                  <w:vAlign w:val="center"/>
                </w:tcPr>
                <w:p w14:paraId="2ED756A7">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162403FC">
                  <w:pPr>
                    <w:jc w:val="center"/>
                  </w:pPr>
                  <w:r>
                    <w:t>排水</w:t>
                  </w:r>
                </w:p>
              </w:tc>
              <w:tc>
                <w:tcPr>
                  <w:tcW w:w="1965" w:type="pct"/>
                  <w:tcBorders>
                    <w:top w:val="single" w:color="auto" w:sz="6" w:space="0"/>
                    <w:left w:val="single" w:color="auto" w:sz="6" w:space="0"/>
                    <w:bottom w:val="single" w:color="auto" w:sz="6" w:space="0"/>
                    <w:right w:val="single" w:color="auto" w:sz="6" w:space="0"/>
                  </w:tcBorders>
                  <w:vAlign w:val="center"/>
                </w:tcPr>
                <w:p w14:paraId="7EB9A0AD">
                  <w:pPr>
                    <w:jc w:val="center"/>
                  </w:pPr>
                  <w:r>
                    <w:t>排水采用雨污分流制；雨水排入市政雨水管网；</w:t>
                  </w:r>
                </w:p>
                <w:p w14:paraId="32560DA7">
                  <w:pPr>
                    <w:jc w:val="center"/>
                  </w:pPr>
                  <w:r>
                    <w:rPr>
                      <w:rFonts w:hint="eastAsia"/>
                    </w:rPr>
                    <w:t>近期</w:t>
                  </w:r>
                  <w:r>
                    <w:t>生活污水经过隔油池+化粪池预处理</w:t>
                  </w:r>
                  <w:r>
                    <w:rPr>
                      <w:rFonts w:hint="eastAsia"/>
                    </w:rPr>
                    <w:t>用于厂区绿地灌溉，远期待梅渚镇污水处理厂管网建设好后，接管至</w:t>
                  </w:r>
                  <w:r>
                    <w:t>梅渚镇污水处理厂集中处理后排放</w:t>
                  </w:r>
                  <w:r>
                    <w:rPr>
                      <w:rFonts w:hint="eastAsia"/>
                    </w:rPr>
                    <w:t>；</w:t>
                  </w:r>
                </w:p>
                <w:p w14:paraId="2A567C70">
                  <w:pPr>
                    <w:jc w:val="center"/>
                  </w:pPr>
                  <w:r>
                    <w:t>生产废水经过厂区自建的污水处理站（主要工艺为</w:t>
                  </w:r>
                  <w:r>
                    <w:rPr>
                      <w:rFonts w:hint="eastAsia"/>
                    </w:rPr>
                    <w:t>三级沉淀池</w:t>
                  </w:r>
                  <w:r>
                    <w:t>）</w:t>
                  </w:r>
                  <w:r>
                    <w:rPr>
                      <w:rFonts w:hint="eastAsia"/>
                    </w:rPr>
                    <w:t>处理后回用于生产，定期捞渣不排放，漆渣作为危废处置</w:t>
                  </w:r>
                  <w:r>
                    <w:t>。</w:t>
                  </w:r>
                </w:p>
              </w:tc>
              <w:tc>
                <w:tcPr>
                  <w:tcW w:w="1908" w:type="pct"/>
                  <w:tcBorders>
                    <w:top w:val="single" w:color="auto" w:sz="6" w:space="0"/>
                    <w:left w:val="single" w:color="auto" w:sz="6" w:space="0"/>
                    <w:bottom w:val="single" w:color="auto" w:sz="6" w:space="0"/>
                    <w:right w:val="single" w:color="auto" w:sz="6" w:space="0"/>
                  </w:tcBorders>
                  <w:vAlign w:val="center"/>
                </w:tcPr>
                <w:p w14:paraId="52F09413">
                  <w:pPr>
                    <w:jc w:val="center"/>
                    <w:rPr>
                      <w:rFonts w:hint="eastAsia"/>
                    </w:rPr>
                  </w:pPr>
                  <w:r>
                    <w:t>生活污水经过隔油池+化粪池预处理</w:t>
                  </w:r>
                  <w:r>
                    <w:rPr>
                      <w:rFonts w:hint="eastAsia"/>
                    </w:rPr>
                    <w:t>用于厂区绿地灌溉；</w:t>
                  </w:r>
                  <w:r>
                    <w:t>生产废水经过厂区自建的污水处理站（主要工艺为</w:t>
                  </w:r>
                  <w:r>
                    <w:rPr>
                      <w:rFonts w:hint="eastAsia"/>
                    </w:rPr>
                    <w:t>三级沉淀池</w:t>
                  </w:r>
                  <w:r>
                    <w:t>）</w:t>
                  </w:r>
                  <w:r>
                    <w:rPr>
                      <w:rFonts w:hint="eastAsia"/>
                    </w:rPr>
                    <w:t>处理后回用于生产，定期捞渣不排放，漆渣作为危废处置</w:t>
                  </w:r>
                </w:p>
              </w:tc>
            </w:tr>
            <w:tr w14:paraId="52B90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420" w:type="pct"/>
                  <w:vMerge w:val="restart"/>
                  <w:tcBorders>
                    <w:top w:val="single" w:color="auto" w:sz="6" w:space="0"/>
                    <w:left w:val="single" w:color="auto" w:sz="6" w:space="0"/>
                    <w:right w:val="single" w:color="auto" w:sz="6" w:space="0"/>
                  </w:tcBorders>
                  <w:vAlign w:val="center"/>
                </w:tcPr>
                <w:p w14:paraId="70483C77">
                  <w:pPr>
                    <w:jc w:val="center"/>
                    <w:rPr>
                      <w:b/>
                      <w:bCs/>
                    </w:rPr>
                  </w:pPr>
                  <w:r>
                    <w:rPr>
                      <w:b/>
                      <w:bCs/>
                    </w:rPr>
                    <w:t>环保</w:t>
                  </w:r>
                </w:p>
                <w:p w14:paraId="1E4484AA">
                  <w:pPr>
                    <w:jc w:val="center"/>
                    <w:rPr>
                      <w:b/>
                      <w:bCs/>
                    </w:rPr>
                  </w:pPr>
                  <w:r>
                    <w:rPr>
                      <w:b/>
                      <w:bCs/>
                    </w:rPr>
                    <w:t>工程</w:t>
                  </w:r>
                </w:p>
              </w:tc>
              <w:tc>
                <w:tcPr>
                  <w:tcW w:w="707" w:type="pct"/>
                  <w:tcBorders>
                    <w:top w:val="single" w:color="auto" w:sz="6" w:space="0"/>
                    <w:left w:val="single" w:color="auto" w:sz="6" w:space="0"/>
                    <w:bottom w:val="single" w:color="auto" w:sz="6" w:space="0"/>
                    <w:right w:val="single" w:color="auto" w:sz="6" w:space="0"/>
                  </w:tcBorders>
                  <w:vAlign w:val="center"/>
                </w:tcPr>
                <w:p w14:paraId="45A222BB">
                  <w:pPr>
                    <w:jc w:val="center"/>
                  </w:pPr>
                  <w:r>
                    <w:t>废水防治措施</w:t>
                  </w:r>
                </w:p>
              </w:tc>
              <w:tc>
                <w:tcPr>
                  <w:tcW w:w="1965" w:type="pct"/>
                  <w:tcBorders>
                    <w:top w:val="single" w:color="auto" w:sz="6" w:space="0"/>
                    <w:left w:val="single" w:color="auto" w:sz="6" w:space="0"/>
                    <w:bottom w:val="single" w:color="auto" w:sz="6" w:space="0"/>
                    <w:right w:val="single" w:color="auto" w:sz="6" w:space="0"/>
                  </w:tcBorders>
                  <w:vAlign w:val="center"/>
                </w:tcPr>
                <w:p w14:paraId="781B49E1">
                  <w:pPr>
                    <w:jc w:val="center"/>
                  </w:pPr>
                  <w:bookmarkStart w:id="5" w:name="OLE_LINK6"/>
                  <w:r>
                    <w:rPr>
                      <w:rFonts w:hint="eastAsia"/>
                    </w:rPr>
                    <w:t>近期</w:t>
                  </w:r>
                  <w:bookmarkEnd w:id="5"/>
                  <w:r>
                    <w:t>生活污水经过隔油池+化粪池预处理用于厂区绿地灌溉，远期待梅渚镇污水处理厂管网建设好后，接管至梅渚镇污水处理厂集中处理后排放。</w:t>
                  </w:r>
                </w:p>
              </w:tc>
              <w:tc>
                <w:tcPr>
                  <w:tcW w:w="1908" w:type="pct"/>
                  <w:tcBorders>
                    <w:top w:val="single" w:color="auto" w:sz="6" w:space="0"/>
                    <w:left w:val="single" w:color="auto" w:sz="6" w:space="0"/>
                    <w:bottom w:val="single" w:color="auto" w:sz="6" w:space="0"/>
                    <w:right w:val="single" w:color="auto" w:sz="6" w:space="0"/>
                  </w:tcBorders>
                  <w:vAlign w:val="center"/>
                </w:tcPr>
                <w:p w14:paraId="49EE36CC">
                  <w:pPr>
                    <w:jc w:val="center"/>
                  </w:pPr>
                  <w:r>
                    <w:rPr>
                      <w:rFonts w:hint="eastAsia"/>
                    </w:rPr>
                    <w:t>与环评一致</w:t>
                  </w:r>
                </w:p>
              </w:tc>
            </w:tr>
            <w:tr w14:paraId="06908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420" w:type="pct"/>
                  <w:vMerge w:val="continue"/>
                  <w:tcBorders>
                    <w:left w:val="single" w:color="auto" w:sz="6" w:space="0"/>
                    <w:right w:val="single" w:color="auto" w:sz="6" w:space="0"/>
                  </w:tcBorders>
                  <w:vAlign w:val="center"/>
                </w:tcPr>
                <w:p w14:paraId="1F2447EF">
                  <w:pPr>
                    <w:jc w:val="center"/>
                    <w:rPr>
                      <w:b/>
                      <w:bCs/>
                    </w:rPr>
                  </w:pPr>
                </w:p>
              </w:tc>
              <w:tc>
                <w:tcPr>
                  <w:tcW w:w="707" w:type="pct"/>
                  <w:tcBorders>
                    <w:top w:val="single" w:color="auto" w:sz="6" w:space="0"/>
                    <w:left w:val="single" w:color="auto" w:sz="6" w:space="0"/>
                    <w:bottom w:val="single" w:color="auto" w:sz="6" w:space="0"/>
                    <w:right w:val="single" w:color="auto" w:sz="6" w:space="0"/>
                  </w:tcBorders>
                  <w:vAlign w:val="center"/>
                </w:tcPr>
                <w:p w14:paraId="4DE86D92">
                  <w:pPr>
                    <w:jc w:val="center"/>
                  </w:pPr>
                </w:p>
              </w:tc>
              <w:tc>
                <w:tcPr>
                  <w:tcW w:w="1965" w:type="pct"/>
                  <w:tcBorders>
                    <w:top w:val="single" w:color="auto" w:sz="6" w:space="0"/>
                    <w:left w:val="single" w:color="auto" w:sz="6" w:space="0"/>
                    <w:bottom w:val="single" w:color="auto" w:sz="6" w:space="0"/>
                    <w:right w:val="single" w:color="auto" w:sz="6" w:space="0"/>
                  </w:tcBorders>
                  <w:vAlign w:val="center"/>
                </w:tcPr>
                <w:p w14:paraId="68C05A65">
                  <w:pPr>
                    <w:jc w:val="center"/>
                  </w:pPr>
                  <w:r>
                    <w:t>生产废水经过厂区自建的污水处理站（主要工艺为</w:t>
                  </w:r>
                  <w:r>
                    <w:rPr>
                      <w:rFonts w:hint="eastAsia"/>
                    </w:rPr>
                    <w:t>三级沉淀池</w:t>
                  </w:r>
                  <w:r>
                    <w:t>）</w:t>
                  </w:r>
                  <w:r>
                    <w:rPr>
                      <w:rFonts w:hint="eastAsia"/>
                    </w:rPr>
                    <w:t>处理后回用于生产，定期捞渣不排放，漆渣作为危废处置。</w:t>
                  </w:r>
                </w:p>
              </w:tc>
              <w:tc>
                <w:tcPr>
                  <w:tcW w:w="1908" w:type="pct"/>
                  <w:tcBorders>
                    <w:top w:val="single" w:color="auto" w:sz="6" w:space="0"/>
                    <w:left w:val="single" w:color="auto" w:sz="6" w:space="0"/>
                    <w:bottom w:val="single" w:color="auto" w:sz="6" w:space="0"/>
                    <w:right w:val="single" w:color="auto" w:sz="6" w:space="0"/>
                  </w:tcBorders>
                  <w:vAlign w:val="center"/>
                </w:tcPr>
                <w:p w14:paraId="3658C529">
                  <w:pPr>
                    <w:jc w:val="center"/>
                  </w:pPr>
                  <w:r>
                    <w:rPr>
                      <w:rFonts w:hint="eastAsia"/>
                    </w:rPr>
                    <w:t>与环评一致</w:t>
                  </w:r>
                </w:p>
              </w:tc>
            </w:tr>
            <w:tr w14:paraId="23FA1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420" w:type="pct"/>
                  <w:vMerge w:val="continue"/>
                  <w:tcBorders>
                    <w:left w:val="single" w:color="auto" w:sz="6" w:space="0"/>
                    <w:right w:val="single" w:color="auto" w:sz="6" w:space="0"/>
                  </w:tcBorders>
                  <w:vAlign w:val="center"/>
                </w:tcPr>
                <w:p w14:paraId="70D8E8A2">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4C61817E">
                  <w:pPr>
                    <w:jc w:val="center"/>
                  </w:pPr>
                  <w:r>
                    <w:t>废气防治措施</w:t>
                  </w:r>
                </w:p>
              </w:tc>
              <w:tc>
                <w:tcPr>
                  <w:tcW w:w="1965" w:type="pct"/>
                  <w:tcBorders>
                    <w:top w:val="single" w:color="auto" w:sz="6" w:space="0"/>
                    <w:left w:val="single" w:color="auto" w:sz="6" w:space="0"/>
                    <w:bottom w:val="single" w:color="auto" w:sz="6" w:space="0"/>
                    <w:right w:val="single" w:color="auto" w:sz="6" w:space="0"/>
                  </w:tcBorders>
                  <w:vAlign w:val="center"/>
                </w:tcPr>
                <w:p w14:paraId="53B19551">
                  <w:pPr>
                    <w:jc w:val="center"/>
                  </w:pPr>
                  <w:r>
                    <w:t>焊接烟尘经集气罩收集、砂修废气经集气罩收集、抛丸粉尘经过密闭收集，收集后的焊接烟尘、砂修废气、抛丸粉尘合并通过1套布袋除尘器装置处理后，尾气通过一根15m高的排气筒排放（排气筒编号：DA001排气筒）</w:t>
                  </w:r>
                </w:p>
              </w:tc>
              <w:tc>
                <w:tcPr>
                  <w:tcW w:w="1908" w:type="pct"/>
                  <w:tcBorders>
                    <w:top w:val="single" w:color="auto" w:sz="6" w:space="0"/>
                    <w:left w:val="single" w:color="auto" w:sz="6" w:space="0"/>
                    <w:bottom w:val="single" w:color="auto" w:sz="6" w:space="0"/>
                    <w:right w:val="single" w:color="auto" w:sz="6" w:space="0"/>
                  </w:tcBorders>
                  <w:vAlign w:val="center"/>
                </w:tcPr>
                <w:p w14:paraId="799B1918">
                  <w:pPr>
                    <w:jc w:val="center"/>
                  </w:pPr>
                  <w:r>
                    <w:rPr>
                      <w:rFonts w:hint="eastAsia"/>
                    </w:rPr>
                    <w:t>与环评基本一致</w:t>
                  </w:r>
                </w:p>
                <w:p w14:paraId="4201EE78">
                  <w:pPr>
                    <w:jc w:val="center"/>
                    <w:rPr>
                      <w:rFonts w:hint="eastAsia"/>
                    </w:rPr>
                  </w:pPr>
                  <w:r>
                    <w:t>砂修废气经集气罩收集、抛丸粉尘经过密闭收集，收集后的砂修废气、抛丸粉尘合并通过1套布袋除尘器装置处理后，尾气通过一根15m高的排气筒排放（排气筒编号：DA001排气筒）</w:t>
                  </w:r>
                </w:p>
              </w:tc>
            </w:tr>
            <w:tr w14:paraId="4B209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420" w:type="pct"/>
                  <w:vMerge w:val="continue"/>
                  <w:tcBorders>
                    <w:left w:val="single" w:color="auto" w:sz="6" w:space="0"/>
                    <w:right w:val="single" w:color="auto" w:sz="6" w:space="0"/>
                  </w:tcBorders>
                  <w:vAlign w:val="center"/>
                </w:tcPr>
                <w:p w14:paraId="4C2915BF">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5F340DA3">
                  <w:pPr>
                    <w:jc w:val="center"/>
                  </w:pPr>
                </w:p>
              </w:tc>
              <w:tc>
                <w:tcPr>
                  <w:tcW w:w="1965" w:type="pct"/>
                  <w:tcBorders>
                    <w:top w:val="single" w:color="auto" w:sz="6" w:space="0"/>
                    <w:left w:val="single" w:color="auto" w:sz="6" w:space="0"/>
                    <w:bottom w:val="single" w:color="auto" w:sz="6" w:space="0"/>
                    <w:right w:val="single" w:color="auto" w:sz="6" w:space="0"/>
                  </w:tcBorders>
                  <w:vAlign w:val="center"/>
                </w:tcPr>
                <w:p w14:paraId="6AFC0A77">
                  <w:pPr>
                    <w:jc w:val="center"/>
                    <w:rPr>
                      <w:color w:val="000000"/>
                    </w:rPr>
                  </w:pPr>
                  <w:r>
                    <w:rPr>
                      <w:color w:val="000000"/>
                    </w:rPr>
                    <w:t>喷塑粉尘经过密闭抽风收集后，通过1套旋风除尘器+</w:t>
                  </w:r>
                  <w:r>
                    <w:rPr>
                      <w:rFonts w:hint="eastAsia"/>
                      <w:color w:val="000000"/>
                    </w:rPr>
                    <w:t>布袋</w:t>
                  </w:r>
                  <w:r>
                    <w:rPr>
                      <w:color w:val="000000"/>
                    </w:rPr>
                    <w:t>除尘器处理后通过一根15m高排气筒排放（排气筒编号：DA002）；</w:t>
                  </w:r>
                </w:p>
                <w:p w14:paraId="622A78C8">
                  <w:pPr>
                    <w:jc w:val="center"/>
                  </w:pPr>
                  <w:r>
                    <w:rPr>
                      <w:color w:val="000000"/>
                    </w:rPr>
                    <w:t>固化废气、丙烷燃烧废气经过集气罩收集后通过1套</w:t>
                  </w:r>
                  <w:r>
                    <w:rPr>
                      <w:rFonts w:hint="eastAsia"/>
                      <w:color w:val="000000"/>
                    </w:rPr>
                    <w:t>过滤棉+</w:t>
                  </w:r>
                  <w:r>
                    <w:rPr>
                      <w:color w:val="000000"/>
                    </w:rPr>
                    <w:t>二级活性炭吸附装置处理通过一根15m高的排气筒排放（排气筒编号：DA004）</w:t>
                  </w:r>
                </w:p>
              </w:tc>
              <w:tc>
                <w:tcPr>
                  <w:tcW w:w="1908" w:type="pct"/>
                  <w:tcBorders>
                    <w:top w:val="single" w:color="auto" w:sz="6" w:space="0"/>
                    <w:left w:val="single" w:color="auto" w:sz="6" w:space="0"/>
                    <w:bottom w:val="single" w:color="auto" w:sz="6" w:space="0"/>
                    <w:right w:val="single" w:color="auto" w:sz="6" w:space="0"/>
                  </w:tcBorders>
                  <w:vAlign w:val="center"/>
                </w:tcPr>
                <w:p w14:paraId="78475A28">
                  <w:pPr>
                    <w:jc w:val="center"/>
                    <w:rPr>
                      <w:rFonts w:hint="eastAsia"/>
                    </w:rPr>
                  </w:pPr>
                  <w:r>
                    <w:rPr>
                      <w:rFonts w:hint="eastAsia"/>
                    </w:rPr>
                    <w:t>与环评一致</w:t>
                  </w:r>
                </w:p>
                <w:p w14:paraId="6EB8D5B6">
                  <w:pPr>
                    <w:jc w:val="center"/>
                    <w:rPr>
                      <w:color w:val="000000"/>
                    </w:rPr>
                  </w:pPr>
                  <w:r>
                    <w:rPr>
                      <w:color w:val="000000"/>
                    </w:rPr>
                    <w:t>喷塑粉尘经过密闭抽风收集后，通过1套旋风除尘器+</w:t>
                  </w:r>
                  <w:r>
                    <w:rPr>
                      <w:rFonts w:hint="eastAsia"/>
                      <w:color w:val="000000"/>
                    </w:rPr>
                    <w:t>布袋</w:t>
                  </w:r>
                  <w:r>
                    <w:rPr>
                      <w:color w:val="000000"/>
                    </w:rPr>
                    <w:t>除尘器处理后通过一根15m高排气筒排放（排气筒编号：DA002）；</w:t>
                  </w:r>
                </w:p>
                <w:p w14:paraId="24EA2E04">
                  <w:pPr>
                    <w:jc w:val="center"/>
                    <w:rPr>
                      <w:rFonts w:hint="eastAsia"/>
                    </w:rPr>
                  </w:pPr>
                  <w:r>
                    <w:rPr>
                      <w:color w:val="000000"/>
                    </w:rPr>
                    <w:t>固化废气、丙烷燃烧废气经过集气罩收集后通过1套</w:t>
                  </w:r>
                  <w:r>
                    <w:rPr>
                      <w:rFonts w:hint="eastAsia"/>
                      <w:color w:val="000000"/>
                    </w:rPr>
                    <w:t>过滤棉+</w:t>
                  </w:r>
                  <w:r>
                    <w:rPr>
                      <w:color w:val="000000"/>
                    </w:rPr>
                    <w:t>二级活性炭吸附装置处理通过一根15m高的排气筒排放（排气筒编号：DA004）</w:t>
                  </w:r>
                </w:p>
                <w:p w14:paraId="1EB58F39">
                  <w:pPr>
                    <w:jc w:val="center"/>
                  </w:pPr>
                </w:p>
              </w:tc>
            </w:tr>
            <w:tr w14:paraId="42F62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420" w:type="pct"/>
                  <w:vMerge w:val="continue"/>
                  <w:tcBorders>
                    <w:left w:val="single" w:color="auto" w:sz="6" w:space="0"/>
                    <w:right w:val="single" w:color="auto" w:sz="6" w:space="0"/>
                  </w:tcBorders>
                  <w:vAlign w:val="center"/>
                </w:tcPr>
                <w:p w14:paraId="3C71564F">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6308EE29">
                  <w:pPr>
                    <w:jc w:val="center"/>
                  </w:pPr>
                </w:p>
              </w:tc>
              <w:tc>
                <w:tcPr>
                  <w:tcW w:w="1965" w:type="pct"/>
                  <w:tcBorders>
                    <w:top w:val="single" w:color="auto" w:sz="6" w:space="0"/>
                    <w:left w:val="single" w:color="auto" w:sz="6" w:space="0"/>
                    <w:bottom w:val="single" w:color="auto" w:sz="6" w:space="0"/>
                    <w:right w:val="single" w:color="auto" w:sz="6" w:space="0"/>
                  </w:tcBorders>
                  <w:vAlign w:val="center"/>
                </w:tcPr>
                <w:p w14:paraId="68A59673">
                  <w:pPr>
                    <w:jc w:val="center"/>
                  </w:pPr>
                  <w:r>
                    <w:t>调漆废气、喷漆废气、烘干废气、喷枪清洗废气、</w:t>
                  </w:r>
                  <w:r>
                    <w:rPr>
                      <w:color w:val="000000"/>
                    </w:rPr>
                    <w:t>丙烷</w:t>
                  </w:r>
                  <w:r>
                    <w:t>燃烧废气经密闭抽风收集后通过一套喷淋塔+过滤棉+二级活性炭吸附装置处理后，尾气通过一根高15m的排气筒排放。（排气筒编号DA003）</w:t>
                  </w:r>
                </w:p>
              </w:tc>
              <w:tc>
                <w:tcPr>
                  <w:tcW w:w="1908" w:type="pct"/>
                  <w:tcBorders>
                    <w:top w:val="single" w:color="auto" w:sz="6" w:space="0"/>
                    <w:left w:val="single" w:color="auto" w:sz="6" w:space="0"/>
                    <w:bottom w:val="single" w:color="auto" w:sz="6" w:space="0"/>
                    <w:right w:val="single" w:color="auto" w:sz="6" w:space="0"/>
                  </w:tcBorders>
                  <w:vAlign w:val="center"/>
                </w:tcPr>
                <w:p w14:paraId="5B53EA39">
                  <w:pPr>
                    <w:jc w:val="center"/>
                    <w:rPr>
                      <w:rFonts w:hint="eastAsia"/>
                      <w:lang w:eastAsia="zh-CN"/>
                    </w:rPr>
                  </w:pPr>
                  <w:r>
                    <w:rPr>
                      <w:rFonts w:hint="eastAsia"/>
                    </w:rPr>
                    <w:t>调漆废气、喷漆废气经密闭抽风收集后通过</w:t>
                  </w:r>
                  <w:r>
                    <w:rPr>
                      <w:rFonts w:hint="eastAsia"/>
                      <w:lang w:val="en-US" w:eastAsia="zh-CN"/>
                    </w:rPr>
                    <w:t>水帘除雾后经过</w:t>
                  </w:r>
                  <w:r>
                    <w:rPr>
                      <w:rFonts w:hint="eastAsia"/>
                    </w:rPr>
                    <w:t>一套喷淋塔+过滤棉</w:t>
                  </w:r>
                  <w:r>
                    <w:rPr>
                      <w:rFonts w:hint="eastAsia"/>
                      <w:lang w:val="en-US" w:eastAsia="zh-CN"/>
                    </w:rPr>
                    <w:t>与密闭收集的危废储存废气经过四</w:t>
                  </w:r>
                  <w:r>
                    <w:rPr>
                      <w:rFonts w:hint="eastAsia"/>
                    </w:rPr>
                    <w:t>级活性炭吸附装置处理后，尾气通过一根高15m的排气筒排放。（排气筒编号DA003）</w:t>
                  </w:r>
                  <w:r>
                    <w:rPr>
                      <w:rFonts w:hint="eastAsia"/>
                      <w:lang w:eastAsia="zh-CN"/>
                    </w:rPr>
                    <w:t>；</w:t>
                  </w:r>
                </w:p>
                <w:p w14:paraId="6D6BBE0E">
                  <w:pPr>
                    <w:jc w:val="center"/>
                    <w:rPr>
                      <w:rFonts w:hint="eastAsia"/>
                      <w:lang w:val="en-US" w:eastAsia="zh-CN"/>
                    </w:rPr>
                  </w:pPr>
                  <w:r>
                    <w:rPr>
                      <w:rFonts w:hint="eastAsia"/>
                      <w:lang w:val="en-US" w:eastAsia="zh-CN"/>
                    </w:rPr>
                    <w:t>新增检验补喷废气经过经过自带旋风除尘装置处理后通过一根15m高的排气筒排放（排气筒编号：DA005）</w:t>
                  </w:r>
                </w:p>
                <w:p w14:paraId="4D3E7703">
                  <w:pPr>
                    <w:jc w:val="center"/>
                  </w:pPr>
                  <w:r>
                    <w:rPr>
                      <w:rFonts w:hint="eastAsia"/>
                      <w:lang w:val="en-US" w:eastAsia="zh-CN"/>
                    </w:rPr>
                    <w:t>喷漆烘干</w:t>
                  </w:r>
                  <w:r>
                    <w:rPr>
                      <w:rFonts w:hint="eastAsia"/>
                      <w:lang w:eastAsia="zh-CN"/>
                    </w:rPr>
                    <w:t>废气、丙烷燃烧废气经过集气罩收集后通过1套过滤棉+二级活性炭吸附装置处理通过一根15m高的排气筒排放（排气筒编号：DA00</w:t>
                  </w:r>
                  <w:r>
                    <w:rPr>
                      <w:rFonts w:hint="eastAsia"/>
                      <w:lang w:val="en-US" w:eastAsia="zh-CN"/>
                    </w:rPr>
                    <w:t>6</w:t>
                  </w:r>
                  <w:r>
                    <w:rPr>
                      <w:rFonts w:hint="eastAsia"/>
                      <w:lang w:eastAsia="zh-CN"/>
                    </w:rPr>
                    <w:t>）</w:t>
                  </w:r>
                </w:p>
              </w:tc>
            </w:tr>
            <w:tr w14:paraId="585D2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420" w:type="pct"/>
                  <w:vMerge w:val="continue"/>
                  <w:tcBorders>
                    <w:left w:val="single" w:color="auto" w:sz="6" w:space="0"/>
                    <w:right w:val="single" w:color="auto" w:sz="6" w:space="0"/>
                  </w:tcBorders>
                  <w:vAlign w:val="center"/>
                </w:tcPr>
                <w:p w14:paraId="77B45E84">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5D9AD43B">
                  <w:pPr>
                    <w:jc w:val="center"/>
                  </w:pPr>
                  <w:r>
                    <w:t>噪声防治措施</w:t>
                  </w:r>
                </w:p>
              </w:tc>
              <w:tc>
                <w:tcPr>
                  <w:tcW w:w="1965" w:type="pct"/>
                  <w:tcBorders>
                    <w:top w:val="single" w:color="auto" w:sz="6" w:space="0"/>
                    <w:left w:val="single" w:color="auto" w:sz="6" w:space="0"/>
                    <w:bottom w:val="single" w:color="auto" w:sz="6" w:space="0"/>
                    <w:right w:val="single" w:color="auto" w:sz="6" w:space="0"/>
                  </w:tcBorders>
                  <w:vAlign w:val="center"/>
                </w:tcPr>
                <w:p w14:paraId="17CCB307">
                  <w:pPr>
                    <w:jc w:val="center"/>
                  </w:pPr>
                  <w:r>
                    <w:rPr>
                      <w:bCs/>
                      <w:kern w:val="0"/>
                    </w:rPr>
                    <w:t>合理布局车间设备，优先使用低噪声设备，距离衰减、减振垫等。</w:t>
                  </w:r>
                </w:p>
              </w:tc>
              <w:tc>
                <w:tcPr>
                  <w:tcW w:w="1908" w:type="pct"/>
                  <w:tcBorders>
                    <w:top w:val="single" w:color="auto" w:sz="6" w:space="0"/>
                    <w:left w:val="single" w:color="auto" w:sz="6" w:space="0"/>
                    <w:bottom w:val="single" w:color="auto" w:sz="6" w:space="0"/>
                    <w:right w:val="single" w:color="auto" w:sz="6" w:space="0"/>
                  </w:tcBorders>
                  <w:vAlign w:val="center"/>
                </w:tcPr>
                <w:p w14:paraId="22FCD3FC">
                  <w:pPr>
                    <w:jc w:val="center"/>
                  </w:pPr>
                  <w:r>
                    <w:rPr>
                      <w:rFonts w:hint="eastAsia"/>
                    </w:rPr>
                    <w:t>与环评一致</w:t>
                  </w:r>
                </w:p>
              </w:tc>
            </w:tr>
            <w:tr w14:paraId="06D57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20" w:type="pct"/>
                  <w:vMerge w:val="continue"/>
                  <w:tcBorders>
                    <w:left w:val="single" w:color="auto" w:sz="6" w:space="0"/>
                    <w:right w:val="single" w:color="auto" w:sz="6" w:space="0"/>
                  </w:tcBorders>
                  <w:vAlign w:val="center"/>
                </w:tcPr>
                <w:p w14:paraId="088C0FE3">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004A39C8">
                  <w:pPr>
                    <w:jc w:val="center"/>
                  </w:pPr>
                  <w:r>
                    <w:t>一般固废防治措施</w:t>
                  </w:r>
                </w:p>
              </w:tc>
              <w:tc>
                <w:tcPr>
                  <w:tcW w:w="1965" w:type="pct"/>
                  <w:tcBorders>
                    <w:top w:val="single" w:color="auto" w:sz="6" w:space="0"/>
                    <w:left w:val="single" w:color="auto" w:sz="6" w:space="0"/>
                    <w:bottom w:val="single" w:color="auto" w:sz="6" w:space="0"/>
                    <w:right w:val="single" w:color="auto" w:sz="6" w:space="0"/>
                  </w:tcBorders>
                  <w:vAlign w:val="center"/>
                </w:tcPr>
                <w:p w14:paraId="3A97579E">
                  <w:pPr>
                    <w:jc w:val="center"/>
                  </w:pPr>
                  <w:r>
                    <w:t>生活垃圾设置垃圾桶收集，委托环卫部门统一清运。设置一般固废仓库，建筑面积约40m</w:t>
                  </w:r>
                  <w:r>
                    <w:rPr>
                      <w:vertAlign w:val="superscript"/>
                    </w:rPr>
                    <w:t>2</w:t>
                  </w:r>
                  <w:r>
                    <w:t>，位于厂房南侧。</w:t>
                  </w:r>
                </w:p>
              </w:tc>
              <w:tc>
                <w:tcPr>
                  <w:tcW w:w="1908" w:type="pct"/>
                  <w:tcBorders>
                    <w:top w:val="single" w:color="auto" w:sz="6" w:space="0"/>
                    <w:left w:val="single" w:color="auto" w:sz="6" w:space="0"/>
                    <w:bottom w:val="single" w:color="auto" w:sz="6" w:space="0"/>
                    <w:right w:val="single" w:color="auto" w:sz="6" w:space="0"/>
                  </w:tcBorders>
                  <w:vAlign w:val="center"/>
                </w:tcPr>
                <w:p w14:paraId="5B091773">
                  <w:pPr>
                    <w:jc w:val="center"/>
                  </w:pPr>
                  <w:r>
                    <w:rPr>
                      <w:rFonts w:hint="eastAsia"/>
                    </w:rPr>
                    <w:t>与环评一致</w:t>
                  </w:r>
                </w:p>
              </w:tc>
            </w:tr>
            <w:tr w14:paraId="72400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right w:val="single" w:color="auto" w:sz="6" w:space="0"/>
                  </w:tcBorders>
                  <w:vAlign w:val="center"/>
                </w:tcPr>
                <w:p w14:paraId="4556CEAF">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2E43DC9A">
                  <w:pPr>
                    <w:jc w:val="center"/>
                  </w:pPr>
                  <w:r>
                    <w:t>危险废物防治措施</w:t>
                  </w:r>
                </w:p>
              </w:tc>
              <w:tc>
                <w:tcPr>
                  <w:tcW w:w="1965" w:type="pct"/>
                  <w:tcBorders>
                    <w:top w:val="single" w:color="auto" w:sz="6" w:space="0"/>
                    <w:left w:val="single" w:color="auto" w:sz="6" w:space="0"/>
                    <w:bottom w:val="single" w:color="auto" w:sz="6" w:space="0"/>
                    <w:right w:val="single" w:color="auto" w:sz="6" w:space="0"/>
                  </w:tcBorders>
                  <w:vAlign w:val="center"/>
                </w:tcPr>
                <w:p w14:paraId="7C72CF4A">
                  <w:pPr>
                    <w:jc w:val="center"/>
                  </w:pPr>
                  <w:r>
                    <w:t>设置危废暂存间建筑面积约50m</w:t>
                  </w:r>
                  <w:r>
                    <w:rPr>
                      <w:vertAlign w:val="superscript"/>
                    </w:rPr>
                    <w:t>2</w:t>
                  </w:r>
                  <w:r>
                    <w:t>，位于厂房南侧。</w:t>
                  </w:r>
                </w:p>
              </w:tc>
              <w:tc>
                <w:tcPr>
                  <w:tcW w:w="1908" w:type="pct"/>
                  <w:tcBorders>
                    <w:top w:val="single" w:color="auto" w:sz="6" w:space="0"/>
                    <w:left w:val="single" w:color="auto" w:sz="6" w:space="0"/>
                    <w:bottom w:val="single" w:color="auto" w:sz="6" w:space="0"/>
                    <w:right w:val="single" w:color="auto" w:sz="6" w:space="0"/>
                  </w:tcBorders>
                  <w:vAlign w:val="center"/>
                </w:tcPr>
                <w:p w14:paraId="5B8757CC">
                  <w:pPr>
                    <w:jc w:val="center"/>
                  </w:pPr>
                  <w:r>
                    <w:rPr>
                      <w:rFonts w:hint="eastAsia"/>
                    </w:rPr>
                    <w:t>与环评一致</w:t>
                  </w:r>
                </w:p>
              </w:tc>
            </w:tr>
            <w:tr w14:paraId="20E3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6" w:space="0"/>
                    <w:bottom w:val="single" w:color="auto" w:sz="6" w:space="0"/>
                    <w:right w:val="single" w:color="auto" w:sz="6" w:space="0"/>
                  </w:tcBorders>
                  <w:vAlign w:val="center"/>
                </w:tcPr>
                <w:p w14:paraId="1D8567E2">
                  <w:pPr>
                    <w:jc w:val="center"/>
                  </w:pPr>
                </w:p>
              </w:tc>
              <w:tc>
                <w:tcPr>
                  <w:tcW w:w="707" w:type="pct"/>
                  <w:tcBorders>
                    <w:top w:val="single" w:color="auto" w:sz="6" w:space="0"/>
                    <w:left w:val="single" w:color="auto" w:sz="6" w:space="0"/>
                    <w:bottom w:val="single" w:color="auto" w:sz="6" w:space="0"/>
                    <w:right w:val="single" w:color="auto" w:sz="6" w:space="0"/>
                  </w:tcBorders>
                  <w:vAlign w:val="center"/>
                </w:tcPr>
                <w:p w14:paraId="21EF0712">
                  <w:pPr>
                    <w:jc w:val="center"/>
                  </w:pPr>
                  <w:r>
                    <w:t>应急事故池</w:t>
                  </w:r>
                </w:p>
              </w:tc>
              <w:tc>
                <w:tcPr>
                  <w:tcW w:w="1965" w:type="pct"/>
                  <w:tcBorders>
                    <w:top w:val="single" w:color="auto" w:sz="6" w:space="0"/>
                    <w:left w:val="single" w:color="auto" w:sz="6" w:space="0"/>
                    <w:bottom w:val="single" w:color="auto" w:sz="6" w:space="0"/>
                    <w:right w:val="single" w:color="auto" w:sz="6" w:space="0"/>
                  </w:tcBorders>
                  <w:vAlign w:val="center"/>
                </w:tcPr>
                <w:p w14:paraId="69EEF954">
                  <w:pPr>
                    <w:jc w:val="center"/>
                  </w:pPr>
                  <w:r>
                    <w:t>容积为110m</w:t>
                  </w:r>
                  <w:r>
                    <w:rPr>
                      <w:vertAlign w:val="superscript"/>
                    </w:rPr>
                    <w:t>3</w:t>
                  </w:r>
                  <w:r>
                    <w:t>，位于厂房西北侧。</w:t>
                  </w:r>
                </w:p>
              </w:tc>
              <w:tc>
                <w:tcPr>
                  <w:tcW w:w="1908" w:type="pct"/>
                  <w:tcBorders>
                    <w:top w:val="single" w:color="auto" w:sz="6" w:space="0"/>
                    <w:left w:val="single" w:color="auto" w:sz="6" w:space="0"/>
                    <w:bottom w:val="single" w:color="auto" w:sz="6" w:space="0"/>
                    <w:right w:val="single" w:color="auto" w:sz="6" w:space="0"/>
                  </w:tcBorders>
                  <w:vAlign w:val="center"/>
                </w:tcPr>
                <w:p w14:paraId="0FE009C6">
                  <w:pPr>
                    <w:jc w:val="center"/>
                  </w:pPr>
                  <w:r>
                    <w:rPr>
                      <w:rFonts w:hint="eastAsia"/>
                    </w:rPr>
                    <w:t>与环评一致</w:t>
                  </w:r>
                </w:p>
              </w:tc>
            </w:tr>
          </w:tbl>
          <w:p w14:paraId="5885D72F">
            <w:pPr>
              <w:widowControl w:val="0"/>
              <w:numPr>
                <w:ilvl w:val="0"/>
                <w:numId w:val="3"/>
              </w:numPr>
              <w:spacing w:line="360" w:lineRule="auto"/>
              <w:ind w:firstLine="482"/>
              <w:rPr>
                <w:b/>
                <w:bCs/>
                <w:sz w:val="24"/>
                <w:szCs w:val="24"/>
              </w:rPr>
            </w:pPr>
            <w:r>
              <w:rPr>
                <w:rFonts w:hint="eastAsia"/>
                <w:b/>
                <w:bCs/>
                <w:sz w:val="24"/>
                <w:szCs w:val="24"/>
              </w:rPr>
              <w:t>生产设备清单</w:t>
            </w:r>
          </w:p>
          <w:p w14:paraId="219D10ED">
            <w:pPr>
              <w:widowControl w:val="0"/>
              <w:spacing w:line="360" w:lineRule="auto"/>
              <w:ind w:firstLine="482"/>
              <w:jc w:val="center"/>
              <w:rPr>
                <w:b/>
                <w:bCs/>
                <w:sz w:val="24"/>
                <w:szCs w:val="24"/>
              </w:rPr>
            </w:pPr>
            <w:r>
              <w:rPr>
                <w:rFonts w:hint="eastAsia"/>
                <w:b/>
                <w:bCs/>
                <w:sz w:val="24"/>
                <w:szCs w:val="24"/>
              </w:rPr>
              <w:t>表 2-2 设备清单一览表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732"/>
              <w:gridCol w:w="2179"/>
              <w:gridCol w:w="1219"/>
              <w:gridCol w:w="1227"/>
              <w:gridCol w:w="1225"/>
              <w:gridCol w:w="1226"/>
            </w:tblGrid>
            <w:tr w14:paraId="6AA2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219F0853">
                  <w:pPr>
                    <w:adjustRightInd w:val="0"/>
                    <w:snapToGrid w:val="0"/>
                    <w:jc w:val="center"/>
                    <w:rPr>
                      <w:b/>
                      <w:bCs/>
                      <w:color w:val="000000"/>
                      <w:highlight w:val="none"/>
                    </w:rPr>
                  </w:pPr>
                  <w:r>
                    <w:rPr>
                      <w:b/>
                      <w:bCs/>
                      <w:color w:val="000000"/>
                      <w:highlight w:val="none"/>
                    </w:rPr>
                    <w:t>序号</w:t>
                  </w:r>
                </w:p>
              </w:tc>
              <w:tc>
                <w:tcPr>
                  <w:tcW w:w="922" w:type="pct"/>
                  <w:tcBorders>
                    <w:top w:val="single" w:color="auto" w:sz="4" w:space="0"/>
                    <w:left w:val="single" w:color="auto" w:sz="4" w:space="0"/>
                    <w:bottom w:val="single" w:color="auto" w:sz="4" w:space="0"/>
                    <w:right w:val="single" w:color="auto" w:sz="6" w:space="0"/>
                  </w:tcBorders>
                  <w:vAlign w:val="center"/>
                </w:tcPr>
                <w:p w14:paraId="6D0F22C7">
                  <w:pPr>
                    <w:adjustRightInd w:val="0"/>
                    <w:snapToGrid w:val="0"/>
                    <w:jc w:val="center"/>
                    <w:rPr>
                      <w:b/>
                      <w:bCs/>
                      <w:color w:val="000000"/>
                      <w:highlight w:val="none"/>
                    </w:rPr>
                  </w:pPr>
                  <w:r>
                    <w:rPr>
                      <w:b/>
                      <w:bCs/>
                      <w:color w:val="000000"/>
                      <w:highlight w:val="none"/>
                    </w:rPr>
                    <w:t>设备名称</w:t>
                  </w:r>
                </w:p>
              </w:tc>
              <w:tc>
                <w:tcPr>
                  <w:tcW w:w="1160" w:type="pct"/>
                  <w:tcBorders>
                    <w:top w:val="single" w:color="auto" w:sz="4" w:space="0"/>
                    <w:left w:val="nil"/>
                    <w:bottom w:val="single" w:color="auto" w:sz="4" w:space="0"/>
                    <w:right w:val="single" w:color="auto" w:sz="4" w:space="0"/>
                  </w:tcBorders>
                  <w:vAlign w:val="center"/>
                </w:tcPr>
                <w:p w14:paraId="78B62932">
                  <w:pPr>
                    <w:adjustRightInd w:val="0"/>
                    <w:snapToGrid w:val="0"/>
                    <w:jc w:val="center"/>
                    <w:rPr>
                      <w:b/>
                      <w:bCs/>
                      <w:color w:val="000000"/>
                      <w:highlight w:val="none"/>
                    </w:rPr>
                  </w:pPr>
                  <w:r>
                    <w:rPr>
                      <w:b/>
                      <w:bCs/>
                      <w:color w:val="000000"/>
                      <w:highlight w:val="none"/>
                    </w:rPr>
                    <w:t>型号规格</w:t>
                  </w:r>
                </w:p>
              </w:tc>
              <w:tc>
                <w:tcPr>
                  <w:tcW w:w="649" w:type="pct"/>
                  <w:tcBorders>
                    <w:top w:val="single" w:color="auto" w:sz="4" w:space="0"/>
                    <w:left w:val="single" w:color="auto" w:sz="4" w:space="0"/>
                    <w:bottom w:val="single" w:color="auto" w:sz="4" w:space="0"/>
                    <w:right w:val="single" w:color="auto" w:sz="4" w:space="0"/>
                  </w:tcBorders>
                  <w:vAlign w:val="center"/>
                </w:tcPr>
                <w:p w14:paraId="7F575B92">
                  <w:pPr>
                    <w:adjustRightInd w:val="0"/>
                    <w:snapToGrid w:val="0"/>
                    <w:jc w:val="center"/>
                    <w:rPr>
                      <w:b/>
                      <w:color w:val="000000"/>
                      <w:highlight w:val="none"/>
                    </w:rPr>
                  </w:pPr>
                  <w:r>
                    <w:rPr>
                      <w:rFonts w:hint="eastAsia"/>
                      <w:b/>
                      <w:szCs w:val="21"/>
                      <w:highlight w:val="none"/>
                    </w:rPr>
                    <w:t>环评</w:t>
                  </w:r>
                  <w:r>
                    <w:rPr>
                      <w:b/>
                      <w:szCs w:val="21"/>
                      <w:highlight w:val="none"/>
                      <w:lang w:val="en-GB"/>
                    </w:rPr>
                    <w:t>数量</w:t>
                  </w:r>
                </w:p>
              </w:tc>
              <w:tc>
                <w:tcPr>
                  <w:tcW w:w="653" w:type="pct"/>
                  <w:tcBorders>
                    <w:top w:val="single" w:color="auto" w:sz="4" w:space="0"/>
                    <w:left w:val="single" w:color="auto" w:sz="4" w:space="0"/>
                    <w:bottom w:val="single" w:color="auto" w:sz="4" w:space="0"/>
                    <w:right w:val="single" w:color="auto" w:sz="4" w:space="0"/>
                  </w:tcBorders>
                  <w:vAlign w:val="center"/>
                </w:tcPr>
                <w:p w14:paraId="5560EC58">
                  <w:pPr>
                    <w:adjustRightInd w:val="0"/>
                    <w:snapToGrid w:val="0"/>
                    <w:jc w:val="center"/>
                    <w:rPr>
                      <w:b/>
                      <w:color w:val="000000"/>
                      <w:highlight w:val="none"/>
                    </w:rPr>
                  </w:pPr>
                  <w:r>
                    <w:rPr>
                      <w:rFonts w:hint="eastAsia"/>
                      <w:b/>
                      <w:szCs w:val="21"/>
                      <w:highlight w:val="none"/>
                    </w:rPr>
                    <w:t>实际</w:t>
                  </w:r>
                  <w:r>
                    <w:rPr>
                      <w:b/>
                      <w:szCs w:val="21"/>
                      <w:highlight w:val="none"/>
                      <w:lang w:val="en-GB"/>
                    </w:rPr>
                    <w:t>数量</w:t>
                  </w:r>
                </w:p>
              </w:tc>
              <w:tc>
                <w:tcPr>
                  <w:tcW w:w="652" w:type="pct"/>
                  <w:tcBorders>
                    <w:top w:val="single" w:color="auto" w:sz="4" w:space="0"/>
                    <w:left w:val="single" w:color="auto" w:sz="4" w:space="0"/>
                    <w:bottom w:val="single" w:color="auto" w:sz="4" w:space="0"/>
                    <w:right w:val="single" w:color="auto" w:sz="4" w:space="0"/>
                  </w:tcBorders>
                  <w:vAlign w:val="center"/>
                </w:tcPr>
                <w:p w14:paraId="0257D300">
                  <w:pPr>
                    <w:adjustRightInd w:val="0"/>
                    <w:snapToGrid w:val="0"/>
                    <w:jc w:val="center"/>
                    <w:rPr>
                      <w:b/>
                      <w:color w:val="000000"/>
                      <w:highlight w:val="none"/>
                    </w:rPr>
                  </w:pPr>
                  <w:r>
                    <w:rPr>
                      <w:rFonts w:hint="eastAsia"/>
                      <w:b/>
                      <w:szCs w:val="21"/>
                      <w:highlight w:val="none"/>
                    </w:rPr>
                    <w:t>变化量</w:t>
                  </w:r>
                </w:p>
              </w:tc>
              <w:tc>
                <w:tcPr>
                  <w:tcW w:w="652" w:type="pct"/>
                  <w:tcBorders>
                    <w:top w:val="single" w:color="auto" w:sz="4" w:space="0"/>
                    <w:left w:val="single" w:color="auto" w:sz="4" w:space="0"/>
                    <w:bottom w:val="single" w:color="auto" w:sz="4" w:space="0"/>
                    <w:right w:val="single" w:color="auto" w:sz="4" w:space="0"/>
                  </w:tcBorders>
                  <w:vAlign w:val="center"/>
                </w:tcPr>
                <w:p w14:paraId="7E46511B">
                  <w:pPr>
                    <w:adjustRightInd w:val="0"/>
                    <w:snapToGrid w:val="0"/>
                    <w:jc w:val="center"/>
                    <w:rPr>
                      <w:b/>
                      <w:color w:val="000000"/>
                      <w:highlight w:val="none"/>
                    </w:rPr>
                  </w:pPr>
                  <w:r>
                    <w:rPr>
                      <w:rFonts w:hint="eastAsia"/>
                      <w:b/>
                      <w:szCs w:val="21"/>
                      <w:highlight w:val="none"/>
                    </w:rPr>
                    <w:t>位置</w:t>
                  </w:r>
                </w:p>
              </w:tc>
            </w:tr>
            <w:tr w14:paraId="6E26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76820B54">
                  <w:pPr>
                    <w:adjustRightInd w:val="0"/>
                    <w:snapToGrid w:val="0"/>
                    <w:jc w:val="center"/>
                    <w:rPr>
                      <w:b/>
                      <w:bCs/>
                      <w:highlight w:val="none"/>
                    </w:rPr>
                  </w:pPr>
                  <w:r>
                    <w:rPr>
                      <w:b/>
                      <w:bCs/>
                      <w:highlight w:val="none"/>
                    </w:rPr>
                    <w:t>1</w:t>
                  </w:r>
                </w:p>
              </w:tc>
              <w:tc>
                <w:tcPr>
                  <w:tcW w:w="922" w:type="pct"/>
                  <w:tcBorders>
                    <w:top w:val="single" w:color="auto" w:sz="4" w:space="0"/>
                    <w:left w:val="single" w:color="auto" w:sz="4" w:space="0"/>
                    <w:bottom w:val="single" w:color="auto" w:sz="6" w:space="0"/>
                    <w:right w:val="single" w:color="auto" w:sz="6" w:space="0"/>
                  </w:tcBorders>
                  <w:vAlign w:val="center"/>
                </w:tcPr>
                <w:p w14:paraId="75F99EEE">
                  <w:pPr>
                    <w:jc w:val="center"/>
                    <w:rPr>
                      <w:highlight w:val="none"/>
                    </w:rPr>
                  </w:pPr>
                  <w:r>
                    <w:rPr>
                      <w:kern w:val="0"/>
                      <w:highlight w:val="none"/>
                    </w:rPr>
                    <w:t>CNC加工中心</w:t>
                  </w:r>
                </w:p>
              </w:tc>
              <w:tc>
                <w:tcPr>
                  <w:tcW w:w="1160" w:type="pct"/>
                  <w:tcBorders>
                    <w:top w:val="single" w:color="auto" w:sz="4" w:space="0"/>
                    <w:left w:val="nil"/>
                    <w:bottom w:val="single" w:color="auto" w:sz="6" w:space="0"/>
                    <w:right w:val="single" w:color="auto" w:sz="4" w:space="0"/>
                  </w:tcBorders>
                  <w:vAlign w:val="center"/>
                </w:tcPr>
                <w:p w14:paraId="045315C3">
                  <w:pPr>
                    <w:jc w:val="center"/>
                    <w:rPr>
                      <w:highlight w:val="none"/>
                    </w:rPr>
                  </w:pPr>
                  <w:r>
                    <w:rPr>
                      <w:highlight w:val="none"/>
                    </w:rPr>
                    <w:t>/</w:t>
                  </w:r>
                </w:p>
              </w:tc>
              <w:tc>
                <w:tcPr>
                  <w:tcW w:w="649" w:type="pct"/>
                  <w:tcBorders>
                    <w:top w:val="single" w:color="auto" w:sz="4" w:space="0"/>
                    <w:left w:val="single" w:color="auto" w:sz="4" w:space="0"/>
                    <w:bottom w:val="single" w:color="auto" w:sz="6" w:space="0"/>
                    <w:right w:val="single" w:color="auto" w:sz="4" w:space="0"/>
                  </w:tcBorders>
                  <w:vAlign w:val="center"/>
                </w:tcPr>
                <w:p w14:paraId="027692B7">
                  <w:pPr>
                    <w:adjustRightInd w:val="0"/>
                    <w:snapToGrid w:val="0"/>
                    <w:jc w:val="center"/>
                    <w:rPr>
                      <w:highlight w:val="none"/>
                    </w:rPr>
                  </w:pPr>
                  <w:r>
                    <w:rPr>
                      <w:highlight w:val="none"/>
                    </w:rPr>
                    <w:t>15台</w:t>
                  </w:r>
                </w:p>
              </w:tc>
              <w:tc>
                <w:tcPr>
                  <w:tcW w:w="653" w:type="pct"/>
                  <w:tcBorders>
                    <w:top w:val="single" w:color="auto" w:sz="4" w:space="0"/>
                    <w:left w:val="single" w:color="auto" w:sz="4" w:space="0"/>
                    <w:bottom w:val="single" w:color="auto" w:sz="6" w:space="0"/>
                    <w:right w:val="single" w:color="auto" w:sz="4" w:space="0"/>
                  </w:tcBorders>
                  <w:vAlign w:val="center"/>
                </w:tcPr>
                <w:p w14:paraId="19E724CA">
                  <w:pPr>
                    <w:adjustRightInd w:val="0"/>
                    <w:snapToGrid w:val="0"/>
                    <w:jc w:val="center"/>
                    <w:rPr>
                      <w:highlight w:val="none"/>
                    </w:rPr>
                  </w:pPr>
                  <w:r>
                    <w:rPr>
                      <w:rFonts w:hint="eastAsia"/>
                      <w:highlight w:val="none"/>
                    </w:rPr>
                    <w:t>0台</w:t>
                  </w:r>
                </w:p>
              </w:tc>
              <w:tc>
                <w:tcPr>
                  <w:tcW w:w="652" w:type="pct"/>
                  <w:tcBorders>
                    <w:top w:val="single" w:color="auto" w:sz="4" w:space="0"/>
                    <w:left w:val="single" w:color="auto" w:sz="4" w:space="0"/>
                    <w:bottom w:val="single" w:color="auto" w:sz="6" w:space="0"/>
                    <w:right w:val="single" w:color="auto" w:sz="4" w:space="0"/>
                  </w:tcBorders>
                  <w:vAlign w:val="center"/>
                </w:tcPr>
                <w:p w14:paraId="537B169A">
                  <w:pPr>
                    <w:adjustRightInd w:val="0"/>
                    <w:snapToGrid w:val="0"/>
                    <w:jc w:val="center"/>
                    <w:rPr>
                      <w:highlight w:val="none"/>
                    </w:rPr>
                  </w:pPr>
                  <w:r>
                    <w:rPr>
                      <w:rFonts w:hint="eastAsia"/>
                      <w:highlight w:val="none"/>
                    </w:rPr>
                    <w:t>-15台</w:t>
                  </w:r>
                </w:p>
              </w:tc>
              <w:tc>
                <w:tcPr>
                  <w:tcW w:w="652" w:type="pct"/>
                  <w:vMerge w:val="restart"/>
                  <w:tcBorders>
                    <w:top w:val="single" w:color="auto" w:sz="4" w:space="0"/>
                    <w:left w:val="single" w:color="auto" w:sz="4" w:space="0"/>
                    <w:right w:val="single" w:color="auto" w:sz="4" w:space="0"/>
                  </w:tcBorders>
                  <w:vAlign w:val="center"/>
                </w:tcPr>
                <w:p w14:paraId="341EEBC9">
                  <w:pPr>
                    <w:adjustRightInd w:val="0"/>
                    <w:snapToGrid w:val="0"/>
                    <w:jc w:val="center"/>
                    <w:rPr>
                      <w:highlight w:val="none"/>
                    </w:rPr>
                  </w:pPr>
                  <w:r>
                    <w:rPr>
                      <w:highlight w:val="none"/>
                    </w:rPr>
                    <w:t>1#车间</w:t>
                  </w:r>
                </w:p>
                <w:p w14:paraId="21484FB2">
                  <w:pPr>
                    <w:adjustRightInd w:val="0"/>
                    <w:snapToGrid w:val="0"/>
                    <w:jc w:val="center"/>
                    <w:rPr>
                      <w:highlight w:val="none"/>
                    </w:rPr>
                  </w:pPr>
                </w:p>
              </w:tc>
            </w:tr>
            <w:tr w14:paraId="4579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45A7DE87">
                  <w:pPr>
                    <w:adjustRightInd w:val="0"/>
                    <w:snapToGrid w:val="0"/>
                    <w:jc w:val="center"/>
                    <w:rPr>
                      <w:b/>
                      <w:bCs/>
                      <w:highlight w:val="none"/>
                    </w:rPr>
                  </w:pPr>
                  <w:r>
                    <w:rPr>
                      <w:b/>
                      <w:bCs/>
                      <w:highlight w:val="none"/>
                    </w:rPr>
                    <w:t>2</w:t>
                  </w:r>
                </w:p>
              </w:tc>
              <w:tc>
                <w:tcPr>
                  <w:tcW w:w="922" w:type="pct"/>
                  <w:tcBorders>
                    <w:top w:val="single" w:color="auto" w:sz="4" w:space="0"/>
                    <w:left w:val="single" w:color="auto" w:sz="4" w:space="0"/>
                    <w:bottom w:val="single" w:color="auto" w:sz="6" w:space="0"/>
                    <w:right w:val="single" w:color="auto" w:sz="6" w:space="0"/>
                  </w:tcBorders>
                  <w:vAlign w:val="center"/>
                </w:tcPr>
                <w:p w14:paraId="5410ACCB">
                  <w:pPr>
                    <w:jc w:val="center"/>
                    <w:rPr>
                      <w:kern w:val="0"/>
                      <w:highlight w:val="none"/>
                    </w:rPr>
                  </w:pPr>
                  <w:r>
                    <w:rPr>
                      <w:highlight w:val="none"/>
                    </w:rPr>
                    <w:t>龙门加工中心</w:t>
                  </w:r>
                </w:p>
              </w:tc>
              <w:tc>
                <w:tcPr>
                  <w:tcW w:w="1160" w:type="pct"/>
                  <w:tcBorders>
                    <w:top w:val="single" w:color="auto" w:sz="4" w:space="0"/>
                    <w:left w:val="nil"/>
                    <w:bottom w:val="single" w:color="auto" w:sz="6" w:space="0"/>
                    <w:right w:val="single" w:color="auto" w:sz="4" w:space="0"/>
                  </w:tcBorders>
                  <w:vAlign w:val="center"/>
                </w:tcPr>
                <w:p w14:paraId="1EC1DA17">
                  <w:pPr>
                    <w:jc w:val="center"/>
                    <w:rPr>
                      <w:highlight w:val="none"/>
                    </w:rPr>
                  </w:pPr>
                  <w:r>
                    <w:rPr>
                      <w:kern w:val="0"/>
                      <w:highlight w:val="none"/>
                    </w:rPr>
                    <w:t>2500mm*1500mm</w:t>
                  </w:r>
                </w:p>
              </w:tc>
              <w:tc>
                <w:tcPr>
                  <w:tcW w:w="649" w:type="pct"/>
                  <w:tcBorders>
                    <w:top w:val="single" w:color="auto" w:sz="4" w:space="0"/>
                    <w:left w:val="single" w:color="auto" w:sz="4" w:space="0"/>
                    <w:bottom w:val="single" w:color="auto" w:sz="6" w:space="0"/>
                    <w:right w:val="single" w:color="auto" w:sz="4" w:space="0"/>
                  </w:tcBorders>
                  <w:vAlign w:val="center"/>
                </w:tcPr>
                <w:p w14:paraId="0DD85EE1">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40BC8BE5">
                  <w:pPr>
                    <w:adjustRightInd w:val="0"/>
                    <w:snapToGrid w:val="0"/>
                    <w:jc w:val="center"/>
                    <w:rPr>
                      <w:highlight w:val="none"/>
                    </w:rPr>
                  </w:pPr>
                  <w:r>
                    <w:rPr>
                      <w:rFonts w:hint="eastAsia"/>
                      <w:highlight w:val="none"/>
                    </w:rPr>
                    <w:t>0台</w:t>
                  </w:r>
                </w:p>
              </w:tc>
              <w:tc>
                <w:tcPr>
                  <w:tcW w:w="652" w:type="pct"/>
                  <w:tcBorders>
                    <w:top w:val="single" w:color="auto" w:sz="4" w:space="0"/>
                    <w:left w:val="single" w:color="auto" w:sz="4" w:space="0"/>
                    <w:bottom w:val="single" w:color="auto" w:sz="6" w:space="0"/>
                    <w:right w:val="single" w:color="auto" w:sz="4" w:space="0"/>
                  </w:tcBorders>
                  <w:vAlign w:val="center"/>
                </w:tcPr>
                <w:p w14:paraId="1C4FA5D6">
                  <w:pPr>
                    <w:adjustRightInd w:val="0"/>
                    <w:snapToGrid w:val="0"/>
                    <w:jc w:val="center"/>
                    <w:rPr>
                      <w:highlight w:val="none"/>
                    </w:rPr>
                  </w:pPr>
                  <w:r>
                    <w:rPr>
                      <w:rFonts w:hint="eastAsia"/>
                      <w:highlight w:val="none"/>
                    </w:rPr>
                    <w:t>-1台</w:t>
                  </w:r>
                </w:p>
              </w:tc>
              <w:tc>
                <w:tcPr>
                  <w:tcW w:w="652" w:type="pct"/>
                  <w:vMerge w:val="continue"/>
                  <w:tcBorders>
                    <w:left w:val="single" w:color="auto" w:sz="4" w:space="0"/>
                    <w:right w:val="single" w:color="auto" w:sz="4" w:space="0"/>
                  </w:tcBorders>
                  <w:vAlign w:val="center"/>
                </w:tcPr>
                <w:p w14:paraId="3699CDD2">
                  <w:pPr>
                    <w:adjustRightInd w:val="0"/>
                    <w:snapToGrid w:val="0"/>
                    <w:jc w:val="center"/>
                    <w:rPr>
                      <w:highlight w:val="none"/>
                    </w:rPr>
                  </w:pPr>
                </w:p>
              </w:tc>
            </w:tr>
            <w:tr w14:paraId="67E6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6C784266">
                  <w:pPr>
                    <w:adjustRightInd w:val="0"/>
                    <w:snapToGrid w:val="0"/>
                    <w:jc w:val="center"/>
                    <w:rPr>
                      <w:b/>
                      <w:bCs/>
                      <w:highlight w:val="none"/>
                    </w:rPr>
                  </w:pPr>
                  <w:r>
                    <w:rPr>
                      <w:b/>
                      <w:bCs/>
                      <w:highlight w:val="none"/>
                    </w:rPr>
                    <w:t>3</w:t>
                  </w:r>
                </w:p>
              </w:tc>
              <w:tc>
                <w:tcPr>
                  <w:tcW w:w="922" w:type="pct"/>
                  <w:tcBorders>
                    <w:top w:val="single" w:color="auto" w:sz="4" w:space="0"/>
                    <w:left w:val="single" w:color="auto" w:sz="4" w:space="0"/>
                    <w:bottom w:val="single" w:color="auto" w:sz="6" w:space="0"/>
                    <w:right w:val="single" w:color="auto" w:sz="6" w:space="0"/>
                  </w:tcBorders>
                  <w:vAlign w:val="center"/>
                </w:tcPr>
                <w:p w14:paraId="5C983A90">
                  <w:pPr>
                    <w:jc w:val="center"/>
                    <w:rPr>
                      <w:kern w:val="0"/>
                      <w:highlight w:val="none"/>
                    </w:rPr>
                  </w:pPr>
                  <w:r>
                    <w:rPr>
                      <w:highlight w:val="none"/>
                    </w:rPr>
                    <w:t>加工中心机床</w:t>
                  </w:r>
                </w:p>
              </w:tc>
              <w:tc>
                <w:tcPr>
                  <w:tcW w:w="1160" w:type="pct"/>
                  <w:tcBorders>
                    <w:top w:val="single" w:color="auto" w:sz="4" w:space="0"/>
                    <w:left w:val="nil"/>
                    <w:bottom w:val="single" w:color="auto" w:sz="6" w:space="0"/>
                    <w:right w:val="single" w:color="auto" w:sz="4" w:space="0"/>
                  </w:tcBorders>
                  <w:vAlign w:val="center"/>
                </w:tcPr>
                <w:p w14:paraId="570B9BB9">
                  <w:pPr>
                    <w:jc w:val="center"/>
                    <w:rPr>
                      <w:highlight w:val="none"/>
                    </w:rPr>
                  </w:pPr>
                  <w:r>
                    <w:rPr>
                      <w:color w:val="000000"/>
                      <w:highlight w:val="none"/>
                    </w:rPr>
                    <w:t>LV850</w:t>
                  </w:r>
                </w:p>
              </w:tc>
              <w:tc>
                <w:tcPr>
                  <w:tcW w:w="649" w:type="pct"/>
                  <w:tcBorders>
                    <w:top w:val="single" w:color="auto" w:sz="4" w:space="0"/>
                    <w:left w:val="single" w:color="auto" w:sz="4" w:space="0"/>
                    <w:bottom w:val="single" w:color="auto" w:sz="6" w:space="0"/>
                    <w:right w:val="single" w:color="auto" w:sz="4" w:space="0"/>
                  </w:tcBorders>
                  <w:vAlign w:val="center"/>
                </w:tcPr>
                <w:p w14:paraId="7361FA3F">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10CA2E43">
                  <w:pPr>
                    <w:adjustRightInd w:val="0"/>
                    <w:snapToGrid w:val="0"/>
                    <w:jc w:val="center"/>
                    <w:rPr>
                      <w:highlight w:val="none"/>
                    </w:rPr>
                  </w:pPr>
                  <w:r>
                    <w:rPr>
                      <w:rFonts w:hint="eastAsia"/>
                      <w:highlight w:val="none"/>
                    </w:rPr>
                    <w:t>0台</w:t>
                  </w:r>
                </w:p>
              </w:tc>
              <w:tc>
                <w:tcPr>
                  <w:tcW w:w="652" w:type="pct"/>
                  <w:tcBorders>
                    <w:top w:val="single" w:color="auto" w:sz="4" w:space="0"/>
                    <w:left w:val="single" w:color="auto" w:sz="4" w:space="0"/>
                    <w:bottom w:val="single" w:color="auto" w:sz="6" w:space="0"/>
                    <w:right w:val="single" w:color="auto" w:sz="4" w:space="0"/>
                  </w:tcBorders>
                  <w:vAlign w:val="center"/>
                </w:tcPr>
                <w:p w14:paraId="375D7F0E">
                  <w:pPr>
                    <w:adjustRightInd w:val="0"/>
                    <w:snapToGrid w:val="0"/>
                    <w:jc w:val="center"/>
                    <w:rPr>
                      <w:highlight w:val="none"/>
                    </w:rPr>
                  </w:pPr>
                  <w:r>
                    <w:rPr>
                      <w:rFonts w:hint="eastAsia"/>
                      <w:highlight w:val="none"/>
                    </w:rPr>
                    <w:t>-1台</w:t>
                  </w:r>
                </w:p>
              </w:tc>
              <w:tc>
                <w:tcPr>
                  <w:tcW w:w="652" w:type="pct"/>
                  <w:vMerge w:val="continue"/>
                  <w:tcBorders>
                    <w:left w:val="single" w:color="auto" w:sz="4" w:space="0"/>
                    <w:right w:val="single" w:color="auto" w:sz="4" w:space="0"/>
                  </w:tcBorders>
                  <w:vAlign w:val="center"/>
                </w:tcPr>
                <w:p w14:paraId="18E01734">
                  <w:pPr>
                    <w:adjustRightInd w:val="0"/>
                    <w:snapToGrid w:val="0"/>
                    <w:jc w:val="center"/>
                    <w:rPr>
                      <w:highlight w:val="none"/>
                    </w:rPr>
                  </w:pPr>
                </w:p>
              </w:tc>
            </w:tr>
            <w:tr w14:paraId="6D61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1D75C519">
                  <w:pPr>
                    <w:adjustRightInd w:val="0"/>
                    <w:snapToGrid w:val="0"/>
                    <w:jc w:val="center"/>
                    <w:rPr>
                      <w:b/>
                      <w:bCs/>
                      <w:highlight w:val="none"/>
                    </w:rPr>
                  </w:pPr>
                  <w:r>
                    <w:rPr>
                      <w:b/>
                      <w:bCs/>
                      <w:highlight w:val="none"/>
                    </w:rPr>
                    <w:t>4</w:t>
                  </w:r>
                </w:p>
              </w:tc>
              <w:tc>
                <w:tcPr>
                  <w:tcW w:w="922" w:type="pct"/>
                  <w:tcBorders>
                    <w:top w:val="single" w:color="auto" w:sz="4" w:space="0"/>
                    <w:left w:val="single" w:color="auto" w:sz="4" w:space="0"/>
                    <w:bottom w:val="single" w:color="auto" w:sz="6" w:space="0"/>
                    <w:right w:val="single" w:color="auto" w:sz="6" w:space="0"/>
                  </w:tcBorders>
                  <w:vAlign w:val="center"/>
                </w:tcPr>
                <w:p w14:paraId="4A1724AD">
                  <w:pPr>
                    <w:jc w:val="center"/>
                    <w:rPr>
                      <w:kern w:val="0"/>
                      <w:highlight w:val="none"/>
                    </w:rPr>
                  </w:pPr>
                  <w:r>
                    <w:rPr>
                      <w:color w:val="000000"/>
                      <w:highlight w:val="none"/>
                    </w:rPr>
                    <w:t>龙门镗铣机床</w:t>
                  </w:r>
                </w:p>
              </w:tc>
              <w:tc>
                <w:tcPr>
                  <w:tcW w:w="1160" w:type="pct"/>
                  <w:tcBorders>
                    <w:top w:val="single" w:color="auto" w:sz="4" w:space="0"/>
                    <w:left w:val="nil"/>
                    <w:bottom w:val="single" w:color="auto" w:sz="6" w:space="0"/>
                    <w:right w:val="single" w:color="auto" w:sz="4" w:space="0"/>
                  </w:tcBorders>
                  <w:vAlign w:val="center"/>
                </w:tcPr>
                <w:p w14:paraId="74E6DD75">
                  <w:pPr>
                    <w:jc w:val="center"/>
                    <w:rPr>
                      <w:highlight w:val="none"/>
                    </w:rPr>
                  </w:pPr>
                  <w:r>
                    <w:rPr>
                      <w:color w:val="000000"/>
                      <w:highlight w:val="none"/>
                    </w:rPr>
                    <w:t>TZ01-20</w:t>
                  </w:r>
                </w:p>
              </w:tc>
              <w:tc>
                <w:tcPr>
                  <w:tcW w:w="649" w:type="pct"/>
                  <w:tcBorders>
                    <w:top w:val="single" w:color="auto" w:sz="4" w:space="0"/>
                    <w:left w:val="single" w:color="auto" w:sz="4" w:space="0"/>
                    <w:bottom w:val="single" w:color="auto" w:sz="6" w:space="0"/>
                    <w:right w:val="single" w:color="auto" w:sz="4" w:space="0"/>
                  </w:tcBorders>
                  <w:vAlign w:val="center"/>
                </w:tcPr>
                <w:p w14:paraId="57CABED3">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18077F18">
                  <w:pPr>
                    <w:adjustRightInd w:val="0"/>
                    <w:snapToGrid w:val="0"/>
                    <w:jc w:val="center"/>
                    <w:rPr>
                      <w:highlight w:val="none"/>
                    </w:rPr>
                  </w:pPr>
                  <w:r>
                    <w:rPr>
                      <w:rFonts w:hint="eastAsia"/>
                      <w:highlight w:val="none"/>
                    </w:rPr>
                    <w:t>0台</w:t>
                  </w:r>
                </w:p>
              </w:tc>
              <w:tc>
                <w:tcPr>
                  <w:tcW w:w="652" w:type="pct"/>
                  <w:tcBorders>
                    <w:top w:val="single" w:color="auto" w:sz="4" w:space="0"/>
                    <w:left w:val="single" w:color="auto" w:sz="4" w:space="0"/>
                    <w:bottom w:val="single" w:color="auto" w:sz="6" w:space="0"/>
                    <w:right w:val="single" w:color="auto" w:sz="4" w:space="0"/>
                  </w:tcBorders>
                  <w:vAlign w:val="center"/>
                </w:tcPr>
                <w:p w14:paraId="72A37868">
                  <w:pPr>
                    <w:adjustRightInd w:val="0"/>
                    <w:snapToGrid w:val="0"/>
                    <w:jc w:val="center"/>
                    <w:rPr>
                      <w:highlight w:val="none"/>
                    </w:rPr>
                  </w:pPr>
                  <w:r>
                    <w:rPr>
                      <w:rFonts w:hint="eastAsia"/>
                      <w:highlight w:val="none"/>
                    </w:rPr>
                    <w:t>-1台</w:t>
                  </w:r>
                </w:p>
              </w:tc>
              <w:tc>
                <w:tcPr>
                  <w:tcW w:w="652" w:type="pct"/>
                  <w:vMerge w:val="continue"/>
                  <w:tcBorders>
                    <w:left w:val="single" w:color="auto" w:sz="4" w:space="0"/>
                    <w:right w:val="single" w:color="auto" w:sz="4" w:space="0"/>
                  </w:tcBorders>
                  <w:vAlign w:val="center"/>
                </w:tcPr>
                <w:p w14:paraId="044F32EF">
                  <w:pPr>
                    <w:adjustRightInd w:val="0"/>
                    <w:snapToGrid w:val="0"/>
                    <w:jc w:val="center"/>
                    <w:rPr>
                      <w:highlight w:val="none"/>
                    </w:rPr>
                  </w:pPr>
                </w:p>
              </w:tc>
            </w:tr>
            <w:tr w14:paraId="35F1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5620E063">
                  <w:pPr>
                    <w:adjustRightInd w:val="0"/>
                    <w:snapToGrid w:val="0"/>
                    <w:jc w:val="center"/>
                    <w:rPr>
                      <w:b/>
                      <w:bCs/>
                      <w:highlight w:val="none"/>
                    </w:rPr>
                  </w:pPr>
                  <w:r>
                    <w:rPr>
                      <w:b/>
                      <w:bCs/>
                      <w:highlight w:val="none"/>
                    </w:rPr>
                    <w:t>5</w:t>
                  </w:r>
                </w:p>
              </w:tc>
              <w:tc>
                <w:tcPr>
                  <w:tcW w:w="922" w:type="pct"/>
                  <w:tcBorders>
                    <w:top w:val="single" w:color="auto" w:sz="4" w:space="0"/>
                    <w:left w:val="single" w:color="auto" w:sz="4" w:space="0"/>
                    <w:bottom w:val="single" w:color="auto" w:sz="6" w:space="0"/>
                    <w:right w:val="single" w:color="auto" w:sz="6" w:space="0"/>
                  </w:tcBorders>
                  <w:vAlign w:val="center"/>
                </w:tcPr>
                <w:p w14:paraId="464D18CC">
                  <w:pPr>
                    <w:jc w:val="center"/>
                    <w:rPr>
                      <w:kern w:val="0"/>
                      <w:highlight w:val="none"/>
                    </w:rPr>
                  </w:pPr>
                  <w:r>
                    <w:rPr>
                      <w:kern w:val="0"/>
                      <w:highlight w:val="none"/>
                    </w:rPr>
                    <w:t>喷漆线</w:t>
                  </w:r>
                </w:p>
              </w:tc>
              <w:tc>
                <w:tcPr>
                  <w:tcW w:w="1160" w:type="pct"/>
                  <w:tcBorders>
                    <w:top w:val="single" w:color="auto" w:sz="4" w:space="0"/>
                    <w:left w:val="nil"/>
                    <w:bottom w:val="single" w:color="auto" w:sz="6" w:space="0"/>
                    <w:right w:val="single" w:color="auto" w:sz="4" w:space="0"/>
                  </w:tcBorders>
                  <w:vAlign w:val="center"/>
                </w:tcPr>
                <w:p w14:paraId="16BD13FE">
                  <w:pPr>
                    <w:jc w:val="center"/>
                    <w:rPr>
                      <w:highlight w:val="none"/>
                    </w:rPr>
                  </w:pPr>
                  <w:r>
                    <w:rPr>
                      <w:highlight w:val="none"/>
                    </w:rPr>
                    <w:t>/</w:t>
                  </w:r>
                </w:p>
              </w:tc>
              <w:tc>
                <w:tcPr>
                  <w:tcW w:w="649" w:type="pct"/>
                  <w:tcBorders>
                    <w:top w:val="single" w:color="auto" w:sz="4" w:space="0"/>
                    <w:left w:val="single" w:color="auto" w:sz="4" w:space="0"/>
                    <w:bottom w:val="single" w:color="auto" w:sz="6" w:space="0"/>
                    <w:right w:val="single" w:color="auto" w:sz="4" w:space="0"/>
                  </w:tcBorders>
                  <w:vAlign w:val="center"/>
                </w:tcPr>
                <w:p w14:paraId="6EB4AE7E">
                  <w:pPr>
                    <w:adjustRightInd w:val="0"/>
                    <w:snapToGrid w:val="0"/>
                    <w:jc w:val="center"/>
                    <w:rPr>
                      <w:highlight w:val="none"/>
                    </w:rPr>
                  </w:pPr>
                  <w:r>
                    <w:rPr>
                      <w:highlight w:val="none"/>
                    </w:rPr>
                    <w:t>1</w:t>
                  </w:r>
                  <w:r>
                    <w:rPr>
                      <w:rFonts w:hint="eastAsia"/>
                      <w:highlight w:val="none"/>
                    </w:rPr>
                    <w:t>条</w:t>
                  </w:r>
                </w:p>
              </w:tc>
              <w:tc>
                <w:tcPr>
                  <w:tcW w:w="653" w:type="pct"/>
                  <w:tcBorders>
                    <w:top w:val="single" w:color="auto" w:sz="4" w:space="0"/>
                    <w:left w:val="single" w:color="auto" w:sz="4" w:space="0"/>
                    <w:bottom w:val="single" w:color="auto" w:sz="6" w:space="0"/>
                    <w:right w:val="single" w:color="auto" w:sz="4" w:space="0"/>
                  </w:tcBorders>
                  <w:vAlign w:val="center"/>
                </w:tcPr>
                <w:p w14:paraId="249712F5">
                  <w:pPr>
                    <w:adjustRightInd w:val="0"/>
                    <w:snapToGrid w:val="0"/>
                    <w:jc w:val="center"/>
                    <w:rPr>
                      <w:highlight w:val="none"/>
                    </w:rPr>
                  </w:pPr>
                  <w:r>
                    <w:rPr>
                      <w:rFonts w:hint="eastAsia"/>
                      <w:highlight w:val="none"/>
                    </w:rPr>
                    <w:t>1条</w:t>
                  </w:r>
                </w:p>
              </w:tc>
              <w:tc>
                <w:tcPr>
                  <w:tcW w:w="652" w:type="pct"/>
                  <w:tcBorders>
                    <w:top w:val="single" w:color="auto" w:sz="4" w:space="0"/>
                    <w:left w:val="single" w:color="auto" w:sz="4" w:space="0"/>
                    <w:bottom w:val="single" w:color="auto" w:sz="6" w:space="0"/>
                    <w:right w:val="single" w:color="auto" w:sz="4" w:space="0"/>
                  </w:tcBorders>
                  <w:vAlign w:val="center"/>
                </w:tcPr>
                <w:p w14:paraId="52BF0C28">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06423B7E">
                  <w:pPr>
                    <w:adjustRightInd w:val="0"/>
                    <w:snapToGrid w:val="0"/>
                    <w:jc w:val="center"/>
                    <w:rPr>
                      <w:highlight w:val="none"/>
                    </w:rPr>
                  </w:pPr>
                </w:p>
              </w:tc>
            </w:tr>
            <w:tr w14:paraId="576F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7A7C1A13">
                  <w:pPr>
                    <w:adjustRightInd w:val="0"/>
                    <w:snapToGrid w:val="0"/>
                    <w:jc w:val="center"/>
                    <w:rPr>
                      <w:b/>
                      <w:bCs/>
                      <w:highlight w:val="none"/>
                    </w:rPr>
                  </w:pPr>
                  <w:r>
                    <w:rPr>
                      <w:b/>
                      <w:bCs/>
                      <w:highlight w:val="none"/>
                    </w:rPr>
                    <w:t>5.1</w:t>
                  </w:r>
                </w:p>
              </w:tc>
              <w:tc>
                <w:tcPr>
                  <w:tcW w:w="922" w:type="pct"/>
                  <w:tcBorders>
                    <w:top w:val="single" w:color="auto" w:sz="4" w:space="0"/>
                    <w:left w:val="single" w:color="auto" w:sz="4" w:space="0"/>
                    <w:bottom w:val="single" w:color="auto" w:sz="6" w:space="0"/>
                    <w:right w:val="single" w:color="auto" w:sz="6" w:space="0"/>
                  </w:tcBorders>
                  <w:vAlign w:val="center"/>
                </w:tcPr>
                <w:p w14:paraId="06013CB9">
                  <w:pPr>
                    <w:jc w:val="center"/>
                    <w:rPr>
                      <w:kern w:val="0"/>
                      <w:highlight w:val="none"/>
                    </w:rPr>
                  </w:pPr>
                  <w:r>
                    <w:rPr>
                      <w:kern w:val="0"/>
                      <w:highlight w:val="none"/>
                    </w:rPr>
                    <w:t>手工喷房</w:t>
                  </w:r>
                </w:p>
              </w:tc>
              <w:tc>
                <w:tcPr>
                  <w:tcW w:w="1160" w:type="pct"/>
                  <w:tcBorders>
                    <w:top w:val="single" w:color="auto" w:sz="4" w:space="0"/>
                    <w:left w:val="nil"/>
                    <w:bottom w:val="single" w:color="auto" w:sz="6" w:space="0"/>
                    <w:right w:val="single" w:color="auto" w:sz="4" w:space="0"/>
                  </w:tcBorders>
                  <w:vAlign w:val="center"/>
                </w:tcPr>
                <w:p w14:paraId="78833562">
                  <w:pPr>
                    <w:jc w:val="center"/>
                    <w:rPr>
                      <w:highlight w:val="none"/>
                    </w:rPr>
                  </w:pPr>
                  <w:r>
                    <w:rPr>
                      <w:highlight w:val="none"/>
                    </w:rPr>
                    <w:t>尺寸为4m×3.6m×3.78m，每个手工喷房配置7.5kw防爆风机，风量为3000-6000m</w:t>
                  </w:r>
                  <w:r>
                    <w:rPr>
                      <w:highlight w:val="none"/>
                      <w:vertAlign w:val="superscript"/>
                    </w:rPr>
                    <w:t>3</w:t>
                  </w:r>
                  <w:r>
                    <w:rPr>
                      <w:highlight w:val="none"/>
                    </w:rPr>
                    <w:t>/h，同时配置4kw水泵用于水帘除尘</w:t>
                  </w:r>
                </w:p>
              </w:tc>
              <w:tc>
                <w:tcPr>
                  <w:tcW w:w="649" w:type="pct"/>
                  <w:tcBorders>
                    <w:top w:val="single" w:color="auto" w:sz="4" w:space="0"/>
                    <w:left w:val="single" w:color="auto" w:sz="4" w:space="0"/>
                    <w:bottom w:val="single" w:color="auto" w:sz="6" w:space="0"/>
                    <w:right w:val="single" w:color="auto" w:sz="4" w:space="0"/>
                  </w:tcBorders>
                  <w:vAlign w:val="center"/>
                </w:tcPr>
                <w:p w14:paraId="5CA3E8EF">
                  <w:pPr>
                    <w:adjustRightInd w:val="0"/>
                    <w:snapToGrid w:val="0"/>
                    <w:jc w:val="center"/>
                    <w:rPr>
                      <w:highlight w:val="none"/>
                    </w:rPr>
                  </w:pPr>
                  <w:r>
                    <w:rPr>
                      <w:highlight w:val="none"/>
                    </w:rPr>
                    <w:t>2</w:t>
                  </w:r>
                  <w:r>
                    <w:rPr>
                      <w:rFonts w:hint="eastAsia"/>
                      <w:highlight w:val="none"/>
                    </w:rPr>
                    <w:t>间</w:t>
                  </w:r>
                </w:p>
              </w:tc>
              <w:tc>
                <w:tcPr>
                  <w:tcW w:w="653" w:type="pct"/>
                  <w:tcBorders>
                    <w:top w:val="single" w:color="auto" w:sz="4" w:space="0"/>
                    <w:left w:val="single" w:color="auto" w:sz="4" w:space="0"/>
                    <w:bottom w:val="single" w:color="auto" w:sz="6" w:space="0"/>
                    <w:right w:val="single" w:color="auto" w:sz="4" w:space="0"/>
                  </w:tcBorders>
                  <w:vAlign w:val="center"/>
                </w:tcPr>
                <w:p w14:paraId="172C0E3D">
                  <w:pPr>
                    <w:adjustRightInd w:val="0"/>
                    <w:snapToGrid w:val="0"/>
                    <w:jc w:val="center"/>
                    <w:rPr>
                      <w:highlight w:val="none"/>
                    </w:rPr>
                  </w:pPr>
                  <w:r>
                    <w:rPr>
                      <w:rFonts w:hint="eastAsia"/>
                      <w:highlight w:val="none"/>
                    </w:rPr>
                    <w:t>2间</w:t>
                  </w:r>
                </w:p>
              </w:tc>
              <w:tc>
                <w:tcPr>
                  <w:tcW w:w="652" w:type="pct"/>
                  <w:tcBorders>
                    <w:top w:val="single" w:color="auto" w:sz="4" w:space="0"/>
                    <w:left w:val="single" w:color="auto" w:sz="4" w:space="0"/>
                    <w:bottom w:val="single" w:color="auto" w:sz="6" w:space="0"/>
                    <w:right w:val="single" w:color="auto" w:sz="4" w:space="0"/>
                  </w:tcBorders>
                  <w:vAlign w:val="center"/>
                </w:tcPr>
                <w:p w14:paraId="102B05D7">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5D8BCE1D">
                  <w:pPr>
                    <w:adjustRightInd w:val="0"/>
                    <w:snapToGrid w:val="0"/>
                    <w:jc w:val="center"/>
                    <w:rPr>
                      <w:highlight w:val="none"/>
                    </w:rPr>
                  </w:pPr>
                </w:p>
              </w:tc>
            </w:tr>
            <w:tr w14:paraId="5161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5B4D6947">
                  <w:pPr>
                    <w:adjustRightInd w:val="0"/>
                    <w:snapToGrid w:val="0"/>
                    <w:jc w:val="center"/>
                    <w:rPr>
                      <w:b/>
                      <w:bCs/>
                      <w:highlight w:val="none"/>
                    </w:rPr>
                  </w:pPr>
                  <w:r>
                    <w:rPr>
                      <w:b/>
                      <w:bCs/>
                      <w:highlight w:val="none"/>
                    </w:rPr>
                    <w:t>5.2</w:t>
                  </w:r>
                </w:p>
              </w:tc>
              <w:tc>
                <w:tcPr>
                  <w:tcW w:w="922" w:type="pct"/>
                  <w:tcBorders>
                    <w:top w:val="single" w:color="auto" w:sz="4" w:space="0"/>
                    <w:left w:val="single" w:color="auto" w:sz="4" w:space="0"/>
                    <w:bottom w:val="single" w:color="auto" w:sz="6" w:space="0"/>
                    <w:right w:val="single" w:color="auto" w:sz="6" w:space="0"/>
                  </w:tcBorders>
                  <w:vAlign w:val="center"/>
                </w:tcPr>
                <w:p w14:paraId="43CCA1F5">
                  <w:pPr>
                    <w:jc w:val="center"/>
                    <w:rPr>
                      <w:kern w:val="0"/>
                      <w:highlight w:val="none"/>
                    </w:rPr>
                  </w:pPr>
                  <w:r>
                    <w:rPr>
                      <w:kern w:val="0"/>
                      <w:highlight w:val="none"/>
                    </w:rPr>
                    <w:t>预热流平工段</w:t>
                  </w:r>
                </w:p>
              </w:tc>
              <w:tc>
                <w:tcPr>
                  <w:tcW w:w="1160" w:type="pct"/>
                  <w:tcBorders>
                    <w:top w:val="single" w:color="auto" w:sz="4" w:space="0"/>
                    <w:left w:val="nil"/>
                    <w:bottom w:val="single" w:color="auto" w:sz="6" w:space="0"/>
                    <w:right w:val="single" w:color="auto" w:sz="4" w:space="0"/>
                  </w:tcBorders>
                  <w:vAlign w:val="center"/>
                </w:tcPr>
                <w:p w14:paraId="1C6E13B1">
                  <w:pPr>
                    <w:jc w:val="center"/>
                    <w:rPr>
                      <w:highlight w:val="none"/>
                    </w:rPr>
                  </w:pPr>
                  <w:r>
                    <w:rPr>
                      <w:highlight w:val="none"/>
                    </w:rPr>
                    <w:t>尺寸为4m×30m×2m，预热流平工段配备15kw防爆风机，风量为5000-15000m</w:t>
                  </w:r>
                  <w:r>
                    <w:rPr>
                      <w:highlight w:val="none"/>
                      <w:vertAlign w:val="superscript"/>
                    </w:rPr>
                    <w:t>3</w:t>
                  </w:r>
                  <w:r>
                    <w:rPr>
                      <w:highlight w:val="none"/>
                    </w:rPr>
                    <w:t>/h</w:t>
                  </w:r>
                </w:p>
              </w:tc>
              <w:tc>
                <w:tcPr>
                  <w:tcW w:w="649" w:type="pct"/>
                  <w:tcBorders>
                    <w:top w:val="single" w:color="auto" w:sz="4" w:space="0"/>
                    <w:left w:val="single" w:color="auto" w:sz="4" w:space="0"/>
                    <w:bottom w:val="single" w:color="auto" w:sz="6" w:space="0"/>
                    <w:right w:val="single" w:color="auto" w:sz="4" w:space="0"/>
                  </w:tcBorders>
                  <w:vAlign w:val="center"/>
                </w:tcPr>
                <w:p w14:paraId="45F61F0E">
                  <w:pPr>
                    <w:adjustRightInd w:val="0"/>
                    <w:snapToGrid w:val="0"/>
                    <w:jc w:val="center"/>
                    <w:rPr>
                      <w:highlight w:val="none"/>
                    </w:rPr>
                  </w:pPr>
                  <w:r>
                    <w:rPr>
                      <w:highlight w:val="none"/>
                    </w:rPr>
                    <w:t>/</w:t>
                  </w:r>
                </w:p>
              </w:tc>
              <w:tc>
                <w:tcPr>
                  <w:tcW w:w="653" w:type="pct"/>
                  <w:tcBorders>
                    <w:top w:val="single" w:color="auto" w:sz="4" w:space="0"/>
                    <w:left w:val="single" w:color="auto" w:sz="4" w:space="0"/>
                    <w:bottom w:val="single" w:color="auto" w:sz="6" w:space="0"/>
                    <w:right w:val="single" w:color="auto" w:sz="4" w:space="0"/>
                  </w:tcBorders>
                  <w:vAlign w:val="center"/>
                </w:tcPr>
                <w:p w14:paraId="0E1226F1">
                  <w:pPr>
                    <w:adjustRightInd w:val="0"/>
                    <w:snapToGrid w:val="0"/>
                    <w:jc w:val="center"/>
                    <w:rPr>
                      <w:highlight w:val="none"/>
                    </w:rPr>
                  </w:pPr>
                  <w:r>
                    <w:rPr>
                      <w:rFonts w:hint="eastAsia"/>
                      <w:highlight w:val="none"/>
                    </w:rPr>
                    <w:t>/</w:t>
                  </w:r>
                </w:p>
              </w:tc>
              <w:tc>
                <w:tcPr>
                  <w:tcW w:w="652" w:type="pct"/>
                  <w:tcBorders>
                    <w:top w:val="single" w:color="auto" w:sz="4" w:space="0"/>
                    <w:left w:val="single" w:color="auto" w:sz="4" w:space="0"/>
                    <w:bottom w:val="single" w:color="auto" w:sz="6" w:space="0"/>
                    <w:right w:val="single" w:color="auto" w:sz="4" w:space="0"/>
                  </w:tcBorders>
                  <w:vAlign w:val="center"/>
                </w:tcPr>
                <w:p w14:paraId="696CB0A2">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09C122D4">
                  <w:pPr>
                    <w:adjustRightInd w:val="0"/>
                    <w:snapToGrid w:val="0"/>
                    <w:jc w:val="center"/>
                    <w:rPr>
                      <w:highlight w:val="none"/>
                    </w:rPr>
                  </w:pPr>
                </w:p>
              </w:tc>
            </w:tr>
            <w:tr w14:paraId="1E6E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2F5C6E63">
                  <w:pPr>
                    <w:adjustRightInd w:val="0"/>
                    <w:snapToGrid w:val="0"/>
                    <w:jc w:val="center"/>
                    <w:rPr>
                      <w:b/>
                      <w:bCs/>
                      <w:highlight w:val="none"/>
                    </w:rPr>
                  </w:pPr>
                  <w:r>
                    <w:rPr>
                      <w:b/>
                      <w:bCs/>
                      <w:highlight w:val="none"/>
                    </w:rPr>
                    <w:t>5.3</w:t>
                  </w:r>
                </w:p>
              </w:tc>
              <w:tc>
                <w:tcPr>
                  <w:tcW w:w="922" w:type="pct"/>
                  <w:tcBorders>
                    <w:top w:val="single" w:color="auto" w:sz="4" w:space="0"/>
                    <w:left w:val="single" w:color="auto" w:sz="4" w:space="0"/>
                    <w:bottom w:val="single" w:color="auto" w:sz="6" w:space="0"/>
                    <w:right w:val="single" w:color="auto" w:sz="6" w:space="0"/>
                  </w:tcBorders>
                  <w:vAlign w:val="center"/>
                </w:tcPr>
                <w:p w14:paraId="0803A821">
                  <w:pPr>
                    <w:jc w:val="center"/>
                    <w:rPr>
                      <w:kern w:val="0"/>
                      <w:highlight w:val="none"/>
                    </w:rPr>
                  </w:pPr>
                  <w:r>
                    <w:rPr>
                      <w:kern w:val="0"/>
                      <w:highlight w:val="none"/>
                    </w:rPr>
                    <w:t>自动喷房</w:t>
                  </w:r>
                </w:p>
              </w:tc>
              <w:tc>
                <w:tcPr>
                  <w:tcW w:w="1160" w:type="pct"/>
                  <w:tcBorders>
                    <w:top w:val="single" w:color="auto" w:sz="4" w:space="0"/>
                    <w:left w:val="nil"/>
                    <w:bottom w:val="single" w:color="auto" w:sz="6" w:space="0"/>
                    <w:right w:val="single" w:color="auto" w:sz="4" w:space="0"/>
                  </w:tcBorders>
                  <w:vAlign w:val="center"/>
                </w:tcPr>
                <w:p w14:paraId="0F55BD81">
                  <w:pPr>
                    <w:jc w:val="center"/>
                    <w:rPr>
                      <w:highlight w:val="none"/>
                    </w:rPr>
                  </w:pPr>
                  <w:r>
                    <w:rPr>
                      <w:highlight w:val="none"/>
                    </w:rPr>
                    <w:t>尺寸为4m×1.35m×2.13m，配置7.5kw防爆风机，风量为3000-6000m</w:t>
                  </w:r>
                  <w:r>
                    <w:rPr>
                      <w:highlight w:val="none"/>
                      <w:vertAlign w:val="superscript"/>
                    </w:rPr>
                    <w:t>3</w:t>
                  </w:r>
                  <w:r>
                    <w:rPr>
                      <w:highlight w:val="none"/>
                    </w:rPr>
                    <w:t>/h，同时配置4kw水泵用于水帘除尘</w:t>
                  </w:r>
                </w:p>
              </w:tc>
              <w:tc>
                <w:tcPr>
                  <w:tcW w:w="649" w:type="pct"/>
                  <w:tcBorders>
                    <w:top w:val="single" w:color="auto" w:sz="4" w:space="0"/>
                    <w:left w:val="single" w:color="auto" w:sz="4" w:space="0"/>
                    <w:bottom w:val="single" w:color="auto" w:sz="6" w:space="0"/>
                    <w:right w:val="single" w:color="auto" w:sz="4" w:space="0"/>
                  </w:tcBorders>
                  <w:vAlign w:val="center"/>
                </w:tcPr>
                <w:p w14:paraId="6753A439">
                  <w:pPr>
                    <w:adjustRightInd w:val="0"/>
                    <w:snapToGrid w:val="0"/>
                    <w:jc w:val="center"/>
                    <w:rPr>
                      <w:highlight w:val="none"/>
                    </w:rPr>
                  </w:pPr>
                  <w:r>
                    <w:rPr>
                      <w:highlight w:val="none"/>
                    </w:rPr>
                    <w:t>1间</w:t>
                  </w:r>
                </w:p>
              </w:tc>
              <w:tc>
                <w:tcPr>
                  <w:tcW w:w="653" w:type="pct"/>
                  <w:tcBorders>
                    <w:top w:val="single" w:color="auto" w:sz="4" w:space="0"/>
                    <w:left w:val="single" w:color="auto" w:sz="4" w:space="0"/>
                    <w:bottom w:val="single" w:color="auto" w:sz="6" w:space="0"/>
                    <w:right w:val="single" w:color="auto" w:sz="4" w:space="0"/>
                  </w:tcBorders>
                  <w:vAlign w:val="center"/>
                </w:tcPr>
                <w:p w14:paraId="0ED01EEA">
                  <w:pPr>
                    <w:adjustRightInd w:val="0"/>
                    <w:snapToGrid w:val="0"/>
                    <w:jc w:val="center"/>
                    <w:rPr>
                      <w:highlight w:val="none"/>
                    </w:rPr>
                  </w:pPr>
                  <w:r>
                    <w:rPr>
                      <w:rFonts w:hint="eastAsia"/>
                      <w:highlight w:val="none"/>
                    </w:rPr>
                    <w:t>1</w:t>
                  </w:r>
                  <w:r>
                    <w:rPr>
                      <w:highlight w:val="none"/>
                    </w:rPr>
                    <w:t>间</w:t>
                  </w:r>
                </w:p>
              </w:tc>
              <w:tc>
                <w:tcPr>
                  <w:tcW w:w="652" w:type="pct"/>
                  <w:tcBorders>
                    <w:top w:val="single" w:color="auto" w:sz="4" w:space="0"/>
                    <w:left w:val="single" w:color="auto" w:sz="4" w:space="0"/>
                    <w:bottom w:val="single" w:color="auto" w:sz="6" w:space="0"/>
                    <w:right w:val="single" w:color="auto" w:sz="4" w:space="0"/>
                  </w:tcBorders>
                  <w:vAlign w:val="center"/>
                </w:tcPr>
                <w:p w14:paraId="613EA251">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3AE5D6D1">
                  <w:pPr>
                    <w:adjustRightInd w:val="0"/>
                    <w:snapToGrid w:val="0"/>
                    <w:jc w:val="center"/>
                    <w:rPr>
                      <w:highlight w:val="none"/>
                    </w:rPr>
                  </w:pPr>
                </w:p>
              </w:tc>
            </w:tr>
            <w:tr w14:paraId="67EE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1E4D49EC">
                  <w:pPr>
                    <w:adjustRightInd w:val="0"/>
                    <w:snapToGrid w:val="0"/>
                    <w:jc w:val="center"/>
                    <w:rPr>
                      <w:b/>
                      <w:bCs/>
                      <w:highlight w:val="none"/>
                    </w:rPr>
                  </w:pPr>
                  <w:r>
                    <w:rPr>
                      <w:b/>
                      <w:bCs/>
                      <w:highlight w:val="none"/>
                    </w:rPr>
                    <w:t>5.4</w:t>
                  </w:r>
                </w:p>
              </w:tc>
              <w:tc>
                <w:tcPr>
                  <w:tcW w:w="922" w:type="pct"/>
                  <w:tcBorders>
                    <w:top w:val="single" w:color="auto" w:sz="4" w:space="0"/>
                    <w:left w:val="single" w:color="auto" w:sz="4" w:space="0"/>
                    <w:bottom w:val="single" w:color="auto" w:sz="6" w:space="0"/>
                    <w:right w:val="single" w:color="auto" w:sz="6" w:space="0"/>
                  </w:tcBorders>
                  <w:vAlign w:val="center"/>
                </w:tcPr>
                <w:p w14:paraId="1619AEB7">
                  <w:pPr>
                    <w:jc w:val="center"/>
                    <w:rPr>
                      <w:kern w:val="0"/>
                      <w:highlight w:val="none"/>
                    </w:rPr>
                  </w:pPr>
                  <w:r>
                    <w:rPr>
                      <w:kern w:val="0"/>
                      <w:highlight w:val="none"/>
                    </w:rPr>
                    <w:t>烘干段</w:t>
                  </w:r>
                </w:p>
              </w:tc>
              <w:tc>
                <w:tcPr>
                  <w:tcW w:w="1160" w:type="pct"/>
                  <w:tcBorders>
                    <w:top w:val="single" w:color="auto" w:sz="4" w:space="0"/>
                    <w:left w:val="nil"/>
                    <w:bottom w:val="single" w:color="auto" w:sz="6" w:space="0"/>
                    <w:right w:val="single" w:color="auto" w:sz="4" w:space="0"/>
                  </w:tcBorders>
                  <w:vAlign w:val="center"/>
                </w:tcPr>
                <w:p w14:paraId="72505CFF">
                  <w:pPr>
                    <w:jc w:val="center"/>
                    <w:rPr>
                      <w:highlight w:val="none"/>
                    </w:rPr>
                  </w:pPr>
                  <w:r>
                    <w:rPr>
                      <w:highlight w:val="none"/>
                    </w:rPr>
                    <w:t>尺寸为4m×90m×2m，烘干工段配备18.5kw防爆风机，风量为5500-18000m</w:t>
                  </w:r>
                  <w:r>
                    <w:rPr>
                      <w:highlight w:val="none"/>
                      <w:vertAlign w:val="superscript"/>
                    </w:rPr>
                    <w:t>3</w:t>
                  </w:r>
                  <w:r>
                    <w:rPr>
                      <w:highlight w:val="none"/>
                    </w:rPr>
                    <w:t>/h</w:t>
                  </w:r>
                </w:p>
              </w:tc>
              <w:tc>
                <w:tcPr>
                  <w:tcW w:w="649" w:type="pct"/>
                  <w:tcBorders>
                    <w:top w:val="single" w:color="auto" w:sz="4" w:space="0"/>
                    <w:left w:val="single" w:color="auto" w:sz="4" w:space="0"/>
                    <w:bottom w:val="single" w:color="auto" w:sz="6" w:space="0"/>
                    <w:right w:val="single" w:color="auto" w:sz="4" w:space="0"/>
                  </w:tcBorders>
                  <w:vAlign w:val="center"/>
                </w:tcPr>
                <w:p w14:paraId="100C9D86">
                  <w:pPr>
                    <w:adjustRightInd w:val="0"/>
                    <w:snapToGrid w:val="0"/>
                    <w:jc w:val="center"/>
                    <w:rPr>
                      <w:highlight w:val="none"/>
                    </w:rPr>
                  </w:pPr>
                  <w:r>
                    <w:rPr>
                      <w:highlight w:val="none"/>
                    </w:rPr>
                    <w:t>/</w:t>
                  </w:r>
                </w:p>
              </w:tc>
              <w:tc>
                <w:tcPr>
                  <w:tcW w:w="653" w:type="pct"/>
                  <w:tcBorders>
                    <w:top w:val="single" w:color="auto" w:sz="4" w:space="0"/>
                    <w:left w:val="single" w:color="auto" w:sz="4" w:space="0"/>
                    <w:bottom w:val="single" w:color="auto" w:sz="6" w:space="0"/>
                    <w:right w:val="single" w:color="auto" w:sz="4" w:space="0"/>
                  </w:tcBorders>
                  <w:vAlign w:val="center"/>
                </w:tcPr>
                <w:p w14:paraId="4F03CCF5">
                  <w:pPr>
                    <w:adjustRightInd w:val="0"/>
                    <w:snapToGrid w:val="0"/>
                    <w:jc w:val="center"/>
                    <w:rPr>
                      <w:highlight w:val="none"/>
                    </w:rPr>
                  </w:pPr>
                  <w:r>
                    <w:rPr>
                      <w:rFonts w:hint="eastAsia"/>
                      <w:highlight w:val="none"/>
                    </w:rPr>
                    <w:t>/</w:t>
                  </w:r>
                </w:p>
              </w:tc>
              <w:tc>
                <w:tcPr>
                  <w:tcW w:w="652" w:type="pct"/>
                  <w:tcBorders>
                    <w:top w:val="single" w:color="auto" w:sz="4" w:space="0"/>
                    <w:left w:val="single" w:color="auto" w:sz="4" w:space="0"/>
                    <w:bottom w:val="single" w:color="auto" w:sz="6" w:space="0"/>
                    <w:right w:val="single" w:color="auto" w:sz="4" w:space="0"/>
                  </w:tcBorders>
                  <w:vAlign w:val="center"/>
                </w:tcPr>
                <w:p w14:paraId="5FDAC472">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66AF2367">
                  <w:pPr>
                    <w:adjustRightInd w:val="0"/>
                    <w:snapToGrid w:val="0"/>
                    <w:jc w:val="center"/>
                    <w:rPr>
                      <w:highlight w:val="none"/>
                    </w:rPr>
                  </w:pPr>
                </w:p>
              </w:tc>
            </w:tr>
            <w:tr w14:paraId="03D3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316A0BB1">
                  <w:pPr>
                    <w:adjustRightInd w:val="0"/>
                    <w:snapToGrid w:val="0"/>
                    <w:jc w:val="center"/>
                    <w:rPr>
                      <w:b/>
                      <w:bCs/>
                      <w:highlight w:val="none"/>
                    </w:rPr>
                  </w:pPr>
                  <w:r>
                    <w:rPr>
                      <w:b/>
                      <w:bCs/>
                      <w:highlight w:val="none"/>
                    </w:rPr>
                    <w:t>5.5</w:t>
                  </w:r>
                </w:p>
              </w:tc>
              <w:tc>
                <w:tcPr>
                  <w:tcW w:w="922" w:type="pct"/>
                  <w:tcBorders>
                    <w:top w:val="single" w:color="auto" w:sz="4" w:space="0"/>
                    <w:left w:val="single" w:color="auto" w:sz="4" w:space="0"/>
                    <w:bottom w:val="single" w:color="auto" w:sz="6" w:space="0"/>
                    <w:right w:val="single" w:color="auto" w:sz="6" w:space="0"/>
                  </w:tcBorders>
                  <w:vAlign w:val="center"/>
                </w:tcPr>
                <w:p w14:paraId="4C4F5446">
                  <w:pPr>
                    <w:jc w:val="center"/>
                    <w:rPr>
                      <w:kern w:val="0"/>
                      <w:highlight w:val="none"/>
                    </w:rPr>
                  </w:pPr>
                  <w:r>
                    <w:rPr>
                      <w:kern w:val="0"/>
                      <w:highlight w:val="none"/>
                    </w:rPr>
                    <w:t>燃烧机</w:t>
                  </w:r>
                </w:p>
              </w:tc>
              <w:tc>
                <w:tcPr>
                  <w:tcW w:w="1160" w:type="pct"/>
                  <w:tcBorders>
                    <w:top w:val="single" w:color="auto" w:sz="4" w:space="0"/>
                    <w:left w:val="nil"/>
                    <w:bottom w:val="single" w:color="auto" w:sz="6" w:space="0"/>
                    <w:right w:val="single" w:color="auto" w:sz="4" w:space="0"/>
                  </w:tcBorders>
                  <w:vAlign w:val="center"/>
                </w:tcPr>
                <w:p w14:paraId="1A60EC81">
                  <w:pPr>
                    <w:jc w:val="center"/>
                    <w:rPr>
                      <w:highlight w:val="none"/>
                    </w:rPr>
                  </w:pPr>
                  <w:r>
                    <w:rPr>
                      <w:highlight w:val="none"/>
                    </w:rPr>
                    <w:t>燃气，热值40万大卡</w:t>
                  </w:r>
                </w:p>
              </w:tc>
              <w:tc>
                <w:tcPr>
                  <w:tcW w:w="649" w:type="pct"/>
                  <w:tcBorders>
                    <w:top w:val="single" w:color="auto" w:sz="4" w:space="0"/>
                    <w:left w:val="single" w:color="auto" w:sz="4" w:space="0"/>
                    <w:bottom w:val="single" w:color="auto" w:sz="6" w:space="0"/>
                    <w:right w:val="single" w:color="auto" w:sz="4" w:space="0"/>
                  </w:tcBorders>
                  <w:vAlign w:val="center"/>
                </w:tcPr>
                <w:p w14:paraId="135DD9FF">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1280C9E8">
                  <w:pPr>
                    <w:adjustRightInd w:val="0"/>
                    <w:snapToGrid w:val="0"/>
                    <w:jc w:val="center"/>
                    <w:rPr>
                      <w:highlight w:val="none"/>
                    </w:rPr>
                  </w:pPr>
                  <w:r>
                    <w:rPr>
                      <w:rFonts w:hint="eastAsia"/>
                      <w:highlight w:val="none"/>
                    </w:rPr>
                    <w:t>1</w:t>
                  </w:r>
                  <w:r>
                    <w:rPr>
                      <w:highlight w:val="none"/>
                    </w:rPr>
                    <w:t>台</w:t>
                  </w:r>
                </w:p>
              </w:tc>
              <w:tc>
                <w:tcPr>
                  <w:tcW w:w="652" w:type="pct"/>
                  <w:tcBorders>
                    <w:top w:val="single" w:color="auto" w:sz="4" w:space="0"/>
                    <w:left w:val="single" w:color="auto" w:sz="4" w:space="0"/>
                    <w:bottom w:val="single" w:color="auto" w:sz="6" w:space="0"/>
                    <w:right w:val="single" w:color="auto" w:sz="4" w:space="0"/>
                  </w:tcBorders>
                  <w:vAlign w:val="center"/>
                </w:tcPr>
                <w:p w14:paraId="71CE7A95">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194193E7">
                  <w:pPr>
                    <w:adjustRightInd w:val="0"/>
                    <w:snapToGrid w:val="0"/>
                    <w:jc w:val="center"/>
                    <w:rPr>
                      <w:highlight w:val="none"/>
                    </w:rPr>
                  </w:pPr>
                </w:p>
              </w:tc>
            </w:tr>
            <w:tr w14:paraId="4283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6CF10561">
                  <w:pPr>
                    <w:adjustRightInd w:val="0"/>
                    <w:snapToGrid w:val="0"/>
                    <w:jc w:val="center"/>
                    <w:rPr>
                      <w:b/>
                      <w:bCs/>
                      <w:highlight w:val="none"/>
                    </w:rPr>
                  </w:pPr>
                  <w:r>
                    <w:rPr>
                      <w:b/>
                      <w:bCs/>
                      <w:highlight w:val="none"/>
                    </w:rPr>
                    <w:t>5.6</w:t>
                  </w:r>
                </w:p>
              </w:tc>
              <w:tc>
                <w:tcPr>
                  <w:tcW w:w="922" w:type="pct"/>
                  <w:tcBorders>
                    <w:top w:val="single" w:color="auto" w:sz="4" w:space="0"/>
                    <w:left w:val="single" w:color="auto" w:sz="4" w:space="0"/>
                    <w:bottom w:val="single" w:color="auto" w:sz="6" w:space="0"/>
                    <w:right w:val="single" w:color="auto" w:sz="6" w:space="0"/>
                  </w:tcBorders>
                  <w:vAlign w:val="center"/>
                </w:tcPr>
                <w:p w14:paraId="75683B44">
                  <w:pPr>
                    <w:jc w:val="center"/>
                    <w:rPr>
                      <w:kern w:val="0"/>
                      <w:highlight w:val="none"/>
                    </w:rPr>
                  </w:pPr>
                  <w:r>
                    <w:rPr>
                      <w:kern w:val="0"/>
                      <w:highlight w:val="none"/>
                    </w:rPr>
                    <w:t>燃烧机</w:t>
                  </w:r>
                </w:p>
              </w:tc>
              <w:tc>
                <w:tcPr>
                  <w:tcW w:w="1160" w:type="pct"/>
                  <w:tcBorders>
                    <w:top w:val="single" w:color="auto" w:sz="4" w:space="0"/>
                    <w:left w:val="nil"/>
                    <w:bottom w:val="single" w:color="auto" w:sz="6" w:space="0"/>
                    <w:right w:val="single" w:color="auto" w:sz="4" w:space="0"/>
                  </w:tcBorders>
                  <w:vAlign w:val="center"/>
                </w:tcPr>
                <w:p w14:paraId="3AB6A899">
                  <w:pPr>
                    <w:jc w:val="center"/>
                    <w:rPr>
                      <w:highlight w:val="none"/>
                    </w:rPr>
                  </w:pPr>
                  <w:r>
                    <w:rPr>
                      <w:highlight w:val="none"/>
                    </w:rPr>
                    <w:t>燃气，热值50万大卡</w:t>
                  </w:r>
                </w:p>
              </w:tc>
              <w:tc>
                <w:tcPr>
                  <w:tcW w:w="649" w:type="pct"/>
                  <w:tcBorders>
                    <w:top w:val="single" w:color="auto" w:sz="4" w:space="0"/>
                    <w:left w:val="single" w:color="auto" w:sz="4" w:space="0"/>
                    <w:bottom w:val="single" w:color="auto" w:sz="6" w:space="0"/>
                    <w:right w:val="single" w:color="auto" w:sz="4" w:space="0"/>
                  </w:tcBorders>
                  <w:vAlign w:val="center"/>
                </w:tcPr>
                <w:p w14:paraId="0C6ECA08">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11493D39">
                  <w:pPr>
                    <w:adjustRightInd w:val="0"/>
                    <w:snapToGrid w:val="0"/>
                    <w:jc w:val="center"/>
                    <w:rPr>
                      <w:highlight w:val="none"/>
                    </w:rPr>
                  </w:pPr>
                  <w:r>
                    <w:rPr>
                      <w:rFonts w:hint="eastAsia"/>
                      <w:highlight w:val="none"/>
                    </w:rPr>
                    <w:t>1</w:t>
                  </w:r>
                  <w:r>
                    <w:rPr>
                      <w:highlight w:val="none"/>
                    </w:rPr>
                    <w:t>台</w:t>
                  </w:r>
                </w:p>
              </w:tc>
              <w:tc>
                <w:tcPr>
                  <w:tcW w:w="652" w:type="pct"/>
                  <w:tcBorders>
                    <w:top w:val="single" w:color="auto" w:sz="4" w:space="0"/>
                    <w:left w:val="single" w:color="auto" w:sz="4" w:space="0"/>
                    <w:bottom w:val="single" w:color="auto" w:sz="6" w:space="0"/>
                    <w:right w:val="single" w:color="auto" w:sz="4" w:space="0"/>
                  </w:tcBorders>
                  <w:vAlign w:val="center"/>
                </w:tcPr>
                <w:p w14:paraId="41BE5C8B">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3EF11A1C">
                  <w:pPr>
                    <w:adjustRightInd w:val="0"/>
                    <w:snapToGrid w:val="0"/>
                    <w:jc w:val="center"/>
                    <w:rPr>
                      <w:highlight w:val="none"/>
                    </w:rPr>
                  </w:pPr>
                </w:p>
              </w:tc>
            </w:tr>
            <w:tr w14:paraId="316B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4AEA7ABA">
                  <w:pPr>
                    <w:adjustRightInd w:val="0"/>
                    <w:snapToGrid w:val="0"/>
                    <w:jc w:val="center"/>
                    <w:rPr>
                      <w:b/>
                      <w:bCs/>
                      <w:highlight w:val="none"/>
                    </w:rPr>
                  </w:pPr>
                  <w:r>
                    <w:rPr>
                      <w:b/>
                      <w:bCs/>
                      <w:highlight w:val="none"/>
                    </w:rPr>
                    <w:t>6</w:t>
                  </w:r>
                </w:p>
              </w:tc>
              <w:tc>
                <w:tcPr>
                  <w:tcW w:w="922" w:type="pct"/>
                  <w:tcBorders>
                    <w:top w:val="single" w:color="auto" w:sz="4" w:space="0"/>
                    <w:left w:val="single" w:color="auto" w:sz="4" w:space="0"/>
                    <w:bottom w:val="single" w:color="auto" w:sz="6" w:space="0"/>
                    <w:right w:val="single" w:color="auto" w:sz="6" w:space="0"/>
                  </w:tcBorders>
                  <w:vAlign w:val="center"/>
                </w:tcPr>
                <w:p w14:paraId="2072FEAC">
                  <w:pPr>
                    <w:jc w:val="center"/>
                    <w:rPr>
                      <w:kern w:val="0"/>
                      <w:highlight w:val="none"/>
                    </w:rPr>
                  </w:pPr>
                  <w:r>
                    <w:rPr>
                      <w:kern w:val="0"/>
                      <w:highlight w:val="none"/>
                    </w:rPr>
                    <w:t>组装生产线</w:t>
                  </w:r>
                </w:p>
              </w:tc>
              <w:tc>
                <w:tcPr>
                  <w:tcW w:w="1160" w:type="pct"/>
                  <w:tcBorders>
                    <w:top w:val="single" w:color="auto" w:sz="4" w:space="0"/>
                    <w:left w:val="nil"/>
                    <w:bottom w:val="single" w:color="auto" w:sz="6" w:space="0"/>
                    <w:right w:val="single" w:color="auto" w:sz="4" w:space="0"/>
                  </w:tcBorders>
                  <w:vAlign w:val="center"/>
                </w:tcPr>
                <w:p w14:paraId="76A0E2CC">
                  <w:pPr>
                    <w:jc w:val="center"/>
                    <w:rPr>
                      <w:highlight w:val="none"/>
                    </w:rPr>
                  </w:pPr>
                  <w:r>
                    <w:rPr>
                      <w:highlight w:val="none"/>
                    </w:rPr>
                    <w:t>G5340×65/400</w:t>
                  </w:r>
                </w:p>
              </w:tc>
              <w:tc>
                <w:tcPr>
                  <w:tcW w:w="649" w:type="pct"/>
                  <w:tcBorders>
                    <w:top w:val="single" w:color="auto" w:sz="4" w:space="0"/>
                    <w:left w:val="single" w:color="auto" w:sz="4" w:space="0"/>
                    <w:bottom w:val="single" w:color="auto" w:sz="6" w:space="0"/>
                    <w:right w:val="single" w:color="auto" w:sz="4" w:space="0"/>
                  </w:tcBorders>
                  <w:vAlign w:val="center"/>
                </w:tcPr>
                <w:p w14:paraId="1529B5E8">
                  <w:pPr>
                    <w:adjustRightInd w:val="0"/>
                    <w:snapToGrid w:val="0"/>
                    <w:jc w:val="center"/>
                    <w:rPr>
                      <w:highlight w:val="none"/>
                    </w:rPr>
                  </w:pPr>
                  <w:r>
                    <w:rPr>
                      <w:highlight w:val="none"/>
                    </w:rPr>
                    <w:t>1条</w:t>
                  </w:r>
                </w:p>
              </w:tc>
              <w:tc>
                <w:tcPr>
                  <w:tcW w:w="653" w:type="pct"/>
                  <w:tcBorders>
                    <w:top w:val="single" w:color="auto" w:sz="4" w:space="0"/>
                    <w:left w:val="single" w:color="auto" w:sz="4" w:space="0"/>
                    <w:bottom w:val="single" w:color="auto" w:sz="6" w:space="0"/>
                    <w:right w:val="single" w:color="auto" w:sz="4" w:space="0"/>
                  </w:tcBorders>
                  <w:vAlign w:val="center"/>
                </w:tcPr>
                <w:p w14:paraId="7C343A41">
                  <w:pPr>
                    <w:adjustRightInd w:val="0"/>
                    <w:snapToGrid w:val="0"/>
                    <w:jc w:val="center"/>
                    <w:rPr>
                      <w:highlight w:val="none"/>
                    </w:rPr>
                  </w:pPr>
                  <w:r>
                    <w:rPr>
                      <w:rFonts w:hint="eastAsia"/>
                      <w:highlight w:val="none"/>
                    </w:rPr>
                    <w:t>0</w:t>
                  </w:r>
                  <w:r>
                    <w:rPr>
                      <w:highlight w:val="none"/>
                    </w:rPr>
                    <w:t>条</w:t>
                  </w:r>
                </w:p>
              </w:tc>
              <w:tc>
                <w:tcPr>
                  <w:tcW w:w="652" w:type="pct"/>
                  <w:tcBorders>
                    <w:top w:val="single" w:color="auto" w:sz="4" w:space="0"/>
                    <w:left w:val="single" w:color="auto" w:sz="4" w:space="0"/>
                    <w:bottom w:val="single" w:color="auto" w:sz="6" w:space="0"/>
                    <w:right w:val="single" w:color="auto" w:sz="4" w:space="0"/>
                  </w:tcBorders>
                  <w:vAlign w:val="center"/>
                </w:tcPr>
                <w:p w14:paraId="7AABB98F">
                  <w:pPr>
                    <w:adjustRightInd w:val="0"/>
                    <w:snapToGrid w:val="0"/>
                    <w:jc w:val="center"/>
                    <w:rPr>
                      <w:highlight w:val="none"/>
                    </w:rPr>
                  </w:pPr>
                  <w:r>
                    <w:rPr>
                      <w:rFonts w:hint="eastAsia"/>
                      <w:highlight w:val="none"/>
                    </w:rPr>
                    <w:t>-1条</w:t>
                  </w:r>
                </w:p>
              </w:tc>
              <w:tc>
                <w:tcPr>
                  <w:tcW w:w="652" w:type="pct"/>
                  <w:vMerge w:val="continue"/>
                  <w:tcBorders>
                    <w:left w:val="single" w:color="auto" w:sz="4" w:space="0"/>
                    <w:bottom w:val="single" w:color="auto" w:sz="6" w:space="0"/>
                    <w:right w:val="single" w:color="auto" w:sz="4" w:space="0"/>
                  </w:tcBorders>
                  <w:vAlign w:val="center"/>
                </w:tcPr>
                <w:p w14:paraId="28FA9D29">
                  <w:pPr>
                    <w:adjustRightInd w:val="0"/>
                    <w:snapToGrid w:val="0"/>
                    <w:jc w:val="center"/>
                    <w:rPr>
                      <w:highlight w:val="none"/>
                    </w:rPr>
                  </w:pPr>
                </w:p>
              </w:tc>
            </w:tr>
            <w:tr w14:paraId="1B73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142D3A1E">
                  <w:pPr>
                    <w:adjustRightInd w:val="0"/>
                    <w:snapToGrid w:val="0"/>
                    <w:jc w:val="center"/>
                    <w:rPr>
                      <w:b/>
                      <w:bCs/>
                      <w:highlight w:val="none"/>
                    </w:rPr>
                  </w:pPr>
                  <w:r>
                    <w:rPr>
                      <w:b/>
                      <w:bCs/>
                      <w:highlight w:val="none"/>
                    </w:rPr>
                    <w:t>7</w:t>
                  </w:r>
                </w:p>
              </w:tc>
              <w:tc>
                <w:tcPr>
                  <w:tcW w:w="922" w:type="pct"/>
                  <w:tcBorders>
                    <w:top w:val="single" w:color="auto" w:sz="4" w:space="0"/>
                    <w:left w:val="single" w:color="auto" w:sz="4" w:space="0"/>
                    <w:bottom w:val="single" w:color="auto" w:sz="6" w:space="0"/>
                    <w:right w:val="single" w:color="auto" w:sz="6" w:space="0"/>
                  </w:tcBorders>
                  <w:vAlign w:val="center"/>
                </w:tcPr>
                <w:p w14:paraId="261B3D08">
                  <w:pPr>
                    <w:jc w:val="center"/>
                    <w:rPr>
                      <w:kern w:val="0"/>
                      <w:highlight w:val="none"/>
                    </w:rPr>
                  </w:pPr>
                  <w:r>
                    <w:rPr>
                      <w:kern w:val="0"/>
                      <w:highlight w:val="none"/>
                    </w:rPr>
                    <w:t>喷塑流水线</w:t>
                  </w:r>
                </w:p>
              </w:tc>
              <w:tc>
                <w:tcPr>
                  <w:tcW w:w="1160" w:type="pct"/>
                  <w:tcBorders>
                    <w:top w:val="single" w:color="auto" w:sz="4" w:space="0"/>
                    <w:left w:val="nil"/>
                    <w:bottom w:val="single" w:color="auto" w:sz="6" w:space="0"/>
                    <w:right w:val="single" w:color="auto" w:sz="4" w:space="0"/>
                  </w:tcBorders>
                  <w:vAlign w:val="center"/>
                </w:tcPr>
                <w:p w14:paraId="7E013538">
                  <w:pPr>
                    <w:jc w:val="center"/>
                    <w:rPr>
                      <w:highlight w:val="none"/>
                    </w:rPr>
                  </w:pPr>
                  <w:r>
                    <w:rPr>
                      <w:highlight w:val="none"/>
                    </w:rPr>
                    <w:t>/</w:t>
                  </w:r>
                </w:p>
              </w:tc>
              <w:tc>
                <w:tcPr>
                  <w:tcW w:w="649" w:type="pct"/>
                  <w:tcBorders>
                    <w:top w:val="single" w:color="auto" w:sz="4" w:space="0"/>
                    <w:left w:val="single" w:color="auto" w:sz="4" w:space="0"/>
                    <w:bottom w:val="single" w:color="auto" w:sz="6" w:space="0"/>
                    <w:right w:val="single" w:color="auto" w:sz="4" w:space="0"/>
                  </w:tcBorders>
                  <w:vAlign w:val="center"/>
                </w:tcPr>
                <w:p w14:paraId="0F6392F8">
                  <w:pPr>
                    <w:adjustRightInd w:val="0"/>
                    <w:snapToGrid w:val="0"/>
                    <w:jc w:val="center"/>
                    <w:rPr>
                      <w:highlight w:val="none"/>
                    </w:rPr>
                  </w:pPr>
                  <w:r>
                    <w:rPr>
                      <w:highlight w:val="none"/>
                    </w:rPr>
                    <w:t>1条</w:t>
                  </w:r>
                </w:p>
              </w:tc>
              <w:tc>
                <w:tcPr>
                  <w:tcW w:w="653" w:type="pct"/>
                  <w:tcBorders>
                    <w:top w:val="single" w:color="auto" w:sz="4" w:space="0"/>
                    <w:left w:val="single" w:color="auto" w:sz="4" w:space="0"/>
                    <w:bottom w:val="single" w:color="auto" w:sz="6" w:space="0"/>
                    <w:right w:val="single" w:color="auto" w:sz="4" w:space="0"/>
                  </w:tcBorders>
                  <w:vAlign w:val="center"/>
                </w:tcPr>
                <w:p w14:paraId="7A09DDAD">
                  <w:pPr>
                    <w:adjustRightInd w:val="0"/>
                    <w:snapToGrid w:val="0"/>
                    <w:jc w:val="center"/>
                    <w:rPr>
                      <w:highlight w:val="none"/>
                    </w:rPr>
                  </w:pPr>
                  <w:r>
                    <w:rPr>
                      <w:rFonts w:hint="eastAsia"/>
                      <w:highlight w:val="none"/>
                    </w:rPr>
                    <w:t>1</w:t>
                  </w:r>
                  <w:r>
                    <w:rPr>
                      <w:highlight w:val="none"/>
                    </w:rPr>
                    <w:t>条</w:t>
                  </w:r>
                </w:p>
              </w:tc>
              <w:tc>
                <w:tcPr>
                  <w:tcW w:w="652" w:type="pct"/>
                  <w:tcBorders>
                    <w:top w:val="single" w:color="auto" w:sz="4" w:space="0"/>
                    <w:left w:val="single" w:color="auto" w:sz="4" w:space="0"/>
                    <w:bottom w:val="single" w:color="auto" w:sz="6" w:space="0"/>
                    <w:right w:val="single" w:color="auto" w:sz="4" w:space="0"/>
                  </w:tcBorders>
                  <w:vAlign w:val="center"/>
                </w:tcPr>
                <w:p w14:paraId="678A2EC8">
                  <w:pPr>
                    <w:adjustRightInd w:val="0"/>
                    <w:snapToGrid w:val="0"/>
                    <w:jc w:val="center"/>
                    <w:rPr>
                      <w:highlight w:val="none"/>
                    </w:rPr>
                  </w:pPr>
                  <w:r>
                    <w:rPr>
                      <w:rFonts w:hint="eastAsia"/>
                      <w:bCs/>
                      <w:szCs w:val="21"/>
                      <w:highlight w:val="none"/>
                    </w:rPr>
                    <w:t>不变</w:t>
                  </w:r>
                </w:p>
              </w:tc>
              <w:tc>
                <w:tcPr>
                  <w:tcW w:w="652" w:type="pct"/>
                  <w:vMerge w:val="restart"/>
                  <w:tcBorders>
                    <w:top w:val="single" w:color="auto" w:sz="4" w:space="0"/>
                    <w:left w:val="single" w:color="auto" w:sz="4" w:space="0"/>
                    <w:right w:val="single" w:color="auto" w:sz="4" w:space="0"/>
                  </w:tcBorders>
                  <w:vAlign w:val="center"/>
                </w:tcPr>
                <w:p w14:paraId="3B318F17">
                  <w:pPr>
                    <w:adjustRightInd w:val="0"/>
                    <w:snapToGrid w:val="0"/>
                    <w:jc w:val="center"/>
                    <w:rPr>
                      <w:highlight w:val="none"/>
                    </w:rPr>
                  </w:pPr>
                  <w:r>
                    <w:rPr>
                      <w:rFonts w:hint="eastAsia"/>
                      <w:highlight w:val="none"/>
                    </w:rPr>
                    <w:t>2</w:t>
                  </w:r>
                  <w:r>
                    <w:rPr>
                      <w:highlight w:val="none"/>
                    </w:rPr>
                    <w:t>#车间</w:t>
                  </w:r>
                </w:p>
                <w:p w14:paraId="774B366D">
                  <w:pPr>
                    <w:adjustRightInd w:val="0"/>
                    <w:snapToGrid w:val="0"/>
                    <w:jc w:val="center"/>
                    <w:rPr>
                      <w:highlight w:val="none"/>
                    </w:rPr>
                  </w:pPr>
                </w:p>
              </w:tc>
            </w:tr>
            <w:tr w14:paraId="41A3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47B0B000">
                  <w:pPr>
                    <w:adjustRightInd w:val="0"/>
                    <w:snapToGrid w:val="0"/>
                    <w:jc w:val="center"/>
                    <w:rPr>
                      <w:b/>
                      <w:bCs/>
                      <w:highlight w:val="none"/>
                    </w:rPr>
                  </w:pPr>
                  <w:r>
                    <w:rPr>
                      <w:b/>
                      <w:bCs/>
                      <w:highlight w:val="none"/>
                    </w:rPr>
                    <w:t>7.1</w:t>
                  </w:r>
                </w:p>
              </w:tc>
              <w:tc>
                <w:tcPr>
                  <w:tcW w:w="922" w:type="pct"/>
                  <w:tcBorders>
                    <w:top w:val="single" w:color="auto" w:sz="4" w:space="0"/>
                    <w:left w:val="single" w:color="auto" w:sz="4" w:space="0"/>
                    <w:bottom w:val="single" w:color="auto" w:sz="6" w:space="0"/>
                    <w:right w:val="single" w:color="auto" w:sz="6" w:space="0"/>
                  </w:tcBorders>
                  <w:vAlign w:val="center"/>
                </w:tcPr>
                <w:p w14:paraId="605CBFB9">
                  <w:pPr>
                    <w:jc w:val="center"/>
                    <w:rPr>
                      <w:kern w:val="0"/>
                      <w:highlight w:val="none"/>
                    </w:rPr>
                  </w:pPr>
                  <w:r>
                    <w:rPr>
                      <w:kern w:val="0"/>
                      <w:highlight w:val="none"/>
                    </w:rPr>
                    <w:t>手工喷房</w:t>
                  </w:r>
                </w:p>
              </w:tc>
              <w:tc>
                <w:tcPr>
                  <w:tcW w:w="1160" w:type="pct"/>
                  <w:tcBorders>
                    <w:top w:val="single" w:color="auto" w:sz="4" w:space="0"/>
                    <w:left w:val="nil"/>
                    <w:bottom w:val="single" w:color="auto" w:sz="6" w:space="0"/>
                    <w:right w:val="single" w:color="auto" w:sz="4" w:space="0"/>
                  </w:tcBorders>
                  <w:vAlign w:val="center"/>
                </w:tcPr>
                <w:p w14:paraId="6134003C">
                  <w:pPr>
                    <w:jc w:val="center"/>
                    <w:rPr>
                      <w:highlight w:val="none"/>
                    </w:rPr>
                  </w:pPr>
                  <w:r>
                    <w:rPr>
                      <w:highlight w:val="none"/>
                    </w:rPr>
                    <w:t>尺寸为4m×1.35m×2.13m，每个手工喷房配置7.5kw防爆风机，风量为3000-6000m</w:t>
                  </w:r>
                  <w:r>
                    <w:rPr>
                      <w:highlight w:val="none"/>
                      <w:vertAlign w:val="superscript"/>
                    </w:rPr>
                    <w:t>3</w:t>
                  </w:r>
                  <w:r>
                    <w:rPr>
                      <w:highlight w:val="none"/>
                    </w:rPr>
                    <w:t>/h</w:t>
                  </w:r>
                </w:p>
              </w:tc>
              <w:tc>
                <w:tcPr>
                  <w:tcW w:w="649" w:type="pct"/>
                  <w:tcBorders>
                    <w:top w:val="single" w:color="auto" w:sz="4" w:space="0"/>
                    <w:left w:val="single" w:color="auto" w:sz="4" w:space="0"/>
                    <w:bottom w:val="single" w:color="auto" w:sz="6" w:space="0"/>
                    <w:right w:val="single" w:color="auto" w:sz="4" w:space="0"/>
                  </w:tcBorders>
                  <w:vAlign w:val="center"/>
                </w:tcPr>
                <w:p w14:paraId="22F9EA72">
                  <w:pPr>
                    <w:adjustRightInd w:val="0"/>
                    <w:snapToGrid w:val="0"/>
                    <w:jc w:val="center"/>
                    <w:rPr>
                      <w:highlight w:val="none"/>
                    </w:rPr>
                  </w:pPr>
                  <w:r>
                    <w:rPr>
                      <w:highlight w:val="none"/>
                    </w:rPr>
                    <w:t>2间</w:t>
                  </w:r>
                </w:p>
              </w:tc>
              <w:tc>
                <w:tcPr>
                  <w:tcW w:w="653" w:type="pct"/>
                  <w:tcBorders>
                    <w:top w:val="single" w:color="auto" w:sz="4" w:space="0"/>
                    <w:left w:val="single" w:color="auto" w:sz="4" w:space="0"/>
                    <w:bottom w:val="single" w:color="auto" w:sz="6" w:space="0"/>
                    <w:right w:val="single" w:color="auto" w:sz="4" w:space="0"/>
                  </w:tcBorders>
                  <w:vAlign w:val="center"/>
                </w:tcPr>
                <w:p w14:paraId="68A3D96C">
                  <w:pPr>
                    <w:adjustRightInd w:val="0"/>
                    <w:snapToGrid w:val="0"/>
                    <w:jc w:val="center"/>
                    <w:rPr>
                      <w:highlight w:val="none"/>
                    </w:rPr>
                  </w:pPr>
                  <w:r>
                    <w:rPr>
                      <w:rFonts w:hint="eastAsia"/>
                      <w:highlight w:val="none"/>
                    </w:rPr>
                    <w:t>2</w:t>
                  </w:r>
                  <w:r>
                    <w:rPr>
                      <w:highlight w:val="none"/>
                    </w:rPr>
                    <w:t>间</w:t>
                  </w:r>
                </w:p>
              </w:tc>
              <w:tc>
                <w:tcPr>
                  <w:tcW w:w="652" w:type="pct"/>
                  <w:tcBorders>
                    <w:top w:val="single" w:color="auto" w:sz="4" w:space="0"/>
                    <w:left w:val="single" w:color="auto" w:sz="4" w:space="0"/>
                    <w:bottom w:val="single" w:color="auto" w:sz="6" w:space="0"/>
                    <w:right w:val="single" w:color="auto" w:sz="4" w:space="0"/>
                  </w:tcBorders>
                  <w:vAlign w:val="center"/>
                </w:tcPr>
                <w:p w14:paraId="70D90568">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50B16CAD">
                  <w:pPr>
                    <w:adjustRightInd w:val="0"/>
                    <w:snapToGrid w:val="0"/>
                    <w:jc w:val="center"/>
                    <w:rPr>
                      <w:highlight w:val="none"/>
                    </w:rPr>
                  </w:pPr>
                </w:p>
              </w:tc>
            </w:tr>
            <w:tr w14:paraId="6D54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2914C44C">
                  <w:pPr>
                    <w:adjustRightInd w:val="0"/>
                    <w:snapToGrid w:val="0"/>
                    <w:jc w:val="center"/>
                    <w:rPr>
                      <w:b/>
                      <w:bCs/>
                      <w:highlight w:val="none"/>
                    </w:rPr>
                  </w:pPr>
                  <w:r>
                    <w:rPr>
                      <w:b/>
                      <w:bCs/>
                      <w:highlight w:val="none"/>
                    </w:rPr>
                    <w:t>7.2</w:t>
                  </w:r>
                </w:p>
              </w:tc>
              <w:tc>
                <w:tcPr>
                  <w:tcW w:w="922" w:type="pct"/>
                  <w:tcBorders>
                    <w:top w:val="single" w:color="auto" w:sz="4" w:space="0"/>
                    <w:left w:val="single" w:color="auto" w:sz="4" w:space="0"/>
                    <w:bottom w:val="single" w:color="auto" w:sz="6" w:space="0"/>
                    <w:right w:val="single" w:color="auto" w:sz="6" w:space="0"/>
                  </w:tcBorders>
                  <w:vAlign w:val="center"/>
                </w:tcPr>
                <w:p w14:paraId="1CBB57D3">
                  <w:pPr>
                    <w:jc w:val="center"/>
                    <w:rPr>
                      <w:kern w:val="0"/>
                      <w:highlight w:val="none"/>
                    </w:rPr>
                  </w:pPr>
                  <w:r>
                    <w:rPr>
                      <w:kern w:val="0"/>
                      <w:highlight w:val="none"/>
                    </w:rPr>
                    <w:t>固化烘道</w:t>
                  </w:r>
                </w:p>
              </w:tc>
              <w:tc>
                <w:tcPr>
                  <w:tcW w:w="1160" w:type="pct"/>
                  <w:tcBorders>
                    <w:top w:val="single" w:color="auto" w:sz="4" w:space="0"/>
                    <w:left w:val="nil"/>
                    <w:bottom w:val="single" w:color="auto" w:sz="6" w:space="0"/>
                    <w:right w:val="single" w:color="auto" w:sz="4" w:space="0"/>
                  </w:tcBorders>
                  <w:vAlign w:val="center"/>
                </w:tcPr>
                <w:p w14:paraId="5A2506AD">
                  <w:pPr>
                    <w:jc w:val="center"/>
                    <w:rPr>
                      <w:highlight w:val="none"/>
                    </w:rPr>
                  </w:pPr>
                  <w:r>
                    <w:rPr>
                      <w:highlight w:val="none"/>
                    </w:rPr>
                    <w:t>尺寸为4m×90m×2m，固化工段配备18.5kw防爆风机，风量为5500-18000m</w:t>
                  </w:r>
                  <w:r>
                    <w:rPr>
                      <w:highlight w:val="none"/>
                      <w:vertAlign w:val="superscript"/>
                    </w:rPr>
                    <w:t>3</w:t>
                  </w:r>
                  <w:r>
                    <w:rPr>
                      <w:highlight w:val="none"/>
                    </w:rPr>
                    <w:t>/h</w:t>
                  </w:r>
                </w:p>
              </w:tc>
              <w:tc>
                <w:tcPr>
                  <w:tcW w:w="649" w:type="pct"/>
                  <w:tcBorders>
                    <w:top w:val="single" w:color="auto" w:sz="4" w:space="0"/>
                    <w:left w:val="single" w:color="auto" w:sz="4" w:space="0"/>
                    <w:bottom w:val="single" w:color="auto" w:sz="6" w:space="0"/>
                    <w:right w:val="single" w:color="auto" w:sz="4" w:space="0"/>
                  </w:tcBorders>
                  <w:vAlign w:val="center"/>
                </w:tcPr>
                <w:p w14:paraId="597E108F">
                  <w:pPr>
                    <w:adjustRightInd w:val="0"/>
                    <w:snapToGrid w:val="0"/>
                    <w:jc w:val="center"/>
                    <w:rPr>
                      <w:highlight w:val="none"/>
                    </w:rPr>
                  </w:pPr>
                  <w:r>
                    <w:rPr>
                      <w:highlight w:val="none"/>
                    </w:rPr>
                    <w:t>/</w:t>
                  </w:r>
                </w:p>
              </w:tc>
              <w:tc>
                <w:tcPr>
                  <w:tcW w:w="653" w:type="pct"/>
                  <w:tcBorders>
                    <w:top w:val="single" w:color="auto" w:sz="4" w:space="0"/>
                    <w:left w:val="single" w:color="auto" w:sz="4" w:space="0"/>
                    <w:bottom w:val="single" w:color="auto" w:sz="6" w:space="0"/>
                    <w:right w:val="single" w:color="auto" w:sz="4" w:space="0"/>
                  </w:tcBorders>
                  <w:vAlign w:val="center"/>
                </w:tcPr>
                <w:p w14:paraId="544E2580">
                  <w:pPr>
                    <w:adjustRightInd w:val="0"/>
                    <w:snapToGrid w:val="0"/>
                    <w:jc w:val="center"/>
                    <w:rPr>
                      <w:highlight w:val="none"/>
                    </w:rPr>
                  </w:pPr>
                  <w:r>
                    <w:rPr>
                      <w:rFonts w:hint="eastAsia"/>
                      <w:highlight w:val="none"/>
                    </w:rPr>
                    <w:t>/</w:t>
                  </w:r>
                </w:p>
              </w:tc>
              <w:tc>
                <w:tcPr>
                  <w:tcW w:w="652" w:type="pct"/>
                  <w:tcBorders>
                    <w:top w:val="single" w:color="auto" w:sz="4" w:space="0"/>
                    <w:left w:val="single" w:color="auto" w:sz="4" w:space="0"/>
                    <w:bottom w:val="single" w:color="auto" w:sz="6" w:space="0"/>
                    <w:right w:val="single" w:color="auto" w:sz="4" w:space="0"/>
                  </w:tcBorders>
                  <w:vAlign w:val="center"/>
                </w:tcPr>
                <w:p w14:paraId="55017A63">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34C10E78">
                  <w:pPr>
                    <w:adjustRightInd w:val="0"/>
                    <w:snapToGrid w:val="0"/>
                    <w:jc w:val="center"/>
                    <w:rPr>
                      <w:highlight w:val="none"/>
                    </w:rPr>
                  </w:pPr>
                </w:p>
              </w:tc>
            </w:tr>
            <w:tr w14:paraId="4715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2" w:type="pct"/>
                  <w:tcBorders>
                    <w:top w:val="single" w:color="auto" w:sz="4" w:space="0"/>
                    <w:left w:val="single" w:color="auto" w:sz="4" w:space="0"/>
                    <w:bottom w:val="single" w:color="auto" w:sz="6" w:space="0"/>
                    <w:right w:val="single" w:color="auto" w:sz="4" w:space="0"/>
                  </w:tcBorders>
                  <w:vAlign w:val="center"/>
                </w:tcPr>
                <w:p w14:paraId="6AE1F523">
                  <w:pPr>
                    <w:adjustRightInd w:val="0"/>
                    <w:snapToGrid w:val="0"/>
                    <w:jc w:val="center"/>
                    <w:rPr>
                      <w:b/>
                      <w:bCs/>
                      <w:highlight w:val="none"/>
                    </w:rPr>
                  </w:pPr>
                  <w:r>
                    <w:rPr>
                      <w:b/>
                      <w:bCs/>
                      <w:highlight w:val="none"/>
                    </w:rPr>
                    <w:t>7.3</w:t>
                  </w:r>
                </w:p>
              </w:tc>
              <w:tc>
                <w:tcPr>
                  <w:tcW w:w="922" w:type="pct"/>
                  <w:tcBorders>
                    <w:top w:val="single" w:color="auto" w:sz="4" w:space="0"/>
                    <w:left w:val="single" w:color="auto" w:sz="4" w:space="0"/>
                    <w:bottom w:val="single" w:color="auto" w:sz="6" w:space="0"/>
                    <w:right w:val="single" w:color="auto" w:sz="6" w:space="0"/>
                  </w:tcBorders>
                  <w:vAlign w:val="center"/>
                </w:tcPr>
                <w:p w14:paraId="7986270A">
                  <w:pPr>
                    <w:jc w:val="center"/>
                    <w:rPr>
                      <w:kern w:val="0"/>
                      <w:highlight w:val="none"/>
                    </w:rPr>
                  </w:pPr>
                  <w:r>
                    <w:rPr>
                      <w:kern w:val="0"/>
                      <w:highlight w:val="none"/>
                    </w:rPr>
                    <w:t>燃烧机</w:t>
                  </w:r>
                </w:p>
              </w:tc>
              <w:tc>
                <w:tcPr>
                  <w:tcW w:w="1160" w:type="pct"/>
                  <w:tcBorders>
                    <w:top w:val="single" w:color="auto" w:sz="4" w:space="0"/>
                    <w:left w:val="nil"/>
                    <w:bottom w:val="single" w:color="auto" w:sz="6" w:space="0"/>
                    <w:right w:val="single" w:color="auto" w:sz="4" w:space="0"/>
                  </w:tcBorders>
                  <w:vAlign w:val="center"/>
                </w:tcPr>
                <w:p w14:paraId="2A94970E">
                  <w:pPr>
                    <w:jc w:val="center"/>
                    <w:rPr>
                      <w:highlight w:val="none"/>
                    </w:rPr>
                  </w:pPr>
                  <w:r>
                    <w:rPr>
                      <w:highlight w:val="none"/>
                    </w:rPr>
                    <w:t>燃气，热值50万大卡</w:t>
                  </w:r>
                </w:p>
              </w:tc>
              <w:tc>
                <w:tcPr>
                  <w:tcW w:w="649" w:type="pct"/>
                  <w:tcBorders>
                    <w:top w:val="single" w:color="auto" w:sz="4" w:space="0"/>
                    <w:left w:val="single" w:color="auto" w:sz="4" w:space="0"/>
                    <w:bottom w:val="single" w:color="auto" w:sz="6" w:space="0"/>
                    <w:right w:val="single" w:color="auto" w:sz="4" w:space="0"/>
                  </w:tcBorders>
                  <w:vAlign w:val="center"/>
                </w:tcPr>
                <w:p w14:paraId="2173C7A2">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6" w:space="0"/>
                    <w:right w:val="single" w:color="auto" w:sz="4" w:space="0"/>
                  </w:tcBorders>
                  <w:vAlign w:val="center"/>
                </w:tcPr>
                <w:p w14:paraId="71BE59A1">
                  <w:pPr>
                    <w:adjustRightInd w:val="0"/>
                    <w:snapToGrid w:val="0"/>
                    <w:jc w:val="center"/>
                    <w:rPr>
                      <w:highlight w:val="none"/>
                    </w:rPr>
                  </w:pPr>
                  <w:r>
                    <w:rPr>
                      <w:rFonts w:hint="eastAsia"/>
                      <w:highlight w:val="none"/>
                    </w:rPr>
                    <w:t>1</w:t>
                  </w:r>
                  <w:r>
                    <w:rPr>
                      <w:highlight w:val="none"/>
                    </w:rPr>
                    <w:t>台</w:t>
                  </w:r>
                </w:p>
              </w:tc>
              <w:tc>
                <w:tcPr>
                  <w:tcW w:w="652" w:type="pct"/>
                  <w:tcBorders>
                    <w:top w:val="single" w:color="auto" w:sz="4" w:space="0"/>
                    <w:left w:val="single" w:color="auto" w:sz="4" w:space="0"/>
                    <w:bottom w:val="single" w:color="auto" w:sz="6" w:space="0"/>
                    <w:right w:val="single" w:color="auto" w:sz="4" w:space="0"/>
                  </w:tcBorders>
                  <w:vAlign w:val="center"/>
                </w:tcPr>
                <w:p w14:paraId="2E817624">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379E1846">
                  <w:pPr>
                    <w:adjustRightInd w:val="0"/>
                    <w:snapToGrid w:val="0"/>
                    <w:jc w:val="center"/>
                    <w:rPr>
                      <w:highlight w:val="none"/>
                    </w:rPr>
                  </w:pPr>
                </w:p>
              </w:tc>
            </w:tr>
            <w:tr w14:paraId="21DC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tcBorders>
                    <w:top w:val="single" w:color="auto" w:sz="6" w:space="0"/>
                    <w:left w:val="single" w:color="auto" w:sz="4" w:space="0"/>
                    <w:bottom w:val="single" w:color="auto" w:sz="4" w:space="0"/>
                    <w:right w:val="single" w:color="auto" w:sz="4" w:space="0"/>
                  </w:tcBorders>
                  <w:vAlign w:val="center"/>
                </w:tcPr>
                <w:p w14:paraId="319A1B2A">
                  <w:pPr>
                    <w:adjustRightInd w:val="0"/>
                    <w:snapToGrid w:val="0"/>
                    <w:jc w:val="center"/>
                    <w:rPr>
                      <w:b/>
                      <w:bCs/>
                      <w:highlight w:val="none"/>
                    </w:rPr>
                  </w:pPr>
                  <w:r>
                    <w:rPr>
                      <w:b/>
                      <w:bCs/>
                      <w:highlight w:val="none"/>
                    </w:rPr>
                    <w:t>8</w:t>
                  </w:r>
                </w:p>
              </w:tc>
              <w:tc>
                <w:tcPr>
                  <w:tcW w:w="922" w:type="pct"/>
                  <w:tcBorders>
                    <w:top w:val="single" w:color="auto" w:sz="6" w:space="0"/>
                    <w:left w:val="single" w:color="auto" w:sz="4" w:space="0"/>
                    <w:bottom w:val="single" w:color="auto" w:sz="4" w:space="0"/>
                    <w:right w:val="single" w:color="auto" w:sz="6" w:space="0"/>
                  </w:tcBorders>
                  <w:vAlign w:val="center"/>
                </w:tcPr>
                <w:p w14:paraId="0010F79F">
                  <w:pPr>
                    <w:jc w:val="center"/>
                    <w:rPr>
                      <w:kern w:val="0"/>
                      <w:highlight w:val="none"/>
                    </w:rPr>
                  </w:pPr>
                  <w:r>
                    <w:rPr>
                      <w:kern w:val="0"/>
                      <w:highlight w:val="none"/>
                    </w:rPr>
                    <w:t>电焊机</w:t>
                  </w:r>
                </w:p>
              </w:tc>
              <w:tc>
                <w:tcPr>
                  <w:tcW w:w="1160" w:type="pct"/>
                  <w:tcBorders>
                    <w:top w:val="single" w:color="auto" w:sz="6" w:space="0"/>
                    <w:left w:val="nil"/>
                    <w:bottom w:val="single" w:color="auto" w:sz="4" w:space="0"/>
                    <w:right w:val="single" w:color="auto" w:sz="4" w:space="0"/>
                  </w:tcBorders>
                  <w:vAlign w:val="center"/>
                </w:tcPr>
                <w:p w14:paraId="25F84EAD">
                  <w:pPr>
                    <w:jc w:val="center"/>
                    <w:rPr>
                      <w:highlight w:val="none"/>
                    </w:rPr>
                  </w:pPr>
                  <w:r>
                    <w:rPr>
                      <w:bCs/>
                      <w:color w:val="000000"/>
                      <w:highlight w:val="none"/>
                    </w:rPr>
                    <w:t>240A</w:t>
                  </w:r>
                </w:p>
              </w:tc>
              <w:tc>
                <w:tcPr>
                  <w:tcW w:w="649" w:type="pct"/>
                  <w:tcBorders>
                    <w:top w:val="single" w:color="auto" w:sz="6" w:space="0"/>
                    <w:left w:val="single" w:color="auto" w:sz="4" w:space="0"/>
                    <w:bottom w:val="single" w:color="auto" w:sz="4" w:space="0"/>
                    <w:right w:val="single" w:color="auto" w:sz="4" w:space="0"/>
                  </w:tcBorders>
                  <w:vAlign w:val="center"/>
                </w:tcPr>
                <w:p w14:paraId="41EF1A5E">
                  <w:pPr>
                    <w:adjustRightInd w:val="0"/>
                    <w:snapToGrid w:val="0"/>
                    <w:jc w:val="center"/>
                    <w:rPr>
                      <w:highlight w:val="none"/>
                    </w:rPr>
                  </w:pPr>
                  <w:r>
                    <w:rPr>
                      <w:highlight w:val="none"/>
                    </w:rPr>
                    <w:t>20条</w:t>
                  </w:r>
                </w:p>
              </w:tc>
              <w:tc>
                <w:tcPr>
                  <w:tcW w:w="653" w:type="pct"/>
                  <w:tcBorders>
                    <w:top w:val="single" w:color="auto" w:sz="6" w:space="0"/>
                    <w:left w:val="single" w:color="auto" w:sz="4" w:space="0"/>
                    <w:bottom w:val="single" w:color="auto" w:sz="4" w:space="0"/>
                    <w:right w:val="single" w:color="auto" w:sz="4" w:space="0"/>
                  </w:tcBorders>
                  <w:vAlign w:val="center"/>
                </w:tcPr>
                <w:p w14:paraId="0CD34F42">
                  <w:pPr>
                    <w:adjustRightInd w:val="0"/>
                    <w:snapToGrid w:val="0"/>
                    <w:jc w:val="center"/>
                    <w:rPr>
                      <w:highlight w:val="none"/>
                    </w:rPr>
                  </w:pPr>
                  <w:r>
                    <w:rPr>
                      <w:rFonts w:hint="eastAsia"/>
                      <w:highlight w:val="none"/>
                    </w:rPr>
                    <w:t>0</w:t>
                  </w:r>
                  <w:r>
                    <w:rPr>
                      <w:highlight w:val="none"/>
                    </w:rPr>
                    <w:t>条</w:t>
                  </w:r>
                </w:p>
              </w:tc>
              <w:tc>
                <w:tcPr>
                  <w:tcW w:w="652" w:type="pct"/>
                  <w:tcBorders>
                    <w:top w:val="single" w:color="auto" w:sz="6" w:space="0"/>
                    <w:left w:val="single" w:color="auto" w:sz="4" w:space="0"/>
                    <w:bottom w:val="single" w:color="auto" w:sz="4" w:space="0"/>
                    <w:right w:val="single" w:color="auto" w:sz="4" w:space="0"/>
                  </w:tcBorders>
                  <w:vAlign w:val="center"/>
                </w:tcPr>
                <w:p w14:paraId="219458EA">
                  <w:pPr>
                    <w:adjustRightInd w:val="0"/>
                    <w:snapToGrid w:val="0"/>
                    <w:jc w:val="center"/>
                    <w:rPr>
                      <w:highlight w:val="none"/>
                    </w:rPr>
                  </w:pPr>
                  <w:r>
                    <w:rPr>
                      <w:rFonts w:hint="eastAsia"/>
                      <w:highlight w:val="none"/>
                    </w:rPr>
                    <w:t>-20条</w:t>
                  </w:r>
                </w:p>
              </w:tc>
              <w:tc>
                <w:tcPr>
                  <w:tcW w:w="652" w:type="pct"/>
                  <w:vMerge w:val="continue"/>
                  <w:tcBorders>
                    <w:left w:val="single" w:color="auto" w:sz="4" w:space="0"/>
                    <w:right w:val="single" w:color="auto" w:sz="4" w:space="0"/>
                  </w:tcBorders>
                  <w:vAlign w:val="center"/>
                </w:tcPr>
                <w:p w14:paraId="5323DCDA">
                  <w:pPr>
                    <w:adjustRightInd w:val="0"/>
                    <w:snapToGrid w:val="0"/>
                    <w:jc w:val="center"/>
                    <w:rPr>
                      <w:highlight w:val="none"/>
                    </w:rPr>
                  </w:pPr>
                </w:p>
              </w:tc>
            </w:tr>
            <w:tr w14:paraId="1A50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2261C700">
                  <w:pPr>
                    <w:adjustRightInd w:val="0"/>
                    <w:snapToGrid w:val="0"/>
                    <w:jc w:val="center"/>
                    <w:rPr>
                      <w:b/>
                      <w:bCs/>
                      <w:highlight w:val="none"/>
                    </w:rPr>
                  </w:pPr>
                  <w:r>
                    <w:rPr>
                      <w:b/>
                      <w:bCs/>
                      <w:highlight w:val="none"/>
                    </w:rPr>
                    <w:t>9</w:t>
                  </w:r>
                </w:p>
              </w:tc>
              <w:tc>
                <w:tcPr>
                  <w:tcW w:w="922" w:type="pct"/>
                  <w:tcBorders>
                    <w:top w:val="single" w:color="auto" w:sz="4" w:space="0"/>
                    <w:left w:val="single" w:color="auto" w:sz="4" w:space="0"/>
                    <w:bottom w:val="single" w:color="auto" w:sz="4" w:space="0"/>
                    <w:right w:val="single" w:color="auto" w:sz="6" w:space="0"/>
                  </w:tcBorders>
                  <w:vAlign w:val="center"/>
                </w:tcPr>
                <w:p w14:paraId="1C1C219F">
                  <w:pPr>
                    <w:jc w:val="center"/>
                    <w:rPr>
                      <w:kern w:val="0"/>
                      <w:highlight w:val="none"/>
                    </w:rPr>
                  </w:pPr>
                  <w:r>
                    <w:rPr>
                      <w:kern w:val="0"/>
                      <w:highlight w:val="none"/>
                    </w:rPr>
                    <w:t>抛丸机</w:t>
                  </w:r>
                </w:p>
              </w:tc>
              <w:tc>
                <w:tcPr>
                  <w:tcW w:w="1160" w:type="pct"/>
                  <w:tcBorders>
                    <w:top w:val="single" w:color="auto" w:sz="4" w:space="0"/>
                    <w:left w:val="nil"/>
                    <w:bottom w:val="single" w:color="auto" w:sz="4" w:space="0"/>
                    <w:right w:val="single" w:color="auto" w:sz="4" w:space="0"/>
                  </w:tcBorders>
                  <w:vAlign w:val="center"/>
                </w:tcPr>
                <w:p w14:paraId="7E428356">
                  <w:pPr>
                    <w:jc w:val="center"/>
                    <w:rPr>
                      <w:highlight w:val="none"/>
                    </w:rPr>
                  </w:pPr>
                  <w:r>
                    <w:rPr>
                      <w:highlight w:val="none"/>
                    </w:rPr>
                    <w:t>密闭抽风废气量5000m</w:t>
                  </w:r>
                  <w:r>
                    <w:rPr>
                      <w:highlight w:val="none"/>
                      <w:vertAlign w:val="superscript"/>
                    </w:rPr>
                    <w:t>3</w:t>
                  </w:r>
                  <w:r>
                    <w:rPr>
                      <w:highlight w:val="none"/>
                    </w:rPr>
                    <w:t>/h</w:t>
                  </w:r>
                </w:p>
              </w:tc>
              <w:tc>
                <w:tcPr>
                  <w:tcW w:w="649" w:type="pct"/>
                  <w:tcBorders>
                    <w:top w:val="single" w:color="auto" w:sz="4" w:space="0"/>
                    <w:left w:val="single" w:color="auto" w:sz="4" w:space="0"/>
                    <w:bottom w:val="single" w:color="auto" w:sz="4" w:space="0"/>
                    <w:right w:val="single" w:color="auto" w:sz="4" w:space="0"/>
                  </w:tcBorders>
                  <w:vAlign w:val="center"/>
                </w:tcPr>
                <w:p w14:paraId="58B56B62">
                  <w:pPr>
                    <w:adjustRightInd w:val="0"/>
                    <w:snapToGrid w:val="0"/>
                    <w:jc w:val="center"/>
                    <w:rPr>
                      <w:highlight w:val="none"/>
                    </w:rPr>
                  </w:pPr>
                  <w:r>
                    <w:rPr>
                      <w:highlight w:val="none"/>
                    </w:rPr>
                    <w:t>1台</w:t>
                  </w:r>
                </w:p>
              </w:tc>
              <w:tc>
                <w:tcPr>
                  <w:tcW w:w="653" w:type="pct"/>
                  <w:tcBorders>
                    <w:top w:val="single" w:color="auto" w:sz="4" w:space="0"/>
                    <w:left w:val="single" w:color="auto" w:sz="4" w:space="0"/>
                    <w:bottom w:val="single" w:color="auto" w:sz="4" w:space="0"/>
                    <w:right w:val="single" w:color="auto" w:sz="4" w:space="0"/>
                  </w:tcBorders>
                  <w:vAlign w:val="center"/>
                </w:tcPr>
                <w:p w14:paraId="42E5733B">
                  <w:pPr>
                    <w:adjustRightInd w:val="0"/>
                    <w:snapToGrid w:val="0"/>
                    <w:jc w:val="center"/>
                    <w:rPr>
                      <w:highlight w:val="none"/>
                    </w:rPr>
                  </w:pPr>
                  <w:r>
                    <w:rPr>
                      <w:highlight w:val="none"/>
                    </w:rPr>
                    <w:t>1台</w:t>
                  </w:r>
                </w:p>
              </w:tc>
              <w:tc>
                <w:tcPr>
                  <w:tcW w:w="652" w:type="pct"/>
                  <w:tcBorders>
                    <w:top w:val="single" w:color="auto" w:sz="4" w:space="0"/>
                    <w:left w:val="single" w:color="auto" w:sz="4" w:space="0"/>
                    <w:bottom w:val="single" w:color="auto" w:sz="4" w:space="0"/>
                    <w:right w:val="single" w:color="auto" w:sz="4" w:space="0"/>
                  </w:tcBorders>
                  <w:vAlign w:val="center"/>
                </w:tcPr>
                <w:p w14:paraId="77827619">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right w:val="single" w:color="auto" w:sz="4" w:space="0"/>
                  </w:tcBorders>
                  <w:vAlign w:val="center"/>
                </w:tcPr>
                <w:p w14:paraId="62F98ADA">
                  <w:pPr>
                    <w:adjustRightInd w:val="0"/>
                    <w:snapToGrid w:val="0"/>
                    <w:jc w:val="center"/>
                    <w:rPr>
                      <w:highlight w:val="none"/>
                    </w:rPr>
                  </w:pPr>
                </w:p>
              </w:tc>
            </w:tr>
            <w:tr w14:paraId="546C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23C00EF6">
                  <w:pPr>
                    <w:adjustRightInd w:val="0"/>
                    <w:snapToGrid w:val="0"/>
                    <w:jc w:val="center"/>
                    <w:rPr>
                      <w:b/>
                      <w:bCs/>
                      <w:highlight w:val="none"/>
                    </w:rPr>
                  </w:pPr>
                  <w:r>
                    <w:rPr>
                      <w:b/>
                      <w:bCs/>
                      <w:highlight w:val="none"/>
                    </w:rPr>
                    <w:t>10</w:t>
                  </w:r>
                </w:p>
              </w:tc>
              <w:tc>
                <w:tcPr>
                  <w:tcW w:w="922" w:type="pct"/>
                  <w:tcBorders>
                    <w:top w:val="single" w:color="auto" w:sz="4" w:space="0"/>
                    <w:left w:val="single" w:color="auto" w:sz="4" w:space="0"/>
                    <w:bottom w:val="single" w:color="auto" w:sz="4" w:space="0"/>
                    <w:right w:val="single" w:color="auto" w:sz="6" w:space="0"/>
                  </w:tcBorders>
                  <w:vAlign w:val="center"/>
                </w:tcPr>
                <w:p w14:paraId="1A0AAE0A">
                  <w:pPr>
                    <w:jc w:val="center"/>
                    <w:rPr>
                      <w:highlight w:val="none"/>
                    </w:rPr>
                  </w:pPr>
                  <w:r>
                    <w:rPr>
                      <w:highlight w:val="none"/>
                    </w:rPr>
                    <w:t>砂修机</w:t>
                  </w:r>
                </w:p>
              </w:tc>
              <w:tc>
                <w:tcPr>
                  <w:tcW w:w="1160" w:type="pct"/>
                  <w:tcBorders>
                    <w:top w:val="single" w:color="auto" w:sz="4" w:space="0"/>
                    <w:left w:val="nil"/>
                    <w:bottom w:val="single" w:color="auto" w:sz="4" w:space="0"/>
                    <w:right w:val="single" w:color="auto" w:sz="4" w:space="0"/>
                  </w:tcBorders>
                  <w:vAlign w:val="center"/>
                </w:tcPr>
                <w:p w14:paraId="26C371BA">
                  <w:pPr>
                    <w:jc w:val="center"/>
                    <w:rPr>
                      <w:highlight w:val="none"/>
                    </w:rPr>
                  </w:pPr>
                  <w:r>
                    <w:rPr>
                      <w:bCs/>
                      <w:color w:val="000000"/>
                      <w:highlight w:val="none"/>
                    </w:rPr>
                    <w:t>/</w:t>
                  </w:r>
                </w:p>
              </w:tc>
              <w:tc>
                <w:tcPr>
                  <w:tcW w:w="649" w:type="pct"/>
                  <w:tcBorders>
                    <w:top w:val="single" w:color="auto" w:sz="4" w:space="0"/>
                    <w:left w:val="single" w:color="auto" w:sz="4" w:space="0"/>
                    <w:bottom w:val="single" w:color="auto" w:sz="4" w:space="0"/>
                    <w:right w:val="single" w:color="auto" w:sz="4" w:space="0"/>
                  </w:tcBorders>
                  <w:vAlign w:val="center"/>
                </w:tcPr>
                <w:p w14:paraId="32EEB9F9">
                  <w:pPr>
                    <w:adjustRightInd w:val="0"/>
                    <w:snapToGrid w:val="0"/>
                    <w:jc w:val="center"/>
                    <w:rPr>
                      <w:highlight w:val="none"/>
                    </w:rPr>
                  </w:pPr>
                  <w:r>
                    <w:rPr>
                      <w:highlight w:val="none"/>
                    </w:rPr>
                    <w:t>9台</w:t>
                  </w:r>
                </w:p>
              </w:tc>
              <w:tc>
                <w:tcPr>
                  <w:tcW w:w="653" w:type="pct"/>
                  <w:tcBorders>
                    <w:top w:val="single" w:color="auto" w:sz="4" w:space="0"/>
                    <w:left w:val="single" w:color="auto" w:sz="4" w:space="0"/>
                    <w:bottom w:val="single" w:color="auto" w:sz="4" w:space="0"/>
                    <w:right w:val="single" w:color="auto" w:sz="4" w:space="0"/>
                  </w:tcBorders>
                  <w:vAlign w:val="center"/>
                </w:tcPr>
                <w:p w14:paraId="0B61514A">
                  <w:pPr>
                    <w:adjustRightInd w:val="0"/>
                    <w:snapToGrid w:val="0"/>
                    <w:jc w:val="center"/>
                    <w:rPr>
                      <w:highlight w:val="none"/>
                    </w:rPr>
                  </w:pPr>
                  <w:r>
                    <w:rPr>
                      <w:highlight w:val="none"/>
                    </w:rPr>
                    <w:t>9台</w:t>
                  </w:r>
                </w:p>
              </w:tc>
              <w:tc>
                <w:tcPr>
                  <w:tcW w:w="652" w:type="pct"/>
                  <w:tcBorders>
                    <w:top w:val="single" w:color="auto" w:sz="4" w:space="0"/>
                    <w:left w:val="single" w:color="auto" w:sz="4" w:space="0"/>
                    <w:bottom w:val="single" w:color="auto" w:sz="4" w:space="0"/>
                    <w:right w:val="single" w:color="auto" w:sz="4" w:space="0"/>
                  </w:tcBorders>
                  <w:vAlign w:val="center"/>
                </w:tcPr>
                <w:p w14:paraId="2F783077">
                  <w:pPr>
                    <w:adjustRightInd w:val="0"/>
                    <w:snapToGrid w:val="0"/>
                    <w:jc w:val="center"/>
                    <w:rPr>
                      <w:highlight w:val="none"/>
                    </w:rPr>
                  </w:pPr>
                  <w:r>
                    <w:rPr>
                      <w:rFonts w:hint="eastAsia"/>
                      <w:bCs/>
                      <w:szCs w:val="21"/>
                      <w:highlight w:val="none"/>
                    </w:rPr>
                    <w:t>不变</w:t>
                  </w:r>
                </w:p>
              </w:tc>
              <w:tc>
                <w:tcPr>
                  <w:tcW w:w="652" w:type="pct"/>
                  <w:vMerge w:val="continue"/>
                  <w:tcBorders>
                    <w:left w:val="single" w:color="auto" w:sz="4" w:space="0"/>
                    <w:bottom w:val="single" w:color="auto" w:sz="4" w:space="0"/>
                    <w:right w:val="single" w:color="auto" w:sz="4" w:space="0"/>
                  </w:tcBorders>
                  <w:vAlign w:val="center"/>
                </w:tcPr>
                <w:p w14:paraId="30E821FE">
                  <w:pPr>
                    <w:adjustRightInd w:val="0"/>
                    <w:snapToGrid w:val="0"/>
                    <w:jc w:val="center"/>
                    <w:rPr>
                      <w:highlight w:val="none"/>
                    </w:rPr>
                  </w:pPr>
                </w:p>
              </w:tc>
            </w:tr>
            <w:tr w14:paraId="4610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702D5DBD">
                  <w:pPr>
                    <w:adjustRightInd w:val="0"/>
                    <w:snapToGrid w:val="0"/>
                    <w:jc w:val="center"/>
                    <w:rPr>
                      <w:b/>
                      <w:bCs/>
                      <w:highlight w:val="none"/>
                    </w:rPr>
                  </w:pPr>
                  <w:r>
                    <w:rPr>
                      <w:b/>
                      <w:bCs/>
                      <w:highlight w:val="none"/>
                    </w:rPr>
                    <w:t>11</w:t>
                  </w:r>
                </w:p>
              </w:tc>
              <w:tc>
                <w:tcPr>
                  <w:tcW w:w="922" w:type="pct"/>
                  <w:tcBorders>
                    <w:top w:val="single" w:color="auto" w:sz="4" w:space="0"/>
                    <w:left w:val="single" w:color="auto" w:sz="4" w:space="0"/>
                    <w:bottom w:val="single" w:color="auto" w:sz="4" w:space="0"/>
                    <w:right w:val="single" w:color="auto" w:sz="6" w:space="0"/>
                  </w:tcBorders>
                  <w:vAlign w:val="center"/>
                </w:tcPr>
                <w:p w14:paraId="17721EDD">
                  <w:pPr>
                    <w:jc w:val="center"/>
                    <w:rPr>
                      <w:highlight w:val="none"/>
                    </w:rPr>
                  </w:pPr>
                  <w:r>
                    <w:rPr>
                      <w:highlight w:val="none"/>
                    </w:rPr>
                    <w:t>风机</w:t>
                  </w:r>
                </w:p>
              </w:tc>
              <w:tc>
                <w:tcPr>
                  <w:tcW w:w="1160" w:type="pct"/>
                  <w:tcBorders>
                    <w:top w:val="single" w:color="auto" w:sz="4" w:space="0"/>
                    <w:left w:val="nil"/>
                    <w:bottom w:val="single" w:color="auto" w:sz="4" w:space="0"/>
                    <w:right w:val="single" w:color="auto" w:sz="4" w:space="0"/>
                  </w:tcBorders>
                  <w:vAlign w:val="center"/>
                </w:tcPr>
                <w:p w14:paraId="1016B9DD">
                  <w:pPr>
                    <w:jc w:val="center"/>
                    <w:rPr>
                      <w:highlight w:val="none"/>
                    </w:rPr>
                  </w:pPr>
                  <w:r>
                    <w:rPr>
                      <w:highlight w:val="none"/>
                    </w:rPr>
                    <w:t>7.5-22.5kw</w:t>
                  </w:r>
                </w:p>
              </w:tc>
              <w:tc>
                <w:tcPr>
                  <w:tcW w:w="649" w:type="pct"/>
                  <w:tcBorders>
                    <w:top w:val="single" w:color="auto" w:sz="4" w:space="0"/>
                    <w:left w:val="single" w:color="auto" w:sz="4" w:space="0"/>
                    <w:bottom w:val="single" w:color="auto" w:sz="4" w:space="0"/>
                    <w:right w:val="single" w:color="auto" w:sz="4" w:space="0"/>
                  </w:tcBorders>
                  <w:vAlign w:val="center"/>
                </w:tcPr>
                <w:p w14:paraId="52E501E4">
                  <w:pPr>
                    <w:adjustRightInd w:val="0"/>
                    <w:snapToGrid w:val="0"/>
                    <w:jc w:val="center"/>
                    <w:rPr>
                      <w:highlight w:val="none"/>
                    </w:rPr>
                  </w:pPr>
                  <w:r>
                    <w:rPr>
                      <w:highlight w:val="none"/>
                    </w:rPr>
                    <w:t>6台</w:t>
                  </w:r>
                </w:p>
              </w:tc>
              <w:tc>
                <w:tcPr>
                  <w:tcW w:w="653" w:type="pct"/>
                  <w:tcBorders>
                    <w:top w:val="single" w:color="auto" w:sz="4" w:space="0"/>
                    <w:left w:val="single" w:color="auto" w:sz="4" w:space="0"/>
                    <w:bottom w:val="single" w:color="auto" w:sz="4" w:space="0"/>
                    <w:right w:val="single" w:color="auto" w:sz="4" w:space="0"/>
                  </w:tcBorders>
                  <w:vAlign w:val="center"/>
                </w:tcPr>
                <w:p w14:paraId="368660EB">
                  <w:pPr>
                    <w:adjustRightInd w:val="0"/>
                    <w:snapToGrid w:val="0"/>
                    <w:jc w:val="center"/>
                    <w:rPr>
                      <w:highlight w:val="none"/>
                    </w:rPr>
                  </w:pPr>
                  <w:r>
                    <w:rPr>
                      <w:highlight w:val="none"/>
                    </w:rPr>
                    <w:t>6台</w:t>
                  </w:r>
                </w:p>
              </w:tc>
              <w:tc>
                <w:tcPr>
                  <w:tcW w:w="652" w:type="pct"/>
                  <w:tcBorders>
                    <w:top w:val="single" w:color="auto" w:sz="4" w:space="0"/>
                    <w:left w:val="single" w:color="auto" w:sz="4" w:space="0"/>
                    <w:bottom w:val="single" w:color="auto" w:sz="4" w:space="0"/>
                    <w:right w:val="single" w:color="auto" w:sz="4" w:space="0"/>
                  </w:tcBorders>
                  <w:vAlign w:val="center"/>
                </w:tcPr>
                <w:p w14:paraId="5C40F016">
                  <w:pPr>
                    <w:adjustRightInd w:val="0"/>
                    <w:snapToGrid w:val="0"/>
                    <w:jc w:val="center"/>
                    <w:rPr>
                      <w:highlight w:val="none"/>
                    </w:rPr>
                  </w:pPr>
                  <w:r>
                    <w:rPr>
                      <w:rFonts w:hint="eastAsia"/>
                      <w:bCs/>
                      <w:szCs w:val="21"/>
                      <w:highlight w:val="none"/>
                    </w:rPr>
                    <w:t>不变</w:t>
                  </w:r>
                </w:p>
              </w:tc>
              <w:tc>
                <w:tcPr>
                  <w:tcW w:w="652" w:type="pct"/>
                  <w:tcBorders>
                    <w:top w:val="single" w:color="auto" w:sz="4" w:space="0"/>
                    <w:left w:val="single" w:color="auto" w:sz="4" w:space="0"/>
                    <w:bottom w:val="single" w:color="auto" w:sz="4" w:space="0"/>
                    <w:right w:val="single" w:color="auto" w:sz="4" w:space="0"/>
                  </w:tcBorders>
                  <w:vAlign w:val="center"/>
                </w:tcPr>
                <w:p w14:paraId="4247583B">
                  <w:pPr>
                    <w:adjustRightInd w:val="0"/>
                    <w:snapToGrid w:val="0"/>
                    <w:jc w:val="center"/>
                    <w:rPr>
                      <w:highlight w:val="none"/>
                    </w:rPr>
                  </w:pPr>
                </w:p>
              </w:tc>
            </w:tr>
            <w:tr w14:paraId="56E6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05ED6E9E">
                  <w:pPr>
                    <w:adjustRightInd w:val="0"/>
                    <w:snapToGrid w:val="0"/>
                    <w:jc w:val="center"/>
                    <w:rPr>
                      <w:b/>
                      <w:bCs/>
                      <w:highlight w:val="none"/>
                    </w:rPr>
                  </w:pPr>
                  <w:r>
                    <w:rPr>
                      <w:b/>
                      <w:bCs/>
                      <w:highlight w:val="none"/>
                    </w:rPr>
                    <w:t>12</w:t>
                  </w:r>
                </w:p>
              </w:tc>
              <w:tc>
                <w:tcPr>
                  <w:tcW w:w="922" w:type="pct"/>
                  <w:tcBorders>
                    <w:top w:val="single" w:color="auto" w:sz="4" w:space="0"/>
                    <w:left w:val="single" w:color="auto" w:sz="4" w:space="0"/>
                    <w:bottom w:val="single" w:color="auto" w:sz="4" w:space="0"/>
                    <w:right w:val="single" w:color="auto" w:sz="6" w:space="0"/>
                  </w:tcBorders>
                  <w:vAlign w:val="center"/>
                </w:tcPr>
                <w:p w14:paraId="00B95741">
                  <w:pPr>
                    <w:jc w:val="center"/>
                    <w:rPr>
                      <w:highlight w:val="none"/>
                    </w:rPr>
                  </w:pPr>
                  <w:r>
                    <w:rPr>
                      <w:highlight w:val="none"/>
                    </w:rPr>
                    <w:t>空压机</w:t>
                  </w:r>
                </w:p>
              </w:tc>
              <w:tc>
                <w:tcPr>
                  <w:tcW w:w="1160" w:type="pct"/>
                  <w:tcBorders>
                    <w:top w:val="single" w:color="auto" w:sz="4" w:space="0"/>
                    <w:left w:val="nil"/>
                    <w:bottom w:val="single" w:color="auto" w:sz="4" w:space="0"/>
                    <w:right w:val="single" w:color="auto" w:sz="4" w:space="0"/>
                  </w:tcBorders>
                  <w:vAlign w:val="center"/>
                </w:tcPr>
                <w:p w14:paraId="61550066">
                  <w:pPr>
                    <w:jc w:val="center"/>
                    <w:rPr>
                      <w:highlight w:val="none"/>
                    </w:rPr>
                  </w:pPr>
                  <w:r>
                    <w:rPr>
                      <w:highlight w:val="none"/>
                    </w:rPr>
                    <w:t>8KW</w:t>
                  </w:r>
                </w:p>
              </w:tc>
              <w:tc>
                <w:tcPr>
                  <w:tcW w:w="649" w:type="pct"/>
                  <w:tcBorders>
                    <w:top w:val="single" w:color="auto" w:sz="4" w:space="0"/>
                    <w:left w:val="single" w:color="auto" w:sz="4" w:space="0"/>
                    <w:bottom w:val="single" w:color="auto" w:sz="4" w:space="0"/>
                    <w:right w:val="single" w:color="auto" w:sz="4" w:space="0"/>
                  </w:tcBorders>
                  <w:vAlign w:val="center"/>
                </w:tcPr>
                <w:p w14:paraId="14FD3435">
                  <w:pPr>
                    <w:adjustRightInd w:val="0"/>
                    <w:snapToGrid w:val="0"/>
                    <w:jc w:val="center"/>
                    <w:rPr>
                      <w:highlight w:val="none"/>
                    </w:rPr>
                  </w:pPr>
                  <w:r>
                    <w:rPr>
                      <w:highlight w:val="none"/>
                    </w:rPr>
                    <w:t>4台</w:t>
                  </w:r>
                </w:p>
              </w:tc>
              <w:tc>
                <w:tcPr>
                  <w:tcW w:w="653" w:type="pct"/>
                  <w:tcBorders>
                    <w:top w:val="single" w:color="auto" w:sz="4" w:space="0"/>
                    <w:left w:val="single" w:color="auto" w:sz="4" w:space="0"/>
                    <w:bottom w:val="single" w:color="auto" w:sz="4" w:space="0"/>
                    <w:right w:val="single" w:color="auto" w:sz="4" w:space="0"/>
                  </w:tcBorders>
                  <w:vAlign w:val="center"/>
                </w:tcPr>
                <w:p w14:paraId="50C88A74">
                  <w:pPr>
                    <w:adjustRightInd w:val="0"/>
                    <w:snapToGrid w:val="0"/>
                    <w:jc w:val="center"/>
                    <w:rPr>
                      <w:highlight w:val="none"/>
                    </w:rPr>
                  </w:pPr>
                  <w:r>
                    <w:rPr>
                      <w:highlight w:val="none"/>
                    </w:rPr>
                    <w:t>4台</w:t>
                  </w:r>
                </w:p>
              </w:tc>
              <w:tc>
                <w:tcPr>
                  <w:tcW w:w="652" w:type="pct"/>
                  <w:tcBorders>
                    <w:top w:val="single" w:color="auto" w:sz="4" w:space="0"/>
                    <w:left w:val="single" w:color="auto" w:sz="4" w:space="0"/>
                    <w:bottom w:val="single" w:color="auto" w:sz="4" w:space="0"/>
                    <w:right w:val="single" w:color="auto" w:sz="4" w:space="0"/>
                  </w:tcBorders>
                  <w:vAlign w:val="center"/>
                </w:tcPr>
                <w:p w14:paraId="38745CA2">
                  <w:pPr>
                    <w:adjustRightInd w:val="0"/>
                    <w:snapToGrid w:val="0"/>
                    <w:jc w:val="center"/>
                    <w:rPr>
                      <w:highlight w:val="none"/>
                    </w:rPr>
                  </w:pPr>
                  <w:r>
                    <w:rPr>
                      <w:rFonts w:hint="eastAsia"/>
                      <w:bCs/>
                      <w:szCs w:val="21"/>
                      <w:highlight w:val="none"/>
                    </w:rPr>
                    <w:t>不变</w:t>
                  </w:r>
                </w:p>
              </w:tc>
              <w:tc>
                <w:tcPr>
                  <w:tcW w:w="652" w:type="pct"/>
                  <w:tcBorders>
                    <w:top w:val="single" w:color="auto" w:sz="4" w:space="0"/>
                    <w:left w:val="single" w:color="auto" w:sz="4" w:space="0"/>
                    <w:bottom w:val="single" w:color="auto" w:sz="4" w:space="0"/>
                    <w:right w:val="single" w:color="auto" w:sz="4" w:space="0"/>
                  </w:tcBorders>
                  <w:vAlign w:val="center"/>
                </w:tcPr>
                <w:p w14:paraId="63127A2E">
                  <w:pPr>
                    <w:adjustRightInd w:val="0"/>
                    <w:snapToGrid w:val="0"/>
                    <w:jc w:val="center"/>
                    <w:rPr>
                      <w:highlight w:val="none"/>
                    </w:rPr>
                  </w:pPr>
                </w:p>
              </w:tc>
            </w:tr>
          </w:tbl>
          <w:p w14:paraId="586285DA">
            <w:pPr>
              <w:widowControl w:val="0"/>
              <w:numPr>
                <w:ilvl w:val="0"/>
                <w:numId w:val="4"/>
              </w:numPr>
              <w:spacing w:line="360" w:lineRule="auto"/>
              <w:ind w:firstLine="482"/>
              <w:rPr>
                <w:b/>
                <w:bCs/>
                <w:sz w:val="24"/>
                <w:szCs w:val="24"/>
              </w:rPr>
            </w:pPr>
            <w:r>
              <w:rPr>
                <w:rFonts w:hint="eastAsia"/>
                <w:b/>
                <w:bCs/>
                <w:sz w:val="24"/>
                <w:szCs w:val="24"/>
              </w:rPr>
              <w:t>产品方案</w:t>
            </w:r>
          </w:p>
          <w:p w14:paraId="56B5E0F9">
            <w:pPr>
              <w:widowControl w:val="0"/>
              <w:spacing w:line="360" w:lineRule="auto"/>
              <w:ind w:firstLine="482"/>
              <w:jc w:val="center"/>
              <w:rPr>
                <w:b/>
                <w:bCs/>
                <w:sz w:val="24"/>
                <w:szCs w:val="24"/>
              </w:rPr>
            </w:pPr>
            <w:r>
              <w:rPr>
                <w:rFonts w:hint="eastAsia"/>
                <w:b/>
                <w:bCs/>
                <w:sz w:val="24"/>
                <w:szCs w:val="24"/>
              </w:rPr>
              <w:t>表 2-3 项目产品方案</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12"/>
              <w:gridCol w:w="2803"/>
              <w:gridCol w:w="2211"/>
              <w:gridCol w:w="1768"/>
            </w:tblGrid>
            <w:tr w14:paraId="3A579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1390" w:type="pct"/>
                  <w:vAlign w:val="center"/>
                </w:tcPr>
                <w:p w14:paraId="1A849610">
                  <w:pPr>
                    <w:pStyle w:val="55"/>
                    <w:rPr>
                      <w:rFonts w:hint="default"/>
                      <w:b/>
                      <w:bCs w:val="0"/>
                    </w:rPr>
                  </w:pPr>
                  <w:r>
                    <w:rPr>
                      <w:rFonts w:hint="default"/>
                      <w:b/>
                      <w:bCs w:val="0"/>
                    </w:rPr>
                    <w:t>产品名称</w:t>
                  </w:r>
                </w:p>
              </w:tc>
              <w:tc>
                <w:tcPr>
                  <w:tcW w:w="1492" w:type="pct"/>
                  <w:vAlign w:val="center"/>
                </w:tcPr>
                <w:p w14:paraId="6B7DA2FA">
                  <w:pPr>
                    <w:pStyle w:val="55"/>
                    <w:rPr>
                      <w:rFonts w:hint="default"/>
                      <w:b/>
                      <w:bCs w:val="0"/>
                    </w:rPr>
                  </w:pPr>
                  <w:r>
                    <w:rPr>
                      <w:b/>
                      <w:bCs w:val="0"/>
                      <w:lang w:val="en-US"/>
                    </w:rPr>
                    <w:t>环评</w:t>
                  </w:r>
                  <w:r>
                    <w:rPr>
                      <w:rFonts w:hint="default"/>
                      <w:b/>
                      <w:bCs w:val="0"/>
                    </w:rPr>
                    <w:t>年产量</w:t>
                  </w:r>
                </w:p>
              </w:tc>
              <w:tc>
                <w:tcPr>
                  <w:tcW w:w="1177" w:type="pct"/>
                  <w:vAlign w:val="center"/>
                </w:tcPr>
                <w:p w14:paraId="4DE22F61">
                  <w:pPr>
                    <w:pStyle w:val="55"/>
                    <w:rPr>
                      <w:rFonts w:hint="default"/>
                      <w:b/>
                      <w:bCs w:val="0"/>
                      <w:lang w:val="en-US"/>
                    </w:rPr>
                  </w:pPr>
                  <w:r>
                    <w:rPr>
                      <w:b/>
                      <w:bCs w:val="0"/>
                      <w:lang w:val="en-US"/>
                    </w:rPr>
                    <w:t>实际后年产量</w:t>
                  </w:r>
                </w:p>
              </w:tc>
              <w:tc>
                <w:tcPr>
                  <w:tcW w:w="941" w:type="pct"/>
                  <w:vAlign w:val="center"/>
                </w:tcPr>
                <w:p w14:paraId="79407F11">
                  <w:pPr>
                    <w:pStyle w:val="55"/>
                    <w:rPr>
                      <w:rFonts w:hint="default"/>
                      <w:b/>
                      <w:bCs w:val="0"/>
                      <w:lang w:val="en-US"/>
                    </w:rPr>
                  </w:pPr>
                  <w:r>
                    <w:rPr>
                      <w:b/>
                      <w:bCs w:val="0"/>
                      <w:lang w:val="en-US"/>
                    </w:rPr>
                    <w:t>年工作时间</w:t>
                  </w:r>
                </w:p>
              </w:tc>
            </w:tr>
            <w:tr w14:paraId="6A6E9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90" w:type="pct"/>
                  <w:vAlign w:val="center"/>
                </w:tcPr>
                <w:p w14:paraId="4E8BA99B">
                  <w:pPr>
                    <w:pStyle w:val="55"/>
                    <w:rPr>
                      <w:rFonts w:hint="default"/>
                      <w:lang w:val="en-US"/>
                    </w:rPr>
                  </w:pPr>
                  <w:r>
                    <w:rPr>
                      <w:lang w:val="en-US"/>
                    </w:rPr>
                    <w:t>背板</w:t>
                  </w:r>
                </w:p>
              </w:tc>
              <w:tc>
                <w:tcPr>
                  <w:tcW w:w="1492" w:type="pct"/>
                  <w:vAlign w:val="center"/>
                </w:tcPr>
                <w:p w14:paraId="5EF68210">
                  <w:pPr>
                    <w:pStyle w:val="55"/>
                    <w:rPr>
                      <w:rFonts w:hint="default"/>
                      <w:lang w:val="en-US"/>
                    </w:rPr>
                  </w:pPr>
                  <w:r>
                    <w:rPr>
                      <w:lang w:val="en-US"/>
                    </w:rPr>
                    <w:t>100万件/年</w:t>
                  </w:r>
                </w:p>
              </w:tc>
              <w:tc>
                <w:tcPr>
                  <w:tcW w:w="1177" w:type="pct"/>
                  <w:vAlign w:val="center"/>
                </w:tcPr>
                <w:p w14:paraId="31E88917">
                  <w:pPr>
                    <w:pStyle w:val="55"/>
                    <w:rPr>
                      <w:rFonts w:hint="default"/>
                      <w:lang w:val="en-US"/>
                    </w:rPr>
                  </w:pPr>
                  <w:r>
                    <w:rPr>
                      <w:lang w:val="en-US"/>
                    </w:rPr>
                    <w:t>100万件/年</w:t>
                  </w:r>
                </w:p>
              </w:tc>
              <w:tc>
                <w:tcPr>
                  <w:tcW w:w="941" w:type="pct"/>
                  <w:vAlign w:val="center"/>
                </w:tcPr>
                <w:p w14:paraId="40DFF2B3">
                  <w:pPr>
                    <w:pStyle w:val="55"/>
                    <w:rPr>
                      <w:rFonts w:hint="default"/>
                      <w:lang w:val="en-US"/>
                    </w:rPr>
                  </w:pPr>
                  <w:r>
                    <w:rPr>
                      <w:lang w:val="en-US"/>
                    </w:rPr>
                    <w:t>4800h</w:t>
                  </w:r>
                </w:p>
              </w:tc>
            </w:tr>
            <w:tr w14:paraId="28A9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 w:hRule="atLeast"/>
                <w:jc w:val="center"/>
              </w:trPr>
              <w:tc>
                <w:tcPr>
                  <w:tcW w:w="1390" w:type="pct"/>
                  <w:vAlign w:val="center"/>
                </w:tcPr>
                <w:p w14:paraId="2ECF9DA2">
                  <w:pPr>
                    <w:pStyle w:val="55"/>
                    <w:rPr>
                      <w:rFonts w:hint="default"/>
                      <w:lang w:val="en-US"/>
                    </w:rPr>
                  </w:pPr>
                  <w:r>
                    <w:rPr>
                      <w:lang w:val="en-US"/>
                    </w:rPr>
                    <w:t>连杆</w:t>
                  </w:r>
                </w:p>
              </w:tc>
              <w:tc>
                <w:tcPr>
                  <w:tcW w:w="1492" w:type="pct"/>
                  <w:vAlign w:val="center"/>
                </w:tcPr>
                <w:p w14:paraId="6DDF1F0C">
                  <w:pPr>
                    <w:pStyle w:val="55"/>
                    <w:rPr>
                      <w:rFonts w:hint="default"/>
                      <w:lang w:val="en-US"/>
                    </w:rPr>
                  </w:pPr>
                  <w:r>
                    <w:rPr>
                      <w:lang w:val="en-US"/>
                    </w:rPr>
                    <w:t>100万件/年</w:t>
                  </w:r>
                </w:p>
              </w:tc>
              <w:tc>
                <w:tcPr>
                  <w:tcW w:w="1177" w:type="pct"/>
                  <w:vAlign w:val="center"/>
                </w:tcPr>
                <w:p w14:paraId="23B70F57">
                  <w:pPr>
                    <w:pStyle w:val="55"/>
                    <w:rPr>
                      <w:rFonts w:hint="default"/>
                      <w:lang w:val="en-US"/>
                    </w:rPr>
                  </w:pPr>
                  <w:r>
                    <w:rPr>
                      <w:lang w:val="en-US"/>
                    </w:rPr>
                    <w:t>100万件/年</w:t>
                  </w:r>
                </w:p>
              </w:tc>
              <w:tc>
                <w:tcPr>
                  <w:tcW w:w="941" w:type="pct"/>
                  <w:vAlign w:val="center"/>
                </w:tcPr>
                <w:p w14:paraId="40D4395F">
                  <w:pPr>
                    <w:pStyle w:val="55"/>
                    <w:rPr>
                      <w:rFonts w:hint="default"/>
                      <w:lang w:val="en-US"/>
                    </w:rPr>
                  </w:pPr>
                  <w:r>
                    <w:rPr>
                      <w:lang w:val="en-US"/>
                    </w:rPr>
                    <w:t>4800h</w:t>
                  </w:r>
                </w:p>
              </w:tc>
            </w:tr>
            <w:tr w14:paraId="3C92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 w:hRule="atLeast"/>
                <w:jc w:val="center"/>
              </w:trPr>
              <w:tc>
                <w:tcPr>
                  <w:tcW w:w="1390" w:type="pct"/>
                  <w:vAlign w:val="center"/>
                </w:tcPr>
                <w:p w14:paraId="16B418CF">
                  <w:pPr>
                    <w:pStyle w:val="55"/>
                    <w:rPr>
                      <w:rFonts w:hint="default"/>
                      <w:lang w:val="en-US"/>
                    </w:rPr>
                  </w:pPr>
                  <w:r>
                    <w:rPr>
                      <w:lang w:val="en-US"/>
                    </w:rPr>
                    <w:t>机械配件A</w:t>
                  </w:r>
                </w:p>
              </w:tc>
              <w:tc>
                <w:tcPr>
                  <w:tcW w:w="1492" w:type="pct"/>
                  <w:vAlign w:val="center"/>
                </w:tcPr>
                <w:p w14:paraId="16286D28">
                  <w:pPr>
                    <w:pStyle w:val="55"/>
                    <w:rPr>
                      <w:rFonts w:hint="default"/>
                      <w:lang w:val="en-US"/>
                    </w:rPr>
                  </w:pPr>
                  <w:r>
                    <w:rPr>
                      <w:lang w:val="en-US"/>
                    </w:rPr>
                    <w:t>100万件/年</w:t>
                  </w:r>
                </w:p>
              </w:tc>
              <w:tc>
                <w:tcPr>
                  <w:tcW w:w="1177" w:type="pct"/>
                  <w:vAlign w:val="center"/>
                </w:tcPr>
                <w:p w14:paraId="27F05499">
                  <w:pPr>
                    <w:pStyle w:val="55"/>
                    <w:rPr>
                      <w:rFonts w:hint="default"/>
                      <w:lang w:val="en-US"/>
                    </w:rPr>
                  </w:pPr>
                  <w:r>
                    <w:rPr>
                      <w:lang w:val="en-US"/>
                    </w:rPr>
                    <w:t>100万件/年</w:t>
                  </w:r>
                </w:p>
              </w:tc>
              <w:tc>
                <w:tcPr>
                  <w:tcW w:w="941" w:type="pct"/>
                  <w:vAlign w:val="center"/>
                </w:tcPr>
                <w:p w14:paraId="49EA4CD8">
                  <w:pPr>
                    <w:pStyle w:val="55"/>
                    <w:rPr>
                      <w:rFonts w:hint="default"/>
                      <w:lang w:val="en-US"/>
                    </w:rPr>
                  </w:pPr>
                  <w:r>
                    <w:rPr>
                      <w:lang w:val="en-US"/>
                    </w:rPr>
                    <w:t>4800h</w:t>
                  </w:r>
                </w:p>
              </w:tc>
            </w:tr>
            <w:tr w14:paraId="22A26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 w:hRule="atLeast"/>
                <w:jc w:val="center"/>
              </w:trPr>
              <w:tc>
                <w:tcPr>
                  <w:tcW w:w="1390" w:type="pct"/>
                  <w:vAlign w:val="center"/>
                </w:tcPr>
                <w:p w14:paraId="69465C97">
                  <w:pPr>
                    <w:pStyle w:val="55"/>
                    <w:rPr>
                      <w:rFonts w:hint="default"/>
                      <w:lang w:val="en-US"/>
                    </w:rPr>
                  </w:pPr>
                  <w:r>
                    <w:rPr>
                      <w:lang w:val="en-US"/>
                    </w:rPr>
                    <w:t>机械配件B</w:t>
                  </w:r>
                </w:p>
              </w:tc>
              <w:tc>
                <w:tcPr>
                  <w:tcW w:w="1492" w:type="pct"/>
                  <w:vAlign w:val="center"/>
                </w:tcPr>
                <w:p w14:paraId="4B5B0890">
                  <w:pPr>
                    <w:pStyle w:val="55"/>
                    <w:rPr>
                      <w:rFonts w:hint="default"/>
                      <w:lang w:val="en-US"/>
                    </w:rPr>
                  </w:pPr>
                  <w:r>
                    <w:rPr>
                      <w:lang w:val="en-US"/>
                    </w:rPr>
                    <w:t>100万件/年</w:t>
                  </w:r>
                </w:p>
              </w:tc>
              <w:tc>
                <w:tcPr>
                  <w:tcW w:w="1177" w:type="pct"/>
                  <w:vAlign w:val="center"/>
                </w:tcPr>
                <w:p w14:paraId="7E6451E1">
                  <w:pPr>
                    <w:pStyle w:val="55"/>
                    <w:rPr>
                      <w:rFonts w:hint="default"/>
                      <w:lang w:val="en-US"/>
                    </w:rPr>
                  </w:pPr>
                  <w:r>
                    <w:rPr>
                      <w:lang w:val="en-US"/>
                    </w:rPr>
                    <w:t>100万件/年</w:t>
                  </w:r>
                </w:p>
              </w:tc>
              <w:tc>
                <w:tcPr>
                  <w:tcW w:w="941" w:type="pct"/>
                  <w:vAlign w:val="center"/>
                </w:tcPr>
                <w:p w14:paraId="69A60F36">
                  <w:pPr>
                    <w:pStyle w:val="55"/>
                    <w:rPr>
                      <w:rFonts w:hint="default"/>
                      <w:lang w:val="en-US"/>
                    </w:rPr>
                  </w:pPr>
                  <w:r>
                    <w:rPr>
                      <w:lang w:val="en-US"/>
                    </w:rPr>
                    <w:t>4800h</w:t>
                  </w:r>
                </w:p>
              </w:tc>
            </w:tr>
          </w:tbl>
          <w:p w14:paraId="4B9B66AD">
            <w:pPr>
              <w:widowControl w:val="0"/>
              <w:adjustRightInd w:val="0"/>
              <w:snapToGrid w:val="0"/>
              <w:spacing w:line="360" w:lineRule="auto"/>
              <w:ind w:firstLine="482"/>
              <w:rPr>
                <w:b/>
                <w:bCs/>
                <w:sz w:val="24"/>
                <w:szCs w:val="24"/>
              </w:rPr>
            </w:pPr>
            <w:r>
              <w:rPr>
                <w:rFonts w:hint="eastAsia"/>
                <w:b/>
                <w:bCs/>
                <w:sz w:val="24"/>
                <w:szCs w:val="24"/>
              </w:rPr>
              <w:t>7、本工程劳动定员及生产班制</w:t>
            </w:r>
          </w:p>
          <w:p w14:paraId="23BECB66">
            <w:pPr>
              <w:widowControl w:val="0"/>
              <w:adjustRightInd w:val="0"/>
              <w:snapToGrid w:val="0"/>
              <w:spacing w:line="360" w:lineRule="auto"/>
              <w:ind w:firstLine="480" w:firstLineChars="200"/>
              <w:rPr>
                <w:sz w:val="24"/>
                <w:szCs w:val="24"/>
              </w:rPr>
            </w:pPr>
            <w:r>
              <w:rPr>
                <w:rFonts w:hint="eastAsia"/>
                <w:sz w:val="24"/>
                <w:szCs w:val="24"/>
              </w:rPr>
              <w:t>职工人数：</w:t>
            </w:r>
            <w:r>
              <w:rPr>
                <w:rFonts w:hint="eastAsia"/>
                <w:sz w:val="24"/>
              </w:rPr>
              <w:t>本次验收项目劳动定员50人。</w:t>
            </w:r>
          </w:p>
          <w:p w14:paraId="698DC5A5">
            <w:pPr>
              <w:widowControl w:val="0"/>
              <w:adjustRightInd w:val="0"/>
              <w:snapToGrid w:val="0"/>
              <w:spacing w:line="360" w:lineRule="auto"/>
              <w:ind w:firstLine="480" w:firstLineChars="200"/>
              <w:rPr>
                <w:sz w:val="24"/>
              </w:rPr>
            </w:pPr>
            <w:r>
              <w:rPr>
                <w:rFonts w:hint="eastAsia"/>
                <w:sz w:val="24"/>
                <w:szCs w:val="24"/>
              </w:rPr>
              <w:t>工作时数：</w:t>
            </w:r>
            <w:r>
              <w:rPr>
                <w:rFonts w:hint="eastAsia"/>
                <w:sz w:val="24"/>
              </w:rPr>
              <w:t>项目年工作日以300天计，实行三班8h工作制。</w:t>
            </w:r>
          </w:p>
          <w:p w14:paraId="7EE4309E">
            <w:pPr>
              <w:widowControl w:val="0"/>
              <w:adjustRightInd w:val="0"/>
              <w:snapToGrid w:val="0"/>
              <w:spacing w:line="360" w:lineRule="auto"/>
              <w:ind w:firstLine="482"/>
              <w:rPr>
                <w:b/>
                <w:bCs/>
                <w:sz w:val="24"/>
                <w:szCs w:val="24"/>
              </w:rPr>
            </w:pPr>
            <w:r>
              <w:rPr>
                <w:rFonts w:hint="eastAsia"/>
                <w:b/>
                <w:bCs/>
                <w:sz w:val="24"/>
                <w:szCs w:val="24"/>
              </w:rPr>
              <w:t>8、原辅材料消耗及水平衡：</w:t>
            </w:r>
          </w:p>
          <w:p w14:paraId="132A09E6">
            <w:pPr>
              <w:widowControl w:val="0"/>
              <w:adjustRightInd w:val="0"/>
              <w:snapToGrid w:val="0"/>
              <w:spacing w:line="360" w:lineRule="auto"/>
              <w:ind w:firstLine="480" w:firstLineChars="200"/>
              <w:rPr>
                <w:sz w:val="24"/>
              </w:rPr>
            </w:pPr>
            <w:r>
              <w:rPr>
                <w:rFonts w:hint="eastAsia"/>
                <w:sz w:val="24"/>
              </w:rPr>
              <w:t>1、原辅材料消耗</w:t>
            </w:r>
          </w:p>
          <w:p w14:paraId="4ECA70A1">
            <w:pPr>
              <w:widowControl w:val="0"/>
              <w:spacing w:line="360" w:lineRule="auto"/>
              <w:ind w:firstLine="482"/>
              <w:jc w:val="center"/>
              <w:rPr>
                <w:b/>
                <w:sz w:val="24"/>
                <w:szCs w:val="24"/>
              </w:rPr>
            </w:pPr>
            <w:r>
              <w:rPr>
                <w:rFonts w:hint="eastAsia"/>
                <w:b/>
                <w:bCs/>
                <w:sz w:val="24"/>
                <w:szCs w:val="24"/>
              </w:rPr>
              <w:t>表 2-4 本项目原辅材料及能耗表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894"/>
              <w:gridCol w:w="1864"/>
              <w:gridCol w:w="1666"/>
              <w:gridCol w:w="1768"/>
              <w:gridCol w:w="1398"/>
            </w:tblGrid>
            <w:tr w14:paraId="6D9B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474FB38B">
                  <w:pPr>
                    <w:widowControl w:val="0"/>
                    <w:adjustRightInd w:val="0"/>
                    <w:snapToGrid w:val="0"/>
                    <w:jc w:val="center"/>
                    <w:rPr>
                      <w:b/>
                      <w:szCs w:val="21"/>
                    </w:rPr>
                  </w:pPr>
                  <w:r>
                    <w:rPr>
                      <w:b/>
                      <w:szCs w:val="21"/>
                    </w:rPr>
                    <w:t>序号</w:t>
                  </w:r>
                </w:p>
              </w:tc>
              <w:tc>
                <w:tcPr>
                  <w:tcW w:w="1008" w:type="pct"/>
                  <w:vAlign w:val="center"/>
                </w:tcPr>
                <w:p w14:paraId="57A7BA47">
                  <w:pPr>
                    <w:widowControl w:val="0"/>
                    <w:adjustRightInd w:val="0"/>
                    <w:snapToGrid w:val="0"/>
                    <w:jc w:val="center"/>
                    <w:rPr>
                      <w:b/>
                      <w:szCs w:val="21"/>
                    </w:rPr>
                  </w:pPr>
                  <w:r>
                    <w:rPr>
                      <w:b/>
                      <w:szCs w:val="21"/>
                    </w:rPr>
                    <w:t>名称</w:t>
                  </w:r>
                </w:p>
              </w:tc>
              <w:tc>
                <w:tcPr>
                  <w:tcW w:w="992" w:type="pct"/>
                  <w:vAlign w:val="center"/>
                </w:tcPr>
                <w:p w14:paraId="58A22D61">
                  <w:pPr>
                    <w:widowControl w:val="0"/>
                    <w:adjustRightInd w:val="0"/>
                    <w:snapToGrid w:val="0"/>
                    <w:jc w:val="center"/>
                    <w:rPr>
                      <w:b/>
                      <w:szCs w:val="21"/>
                    </w:rPr>
                  </w:pPr>
                  <w:r>
                    <w:rPr>
                      <w:b/>
                      <w:szCs w:val="21"/>
                    </w:rPr>
                    <w:t>环评年消耗量量</w:t>
                  </w:r>
                </w:p>
              </w:tc>
              <w:tc>
                <w:tcPr>
                  <w:tcW w:w="887" w:type="pct"/>
                  <w:vAlign w:val="center"/>
                </w:tcPr>
                <w:p w14:paraId="60B3B82E">
                  <w:pPr>
                    <w:widowControl w:val="0"/>
                    <w:adjustRightInd w:val="0"/>
                    <w:snapToGrid w:val="0"/>
                    <w:jc w:val="center"/>
                    <w:rPr>
                      <w:b/>
                      <w:szCs w:val="21"/>
                    </w:rPr>
                  </w:pPr>
                  <w:r>
                    <w:rPr>
                      <w:rFonts w:hint="eastAsia"/>
                      <w:b/>
                      <w:szCs w:val="21"/>
                    </w:rPr>
                    <w:t>实际年消耗量</w:t>
                  </w:r>
                </w:p>
              </w:tc>
              <w:tc>
                <w:tcPr>
                  <w:tcW w:w="941" w:type="pct"/>
                  <w:vAlign w:val="center"/>
                </w:tcPr>
                <w:p w14:paraId="69ADA3A9">
                  <w:pPr>
                    <w:widowControl w:val="0"/>
                    <w:adjustRightInd w:val="0"/>
                    <w:snapToGrid w:val="0"/>
                    <w:jc w:val="center"/>
                    <w:rPr>
                      <w:b/>
                      <w:szCs w:val="21"/>
                    </w:rPr>
                  </w:pPr>
                  <w:r>
                    <w:rPr>
                      <w:b/>
                      <w:szCs w:val="21"/>
                    </w:rPr>
                    <w:t>包装方式</w:t>
                  </w:r>
                </w:p>
              </w:tc>
              <w:tc>
                <w:tcPr>
                  <w:tcW w:w="744" w:type="pct"/>
                  <w:vAlign w:val="center"/>
                </w:tcPr>
                <w:p w14:paraId="456C7A43">
                  <w:pPr>
                    <w:widowControl w:val="0"/>
                    <w:adjustRightInd w:val="0"/>
                    <w:snapToGrid w:val="0"/>
                    <w:jc w:val="center"/>
                    <w:rPr>
                      <w:b/>
                      <w:szCs w:val="21"/>
                    </w:rPr>
                  </w:pPr>
                  <w:r>
                    <w:rPr>
                      <w:rFonts w:hint="eastAsia"/>
                      <w:b/>
                      <w:szCs w:val="21"/>
                    </w:rPr>
                    <w:t>最大存储量</w:t>
                  </w:r>
                </w:p>
              </w:tc>
            </w:tr>
            <w:tr w14:paraId="16B2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6"/>
                  <w:vAlign w:val="center"/>
                </w:tcPr>
                <w:p w14:paraId="779127D6">
                  <w:pPr>
                    <w:widowControl w:val="0"/>
                    <w:adjustRightInd w:val="0"/>
                    <w:snapToGrid w:val="0"/>
                    <w:jc w:val="center"/>
                    <w:rPr>
                      <w:bCs/>
                      <w:szCs w:val="21"/>
                    </w:rPr>
                  </w:pPr>
                  <w:r>
                    <w:rPr>
                      <w:rFonts w:hint="eastAsia"/>
                      <w:bCs/>
                      <w:szCs w:val="21"/>
                    </w:rPr>
                    <w:t>一、炉料</w:t>
                  </w:r>
                </w:p>
              </w:tc>
            </w:tr>
            <w:tr w14:paraId="6BFC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4C607E1D">
                  <w:pPr>
                    <w:widowControl w:val="0"/>
                    <w:adjustRightInd w:val="0"/>
                    <w:snapToGrid w:val="0"/>
                    <w:jc w:val="center"/>
                    <w:rPr>
                      <w:bCs/>
                      <w:szCs w:val="21"/>
                    </w:rPr>
                  </w:pPr>
                  <w:r>
                    <w:rPr>
                      <w:bCs/>
                      <w:szCs w:val="21"/>
                    </w:rPr>
                    <w:t>1</w:t>
                  </w:r>
                </w:p>
              </w:tc>
              <w:tc>
                <w:tcPr>
                  <w:tcW w:w="1008" w:type="pct"/>
                  <w:tcBorders>
                    <w:top w:val="single" w:color="auto" w:sz="4" w:space="0"/>
                    <w:left w:val="single" w:color="auto" w:sz="4" w:space="0"/>
                    <w:bottom w:val="single" w:color="auto" w:sz="4" w:space="0"/>
                    <w:right w:val="single" w:color="auto" w:sz="4" w:space="0"/>
                  </w:tcBorders>
                  <w:vAlign w:val="center"/>
                </w:tcPr>
                <w:p w14:paraId="2CD2F0CF">
                  <w:pPr>
                    <w:widowControl w:val="0"/>
                    <w:adjustRightInd w:val="0"/>
                    <w:snapToGrid w:val="0"/>
                    <w:jc w:val="center"/>
                    <w:rPr>
                      <w:bCs/>
                      <w:szCs w:val="21"/>
                    </w:rPr>
                  </w:pPr>
                  <w:r>
                    <w:t>压铸件</w:t>
                  </w:r>
                </w:p>
              </w:tc>
              <w:tc>
                <w:tcPr>
                  <w:tcW w:w="992" w:type="pct"/>
                  <w:tcBorders>
                    <w:top w:val="single" w:color="auto" w:sz="4" w:space="0"/>
                    <w:left w:val="single" w:color="auto" w:sz="4" w:space="0"/>
                    <w:bottom w:val="single" w:color="auto" w:sz="4" w:space="0"/>
                    <w:right w:val="single" w:color="auto" w:sz="4" w:space="0"/>
                  </w:tcBorders>
                  <w:vAlign w:val="center"/>
                </w:tcPr>
                <w:p w14:paraId="336CF99C">
                  <w:pPr>
                    <w:widowControl w:val="0"/>
                    <w:adjustRightInd w:val="0"/>
                    <w:snapToGrid w:val="0"/>
                    <w:jc w:val="center"/>
                  </w:pPr>
                  <w:r>
                    <w:t>31000t</w:t>
                  </w:r>
                </w:p>
              </w:tc>
              <w:tc>
                <w:tcPr>
                  <w:tcW w:w="887" w:type="pct"/>
                  <w:vAlign w:val="center"/>
                </w:tcPr>
                <w:p w14:paraId="76B0A94A">
                  <w:pPr>
                    <w:widowControl w:val="0"/>
                    <w:adjustRightInd w:val="0"/>
                    <w:snapToGrid w:val="0"/>
                    <w:jc w:val="center"/>
                    <w:rPr>
                      <w:bCs/>
                      <w:szCs w:val="21"/>
                    </w:rPr>
                  </w:pPr>
                  <w:r>
                    <w:rPr>
                      <w:rFonts w:hint="eastAsia"/>
                      <w:bCs/>
                      <w:szCs w:val="21"/>
                      <w:lang w:val="en-US" w:eastAsia="zh-CN"/>
                    </w:rPr>
                    <w:t>31000</w:t>
                  </w:r>
                  <w:r>
                    <w:rPr>
                      <w:rFonts w:hint="eastAsia"/>
                      <w:bCs/>
                      <w:szCs w:val="21"/>
                    </w:rPr>
                    <w:t>t</w:t>
                  </w:r>
                </w:p>
              </w:tc>
              <w:tc>
                <w:tcPr>
                  <w:tcW w:w="941" w:type="pct"/>
                  <w:vAlign w:val="center"/>
                </w:tcPr>
                <w:p w14:paraId="725B70FE">
                  <w:pPr>
                    <w:widowControl w:val="0"/>
                    <w:adjustRightInd w:val="0"/>
                    <w:snapToGrid w:val="0"/>
                    <w:jc w:val="center"/>
                    <w:rPr>
                      <w:bCs/>
                      <w:szCs w:val="21"/>
                    </w:rPr>
                  </w:pPr>
                  <w:r>
                    <w:t>0.5t/箱</w:t>
                  </w:r>
                </w:p>
              </w:tc>
              <w:tc>
                <w:tcPr>
                  <w:tcW w:w="744" w:type="pct"/>
                  <w:tcBorders>
                    <w:top w:val="single" w:color="auto" w:sz="4" w:space="0"/>
                    <w:left w:val="single" w:color="auto" w:sz="4" w:space="0"/>
                    <w:bottom w:val="single" w:color="auto" w:sz="4" w:space="0"/>
                    <w:right w:val="single" w:color="auto" w:sz="4" w:space="0"/>
                  </w:tcBorders>
                  <w:vAlign w:val="center"/>
                </w:tcPr>
                <w:p w14:paraId="390ABCE1">
                  <w:pPr>
                    <w:widowControl w:val="0"/>
                    <w:adjustRightInd w:val="0"/>
                    <w:snapToGrid w:val="0"/>
                    <w:jc w:val="center"/>
                    <w:rPr>
                      <w:bCs/>
                      <w:szCs w:val="21"/>
                    </w:rPr>
                  </w:pPr>
                  <w:r>
                    <w:t>20</w:t>
                  </w:r>
                </w:p>
              </w:tc>
            </w:tr>
            <w:tr w14:paraId="5B0F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5F34C3C8">
                  <w:pPr>
                    <w:widowControl w:val="0"/>
                    <w:adjustRightInd w:val="0"/>
                    <w:snapToGrid w:val="0"/>
                    <w:jc w:val="center"/>
                    <w:rPr>
                      <w:bCs/>
                      <w:szCs w:val="21"/>
                    </w:rPr>
                  </w:pPr>
                  <w:r>
                    <w:rPr>
                      <w:bCs/>
                      <w:szCs w:val="21"/>
                    </w:rPr>
                    <w:t>2</w:t>
                  </w:r>
                </w:p>
              </w:tc>
              <w:tc>
                <w:tcPr>
                  <w:tcW w:w="1008" w:type="pct"/>
                  <w:tcBorders>
                    <w:top w:val="single" w:color="auto" w:sz="4" w:space="0"/>
                    <w:left w:val="single" w:color="auto" w:sz="4" w:space="0"/>
                    <w:bottom w:val="single" w:color="auto" w:sz="4" w:space="0"/>
                    <w:right w:val="single" w:color="auto" w:sz="4" w:space="0"/>
                  </w:tcBorders>
                  <w:vAlign w:val="center"/>
                </w:tcPr>
                <w:p w14:paraId="0647AE4B">
                  <w:pPr>
                    <w:widowControl w:val="0"/>
                    <w:adjustRightInd w:val="0"/>
                    <w:snapToGrid w:val="0"/>
                    <w:jc w:val="center"/>
                    <w:rPr>
                      <w:bCs/>
                      <w:szCs w:val="21"/>
                    </w:rPr>
                  </w:pPr>
                  <w:r>
                    <w:rPr>
                      <w:color w:val="000000" w:themeColor="text1"/>
                      <w14:textFill>
                        <w14:solidFill>
                          <w14:schemeClr w14:val="tx1"/>
                        </w14:solidFill>
                      </w14:textFill>
                    </w:rPr>
                    <w:t>乳化液</w:t>
                  </w:r>
                </w:p>
              </w:tc>
              <w:tc>
                <w:tcPr>
                  <w:tcW w:w="992" w:type="pct"/>
                  <w:tcBorders>
                    <w:top w:val="single" w:color="auto" w:sz="4" w:space="0"/>
                    <w:left w:val="single" w:color="auto" w:sz="4" w:space="0"/>
                    <w:bottom w:val="single" w:color="auto" w:sz="4" w:space="0"/>
                    <w:right w:val="single" w:color="auto" w:sz="4" w:space="0"/>
                  </w:tcBorders>
                  <w:vAlign w:val="center"/>
                </w:tcPr>
                <w:p w14:paraId="06F63689">
                  <w:pPr>
                    <w:widowControl w:val="0"/>
                    <w:adjustRightInd w:val="0"/>
                    <w:snapToGrid w:val="0"/>
                    <w:jc w:val="center"/>
                    <w:rPr>
                      <w:bCs/>
                      <w:szCs w:val="21"/>
                    </w:rPr>
                  </w:pPr>
                  <w:r>
                    <w:t>2t</w:t>
                  </w:r>
                </w:p>
              </w:tc>
              <w:tc>
                <w:tcPr>
                  <w:tcW w:w="887" w:type="pct"/>
                  <w:vAlign w:val="center"/>
                </w:tcPr>
                <w:p w14:paraId="2E96DD98">
                  <w:pPr>
                    <w:widowControl w:val="0"/>
                    <w:adjustRightInd w:val="0"/>
                    <w:snapToGrid w:val="0"/>
                    <w:jc w:val="center"/>
                    <w:rPr>
                      <w:bCs/>
                      <w:szCs w:val="21"/>
                    </w:rPr>
                  </w:pPr>
                  <w:r>
                    <w:rPr>
                      <w:rFonts w:hint="eastAsia"/>
                      <w:bCs/>
                      <w:szCs w:val="21"/>
                    </w:rPr>
                    <w:t>0t</w:t>
                  </w:r>
                </w:p>
              </w:tc>
              <w:tc>
                <w:tcPr>
                  <w:tcW w:w="941" w:type="pct"/>
                  <w:vAlign w:val="center"/>
                </w:tcPr>
                <w:p w14:paraId="6CBFD00E">
                  <w:pPr>
                    <w:widowControl w:val="0"/>
                    <w:adjustRightInd w:val="0"/>
                    <w:snapToGrid w:val="0"/>
                    <w:jc w:val="center"/>
                    <w:rPr>
                      <w:bCs/>
                      <w:szCs w:val="21"/>
                    </w:rPr>
                  </w:pPr>
                  <w:r>
                    <w:t>25kg/桶</w:t>
                  </w:r>
                </w:p>
              </w:tc>
              <w:tc>
                <w:tcPr>
                  <w:tcW w:w="744" w:type="pct"/>
                  <w:tcBorders>
                    <w:top w:val="single" w:color="auto" w:sz="4" w:space="0"/>
                    <w:left w:val="single" w:color="auto" w:sz="4" w:space="0"/>
                    <w:bottom w:val="single" w:color="auto" w:sz="4" w:space="0"/>
                    <w:right w:val="single" w:color="auto" w:sz="4" w:space="0"/>
                  </w:tcBorders>
                  <w:vAlign w:val="center"/>
                </w:tcPr>
                <w:p w14:paraId="159DA000">
                  <w:pPr>
                    <w:widowControl w:val="0"/>
                    <w:adjustRightInd w:val="0"/>
                    <w:snapToGrid w:val="0"/>
                    <w:jc w:val="center"/>
                    <w:rPr>
                      <w:bCs/>
                      <w:szCs w:val="21"/>
                    </w:rPr>
                  </w:pPr>
                  <w:r>
                    <w:t>0.05</w:t>
                  </w:r>
                </w:p>
              </w:tc>
            </w:tr>
            <w:tr w14:paraId="5BD8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0AB7AF68">
                  <w:pPr>
                    <w:widowControl w:val="0"/>
                    <w:adjustRightInd w:val="0"/>
                    <w:snapToGrid w:val="0"/>
                    <w:jc w:val="center"/>
                    <w:rPr>
                      <w:bCs/>
                      <w:szCs w:val="21"/>
                    </w:rPr>
                  </w:pPr>
                  <w:r>
                    <w:rPr>
                      <w:rFonts w:hint="eastAsia"/>
                      <w:bCs/>
                      <w:szCs w:val="21"/>
                    </w:rPr>
                    <w:t>3</w:t>
                  </w:r>
                </w:p>
              </w:tc>
              <w:tc>
                <w:tcPr>
                  <w:tcW w:w="1008" w:type="pct"/>
                  <w:tcBorders>
                    <w:top w:val="single" w:color="auto" w:sz="4" w:space="0"/>
                    <w:left w:val="single" w:color="auto" w:sz="4" w:space="0"/>
                    <w:bottom w:val="single" w:color="auto" w:sz="4" w:space="0"/>
                    <w:right w:val="single" w:color="auto" w:sz="4" w:space="0"/>
                  </w:tcBorders>
                  <w:vAlign w:val="center"/>
                </w:tcPr>
                <w:p w14:paraId="43D0EACB">
                  <w:pPr>
                    <w:widowControl w:val="0"/>
                    <w:adjustRightInd w:val="0"/>
                    <w:snapToGrid w:val="0"/>
                    <w:jc w:val="center"/>
                    <w:rPr>
                      <w:bCs/>
                      <w:szCs w:val="21"/>
                    </w:rPr>
                  </w:pPr>
                  <w:r>
                    <w:t>设备液压油</w:t>
                  </w:r>
                </w:p>
              </w:tc>
              <w:tc>
                <w:tcPr>
                  <w:tcW w:w="992" w:type="pct"/>
                  <w:tcBorders>
                    <w:top w:val="single" w:color="auto" w:sz="4" w:space="0"/>
                    <w:left w:val="single" w:color="auto" w:sz="4" w:space="0"/>
                    <w:bottom w:val="single" w:color="auto" w:sz="4" w:space="0"/>
                    <w:right w:val="single" w:color="auto" w:sz="4" w:space="0"/>
                  </w:tcBorders>
                  <w:vAlign w:val="center"/>
                </w:tcPr>
                <w:p w14:paraId="40CC488F">
                  <w:pPr>
                    <w:widowControl w:val="0"/>
                    <w:adjustRightInd w:val="0"/>
                    <w:snapToGrid w:val="0"/>
                    <w:jc w:val="center"/>
                    <w:rPr>
                      <w:bCs/>
                      <w:szCs w:val="21"/>
                    </w:rPr>
                  </w:pPr>
                  <w:r>
                    <w:t>0.85t</w:t>
                  </w:r>
                </w:p>
              </w:tc>
              <w:tc>
                <w:tcPr>
                  <w:tcW w:w="887" w:type="pct"/>
                  <w:vAlign w:val="center"/>
                </w:tcPr>
                <w:p w14:paraId="7808757B">
                  <w:pPr>
                    <w:widowControl w:val="0"/>
                    <w:adjustRightInd w:val="0"/>
                    <w:snapToGrid w:val="0"/>
                    <w:jc w:val="center"/>
                    <w:rPr>
                      <w:bCs/>
                      <w:szCs w:val="21"/>
                    </w:rPr>
                  </w:pPr>
                  <w:r>
                    <w:rPr>
                      <w:rFonts w:hint="eastAsia"/>
                      <w:bCs/>
                      <w:szCs w:val="21"/>
                      <w:lang w:val="en-US" w:eastAsia="zh-CN"/>
                    </w:rPr>
                    <w:t>0.1</w:t>
                  </w:r>
                  <w:r>
                    <w:rPr>
                      <w:rFonts w:hint="eastAsia"/>
                      <w:bCs/>
                      <w:szCs w:val="21"/>
                    </w:rPr>
                    <w:t>t</w:t>
                  </w:r>
                </w:p>
              </w:tc>
              <w:tc>
                <w:tcPr>
                  <w:tcW w:w="941" w:type="pct"/>
                  <w:vAlign w:val="center"/>
                </w:tcPr>
                <w:p w14:paraId="778FE039">
                  <w:pPr>
                    <w:widowControl w:val="0"/>
                    <w:adjustRightInd w:val="0"/>
                    <w:snapToGrid w:val="0"/>
                    <w:jc w:val="center"/>
                    <w:rPr>
                      <w:bCs/>
                      <w:szCs w:val="21"/>
                    </w:rPr>
                  </w:pPr>
                  <w:r>
                    <w:t>170kg/桶</w:t>
                  </w:r>
                </w:p>
              </w:tc>
              <w:tc>
                <w:tcPr>
                  <w:tcW w:w="744" w:type="pct"/>
                  <w:tcBorders>
                    <w:top w:val="single" w:color="auto" w:sz="4" w:space="0"/>
                    <w:left w:val="single" w:color="auto" w:sz="4" w:space="0"/>
                    <w:bottom w:val="single" w:color="auto" w:sz="4" w:space="0"/>
                    <w:right w:val="single" w:color="auto" w:sz="4" w:space="0"/>
                  </w:tcBorders>
                  <w:vAlign w:val="center"/>
                </w:tcPr>
                <w:p w14:paraId="6599E450">
                  <w:pPr>
                    <w:widowControl w:val="0"/>
                    <w:adjustRightInd w:val="0"/>
                    <w:snapToGrid w:val="0"/>
                    <w:jc w:val="center"/>
                    <w:rPr>
                      <w:bCs/>
                      <w:szCs w:val="21"/>
                    </w:rPr>
                  </w:pPr>
                  <w:r>
                    <w:t>0.34</w:t>
                  </w:r>
                </w:p>
              </w:tc>
            </w:tr>
            <w:tr w14:paraId="7F33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26C17C4F">
                  <w:pPr>
                    <w:widowControl w:val="0"/>
                    <w:adjustRightInd w:val="0"/>
                    <w:snapToGrid w:val="0"/>
                    <w:jc w:val="center"/>
                    <w:rPr>
                      <w:bCs/>
                      <w:szCs w:val="21"/>
                    </w:rPr>
                  </w:pPr>
                  <w:r>
                    <w:rPr>
                      <w:rFonts w:hint="eastAsia"/>
                      <w:bCs/>
                      <w:szCs w:val="21"/>
                    </w:rPr>
                    <w:t>4</w:t>
                  </w:r>
                </w:p>
              </w:tc>
              <w:tc>
                <w:tcPr>
                  <w:tcW w:w="1008" w:type="pct"/>
                  <w:tcBorders>
                    <w:top w:val="single" w:color="auto" w:sz="4" w:space="0"/>
                    <w:left w:val="single" w:color="auto" w:sz="4" w:space="0"/>
                    <w:bottom w:val="single" w:color="auto" w:sz="4" w:space="0"/>
                    <w:right w:val="single" w:color="auto" w:sz="4" w:space="0"/>
                  </w:tcBorders>
                  <w:vAlign w:val="center"/>
                </w:tcPr>
                <w:p w14:paraId="67CAB232">
                  <w:pPr>
                    <w:widowControl w:val="0"/>
                    <w:adjustRightInd w:val="0"/>
                    <w:snapToGrid w:val="0"/>
                    <w:jc w:val="center"/>
                    <w:rPr>
                      <w:bCs/>
                      <w:szCs w:val="21"/>
                    </w:rPr>
                  </w:pPr>
                  <w:r>
                    <w:t>氩气</w:t>
                  </w:r>
                </w:p>
              </w:tc>
              <w:tc>
                <w:tcPr>
                  <w:tcW w:w="992" w:type="pct"/>
                  <w:tcBorders>
                    <w:top w:val="single" w:color="auto" w:sz="4" w:space="0"/>
                    <w:left w:val="single" w:color="auto" w:sz="4" w:space="0"/>
                    <w:bottom w:val="single" w:color="auto" w:sz="4" w:space="0"/>
                    <w:right w:val="single" w:color="auto" w:sz="4" w:space="0"/>
                  </w:tcBorders>
                  <w:vAlign w:val="center"/>
                </w:tcPr>
                <w:p w14:paraId="66231DA6">
                  <w:pPr>
                    <w:widowControl w:val="0"/>
                    <w:adjustRightInd w:val="0"/>
                    <w:snapToGrid w:val="0"/>
                    <w:jc w:val="center"/>
                    <w:rPr>
                      <w:bCs/>
                      <w:szCs w:val="21"/>
                    </w:rPr>
                  </w:pPr>
                  <w:r>
                    <w:t>1200t</w:t>
                  </w:r>
                </w:p>
              </w:tc>
              <w:tc>
                <w:tcPr>
                  <w:tcW w:w="887" w:type="pct"/>
                  <w:vAlign w:val="center"/>
                </w:tcPr>
                <w:p w14:paraId="6C356250">
                  <w:pPr>
                    <w:widowControl w:val="0"/>
                    <w:adjustRightInd w:val="0"/>
                    <w:snapToGrid w:val="0"/>
                    <w:jc w:val="center"/>
                    <w:rPr>
                      <w:bCs/>
                      <w:szCs w:val="21"/>
                    </w:rPr>
                  </w:pPr>
                  <w:r>
                    <w:rPr>
                      <w:rFonts w:hint="eastAsia"/>
                      <w:bCs/>
                      <w:szCs w:val="21"/>
                      <w:lang w:val="en-US" w:eastAsia="zh-CN"/>
                    </w:rPr>
                    <w:t>0</w:t>
                  </w:r>
                </w:p>
              </w:tc>
              <w:tc>
                <w:tcPr>
                  <w:tcW w:w="941" w:type="pct"/>
                  <w:vAlign w:val="center"/>
                </w:tcPr>
                <w:p w14:paraId="57097E50">
                  <w:pPr>
                    <w:widowControl w:val="0"/>
                    <w:adjustRightInd w:val="0"/>
                    <w:snapToGrid w:val="0"/>
                    <w:jc w:val="center"/>
                    <w:rPr>
                      <w:bCs/>
                      <w:szCs w:val="21"/>
                    </w:rPr>
                  </w:pPr>
                  <w:r>
                    <w:t>10kg/瓶</w:t>
                  </w:r>
                </w:p>
              </w:tc>
              <w:tc>
                <w:tcPr>
                  <w:tcW w:w="744" w:type="pct"/>
                  <w:tcBorders>
                    <w:top w:val="single" w:color="auto" w:sz="4" w:space="0"/>
                    <w:left w:val="single" w:color="auto" w:sz="4" w:space="0"/>
                    <w:bottom w:val="single" w:color="auto" w:sz="4" w:space="0"/>
                    <w:right w:val="single" w:color="auto" w:sz="4" w:space="0"/>
                  </w:tcBorders>
                  <w:vAlign w:val="center"/>
                </w:tcPr>
                <w:p w14:paraId="223FA898">
                  <w:pPr>
                    <w:widowControl w:val="0"/>
                    <w:adjustRightInd w:val="0"/>
                    <w:snapToGrid w:val="0"/>
                    <w:jc w:val="center"/>
                    <w:rPr>
                      <w:bCs/>
                      <w:szCs w:val="21"/>
                    </w:rPr>
                  </w:pPr>
                  <w:r>
                    <w:t>50</w:t>
                  </w:r>
                </w:p>
              </w:tc>
            </w:tr>
            <w:tr w14:paraId="516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76DED02F">
                  <w:pPr>
                    <w:widowControl w:val="0"/>
                    <w:adjustRightInd w:val="0"/>
                    <w:snapToGrid w:val="0"/>
                    <w:jc w:val="center"/>
                    <w:rPr>
                      <w:bCs/>
                      <w:szCs w:val="21"/>
                    </w:rPr>
                  </w:pPr>
                  <w:r>
                    <w:rPr>
                      <w:rFonts w:hint="eastAsia"/>
                      <w:bCs/>
                      <w:szCs w:val="21"/>
                    </w:rPr>
                    <w:t>5</w:t>
                  </w:r>
                </w:p>
              </w:tc>
              <w:tc>
                <w:tcPr>
                  <w:tcW w:w="1008" w:type="pct"/>
                  <w:tcBorders>
                    <w:top w:val="single" w:color="auto" w:sz="4" w:space="0"/>
                    <w:left w:val="single" w:color="auto" w:sz="4" w:space="0"/>
                    <w:bottom w:val="single" w:color="auto" w:sz="4" w:space="0"/>
                    <w:right w:val="single" w:color="auto" w:sz="4" w:space="0"/>
                  </w:tcBorders>
                  <w:vAlign w:val="center"/>
                </w:tcPr>
                <w:p w14:paraId="5CE5A3D1">
                  <w:pPr>
                    <w:widowControl w:val="0"/>
                    <w:adjustRightInd w:val="0"/>
                    <w:snapToGrid w:val="0"/>
                    <w:jc w:val="center"/>
                    <w:rPr>
                      <w:bCs/>
                      <w:szCs w:val="21"/>
                    </w:rPr>
                  </w:pPr>
                  <w:r>
                    <w:t>钢丸</w:t>
                  </w:r>
                </w:p>
              </w:tc>
              <w:tc>
                <w:tcPr>
                  <w:tcW w:w="992" w:type="pct"/>
                  <w:tcBorders>
                    <w:top w:val="single" w:color="auto" w:sz="4" w:space="0"/>
                    <w:left w:val="single" w:color="auto" w:sz="4" w:space="0"/>
                    <w:bottom w:val="single" w:color="auto" w:sz="4" w:space="0"/>
                    <w:right w:val="single" w:color="auto" w:sz="4" w:space="0"/>
                  </w:tcBorders>
                  <w:vAlign w:val="center"/>
                </w:tcPr>
                <w:p w14:paraId="70CA75CB">
                  <w:pPr>
                    <w:widowControl w:val="0"/>
                    <w:adjustRightInd w:val="0"/>
                    <w:snapToGrid w:val="0"/>
                    <w:jc w:val="center"/>
                    <w:rPr>
                      <w:bCs/>
                      <w:szCs w:val="21"/>
                    </w:rPr>
                  </w:pPr>
                  <w:r>
                    <w:t>5t</w:t>
                  </w:r>
                </w:p>
              </w:tc>
              <w:tc>
                <w:tcPr>
                  <w:tcW w:w="887" w:type="pct"/>
                  <w:vAlign w:val="center"/>
                </w:tcPr>
                <w:p w14:paraId="2215EA07">
                  <w:pPr>
                    <w:widowControl w:val="0"/>
                    <w:adjustRightInd w:val="0"/>
                    <w:snapToGrid w:val="0"/>
                    <w:jc w:val="center"/>
                    <w:rPr>
                      <w:bCs/>
                      <w:szCs w:val="21"/>
                    </w:rPr>
                  </w:pPr>
                  <w:r>
                    <w:rPr>
                      <w:rFonts w:hint="eastAsia"/>
                      <w:bCs/>
                      <w:szCs w:val="21"/>
                      <w:lang w:val="en-US" w:eastAsia="zh-CN"/>
                    </w:rPr>
                    <w:t>5</w:t>
                  </w:r>
                  <w:r>
                    <w:rPr>
                      <w:rFonts w:hint="eastAsia"/>
                      <w:bCs/>
                      <w:szCs w:val="21"/>
                    </w:rPr>
                    <w:t>t</w:t>
                  </w:r>
                </w:p>
              </w:tc>
              <w:tc>
                <w:tcPr>
                  <w:tcW w:w="941" w:type="pct"/>
                  <w:vAlign w:val="center"/>
                </w:tcPr>
                <w:p w14:paraId="3DBFDCFE">
                  <w:pPr>
                    <w:widowControl w:val="0"/>
                    <w:adjustRightInd w:val="0"/>
                    <w:snapToGrid w:val="0"/>
                    <w:jc w:val="center"/>
                    <w:rPr>
                      <w:bCs/>
                      <w:szCs w:val="21"/>
                    </w:rPr>
                  </w:pPr>
                  <w:r>
                    <w:t>25kg/盒</w:t>
                  </w:r>
                </w:p>
              </w:tc>
              <w:tc>
                <w:tcPr>
                  <w:tcW w:w="744" w:type="pct"/>
                  <w:tcBorders>
                    <w:top w:val="single" w:color="auto" w:sz="4" w:space="0"/>
                    <w:left w:val="single" w:color="auto" w:sz="4" w:space="0"/>
                    <w:bottom w:val="single" w:color="auto" w:sz="4" w:space="0"/>
                    <w:right w:val="single" w:color="auto" w:sz="4" w:space="0"/>
                  </w:tcBorders>
                  <w:vAlign w:val="center"/>
                </w:tcPr>
                <w:p w14:paraId="048DDCEF">
                  <w:pPr>
                    <w:widowControl w:val="0"/>
                    <w:adjustRightInd w:val="0"/>
                    <w:snapToGrid w:val="0"/>
                    <w:jc w:val="center"/>
                    <w:rPr>
                      <w:bCs/>
                      <w:szCs w:val="21"/>
                    </w:rPr>
                  </w:pPr>
                  <w:r>
                    <w:t>0.1</w:t>
                  </w:r>
                </w:p>
              </w:tc>
            </w:tr>
            <w:tr w14:paraId="1401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23EFB6B2">
                  <w:pPr>
                    <w:widowControl w:val="0"/>
                    <w:adjustRightInd w:val="0"/>
                    <w:snapToGrid w:val="0"/>
                    <w:jc w:val="center"/>
                    <w:rPr>
                      <w:bCs/>
                      <w:szCs w:val="21"/>
                    </w:rPr>
                  </w:pPr>
                  <w:r>
                    <w:rPr>
                      <w:rFonts w:hint="eastAsia"/>
                      <w:bCs/>
                      <w:szCs w:val="21"/>
                    </w:rPr>
                    <w:t>6</w:t>
                  </w:r>
                </w:p>
              </w:tc>
              <w:tc>
                <w:tcPr>
                  <w:tcW w:w="1008" w:type="pct"/>
                  <w:tcBorders>
                    <w:top w:val="single" w:color="auto" w:sz="4" w:space="0"/>
                    <w:left w:val="single" w:color="auto" w:sz="4" w:space="0"/>
                    <w:bottom w:val="single" w:color="auto" w:sz="4" w:space="0"/>
                    <w:right w:val="single" w:color="auto" w:sz="4" w:space="0"/>
                  </w:tcBorders>
                  <w:vAlign w:val="center"/>
                </w:tcPr>
                <w:p w14:paraId="3E40949E">
                  <w:pPr>
                    <w:widowControl w:val="0"/>
                    <w:adjustRightInd w:val="0"/>
                    <w:snapToGrid w:val="0"/>
                    <w:jc w:val="center"/>
                    <w:rPr>
                      <w:bCs/>
                      <w:szCs w:val="21"/>
                    </w:rPr>
                  </w:pPr>
                  <w:r>
                    <w:t>塑粉</w:t>
                  </w:r>
                </w:p>
              </w:tc>
              <w:tc>
                <w:tcPr>
                  <w:tcW w:w="992" w:type="pct"/>
                  <w:tcBorders>
                    <w:top w:val="single" w:color="auto" w:sz="4" w:space="0"/>
                    <w:left w:val="single" w:color="auto" w:sz="4" w:space="0"/>
                    <w:bottom w:val="single" w:color="auto" w:sz="4" w:space="0"/>
                    <w:right w:val="single" w:color="auto" w:sz="4" w:space="0"/>
                  </w:tcBorders>
                  <w:vAlign w:val="center"/>
                </w:tcPr>
                <w:p w14:paraId="4E9255F4">
                  <w:pPr>
                    <w:widowControl w:val="0"/>
                    <w:adjustRightInd w:val="0"/>
                    <w:snapToGrid w:val="0"/>
                    <w:jc w:val="center"/>
                    <w:rPr>
                      <w:bCs/>
                      <w:szCs w:val="21"/>
                    </w:rPr>
                  </w:pPr>
                  <w:r>
                    <w:t>69.525t</w:t>
                  </w:r>
                </w:p>
              </w:tc>
              <w:tc>
                <w:tcPr>
                  <w:tcW w:w="887" w:type="pct"/>
                  <w:vAlign w:val="center"/>
                </w:tcPr>
                <w:p w14:paraId="5EF84256">
                  <w:pPr>
                    <w:widowControl w:val="0"/>
                    <w:adjustRightInd w:val="0"/>
                    <w:snapToGrid w:val="0"/>
                    <w:jc w:val="center"/>
                    <w:rPr>
                      <w:bCs/>
                      <w:szCs w:val="21"/>
                    </w:rPr>
                  </w:pPr>
                  <w:r>
                    <w:t>69.525t</w:t>
                  </w:r>
                </w:p>
              </w:tc>
              <w:tc>
                <w:tcPr>
                  <w:tcW w:w="941" w:type="pct"/>
                  <w:vAlign w:val="center"/>
                </w:tcPr>
                <w:p w14:paraId="7515CF21">
                  <w:pPr>
                    <w:widowControl w:val="0"/>
                    <w:adjustRightInd w:val="0"/>
                    <w:snapToGrid w:val="0"/>
                    <w:jc w:val="center"/>
                    <w:rPr>
                      <w:bCs/>
                      <w:szCs w:val="21"/>
                    </w:rPr>
                  </w:pPr>
                  <w:r>
                    <w:t>20kg/箱</w:t>
                  </w:r>
                </w:p>
              </w:tc>
              <w:tc>
                <w:tcPr>
                  <w:tcW w:w="744" w:type="pct"/>
                  <w:tcBorders>
                    <w:top w:val="single" w:color="auto" w:sz="4" w:space="0"/>
                    <w:left w:val="single" w:color="auto" w:sz="4" w:space="0"/>
                    <w:bottom w:val="single" w:color="auto" w:sz="4" w:space="0"/>
                    <w:right w:val="single" w:color="auto" w:sz="4" w:space="0"/>
                  </w:tcBorders>
                  <w:vAlign w:val="center"/>
                </w:tcPr>
                <w:p w14:paraId="60B828C9">
                  <w:pPr>
                    <w:widowControl w:val="0"/>
                    <w:adjustRightInd w:val="0"/>
                    <w:snapToGrid w:val="0"/>
                    <w:jc w:val="center"/>
                    <w:rPr>
                      <w:bCs/>
                      <w:szCs w:val="21"/>
                    </w:rPr>
                  </w:pPr>
                  <w:r>
                    <w:t>3.0</w:t>
                  </w:r>
                </w:p>
              </w:tc>
            </w:tr>
            <w:tr w14:paraId="5AC5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1BA4A7F9">
                  <w:pPr>
                    <w:widowControl w:val="0"/>
                    <w:adjustRightInd w:val="0"/>
                    <w:snapToGrid w:val="0"/>
                    <w:jc w:val="center"/>
                    <w:rPr>
                      <w:bCs/>
                      <w:szCs w:val="21"/>
                    </w:rPr>
                  </w:pPr>
                  <w:r>
                    <w:rPr>
                      <w:rFonts w:hint="eastAsia"/>
                      <w:bCs/>
                      <w:szCs w:val="21"/>
                    </w:rPr>
                    <w:t>7</w:t>
                  </w:r>
                </w:p>
              </w:tc>
              <w:tc>
                <w:tcPr>
                  <w:tcW w:w="1008" w:type="pct"/>
                  <w:tcBorders>
                    <w:top w:val="single" w:color="auto" w:sz="4" w:space="0"/>
                    <w:left w:val="single" w:color="auto" w:sz="4" w:space="0"/>
                    <w:bottom w:val="single" w:color="auto" w:sz="4" w:space="0"/>
                    <w:right w:val="single" w:color="auto" w:sz="4" w:space="0"/>
                  </w:tcBorders>
                  <w:vAlign w:val="center"/>
                </w:tcPr>
                <w:p w14:paraId="16CCB12F">
                  <w:pPr>
                    <w:widowControl w:val="0"/>
                    <w:adjustRightInd w:val="0"/>
                    <w:snapToGrid w:val="0"/>
                    <w:jc w:val="center"/>
                    <w:rPr>
                      <w:bCs/>
                      <w:szCs w:val="21"/>
                    </w:rPr>
                  </w:pPr>
                  <w:r>
                    <w:t>环氧面漆</w:t>
                  </w:r>
                </w:p>
              </w:tc>
              <w:tc>
                <w:tcPr>
                  <w:tcW w:w="992" w:type="pct"/>
                  <w:tcBorders>
                    <w:top w:val="single" w:color="auto" w:sz="4" w:space="0"/>
                    <w:left w:val="single" w:color="auto" w:sz="4" w:space="0"/>
                    <w:bottom w:val="single" w:color="auto" w:sz="4" w:space="0"/>
                    <w:right w:val="single" w:color="auto" w:sz="4" w:space="0"/>
                  </w:tcBorders>
                  <w:vAlign w:val="center"/>
                </w:tcPr>
                <w:p w14:paraId="45B6149E">
                  <w:pPr>
                    <w:widowControl w:val="0"/>
                    <w:adjustRightInd w:val="0"/>
                    <w:snapToGrid w:val="0"/>
                    <w:jc w:val="center"/>
                    <w:rPr>
                      <w:bCs/>
                      <w:szCs w:val="21"/>
                    </w:rPr>
                  </w:pPr>
                  <w:r>
                    <w:t>4.3151t</w:t>
                  </w:r>
                </w:p>
              </w:tc>
              <w:tc>
                <w:tcPr>
                  <w:tcW w:w="887" w:type="pct"/>
                  <w:vAlign w:val="center"/>
                </w:tcPr>
                <w:p w14:paraId="7541C23E">
                  <w:pPr>
                    <w:widowControl w:val="0"/>
                    <w:adjustRightInd w:val="0"/>
                    <w:snapToGrid w:val="0"/>
                    <w:jc w:val="center"/>
                    <w:rPr>
                      <w:bCs/>
                      <w:szCs w:val="21"/>
                    </w:rPr>
                  </w:pPr>
                  <w:r>
                    <w:t>4.3151t</w:t>
                  </w:r>
                </w:p>
              </w:tc>
              <w:tc>
                <w:tcPr>
                  <w:tcW w:w="941" w:type="pct"/>
                  <w:vAlign w:val="center"/>
                </w:tcPr>
                <w:p w14:paraId="76C5C459">
                  <w:pPr>
                    <w:widowControl w:val="0"/>
                    <w:adjustRightInd w:val="0"/>
                    <w:snapToGrid w:val="0"/>
                    <w:jc w:val="center"/>
                    <w:rPr>
                      <w:bCs/>
                      <w:szCs w:val="21"/>
                    </w:rPr>
                  </w:pPr>
                  <w:r>
                    <w:rPr>
                      <w:spacing w:val="8"/>
                      <w:position w:val="3"/>
                    </w:rPr>
                    <w:t>20</w:t>
                  </w:r>
                  <w:r>
                    <w:rPr>
                      <w:position w:val="3"/>
                    </w:rPr>
                    <w:t>kg</w:t>
                  </w:r>
                  <w:r>
                    <w:rPr>
                      <w:spacing w:val="8"/>
                      <w:position w:val="3"/>
                    </w:rPr>
                    <w:t>/桶</w:t>
                  </w:r>
                </w:p>
              </w:tc>
              <w:tc>
                <w:tcPr>
                  <w:tcW w:w="744" w:type="pct"/>
                  <w:tcBorders>
                    <w:top w:val="single" w:color="auto" w:sz="4" w:space="0"/>
                    <w:left w:val="single" w:color="auto" w:sz="4" w:space="0"/>
                    <w:bottom w:val="single" w:color="auto" w:sz="4" w:space="0"/>
                    <w:right w:val="single" w:color="auto" w:sz="4" w:space="0"/>
                  </w:tcBorders>
                  <w:vAlign w:val="center"/>
                </w:tcPr>
                <w:p w14:paraId="1C0A860B">
                  <w:pPr>
                    <w:widowControl w:val="0"/>
                    <w:adjustRightInd w:val="0"/>
                    <w:snapToGrid w:val="0"/>
                    <w:jc w:val="center"/>
                    <w:rPr>
                      <w:bCs/>
                      <w:szCs w:val="21"/>
                    </w:rPr>
                  </w:pPr>
                  <w:r>
                    <w:t>0.2</w:t>
                  </w:r>
                </w:p>
              </w:tc>
            </w:tr>
            <w:tr w14:paraId="4B7A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531B85DF">
                  <w:pPr>
                    <w:widowControl w:val="0"/>
                    <w:adjustRightInd w:val="0"/>
                    <w:snapToGrid w:val="0"/>
                    <w:jc w:val="center"/>
                    <w:rPr>
                      <w:bCs/>
                      <w:szCs w:val="21"/>
                    </w:rPr>
                  </w:pPr>
                  <w:r>
                    <w:rPr>
                      <w:rFonts w:hint="eastAsia"/>
                      <w:bCs/>
                      <w:szCs w:val="21"/>
                    </w:rPr>
                    <w:t>8</w:t>
                  </w:r>
                </w:p>
              </w:tc>
              <w:tc>
                <w:tcPr>
                  <w:tcW w:w="1008" w:type="pct"/>
                  <w:tcBorders>
                    <w:top w:val="single" w:color="auto" w:sz="4" w:space="0"/>
                    <w:left w:val="single" w:color="auto" w:sz="4" w:space="0"/>
                    <w:bottom w:val="single" w:color="auto" w:sz="4" w:space="0"/>
                    <w:right w:val="single" w:color="auto" w:sz="4" w:space="0"/>
                  </w:tcBorders>
                  <w:vAlign w:val="center"/>
                </w:tcPr>
                <w:p w14:paraId="61EB9600">
                  <w:pPr>
                    <w:widowControl w:val="0"/>
                    <w:adjustRightInd w:val="0"/>
                    <w:snapToGrid w:val="0"/>
                    <w:jc w:val="center"/>
                    <w:rPr>
                      <w:bCs/>
                      <w:szCs w:val="21"/>
                    </w:rPr>
                  </w:pPr>
                  <w:r>
                    <w:t>环氧底漆</w:t>
                  </w:r>
                </w:p>
              </w:tc>
              <w:tc>
                <w:tcPr>
                  <w:tcW w:w="992" w:type="pct"/>
                  <w:tcBorders>
                    <w:top w:val="single" w:color="auto" w:sz="4" w:space="0"/>
                    <w:left w:val="single" w:color="auto" w:sz="4" w:space="0"/>
                    <w:bottom w:val="single" w:color="auto" w:sz="4" w:space="0"/>
                    <w:right w:val="single" w:color="auto" w:sz="4" w:space="0"/>
                  </w:tcBorders>
                  <w:vAlign w:val="center"/>
                </w:tcPr>
                <w:p w14:paraId="25E65D9C">
                  <w:pPr>
                    <w:widowControl w:val="0"/>
                    <w:adjustRightInd w:val="0"/>
                    <w:snapToGrid w:val="0"/>
                    <w:jc w:val="center"/>
                    <w:rPr>
                      <w:bCs/>
                      <w:szCs w:val="21"/>
                    </w:rPr>
                  </w:pPr>
                  <w:r>
                    <w:t>3.3905t</w:t>
                  </w:r>
                </w:p>
              </w:tc>
              <w:tc>
                <w:tcPr>
                  <w:tcW w:w="887" w:type="pct"/>
                  <w:vAlign w:val="center"/>
                </w:tcPr>
                <w:p w14:paraId="11A1FAD3">
                  <w:pPr>
                    <w:widowControl w:val="0"/>
                    <w:adjustRightInd w:val="0"/>
                    <w:snapToGrid w:val="0"/>
                    <w:jc w:val="center"/>
                    <w:rPr>
                      <w:bCs/>
                      <w:szCs w:val="21"/>
                    </w:rPr>
                  </w:pPr>
                  <w:r>
                    <w:t>3.3905t</w:t>
                  </w:r>
                </w:p>
              </w:tc>
              <w:tc>
                <w:tcPr>
                  <w:tcW w:w="941" w:type="pct"/>
                  <w:vAlign w:val="center"/>
                </w:tcPr>
                <w:p w14:paraId="0E201944">
                  <w:pPr>
                    <w:widowControl w:val="0"/>
                    <w:adjustRightInd w:val="0"/>
                    <w:snapToGrid w:val="0"/>
                    <w:jc w:val="center"/>
                    <w:rPr>
                      <w:bCs/>
                      <w:szCs w:val="21"/>
                    </w:rPr>
                  </w:pPr>
                  <w:r>
                    <w:rPr>
                      <w:spacing w:val="8"/>
                      <w:position w:val="3"/>
                    </w:rPr>
                    <w:t>20</w:t>
                  </w:r>
                  <w:r>
                    <w:rPr>
                      <w:position w:val="3"/>
                    </w:rPr>
                    <w:t>kg</w:t>
                  </w:r>
                  <w:r>
                    <w:rPr>
                      <w:spacing w:val="8"/>
                      <w:position w:val="3"/>
                    </w:rPr>
                    <w:t>/桶</w:t>
                  </w:r>
                </w:p>
              </w:tc>
              <w:tc>
                <w:tcPr>
                  <w:tcW w:w="744" w:type="pct"/>
                  <w:tcBorders>
                    <w:top w:val="single" w:color="auto" w:sz="4" w:space="0"/>
                    <w:left w:val="single" w:color="auto" w:sz="4" w:space="0"/>
                    <w:bottom w:val="single" w:color="auto" w:sz="4" w:space="0"/>
                    <w:right w:val="single" w:color="auto" w:sz="4" w:space="0"/>
                  </w:tcBorders>
                  <w:vAlign w:val="center"/>
                </w:tcPr>
                <w:p w14:paraId="00760A6B">
                  <w:pPr>
                    <w:widowControl w:val="0"/>
                    <w:adjustRightInd w:val="0"/>
                    <w:snapToGrid w:val="0"/>
                    <w:jc w:val="center"/>
                    <w:rPr>
                      <w:bCs/>
                      <w:szCs w:val="21"/>
                    </w:rPr>
                  </w:pPr>
                  <w:r>
                    <w:t>0.1</w:t>
                  </w:r>
                </w:p>
              </w:tc>
            </w:tr>
            <w:tr w14:paraId="5C81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2E014AD9">
                  <w:pPr>
                    <w:widowControl w:val="0"/>
                    <w:adjustRightInd w:val="0"/>
                    <w:snapToGrid w:val="0"/>
                    <w:jc w:val="center"/>
                    <w:rPr>
                      <w:bCs/>
                      <w:szCs w:val="21"/>
                    </w:rPr>
                  </w:pPr>
                  <w:r>
                    <w:rPr>
                      <w:rFonts w:hint="eastAsia"/>
                      <w:bCs/>
                      <w:szCs w:val="21"/>
                    </w:rPr>
                    <w:t>9</w:t>
                  </w:r>
                </w:p>
              </w:tc>
              <w:tc>
                <w:tcPr>
                  <w:tcW w:w="1008" w:type="pct"/>
                  <w:tcBorders>
                    <w:top w:val="single" w:color="auto" w:sz="4" w:space="0"/>
                    <w:left w:val="single" w:color="auto" w:sz="4" w:space="0"/>
                    <w:bottom w:val="single" w:color="auto" w:sz="4" w:space="0"/>
                    <w:right w:val="single" w:color="auto" w:sz="4" w:space="0"/>
                  </w:tcBorders>
                  <w:vAlign w:val="center"/>
                </w:tcPr>
                <w:p w14:paraId="02A1239A">
                  <w:pPr>
                    <w:widowControl w:val="0"/>
                    <w:adjustRightInd w:val="0"/>
                    <w:snapToGrid w:val="0"/>
                    <w:jc w:val="center"/>
                    <w:rPr>
                      <w:bCs/>
                      <w:szCs w:val="21"/>
                    </w:rPr>
                  </w:pPr>
                  <w:r>
                    <w:t>稀释剂</w:t>
                  </w:r>
                </w:p>
              </w:tc>
              <w:tc>
                <w:tcPr>
                  <w:tcW w:w="992" w:type="pct"/>
                  <w:tcBorders>
                    <w:top w:val="single" w:color="auto" w:sz="4" w:space="0"/>
                    <w:left w:val="single" w:color="auto" w:sz="4" w:space="0"/>
                    <w:bottom w:val="single" w:color="auto" w:sz="4" w:space="0"/>
                    <w:right w:val="single" w:color="auto" w:sz="4" w:space="0"/>
                  </w:tcBorders>
                  <w:vAlign w:val="center"/>
                </w:tcPr>
                <w:p w14:paraId="7ADF8A55">
                  <w:pPr>
                    <w:widowControl w:val="0"/>
                    <w:adjustRightInd w:val="0"/>
                    <w:snapToGrid w:val="0"/>
                    <w:jc w:val="center"/>
                    <w:rPr>
                      <w:bCs/>
                      <w:szCs w:val="21"/>
                    </w:rPr>
                  </w:pPr>
                  <w:r>
                    <w:t>1.3095t</w:t>
                  </w:r>
                </w:p>
              </w:tc>
              <w:tc>
                <w:tcPr>
                  <w:tcW w:w="887" w:type="pct"/>
                  <w:vAlign w:val="center"/>
                </w:tcPr>
                <w:p w14:paraId="6CCAD258">
                  <w:pPr>
                    <w:widowControl w:val="0"/>
                    <w:adjustRightInd w:val="0"/>
                    <w:snapToGrid w:val="0"/>
                    <w:jc w:val="center"/>
                    <w:rPr>
                      <w:bCs/>
                      <w:szCs w:val="21"/>
                    </w:rPr>
                  </w:pPr>
                  <w:r>
                    <w:t>1.3095t</w:t>
                  </w:r>
                </w:p>
              </w:tc>
              <w:tc>
                <w:tcPr>
                  <w:tcW w:w="941" w:type="pct"/>
                  <w:vAlign w:val="center"/>
                </w:tcPr>
                <w:p w14:paraId="3BF4674A">
                  <w:pPr>
                    <w:widowControl w:val="0"/>
                    <w:adjustRightInd w:val="0"/>
                    <w:snapToGrid w:val="0"/>
                    <w:jc w:val="center"/>
                    <w:rPr>
                      <w:bCs/>
                      <w:szCs w:val="21"/>
                    </w:rPr>
                  </w:pPr>
                  <w:r>
                    <w:t>20kg/桶</w:t>
                  </w:r>
                </w:p>
              </w:tc>
              <w:tc>
                <w:tcPr>
                  <w:tcW w:w="744" w:type="pct"/>
                  <w:tcBorders>
                    <w:top w:val="single" w:color="auto" w:sz="4" w:space="0"/>
                    <w:left w:val="single" w:color="auto" w:sz="4" w:space="0"/>
                    <w:bottom w:val="single" w:color="auto" w:sz="4" w:space="0"/>
                    <w:right w:val="single" w:color="auto" w:sz="4" w:space="0"/>
                  </w:tcBorders>
                  <w:vAlign w:val="center"/>
                </w:tcPr>
                <w:p w14:paraId="2A2B5C53">
                  <w:pPr>
                    <w:widowControl w:val="0"/>
                    <w:adjustRightInd w:val="0"/>
                    <w:snapToGrid w:val="0"/>
                    <w:jc w:val="center"/>
                    <w:rPr>
                      <w:bCs/>
                      <w:szCs w:val="21"/>
                    </w:rPr>
                  </w:pPr>
                  <w:r>
                    <w:t>5</w:t>
                  </w:r>
                </w:p>
              </w:tc>
            </w:tr>
            <w:tr w14:paraId="15EB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72D17540">
                  <w:pPr>
                    <w:widowControl w:val="0"/>
                    <w:adjustRightInd w:val="0"/>
                    <w:snapToGrid w:val="0"/>
                    <w:jc w:val="center"/>
                    <w:rPr>
                      <w:bCs/>
                      <w:szCs w:val="21"/>
                    </w:rPr>
                  </w:pPr>
                  <w:r>
                    <w:rPr>
                      <w:rFonts w:hint="eastAsia"/>
                      <w:bCs/>
                      <w:szCs w:val="21"/>
                    </w:rPr>
                    <w:t>10</w:t>
                  </w:r>
                </w:p>
              </w:tc>
              <w:tc>
                <w:tcPr>
                  <w:tcW w:w="1008" w:type="pct"/>
                  <w:tcBorders>
                    <w:top w:val="single" w:color="auto" w:sz="4" w:space="0"/>
                    <w:left w:val="single" w:color="auto" w:sz="4" w:space="0"/>
                    <w:bottom w:val="single" w:color="auto" w:sz="4" w:space="0"/>
                    <w:right w:val="single" w:color="auto" w:sz="4" w:space="0"/>
                  </w:tcBorders>
                  <w:vAlign w:val="center"/>
                </w:tcPr>
                <w:p w14:paraId="688C0FD5">
                  <w:pPr>
                    <w:widowControl w:val="0"/>
                    <w:adjustRightInd w:val="0"/>
                    <w:snapToGrid w:val="0"/>
                    <w:jc w:val="center"/>
                    <w:rPr>
                      <w:bCs/>
                      <w:szCs w:val="21"/>
                    </w:rPr>
                  </w:pPr>
                  <w:r>
                    <w:t>电</w:t>
                  </w:r>
                </w:p>
              </w:tc>
              <w:tc>
                <w:tcPr>
                  <w:tcW w:w="992" w:type="pct"/>
                  <w:tcBorders>
                    <w:top w:val="single" w:color="auto" w:sz="4" w:space="0"/>
                    <w:left w:val="single" w:color="auto" w:sz="4" w:space="0"/>
                    <w:bottom w:val="single" w:color="auto" w:sz="4" w:space="0"/>
                    <w:right w:val="single" w:color="auto" w:sz="4" w:space="0"/>
                  </w:tcBorders>
                  <w:vAlign w:val="center"/>
                </w:tcPr>
                <w:p w14:paraId="60485AAF">
                  <w:pPr>
                    <w:widowControl w:val="0"/>
                    <w:adjustRightInd w:val="0"/>
                    <w:snapToGrid w:val="0"/>
                    <w:jc w:val="center"/>
                    <w:rPr>
                      <w:bCs/>
                      <w:szCs w:val="21"/>
                    </w:rPr>
                  </w:pPr>
                  <w:r>
                    <w:t>100万kwh/a</w:t>
                  </w:r>
                </w:p>
              </w:tc>
              <w:tc>
                <w:tcPr>
                  <w:tcW w:w="887" w:type="pct"/>
                  <w:vAlign w:val="center"/>
                </w:tcPr>
                <w:p w14:paraId="52CBD286">
                  <w:pPr>
                    <w:widowControl w:val="0"/>
                    <w:adjustRightInd w:val="0"/>
                    <w:snapToGrid w:val="0"/>
                    <w:jc w:val="center"/>
                    <w:rPr>
                      <w:bCs/>
                      <w:szCs w:val="21"/>
                    </w:rPr>
                  </w:pPr>
                  <w:r>
                    <w:t>100万kwh/a</w:t>
                  </w:r>
                </w:p>
              </w:tc>
              <w:tc>
                <w:tcPr>
                  <w:tcW w:w="941" w:type="pct"/>
                  <w:vAlign w:val="center"/>
                </w:tcPr>
                <w:p w14:paraId="70584E8C">
                  <w:pPr>
                    <w:widowControl w:val="0"/>
                    <w:adjustRightInd w:val="0"/>
                    <w:snapToGrid w:val="0"/>
                    <w:jc w:val="center"/>
                    <w:rPr>
                      <w:bCs/>
                      <w:szCs w:val="21"/>
                    </w:rPr>
                  </w:pPr>
                  <w:r>
                    <w:t>/</w:t>
                  </w:r>
                </w:p>
              </w:tc>
              <w:tc>
                <w:tcPr>
                  <w:tcW w:w="744" w:type="pct"/>
                  <w:tcBorders>
                    <w:top w:val="single" w:color="auto" w:sz="4" w:space="0"/>
                    <w:left w:val="single" w:color="auto" w:sz="4" w:space="0"/>
                    <w:bottom w:val="single" w:color="auto" w:sz="4" w:space="0"/>
                    <w:right w:val="single" w:color="auto" w:sz="4" w:space="0"/>
                  </w:tcBorders>
                  <w:vAlign w:val="center"/>
                </w:tcPr>
                <w:p w14:paraId="06CA31F8">
                  <w:pPr>
                    <w:widowControl w:val="0"/>
                    <w:adjustRightInd w:val="0"/>
                    <w:snapToGrid w:val="0"/>
                    <w:jc w:val="center"/>
                    <w:rPr>
                      <w:bCs/>
                      <w:szCs w:val="21"/>
                    </w:rPr>
                  </w:pPr>
                  <w:r>
                    <w:t>/</w:t>
                  </w:r>
                </w:p>
              </w:tc>
            </w:tr>
            <w:tr w14:paraId="75EB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0F5159D0">
                  <w:pPr>
                    <w:widowControl w:val="0"/>
                    <w:adjustRightInd w:val="0"/>
                    <w:snapToGrid w:val="0"/>
                    <w:jc w:val="center"/>
                    <w:rPr>
                      <w:bCs/>
                      <w:szCs w:val="21"/>
                    </w:rPr>
                  </w:pPr>
                  <w:r>
                    <w:rPr>
                      <w:rFonts w:hint="eastAsia"/>
                      <w:bCs/>
                      <w:szCs w:val="21"/>
                    </w:rPr>
                    <w:t>11</w:t>
                  </w:r>
                </w:p>
              </w:tc>
              <w:tc>
                <w:tcPr>
                  <w:tcW w:w="1008" w:type="pct"/>
                  <w:tcBorders>
                    <w:top w:val="single" w:color="auto" w:sz="4" w:space="0"/>
                    <w:left w:val="single" w:color="auto" w:sz="4" w:space="0"/>
                    <w:bottom w:val="single" w:color="auto" w:sz="4" w:space="0"/>
                    <w:right w:val="single" w:color="auto" w:sz="4" w:space="0"/>
                  </w:tcBorders>
                  <w:vAlign w:val="center"/>
                </w:tcPr>
                <w:p w14:paraId="3EEF4CC4">
                  <w:pPr>
                    <w:widowControl w:val="0"/>
                    <w:adjustRightInd w:val="0"/>
                    <w:snapToGrid w:val="0"/>
                    <w:jc w:val="center"/>
                    <w:rPr>
                      <w:bCs/>
                      <w:szCs w:val="21"/>
                    </w:rPr>
                  </w:pPr>
                  <w:r>
                    <w:t>丙烷</w:t>
                  </w:r>
                </w:p>
              </w:tc>
              <w:tc>
                <w:tcPr>
                  <w:tcW w:w="992" w:type="pct"/>
                  <w:tcBorders>
                    <w:top w:val="single" w:color="auto" w:sz="4" w:space="0"/>
                    <w:left w:val="single" w:color="auto" w:sz="4" w:space="0"/>
                    <w:bottom w:val="single" w:color="auto" w:sz="4" w:space="0"/>
                    <w:right w:val="single" w:color="auto" w:sz="4" w:space="0"/>
                  </w:tcBorders>
                  <w:vAlign w:val="center"/>
                </w:tcPr>
                <w:p w14:paraId="7D60CAA0">
                  <w:pPr>
                    <w:widowControl w:val="0"/>
                    <w:adjustRightInd w:val="0"/>
                    <w:snapToGrid w:val="0"/>
                    <w:jc w:val="center"/>
                  </w:pPr>
                  <w:r>
                    <w:t>28t</w:t>
                  </w:r>
                </w:p>
              </w:tc>
              <w:tc>
                <w:tcPr>
                  <w:tcW w:w="887" w:type="pct"/>
                  <w:vAlign w:val="center"/>
                </w:tcPr>
                <w:p w14:paraId="054A4AA6">
                  <w:pPr>
                    <w:widowControl w:val="0"/>
                    <w:adjustRightInd w:val="0"/>
                    <w:snapToGrid w:val="0"/>
                    <w:jc w:val="center"/>
                    <w:rPr>
                      <w:bCs/>
                      <w:szCs w:val="21"/>
                    </w:rPr>
                  </w:pPr>
                  <w:r>
                    <w:t>28t</w:t>
                  </w:r>
                </w:p>
              </w:tc>
              <w:tc>
                <w:tcPr>
                  <w:tcW w:w="941" w:type="pct"/>
                  <w:vAlign w:val="center"/>
                </w:tcPr>
                <w:p w14:paraId="0E1E72C9">
                  <w:pPr>
                    <w:widowControl w:val="0"/>
                    <w:adjustRightInd w:val="0"/>
                    <w:snapToGrid w:val="0"/>
                    <w:jc w:val="center"/>
                    <w:rPr>
                      <w:bCs/>
                      <w:szCs w:val="21"/>
                    </w:rPr>
                  </w:pPr>
                  <w:r>
                    <w:t>50kg/罐</w:t>
                  </w:r>
                </w:p>
              </w:tc>
              <w:tc>
                <w:tcPr>
                  <w:tcW w:w="744" w:type="pct"/>
                  <w:tcBorders>
                    <w:top w:val="single" w:color="auto" w:sz="4" w:space="0"/>
                    <w:left w:val="single" w:color="auto" w:sz="4" w:space="0"/>
                    <w:bottom w:val="single" w:color="auto" w:sz="4" w:space="0"/>
                    <w:right w:val="single" w:color="auto" w:sz="4" w:space="0"/>
                  </w:tcBorders>
                  <w:vAlign w:val="center"/>
                </w:tcPr>
                <w:p w14:paraId="41265080">
                  <w:pPr>
                    <w:widowControl w:val="0"/>
                    <w:adjustRightInd w:val="0"/>
                    <w:snapToGrid w:val="0"/>
                    <w:jc w:val="center"/>
                    <w:rPr>
                      <w:bCs/>
                      <w:szCs w:val="21"/>
                    </w:rPr>
                  </w:pPr>
                  <w:r>
                    <w:t>0.5</w:t>
                  </w:r>
                </w:p>
              </w:tc>
            </w:tr>
            <w:tr w14:paraId="7C2C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pct"/>
                  <w:vAlign w:val="center"/>
                </w:tcPr>
                <w:p w14:paraId="58B54065">
                  <w:pPr>
                    <w:widowControl w:val="0"/>
                    <w:adjustRightInd w:val="0"/>
                    <w:snapToGrid w:val="0"/>
                    <w:jc w:val="center"/>
                    <w:rPr>
                      <w:bCs/>
                      <w:szCs w:val="21"/>
                    </w:rPr>
                  </w:pPr>
                  <w:r>
                    <w:rPr>
                      <w:rFonts w:hint="eastAsia"/>
                      <w:bCs/>
                      <w:szCs w:val="21"/>
                    </w:rPr>
                    <w:t>12</w:t>
                  </w:r>
                </w:p>
              </w:tc>
              <w:tc>
                <w:tcPr>
                  <w:tcW w:w="1008" w:type="pct"/>
                  <w:tcBorders>
                    <w:top w:val="single" w:color="auto" w:sz="4" w:space="0"/>
                    <w:left w:val="single" w:color="auto" w:sz="4" w:space="0"/>
                    <w:bottom w:val="single" w:color="auto" w:sz="4" w:space="0"/>
                    <w:right w:val="single" w:color="auto" w:sz="4" w:space="0"/>
                  </w:tcBorders>
                  <w:vAlign w:val="center"/>
                </w:tcPr>
                <w:p w14:paraId="3C744838">
                  <w:pPr>
                    <w:widowControl w:val="0"/>
                    <w:adjustRightInd w:val="0"/>
                    <w:snapToGrid w:val="0"/>
                    <w:jc w:val="center"/>
                    <w:rPr>
                      <w:bCs/>
                      <w:szCs w:val="21"/>
                    </w:rPr>
                  </w:pPr>
                  <w:r>
                    <w:rPr>
                      <w:bCs/>
                      <w:szCs w:val="21"/>
                    </w:rPr>
                    <w:t>水</w:t>
                  </w:r>
                </w:p>
              </w:tc>
              <w:tc>
                <w:tcPr>
                  <w:tcW w:w="992" w:type="pct"/>
                  <w:tcBorders>
                    <w:top w:val="single" w:color="auto" w:sz="4" w:space="0"/>
                    <w:left w:val="single" w:color="auto" w:sz="4" w:space="0"/>
                    <w:bottom w:val="single" w:color="auto" w:sz="4" w:space="0"/>
                    <w:right w:val="single" w:color="auto" w:sz="4" w:space="0"/>
                  </w:tcBorders>
                  <w:vAlign w:val="center"/>
                </w:tcPr>
                <w:p w14:paraId="54036AE7">
                  <w:pPr>
                    <w:widowControl w:val="0"/>
                    <w:adjustRightInd w:val="0"/>
                    <w:snapToGrid w:val="0"/>
                    <w:jc w:val="center"/>
                  </w:pPr>
                  <w:r>
                    <w:t>10000</w:t>
                  </w:r>
                  <w:r>
                    <w:rPr>
                      <w:rFonts w:hint="eastAsia"/>
                    </w:rPr>
                    <w:t>t</w:t>
                  </w:r>
                </w:p>
              </w:tc>
              <w:tc>
                <w:tcPr>
                  <w:tcW w:w="887" w:type="pct"/>
                  <w:vAlign w:val="center"/>
                </w:tcPr>
                <w:p w14:paraId="2229029A">
                  <w:pPr>
                    <w:widowControl w:val="0"/>
                    <w:adjustRightInd w:val="0"/>
                    <w:snapToGrid w:val="0"/>
                    <w:jc w:val="center"/>
                    <w:rPr>
                      <w:bCs/>
                      <w:szCs w:val="21"/>
                    </w:rPr>
                  </w:pPr>
                  <w:r>
                    <w:t>10000</w:t>
                  </w:r>
                  <w:r>
                    <w:rPr>
                      <w:rFonts w:hint="eastAsia"/>
                    </w:rPr>
                    <w:t>t</w:t>
                  </w:r>
                </w:p>
              </w:tc>
              <w:tc>
                <w:tcPr>
                  <w:tcW w:w="941" w:type="pct"/>
                  <w:vAlign w:val="center"/>
                </w:tcPr>
                <w:p w14:paraId="1A5589E4">
                  <w:pPr>
                    <w:widowControl w:val="0"/>
                    <w:adjustRightInd w:val="0"/>
                    <w:snapToGrid w:val="0"/>
                    <w:jc w:val="center"/>
                    <w:rPr>
                      <w:bCs/>
                      <w:szCs w:val="21"/>
                    </w:rPr>
                  </w:pPr>
                  <w:r>
                    <w:t>/</w:t>
                  </w:r>
                </w:p>
              </w:tc>
              <w:tc>
                <w:tcPr>
                  <w:tcW w:w="744" w:type="pct"/>
                  <w:tcBorders>
                    <w:top w:val="single" w:color="auto" w:sz="4" w:space="0"/>
                    <w:left w:val="single" w:color="auto" w:sz="4" w:space="0"/>
                    <w:bottom w:val="single" w:color="auto" w:sz="4" w:space="0"/>
                    <w:right w:val="single" w:color="auto" w:sz="4" w:space="0"/>
                  </w:tcBorders>
                  <w:vAlign w:val="center"/>
                </w:tcPr>
                <w:p w14:paraId="5E97AF4A">
                  <w:pPr>
                    <w:widowControl w:val="0"/>
                    <w:adjustRightInd w:val="0"/>
                    <w:snapToGrid w:val="0"/>
                    <w:jc w:val="center"/>
                    <w:rPr>
                      <w:bCs/>
                      <w:szCs w:val="21"/>
                    </w:rPr>
                  </w:pPr>
                  <w:r>
                    <w:t>/</w:t>
                  </w:r>
                </w:p>
              </w:tc>
            </w:tr>
          </w:tbl>
          <w:p w14:paraId="286DEDFC">
            <w:pPr>
              <w:widowControl w:val="0"/>
              <w:adjustRightInd w:val="0"/>
              <w:snapToGrid w:val="0"/>
              <w:spacing w:line="360" w:lineRule="auto"/>
              <w:ind w:firstLine="480" w:firstLineChars="200"/>
              <w:rPr>
                <w:sz w:val="24"/>
              </w:rPr>
            </w:pPr>
          </w:p>
        </w:tc>
      </w:tr>
      <w:tr w14:paraId="23517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42" w:type="dxa"/>
            <w:tcBorders>
              <w:tl2br w:val="nil"/>
              <w:tr2bl w:val="nil"/>
            </w:tcBorders>
          </w:tcPr>
          <w:p w14:paraId="3470C194">
            <w:pPr>
              <w:widowControl w:val="0"/>
              <w:adjustRightInd w:val="0"/>
              <w:snapToGrid w:val="0"/>
              <w:spacing w:line="360" w:lineRule="auto"/>
              <w:ind w:right="-172" w:firstLine="480" w:firstLineChars="200"/>
              <w:rPr>
                <w:sz w:val="24"/>
              </w:rPr>
            </w:pPr>
            <w:r>
              <w:rPr>
                <w:rFonts w:hint="eastAsia"/>
                <w:sz w:val="24"/>
              </w:rPr>
              <w:t>2、水平衡</w:t>
            </w:r>
          </w:p>
          <w:p w14:paraId="64BF10D2">
            <w:pPr>
              <w:widowControl w:val="0"/>
              <w:adjustRightInd w:val="0"/>
              <w:snapToGrid w:val="0"/>
              <w:spacing w:line="360" w:lineRule="auto"/>
              <w:ind w:firstLine="480" w:firstLineChars="200"/>
              <w:rPr>
                <w:sz w:val="24"/>
              </w:rPr>
            </w:pPr>
            <w:r>
              <w:rPr>
                <w:rFonts w:hint="eastAsia"/>
                <w:sz w:val="24"/>
              </w:rPr>
              <w:t>项目废水主要为生活用水、生产废水。</w:t>
            </w:r>
          </w:p>
          <w:p w14:paraId="10F54220">
            <w:pPr>
              <w:widowControl w:val="0"/>
              <w:adjustRightInd w:val="0"/>
              <w:snapToGrid w:val="0"/>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本次验收项目生活污水产生量为</w:t>
            </w:r>
            <w:r>
              <w:rPr>
                <w:rFonts w:hint="eastAsia"/>
                <w:bCs/>
                <w:color w:val="000000" w:themeColor="text1"/>
                <w:sz w:val="24"/>
                <w14:textFill>
                  <w14:solidFill>
                    <w14:schemeClr w14:val="tx1"/>
                  </w14:solidFill>
                </w14:textFill>
              </w:rPr>
              <w:t>900</w:t>
            </w:r>
            <w:r>
              <w:rPr>
                <w:bCs/>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生活污水经隔油池、化粪池预处理；生产废水经过厂区自建的</w:t>
            </w:r>
            <w:r>
              <w:rPr>
                <w:rFonts w:hint="eastAsia"/>
                <w:color w:val="000000" w:themeColor="text1"/>
                <w:sz w:val="24"/>
                <w14:textFill>
                  <w14:solidFill>
                    <w14:schemeClr w14:val="tx1"/>
                  </w14:solidFill>
                </w14:textFill>
              </w:rPr>
              <w:t>三级沉淀池</w:t>
            </w:r>
            <w:r>
              <w:rPr>
                <w:color w:val="000000" w:themeColor="text1"/>
                <w:sz w:val="24"/>
                <w14:textFill>
                  <w14:solidFill>
                    <w14:schemeClr w14:val="tx1"/>
                  </w14:solidFill>
                </w14:textFill>
              </w:rPr>
              <w:t>预处理</w:t>
            </w:r>
            <w:r>
              <w:rPr>
                <w:rFonts w:hint="eastAsia"/>
                <w:color w:val="000000" w:themeColor="text1"/>
                <w:sz w:val="24"/>
                <w14:textFill>
                  <w14:solidFill>
                    <w14:schemeClr w14:val="tx1"/>
                  </w14:solidFill>
                </w14:textFill>
              </w:rPr>
              <w:t>后回用于生产。</w:t>
            </w:r>
          </w:p>
          <w:p w14:paraId="2BF68671">
            <w:pPr>
              <w:widowControl w:val="0"/>
              <w:adjustRightInd w:val="0"/>
              <w:snapToGrid w:val="0"/>
              <w:spacing w:line="360" w:lineRule="auto"/>
              <w:ind w:firstLine="420" w:firstLineChars="200"/>
              <w:rPr>
                <w:sz w:val="24"/>
              </w:rPr>
            </w:pPr>
            <w:r>
              <w:rPr>
                <w:rFonts w:hint="eastAsia"/>
              </w:rPr>
              <w:object>
                <v:shape id="_x0000_i1025" o:spt="75" type="#_x0000_t75" style="height:199.65pt;width:447.0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14:paraId="2B905519">
            <w:pPr>
              <w:widowControl w:val="0"/>
              <w:spacing w:line="360" w:lineRule="auto"/>
              <w:ind w:right="-172" w:firstLine="420" w:firstLineChars="200"/>
              <w:jc w:val="center"/>
              <w:rPr>
                <w:b/>
                <w:bCs/>
                <w:sz w:val="24"/>
                <w:szCs w:val="24"/>
              </w:rPr>
            </w:pPr>
            <w:r>
              <w:drawing>
                <wp:inline distT="0" distB="0" distL="114300" distR="114300">
                  <wp:extent cx="0" cy="0"/>
                  <wp:effectExtent l="0" t="0" r="0"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rPr>
                <w:rFonts w:hint="eastAsia"/>
                <w:b/>
                <w:bCs/>
                <w:sz w:val="24"/>
                <w:szCs w:val="24"/>
              </w:rPr>
              <w:t>图 2-1 水平衡图（t/d）</w:t>
            </w:r>
          </w:p>
          <w:p w14:paraId="5B1D74D3">
            <w:pPr>
              <w:widowControl w:val="0"/>
              <w:spacing w:line="360" w:lineRule="auto"/>
              <w:ind w:right="-172" w:firstLine="482"/>
              <w:rPr>
                <w:b/>
                <w:bCs/>
                <w:sz w:val="24"/>
                <w:szCs w:val="24"/>
              </w:rPr>
            </w:pPr>
            <w:r>
              <w:rPr>
                <w:rFonts w:hint="eastAsia"/>
                <w:b/>
                <w:bCs/>
                <w:sz w:val="24"/>
                <w:szCs w:val="24"/>
              </w:rPr>
              <w:t>9、主要工艺流程及产污环节：</w:t>
            </w:r>
          </w:p>
          <w:p w14:paraId="1417AD34">
            <w:pPr>
              <w:pStyle w:val="24"/>
              <w:widowControl w:val="0"/>
              <w:ind w:left="0" w:leftChars="0" w:right="-172" w:firstLine="0" w:firstLineChars="0"/>
              <w:rPr>
                <w:b/>
                <w:bCs/>
                <w:sz w:val="24"/>
                <w:szCs w:val="24"/>
              </w:rPr>
            </w:pPr>
            <w:r>
              <w:rPr>
                <w:rFonts w:hint="eastAsia"/>
                <w:b/>
                <w:bCs/>
                <w:sz w:val="24"/>
                <w:szCs w:val="24"/>
              </w:rPr>
              <w:t>1.环评设计阶段生产工艺流程</w:t>
            </w:r>
          </w:p>
          <w:p w14:paraId="6B5C629A">
            <w:pPr>
              <w:widowControl w:val="0"/>
              <w:adjustRightInd w:val="0"/>
              <w:snapToGrid w:val="0"/>
              <w:spacing w:line="360" w:lineRule="auto"/>
              <w:ind w:firstLine="480" w:firstLineChars="200"/>
              <w:rPr>
                <w:sz w:val="24"/>
              </w:rPr>
            </w:pPr>
            <w:r>
              <w:rPr>
                <w:sz w:val="24"/>
              </w:rPr>
              <w:t>建设单位投资年产400万件新能源汽车电池零部件（主要包括背板、连杆、机械配件A、B各100万件），具体工序如下</w:t>
            </w:r>
            <w:r>
              <w:rPr>
                <w:rFonts w:hint="eastAsia"/>
                <w:sz w:val="24"/>
              </w:rPr>
              <w:t>：</w:t>
            </w:r>
          </w:p>
          <w:p w14:paraId="523FAF6C">
            <w:pPr>
              <w:keepNext/>
              <w:keepLines/>
              <w:widowControl w:val="0"/>
              <w:autoSpaceDE w:val="0"/>
              <w:autoSpaceDN w:val="0"/>
              <w:adjustRightInd w:val="0"/>
              <w:spacing w:line="360" w:lineRule="auto"/>
              <w:ind w:firstLine="482"/>
              <w:jc w:val="left"/>
              <w:outlineLvl w:val="1"/>
              <w:rPr>
                <w:b/>
                <w:color w:val="000000"/>
                <w:kern w:val="0"/>
                <w:sz w:val="24"/>
                <w:szCs w:val="24"/>
              </w:rPr>
            </w:pPr>
            <w:r>
              <w:rPr>
                <w:rFonts w:ascii="宋体" w:hAnsi="宋体"/>
                <w:b/>
                <w:bCs/>
                <w:color w:val="000000"/>
                <w:kern w:val="0"/>
                <w:sz w:val="24"/>
                <w:szCs w:val="24"/>
              </w:rPr>
              <w:t>（</w:t>
            </w:r>
            <w:r>
              <w:rPr>
                <w:b/>
                <w:bCs/>
                <w:color w:val="000000"/>
                <w:kern w:val="0"/>
                <w:sz w:val="24"/>
                <w:szCs w:val="24"/>
              </w:rPr>
              <w:t>1</w:t>
            </w:r>
            <w:r>
              <w:rPr>
                <w:rFonts w:ascii="宋体" w:hAnsi="宋体"/>
                <w:b/>
                <w:bCs/>
                <w:color w:val="000000"/>
                <w:kern w:val="0"/>
                <w:sz w:val="24"/>
                <w:szCs w:val="24"/>
              </w:rPr>
              <w:t>）连杆生产工艺流程</w:t>
            </w:r>
          </w:p>
          <w:p w14:paraId="70399746">
            <w:pPr>
              <w:widowControl w:val="0"/>
              <w:adjustRightInd w:val="0"/>
              <w:snapToGrid w:val="0"/>
              <w:spacing w:line="360" w:lineRule="auto"/>
              <w:ind w:firstLine="420"/>
              <w:rPr>
                <w:szCs w:val="21"/>
              </w:rPr>
            </w:pPr>
            <w:r>
              <w:rPr>
                <w:rFonts w:hint="eastAsia" w:ascii="宋体" w:hAnsi="宋体" w:cs="宋体"/>
                <w:szCs w:val="21"/>
              </w:rPr>
              <w:drawing>
                <wp:inline distT="0" distB="0" distL="0" distR="0">
                  <wp:extent cx="5805805" cy="6866890"/>
                  <wp:effectExtent l="0" t="0" r="0" b="0"/>
                  <wp:docPr id="16798902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0246"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5805" cy="6866890"/>
                          </a:xfrm>
                          <a:prstGeom prst="rect">
                            <a:avLst/>
                          </a:prstGeom>
                          <a:noFill/>
                          <a:ln>
                            <a:noFill/>
                          </a:ln>
                        </pic:spPr>
                      </pic:pic>
                    </a:graphicData>
                  </a:graphic>
                </wp:inline>
              </w:drawing>
            </w:r>
          </w:p>
          <w:p w14:paraId="6C6D5ED9">
            <w:pPr>
              <w:widowControl w:val="0"/>
              <w:adjustRightInd w:val="0"/>
              <w:snapToGrid w:val="0"/>
              <w:spacing w:line="360" w:lineRule="auto"/>
              <w:ind w:firstLine="482" w:firstLineChars="200"/>
              <w:jc w:val="center"/>
              <w:rPr>
                <w:sz w:val="24"/>
                <w:szCs w:val="24"/>
              </w:rPr>
            </w:pPr>
            <w:r>
              <w:rPr>
                <w:rFonts w:ascii="宋体" w:hAnsi="宋体"/>
                <w:b/>
                <w:sz w:val="24"/>
                <w:szCs w:val="24"/>
              </w:rPr>
              <w:t>图</w:t>
            </w:r>
            <w:r>
              <w:rPr>
                <w:rFonts w:hint="eastAsia" w:ascii="宋体" w:hAnsi="宋体"/>
                <w:b/>
                <w:sz w:val="24"/>
                <w:szCs w:val="24"/>
              </w:rPr>
              <w:t>2-2</w:t>
            </w:r>
            <w:r>
              <w:rPr>
                <w:b/>
                <w:sz w:val="24"/>
                <w:szCs w:val="24"/>
              </w:rPr>
              <w:t xml:space="preserve">  </w:t>
            </w:r>
            <w:r>
              <w:rPr>
                <w:rFonts w:ascii="宋体" w:hAnsi="宋体"/>
                <w:b/>
                <w:sz w:val="24"/>
                <w:szCs w:val="24"/>
              </w:rPr>
              <w:t>连杆的生产工艺流程及产污节点图</w:t>
            </w:r>
          </w:p>
          <w:p w14:paraId="3ADCA5F1">
            <w:pPr>
              <w:keepNext/>
              <w:keepLines/>
              <w:widowControl w:val="0"/>
              <w:autoSpaceDE w:val="0"/>
              <w:autoSpaceDN w:val="0"/>
              <w:adjustRightInd w:val="0"/>
              <w:spacing w:line="360" w:lineRule="auto"/>
              <w:ind w:firstLine="482"/>
              <w:jc w:val="left"/>
              <w:outlineLvl w:val="1"/>
              <w:rPr>
                <w:b/>
                <w:bCs/>
                <w:color w:val="000000"/>
                <w:kern w:val="0"/>
                <w:sz w:val="24"/>
                <w:szCs w:val="24"/>
              </w:rPr>
            </w:pPr>
            <w:r>
              <w:rPr>
                <w:rFonts w:ascii="宋体" w:hAnsi="宋体"/>
                <w:b/>
                <w:bCs/>
                <w:color w:val="000000"/>
                <w:kern w:val="0"/>
                <w:sz w:val="24"/>
                <w:szCs w:val="24"/>
              </w:rPr>
              <w:t>（</w:t>
            </w:r>
            <w:r>
              <w:rPr>
                <w:b/>
                <w:bCs/>
                <w:color w:val="000000"/>
                <w:kern w:val="0"/>
                <w:sz w:val="24"/>
                <w:szCs w:val="24"/>
              </w:rPr>
              <w:t>1.1</w:t>
            </w:r>
            <w:r>
              <w:rPr>
                <w:rFonts w:ascii="宋体" w:hAnsi="宋体"/>
                <w:b/>
                <w:bCs/>
                <w:color w:val="000000"/>
                <w:kern w:val="0"/>
                <w:sz w:val="24"/>
                <w:szCs w:val="24"/>
              </w:rPr>
              <w:t>）生产工艺流程说明</w:t>
            </w:r>
          </w:p>
          <w:p w14:paraId="3DD6D2D0">
            <w:pPr>
              <w:widowControl w:val="0"/>
              <w:snapToGrid w:val="0"/>
              <w:spacing w:line="360" w:lineRule="auto"/>
              <w:ind w:firstLine="480" w:firstLineChars="200"/>
              <w:rPr>
                <w:b/>
                <w:bCs/>
                <w:kern w:val="0"/>
                <w:sz w:val="24"/>
                <w:szCs w:val="24"/>
                <w:u w:val="single"/>
              </w:rPr>
            </w:pPr>
            <w:r>
              <w:rPr>
                <w:rFonts w:hint="eastAsia" w:ascii="宋体" w:hAnsi="宋体" w:cs="宋体"/>
                <w:kern w:val="0"/>
                <w:sz w:val="24"/>
                <w:szCs w:val="24"/>
              </w:rPr>
              <w:t>①</w:t>
            </w:r>
            <w:r>
              <w:rPr>
                <w:rFonts w:ascii="宋体" w:hAnsi="宋体"/>
                <w:kern w:val="0"/>
                <w:sz w:val="24"/>
                <w:szCs w:val="24"/>
              </w:rPr>
              <w:t>下料：通过车床将外购回来的铁件按照图纸尺寸要求进行下料。该工序会产生：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75623B3E">
            <w:pPr>
              <w:widowControl w:val="0"/>
              <w:adjustRightInd w:val="0"/>
              <w:snapToGrid w:val="0"/>
              <w:spacing w:line="360" w:lineRule="auto"/>
              <w:ind w:firstLine="480"/>
              <w:rPr>
                <w:bCs/>
                <w:kern w:val="0"/>
                <w:sz w:val="24"/>
                <w:szCs w:val="24"/>
              </w:rPr>
            </w:pPr>
            <w:r>
              <w:rPr>
                <w:rFonts w:hint="eastAsia" w:ascii="宋体" w:hAnsi="宋体" w:cs="宋体"/>
                <w:bCs/>
                <w:kern w:val="0"/>
                <w:sz w:val="24"/>
                <w:szCs w:val="24"/>
              </w:rPr>
              <w:t>②</w:t>
            </w:r>
            <w:r>
              <w:rPr>
                <w:rFonts w:ascii="宋体" w:hAnsi="宋体"/>
                <w:bCs/>
                <w:kern w:val="0"/>
                <w:sz w:val="24"/>
                <w:szCs w:val="24"/>
              </w:rPr>
              <w:t>机加工：下料工件根据工艺图纸进行加工中心粗加工，轴类零件粗车完后，再用</w:t>
            </w:r>
            <w:r>
              <w:rPr>
                <w:bCs/>
                <w:kern w:val="0"/>
                <w:sz w:val="24"/>
                <w:szCs w:val="24"/>
              </w:rPr>
              <w:t>CNC</w:t>
            </w:r>
            <w:r>
              <w:rPr>
                <w:rFonts w:ascii="宋体" w:hAnsi="宋体"/>
                <w:bCs/>
                <w:kern w:val="0"/>
                <w:sz w:val="24"/>
                <w:szCs w:val="24"/>
              </w:rPr>
              <w:t>加工中心进行精加工，最后成型。</w:t>
            </w:r>
            <w:r>
              <w:rPr>
                <w:rFonts w:ascii="宋体" w:hAnsi="宋体"/>
                <w:kern w:val="0"/>
                <w:sz w:val="24"/>
                <w:szCs w:val="24"/>
              </w:rPr>
              <w:t>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5487B6E1">
            <w:pPr>
              <w:widowControl w:val="0"/>
              <w:adjustRightInd w:val="0"/>
              <w:snapToGrid w:val="0"/>
              <w:spacing w:line="360" w:lineRule="auto"/>
              <w:ind w:firstLine="480"/>
              <w:rPr>
                <w:kern w:val="0"/>
                <w:sz w:val="24"/>
                <w:szCs w:val="24"/>
              </w:rPr>
            </w:pPr>
            <w:r>
              <w:rPr>
                <w:rFonts w:hint="eastAsia" w:ascii="宋体" w:hAnsi="宋体" w:cs="宋体"/>
                <w:bCs/>
                <w:kern w:val="0"/>
                <w:sz w:val="24"/>
                <w:szCs w:val="24"/>
              </w:rPr>
              <w:t>③</w:t>
            </w:r>
            <w:r>
              <w:rPr>
                <w:rFonts w:ascii="宋体" w:hAnsi="宋体"/>
                <w:bCs/>
                <w:kern w:val="0"/>
                <w:sz w:val="24"/>
                <w:szCs w:val="24"/>
              </w:rPr>
              <w:t>镗制：利用镗床根据图纸进行镗制工序。</w:t>
            </w:r>
            <w:r>
              <w:rPr>
                <w:rFonts w:ascii="宋体" w:hAnsi="宋体"/>
                <w:kern w:val="0"/>
                <w:sz w:val="24"/>
                <w:szCs w:val="24"/>
              </w:rPr>
              <w:t>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757FAB3B">
            <w:pPr>
              <w:widowControl w:val="0"/>
              <w:adjustRightInd w:val="0"/>
              <w:snapToGrid w:val="0"/>
              <w:spacing w:line="360" w:lineRule="auto"/>
              <w:ind w:firstLine="480"/>
              <w:rPr>
                <w:kern w:val="0"/>
                <w:sz w:val="24"/>
                <w:szCs w:val="24"/>
              </w:rPr>
            </w:pPr>
            <w:r>
              <w:rPr>
                <w:rFonts w:hint="eastAsia" w:ascii="宋体" w:hAnsi="宋体" w:cs="宋体"/>
                <w:kern w:val="0"/>
                <w:sz w:val="24"/>
                <w:szCs w:val="24"/>
              </w:rPr>
              <w:t>④</w:t>
            </w:r>
            <w:r>
              <w:rPr>
                <w:rFonts w:ascii="宋体" w:hAnsi="宋体"/>
                <w:kern w:val="0"/>
                <w:sz w:val="24"/>
                <w:szCs w:val="24"/>
              </w:rPr>
              <w:t>钻孔：利用摇臂钻</w:t>
            </w:r>
            <w:r>
              <w:rPr>
                <w:rFonts w:ascii="宋体" w:hAnsi="宋体"/>
                <w:bCs/>
                <w:kern w:val="0"/>
                <w:sz w:val="24"/>
                <w:szCs w:val="24"/>
              </w:rPr>
              <w:t>根据图纸进行钻孔。</w:t>
            </w:r>
            <w:r>
              <w:rPr>
                <w:rFonts w:ascii="宋体" w:hAnsi="宋体"/>
                <w:kern w:val="0"/>
                <w:sz w:val="24"/>
                <w:szCs w:val="24"/>
              </w:rPr>
              <w:t>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3DD8D9F0">
            <w:pPr>
              <w:widowControl w:val="0"/>
              <w:snapToGrid w:val="0"/>
              <w:spacing w:line="360" w:lineRule="auto"/>
              <w:ind w:firstLine="480" w:firstLineChars="200"/>
              <w:rPr>
                <w:kern w:val="0"/>
                <w:sz w:val="24"/>
                <w:szCs w:val="24"/>
              </w:rPr>
            </w:pPr>
            <w:r>
              <w:rPr>
                <w:rFonts w:hint="eastAsia" w:ascii="宋体" w:hAnsi="宋体" w:cs="宋体"/>
                <w:bCs/>
                <w:kern w:val="0"/>
                <w:sz w:val="24"/>
                <w:szCs w:val="24"/>
              </w:rPr>
              <w:t>⑤</w:t>
            </w:r>
            <w:r>
              <w:rPr>
                <w:rFonts w:ascii="宋体" w:hAnsi="宋体"/>
                <w:bCs/>
                <w:kern w:val="0"/>
                <w:sz w:val="24"/>
                <w:szCs w:val="24"/>
              </w:rPr>
              <w:t>抛丸、砂修：</w:t>
            </w:r>
            <w:r>
              <w:rPr>
                <w:rFonts w:ascii="宋体" w:hAnsi="宋体"/>
                <w:kern w:val="0"/>
                <w:sz w:val="24"/>
                <w:szCs w:val="24"/>
              </w:rPr>
              <w:t>使用抛丸机和砂修机对工件表面进行打磨，去除工件表面的氧化皮等杂质。该工序会产生：</w:t>
            </w:r>
            <w:r>
              <w:rPr>
                <w:kern w:val="0"/>
                <w:sz w:val="24"/>
                <w:szCs w:val="24"/>
              </w:rPr>
              <w:t>G1-1:</w:t>
            </w:r>
            <w:r>
              <w:rPr>
                <w:rFonts w:ascii="宋体" w:hAnsi="宋体"/>
                <w:kern w:val="0"/>
                <w:sz w:val="24"/>
                <w:szCs w:val="24"/>
              </w:rPr>
              <w:t>抛丸、砂修粉尘，</w:t>
            </w:r>
            <w:r>
              <w:rPr>
                <w:kern w:val="0"/>
                <w:sz w:val="24"/>
                <w:szCs w:val="24"/>
              </w:rPr>
              <w:t>S1-4</w:t>
            </w:r>
            <w:r>
              <w:rPr>
                <w:rFonts w:ascii="宋体" w:hAnsi="宋体"/>
                <w:kern w:val="0"/>
                <w:sz w:val="24"/>
                <w:szCs w:val="24"/>
              </w:rPr>
              <w:t>：废钢丸。</w:t>
            </w:r>
          </w:p>
          <w:p w14:paraId="432DAE6B">
            <w:pPr>
              <w:widowControl w:val="0"/>
              <w:snapToGrid w:val="0"/>
              <w:spacing w:line="360" w:lineRule="auto"/>
              <w:ind w:firstLine="480" w:firstLineChars="200"/>
              <w:rPr>
                <w:kern w:val="0"/>
                <w:sz w:val="24"/>
                <w:szCs w:val="24"/>
              </w:rPr>
            </w:pPr>
            <w:r>
              <w:rPr>
                <w:rFonts w:hint="eastAsia" w:ascii="宋体" w:hAnsi="宋体" w:cs="宋体"/>
                <w:kern w:val="0"/>
                <w:sz w:val="24"/>
                <w:szCs w:val="24"/>
              </w:rPr>
              <w:t>⑥</w:t>
            </w:r>
            <w:r>
              <w:rPr>
                <w:rFonts w:ascii="宋体" w:hAnsi="宋体"/>
                <w:kern w:val="0"/>
                <w:sz w:val="24"/>
                <w:szCs w:val="24"/>
              </w:rPr>
              <w:t>上挂：抛丸后的工件人工上挂，悬挂链输送</w:t>
            </w:r>
            <w:r>
              <w:rPr>
                <w:kern w:val="0"/>
                <w:sz w:val="24"/>
                <w:szCs w:val="24"/>
              </w:rPr>
              <w:t>.</w:t>
            </w:r>
          </w:p>
          <w:p w14:paraId="4A891DBB">
            <w:pPr>
              <w:widowControl w:val="0"/>
              <w:snapToGrid w:val="0"/>
              <w:spacing w:line="360" w:lineRule="auto"/>
              <w:ind w:firstLine="480" w:firstLineChars="200"/>
              <w:rPr>
                <w:kern w:val="0"/>
                <w:sz w:val="24"/>
                <w:szCs w:val="24"/>
              </w:rPr>
            </w:pPr>
            <w:r>
              <w:rPr>
                <w:rFonts w:hint="eastAsia" w:ascii="宋体" w:hAnsi="宋体" w:cs="宋体"/>
                <w:kern w:val="0"/>
                <w:sz w:val="24"/>
                <w:szCs w:val="24"/>
              </w:rPr>
              <w:t>⑦</w:t>
            </w:r>
            <w:r>
              <w:rPr>
                <w:rFonts w:ascii="宋体" w:hAnsi="宋体"/>
                <w:kern w:val="0"/>
                <w:sz w:val="24"/>
                <w:szCs w:val="24"/>
              </w:rPr>
              <w:t>调漆：建设项目将外购的环氧底漆、环氧面漆、稀释剂按照</w:t>
            </w:r>
            <w:r>
              <w:rPr>
                <w:kern w:val="0"/>
                <w:sz w:val="24"/>
                <w:szCs w:val="24"/>
              </w:rPr>
              <w:t>10</w:t>
            </w:r>
            <w:r>
              <w:rPr>
                <w:rFonts w:ascii="宋体" w:hAnsi="宋体"/>
                <w:kern w:val="0"/>
                <w:sz w:val="24"/>
                <w:szCs w:val="24"/>
              </w:rPr>
              <w:t>：</w:t>
            </w:r>
            <w:r>
              <w:rPr>
                <w:kern w:val="0"/>
                <w:sz w:val="24"/>
                <w:szCs w:val="24"/>
              </w:rPr>
              <w:t>2</w:t>
            </w:r>
            <w:r>
              <w:rPr>
                <w:rFonts w:ascii="宋体" w:hAnsi="宋体"/>
                <w:kern w:val="0"/>
                <w:sz w:val="24"/>
                <w:szCs w:val="24"/>
              </w:rPr>
              <w:t>和</w:t>
            </w:r>
            <w:r>
              <w:rPr>
                <w:kern w:val="0"/>
                <w:sz w:val="24"/>
                <w:szCs w:val="24"/>
              </w:rPr>
              <w:t>10</w:t>
            </w:r>
            <w:r>
              <w:rPr>
                <w:rFonts w:ascii="宋体" w:hAnsi="宋体"/>
                <w:kern w:val="0"/>
                <w:sz w:val="24"/>
                <w:szCs w:val="24"/>
              </w:rPr>
              <w:t>：</w:t>
            </w:r>
            <w:r>
              <w:rPr>
                <w:kern w:val="0"/>
                <w:sz w:val="24"/>
                <w:szCs w:val="24"/>
              </w:rPr>
              <w:t>1</w:t>
            </w:r>
            <w:r>
              <w:rPr>
                <w:rFonts w:ascii="宋体" w:hAnsi="宋体"/>
                <w:kern w:val="0"/>
                <w:sz w:val="24"/>
                <w:szCs w:val="24"/>
              </w:rPr>
              <w:t>的比例进行人工调漆，为喷漆工序做准备，调漆工序在密闭的喷漆房（</w:t>
            </w:r>
            <w:r>
              <w:rPr>
                <w:kern w:val="0"/>
                <w:sz w:val="24"/>
                <w:szCs w:val="24"/>
              </w:rPr>
              <w:t>12m*10m*3m</w:t>
            </w:r>
            <w:r>
              <w:rPr>
                <w:rFonts w:ascii="宋体" w:hAnsi="宋体"/>
                <w:kern w:val="0"/>
                <w:sz w:val="24"/>
                <w:szCs w:val="24"/>
              </w:rPr>
              <w:t>）进行，不单独设置调漆房。该工序会产生：</w:t>
            </w:r>
            <w:r>
              <w:rPr>
                <w:kern w:val="0"/>
                <w:sz w:val="24"/>
                <w:szCs w:val="24"/>
              </w:rPr>
              <w:t>G1-2</w:t>
            </w:r>
            <w:r>
              <w:rPr>
                <w:rFonts w:ascii="宋体" w:hAnsi="宋体"/>
                <w:kern w:val="0"/>
                <w:sz w:val="24"/>
                <w:szCs w:val="24"/>
              </w:rPr>
              <w:t>：调漆废气，</w:t>
            </w:r>
            <w:r>
              <w:rPr>
                <w:kern w:val="0"/>
                <w:sz w:val="24"/>
                <w:szCs w:val="24"/>
              </w:rPr>
              <w:t>S1-6</w:t>
            </w:r>
            <w:r>
              <w:rPr>
                <w:rFonts w:ascii="宋体" w:hAnsi="宋体"/>
                <w:kern w:val="0"/>
                <w:sz w:val="24"/>
                <w:szCs w:val="24"/>
              </w:rPr>
              <w:t>：废包装桶</w:t>
            </w:r>
          </w:p>
          <w:p w14:paraId="09466721">
            <w:pPr>
              <w:widowControl w:val="0"/>
              <w:snapToGrid w:val="0"/>
              <w:spacing w:line="360" w:lineRule="auto"/>
              <w:ind w:firstLine="480" w:firstLineChars="200"/>
              <w:rPr>
                <w:kern w:val="0"/>
                <w:sz w:val="24"/>
                <w:szCs w:val="24"/>
              </w:rPr>
            </w:pPr>
            <w:r>
              <w:rPr>
                <w:rFonts w:hint="eastAsia" w:ascii="宋体" w:hAnsi="宋体" w:cs="宋体"/>
                <w:kern w:val="0"/>
                <w:sz w:val="24"/>
                <w:szCs w:val="24"/>
              </w:rPr>
              <w:t>⑧</w:t>
            </w:r>
            <w:r>
              <w:rPr>
                <w:rFonts w:ascii="宋体" w:hAnsi="宋体"/>
                <w:kern w:val="0"/>
                <w:sz w:val="24"/>
                <w:szCs w:val="24"/>
              </w:rPr>
              <w:t>喷底漆、流平烘干：采用吸上式喷枪对工件进行机器人喷涂，为湿式喷涂，吸上式喷枪的涂料罐位于喷枪的下部，涂料喷嘴一般较空气帽的中心孔稍向前凸出，压缩空气从空气帽中心孔，即涂料喷嘴的周围喷出，在涂料喷嘴的前端形成负压，将涂料从涂料罐内吸出并雾化。喷嘴口径</w:t>
            </w:r>
            <w:r>
              <w:rPr>
                <w:kern w:val="0"/>
                <w:sz w:val="24"/>
                <w:szCs w:val="24"/>
              </w:rPr>
              <w:t>1.3mm</w:t>
            </w:r>
            <w:r>
              <w:rPr>
                <w:rFonts w:ascii="宋体" w:hAnsi="宋体"/>
                <w:kern w:val="0"/>
                <w:sz w:val="24"/>
                <w:szCs w:val="24"/>
              </w:rPr>
              <w:t>，喷涂距离约为</w:t>
            </w:r>
            <w:r>
              <w:rPr>
                <w:kern w:val="0"/>
                <w:sz w:val="24"/>
                <w:szCs w:val="24"/>
              </w:rPr>
              <w:t>200mm</w:t>
            </w:r>
            <w:r>
              <w:rPr>
                <w:rFonts w:ascii="宋体" w:hAnsi="宋体"/>
                <w:kern w:val="0"/>
                <w:sz w:val="24"/>
                <w:szCs w:val="24"/>
              </w:rPr>
              <w:t>，涂料最大喷出量为</w:t>
            </w:r>
            <w:r>
              <w:rPr>
                <w:kern w:val="0"/>
                <w:sz w:val="24"/>
                <w:szCs w:val="24"/>
              </w:rPr>
              <w:t>300mL/min</w:t>
            </w:r>
            <w:r>
              <w:rPr>
                <w:rFonts w:ascii="宋体" w:hAnsi="宋体"/>
                <w:kern w:val="0"/>
                <w:sz w:val="24"/>
                <w:szCs w:val="24"/>
              </w:rPr>
              <w:t>，喷涂厚度约为</w:t>
            </w:r>
            <w:r>
              <w:rPr>
                <w:kern w:val="0"/>
                <w:sz w:val="24"/>
                <w:szCs w:val="24"/>
              </w:rPr>
              <w:t>40μm</w:t>
            </w:r>
            <w:r>
              <w:rPr>
                <w:rFonts w:ascii="宋体" w:hAnsi="宋体"/>
                <w:kern w:val="0"/>
                <w:sz w:val="24"/>
                <w:szCs w:val="24"/>
              </w:rPr>
              <w:t>，喷涂的过程中会产生漆雾，一部分收集至废气装置处理，一部分散落在喷漆房内形成漆渣。底漆喷涂完成后，工件随喷漆线进入流平烘干通道进行烘干。烘干道长</w:t>
            </w:r>
            <w:r>
              <w:rPr>
                <w:kern w:val="0"/>
                <w:sz w:val="24"/>
                <w:szCs w:val="24"/>
              </w:rPr>
              <w:t>90</w:t>
            </w:r>
            <w:r>
              <w:rPr>
                <w:rFonts w:ascii="宋体" w:hAnsi="宋体"/>
                <w:kern w:val="0"/>
                <w:sz w:val="24"/>
                <w:szCs w:val="24"/>
              </w:rPr>
              <w:t>米，加热温度在</w:t>
            </w:r>
            <w:r>
              <w:rPr>
                <w:kern w:val="0"/>
                <w:sz w:val="24"/>
                <w:szCs w:val="24"/>
              </w:rPr>
              <w:t>55-100℃</w:t>
            </w:r>
            <w:r>
              <w:rPr>
                <w:rFonts w:ascii="宋体" w:hAnsi="宋体"/>
                <w:kern w:val="0"/>
                <w:sz w:val="24"/>
                <w:szCs w:val="24"/>
              </w:rPr>
              <w:t>，</w:t>
            </w:r>
            <w:bookmarkStart w:id="6" w:name="OLE_LINK5"/>
            <w:r>
              <w:rPr>
                <w:rFonts w:ascii="宋体" w:hAnsi="宋体"/>
                <w:kern w:val="0"/>
                <w:sz w:val="24"/>
                <w:szCs w:val="24"/>
              </w:rPr>
              <w:t>采</w:t>
            </w:r>
            <w:bookmarkEnd w:id="6"/>
            <w:r>
              <w:rPr>
                <w:rFonts w:hint="eastAsia" w:ascii="宋体" w:hAnsi="宋体"/>
                <w:kern w:val="0"/>
                <w:sz w:val="24"/>
                <w:szCs w:val="24"/>
              </w:rPr>
              <w:t>用</w:t>
            </w:r>
            <w:bookmarkStart w:id="7" w:name="OLE_LINK4"/>
            <w:r>
              <w:rPr>
                <w:rFonts w:hint="eastAsia" w:ascii="宋体" w:hAnsi="宋体"/>
                <w:kern w:val="0"/>
                <w:sz w:val="24"/>
                <w:szCs w:val="24"/>
              </w:rPr>
              <w:t>燃烧器燃烧</w:t>
            </w:r>
            <w:bookmarkEnd w:id="7"/>
            <w:r>
              <w:rPr>
                <w:rFonts w:hint="eastAsia" w:ascii="宋体" w:hAnsi="宋体"/>
                <w:kern w:val="0"/>
                <w:sz w:val="24"/>
                <w:szCs w:val="24"/>
              </w:rPr>
              <w:t>丙烷气体产生的</w:t>
            </w:r>
            <w:r>
              <w:rPr>
                <w:rFonts w:ascii="宋体" w:hAnsi="宋体"/>
                <w:kern w:val="0"/>
                <w:sz w:val="24"/>
                <w:szCs w:val="24"/>
              </w:rPr>
              <w:t>热风循环烘干，单次烘干时间需</w:t>
            </w:r>
            <w:r>
              <w:rPr>
                <w:kern w:val="0"/>
                <w:sz w:val="24"/>
                <w:szCs w:val="24"/>
              </w:rPr>
              <w:t>30min</w:t>
            </w:r>
            <w:r>
              <w:rPr>
                <w:rFonts w:ascii="宋体" w:hAnsi="宋体"/>
                <w:kern w:val="0"/>
                <w:sz w:val="24"/>
                <w:szCs w:val="24"/>
              </w:rPr>
              <w:t>。该工序会产生：</w:t>
            </w:r>
            <w:r>
              <w:rPr>
                <w:kern w:val="0"/>
                <w:sz w:val="24"/>
                <w:szCs w:val="24"/>
              </w:rPr>
              <w:t>S1-5</w:t>
            </w:r>
            <w:r>
              <w:rPr>
                <w:rFonts w:ascii="宋体" w:hAnsi="宋体"/>
                <w:kern w:val="0"/>
                <w:sz w:val="24"/>
                <w:szCs w:val="24"/>
              </w:rPr>
              <w:t>：漆渣，</w:t>
            </w:r>
            <w:r>
              <w:rPr>
                <w:kern w:val="0"/>
                <w:sz w:val="24"/>
                <w:szCs w:val="24"/>
              </w:rPr>
              <w:t>G1-3</w:t>
            </w:r>
            <w:r>
              <w:rPr>
                <w:rFonts w:ascii="宋体" w:hAnsi="宋体"/>
                <w:kern w:val="0"/>
                <w:sz w:val="24"/>
                <w:szCs w:val="24"/>
              </w:rPr>
              <w:t>：喷漆废气，</w:t>
            </w:r>
            <w:r>
              <w:rPr>
                <w:kern w:val="0"/>
                <w:sz w:val="24"/>
                <w:szCs w:val="24"/>
              </w:rPr>
              <w:t>G1-4</w:t>
            </w:r>
            <w:r>
              <w:rPr>
                <w:rFonts w:ascii="宋体" w:hAnsi="宋体"/>
                <w:kern w:val="0"/>
                <w:sz w:val="24"/>
                <w:szCs w:val="24"/>
              </w:rPr>
              <w:t>：烘干废气，</w:t>
            </w:r>
            <w:r>
              <w:rPr>
                <w:kern w:val="0"/>
                <w:sz w:val="24"/>
                <w:szCs w:val="24"/>
              </w:rPr>
              <w:t>G1-5</w:t>
            </w:r>
            <w:r>
              <w:rPr>
                <w:rFonts w:ascii="宋体" w:hAnsi="宋体"/>
                <w:kern w:val="0"/>
                <w:sz w:val="24"/>
                <w:szCs w:val="24"/>
              </w:rPr>
              <w:t>：丙烷燃烧废气。</w:t>
            </w:r>
          </w:p>
          <w:p w14:paraId="6CEF0872">
            <w:pPr>
              <w:widowControl w:val="0"/>
              <w:snapToGrid w:val="0"/>
              <w:spacing w:line="360" w:lineRule="auto"/>
              <w:ind w:firstLine="480" w:firstLineChars="200"/>
              <w:rPr>
                <w:kern w:val="0"/>
                <w:sz w:val="24"/>
                <w:szCs w:val="24"/>
              </w:rPr>
            </w:pPr>
            <w:r>
              <w:rPr>
                <w:rFonts w:ascii="宋体" w:hAnsi="宋体"/>
                <w:kern w:val="0"/>
                <w:sz w:val="24"/>
                <w:szCs w:val="24"/>
              </w:rPr>
              <w:t>喷面漆、流平烘干：烘干后的工件需要进行喷面漆，将完成调成后的成品漆，采用吸上式喷枪对工件进行机器人喷涂，为湿式喷涂，吸上式喷枪的涂料罐位于喷枪的下部，涂料喷嘴一般较空气帽的中心孔稍向前凸出，压缩空气从空气帽中心孔，即涂料喷嘴的周围喷出，在涂料喷嘴的前端形成负压，将涂料从涂料罐内吸出并雾化。喷嘴口径</w:t>
            </w:r>
            <w:r>
              <w:rPr>
                <w:kern w:val="0"/>
                <w:sz w:val="24"/>
                <w:szCs w:val="24"/>
              </w:rPr>
              <w:t>1.3mm</w:t>
            </w:r>
            <w:r>
              <w:rPr>
                <w:rFonts w:ascii="宋体" w:hAnsi="宋体"/>
                <w:kern w:val="0"/>
                <w:sz w:val="24"/>
                <w:szCs w:val="24"/>
              </w:rPr>
              <w:t>，喷涂距离约为</w:t>
            </w:r>
            <w:r>
              <w:rPr>
                <w:kern w:val="0"/>
                <w:sz w:val="24"/>
                <w:szCs w:val="24"/>
              </w:rPr>
              <w:t>200mm</w:t>
            </w:r>
            <w:r>
              <w:rPr>
                <w:rFonts w:ascii="宋体" w:hAnsi="宋体"/>
                <w:kern w:val="0"/>
                <w:sz w:val="24"/>
                <w:szCs w:val="24"/>
              </w:rPr>
              <w:t>，涂料最大喷出量为</w:t>
            </w:r>
            <w:r>
              <w:rPr>
                <w:kern w:val="0"/>
                <w:sz w:val="24"/>
                <w:szCs w:val="24"/>
              </w:rPr>
              <w:t>300mL/min</w:t>
            </w:r>
            <w:r>
              <w:rPr>
                <w:rFonts w:ascii="宋体" w:hAnsi="宋体"/>
                <w:kern w:val="0"/>
                <w:sz w:val="24"/>
                <w:szCs w:val="24"/>
              </w:rPr>
              <w:t>，喷涂厚度约为</w:t>
            </w:r>
            <w:r>
              <w:rPr>
                <w:kern w:val="0"/>
                <w:sz w:val="24"/>
                <w:szCs w:val="24"/>
              </w:rPr>
              <w:t>30μm</w:t>
            </w:r>
            <w:r>
              <w:rPr>
                <w:rFonts w:ascii="宋体" w:hAnsi="宋体"/>
                <w:kern w:val="0"/>
                <w:sz w:val="24"/>
                <w:szCs w:val="24"/>
              </w:rPr>
              <w:t>，喷涂的过程中会产生漆雾，一部分收集至废气装置处理，一部分散落在喷漆房内形成漆渣。面漆喷涂完成后，工件随喷漆线进入流平烘干通道进行烘干。烘干道长</w:t>
            </w:r>
            <w:r>
              <w:rPr>
                <w:kern w:val="0"/>
                <w:sz w:val="24"/>
                <w:szCs w:val="24"/>
              </w:rPr>
              <w:t>90</w:t>
            </w:r>
            <w:r>
              <w:rPr>
                <w:rFonts w:ascii="宋体" w:hAnsi="宋体"/>
                <w:kern w:val="0"/>
                <w:sz w:val="24"/>
                <w:szCs w:val="24"/>
              </w:rPr>
              <w:t>米，加热温度在</w:t>
            </w:r>
            <w:r>
              <w:rPr>
                <w:kern w:val="0"/>
                <w:sz w:val="24"/>
                <w:szCs w:val="24"/>
              </w:rPr>
              <w:t>55-100℃</w:t>
            </w:r>
            <w:r>
              <w:rPr>
                <w:rFonts w:ascii="宋体" w:hAnsi="宋体"/>
                <w:kern w:val="0"/>
                <w:sz w:val="24"/>
                <w:szCs w:val="24"/>
              </w:rPr>
              <w:t>，采</w:t>
            </w:r>
            <w:r>
              <w:rPr>
                <w:rFonts w:hint="eastAsia" w:ascii="宋体" w:hAnsi="宋体"/>
                <w:kern w:val="0"/>
                <w:sz w:val="24"/>
                <w:szCs w:val="24"/>
              </w:rPr>
              <w:t>用燃烧器燃烧丙烷气体产生的</w:t>
            </w:r>
            <w:r>
              <w:rPr>
                <w:rFonts w:ascii="宋体" w:hAnsi="宋体"/>
                <w:kern w:val="0"/>
                <w:sz w:val="24"/>
                <w:szCs w:val="24"/>
              </w:rPr>
              <w:t>热风循环烘干，单次烘干时间需</w:t>
            </w:r>
            <w:r>
              <w:rPr>
                <w:kern w:val="0"/>
                <w:sz w:val="24"/>
                <w:szCs w:val="24"/>
              </w:rPr>
              <w:t>30min</w:t>
            </w:r>
            <w:r>
              <w:rPr>
                <w:rFonts w:ascii="宋体" w:hAnsi="宋体"/>
                <w:kern w:val="0"/>
                <w:sz w:val="24"/>
                <w:szCs w:val="24"/>
              </w:rPr>
              <w:t>。喷枪及挂件使用清洗剂（稀释剂）在喷漆房内，定期清洗，该过程产生的废气计入喷漆废气中，不单独说明。该工序会产生：</w:t>
            </w:r>
            <w:r>
              <w:rPr>
                <w:kern w:val="0"/>
                <w:sz w:val="24"/>
                <w:szCs w:val="24"/>
              </w:rPr>
              <w:t>S1-5</w:t>
            </w:r>
            <w:r>
              <w:rPr>
                <w:rFonts w:ascii="宋体" w:hAnsi="宋体"/>
                <w:kern w:val="0"/>
                <w:sz w:val="24"/>
                <w:szCs w:val="24"/>
              </w:rPr>
              <w:t>：漆渣，</w:t>
            </w:r>
            <w:r>
              <w:rPr>
                <w:kern w:val="0"/>
                <w:sz w:val="24"/>
                <w:szCs w:val="24"/>
              </w:rPr>
              <w:t>G1-3</w:t>
            </w:r>
            <w:r>
              <w:rPr>
                <w:rFonts w:ascii="宋体" w:hAnsi="宋体"/>
                <w:kern w:val="0"/>
                <w:sz w:val="24"/>
                <w:szCs w:val="24"/>
              </w:rPr>
              <w:t>：喷漆废气，</w:t>
            </w:r>
            <w:r>
              <w:rPr>
                <w:kern w:val="0"/>
                <w:sz w:val="24"/>
                <w:szCs w:val="24"/>
              </w:rPr>
              <w:t>G1-4</w:t>
            </w:r>
            <w:r>
              <w:rPr>
                <w:rFonts w:ascii="宋体" w:hAnsi="宋体"/>
                <w:kern w:val="0"/>
                <w:sz w:val="24"/>
                <w:szCs w:val="24"/>
              </w:rPr>
              <w:t>：烘干废气，</w:t>
            </w:r>
            <w:r>
              <w:rPr>
                <w:kern w:val="0"/>
                <w:sz w:val="24"/>
                <w:szCs w:val="24"/>
              </w:rPr>
              <w:t>G1-5</w:t>
            </w:r>
            <w:r>
              <w:rPr>
                <w:rFonts w:ascii="宋体" w:hAnsi="宋体"/>
                <w:kern w:val="0"/>
                <w:sz w:val="24"/>
                <w:szCs w:val="24"/>
              </w:rPr>
              <w:t>：丙烷燃烧废气。</w:t>
            </w:r>
          </w:p>
          <w:p w14:paraId="2923E4BE">
            <w:pPr>
              <w:widowControl w:val="0"/>
              <w:adjustRightInd w:val="0"/>
              <w:spacing w:line="360" w:lineRule="auto"/>
              <w:ind w:firstLine="482"/>
              <w:rPr>
                <w:b/>
                <w:bCs/>
                <w:kern w:val="0"/>
                <w:sz w:val="24"/>
                <w:szCs w:val="24"/>
              </w:rPr>
            </w:pPr>
            <w:r>
              <w:rPr>
                <w:rFonts w:ascii="宋体" w:hAnsi="宋体"/>
                <w:b/>
                <w:bCs/>
                <w:kern w:val="0"/>
                <w:sz w:val="24"/>
                <w:szCs w:val="24"/>
              </w:rPr>
              <w:t>（</w:t>
            </w:r>
            <w:r>
              <w:rPr>
                <w:b/>
                <w:bCs/>
                <w:kern w:val="0"/>
                <w:sz w:val="24"/>
                <w:szCs w:val="24"/>
              </w:rPr>
              <w:t>2</w:t>
            </w:r>
            <w:r>
              <w:rPr>
                <w:rFonts w:ascii="宋体" w:hAnsi="宋体"/>
                <w:b/>
                <w:bCs/>
                <w:kern w:val="0"/>
                <w:sz w:val="24"/>
                <w:szCs w:val="24"/>
              </w:rPr>
              <w:t>）背板、机械配件</w:t>
            </w:r>
            <w:r>
              <w:rPr>
                <w:b/>
                <w:bCs/>
                <w:kern w:val="0"/>
                <w:sz w:val="24"/>
                <w:szCs w:val="24"/>
              </w:rPr>
              <w:t>A</w:t>
            </w:r>
            <w:r>
              <w:rPr>
                <w:rFonts w:ascii="宋体" w:hAnsi="宋体"/>
                <w:b/>
                <w:bCs/>
                <w:kern w:val="0"/>
                <w:sz w:val="24"/>
                <w:szCs w:val="24"/>
              </w:rPr>
              <w:t>、</w:t>
            </w:r>
            <w:r>
              <w:rPr>
                <w:b/>
                <w:bCs/>
                <w:kern w:val="0"/>
                <w:sz w:val="24"/>
                <w:szCs w:val="24"/>
              </w:rPr>
              <w:t>B</w:t>
            </w:r>
            <w:r>
              <w:rPr>
                <w:rFonts w:ascii="宋体" w:hAnsi="宋体"/>
                <w:b/>
                <w:bCs/>
                <w:kern w:val="0"/>
                <w:sz w:val="24"/>
                <w:szCs w:val="24"/>
              </w:rPr>
              <w:t>生产工艺流程</w:t>
            </w:r>
          </w:p>
          <w:p w14:paraId="610B1314">
            <w:pPr>
              <w:widowControl w:val="0"/>
              <w:ind w:firstLine="420"/>
              <w:rPr>
                <w:szCs w:val="21"/>
              </w:rPr>
            </w:pPr>
            <w:r>
              <w:rPr>
                <w:rFonts w:hint="eastAsia" w:ascii="宋体" w:hAnsi="宋体" w:cs="宋体"/>
                <w:szCs w:val="21"/>
              </w:rPr>
              <w:drawing>
                <wp:inline distT="0" distB="0" distL="0" distR="0">
                  <wp:extent cx="5538470" cy="5892165"/>
                  <wp:effectExtent l="0" t="0" r="0" b="0"/>
                  <wp:docPr id="16665184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8491"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38470" cy="5892165"/>
                          </a:xfrm>
                          <a:prstGeom prst="rect">
                            <a:avLst/>
                          </a:prstGeom>
                          <a:noFill/>
                          <a:ln>
                            <a:noFill/>
                          </a:ln>
                        </pic:spPr>
                      </pic:pic>
                    </a:graphicData>
                  </a:graphic>
                </wp:inline>
              </w:drawing>
            </w:r>
          </w:p>
          <w:p w14:paraId="00E7E01A">
            <w:pPr>
              <w:widowControl w:val="0"/>
              <w:adjustRightInd w:val="0"/>
              <w:snapToGrid w:val="0"/>
              <w:ind w:firstLine="482" w:firstLineChars="200"/>
              <w:jc w:val="center"/>
              <w:rPr>
                <w:sz w:val="24"/>
                <w:szCs w:val="24"/>
              </w:rPr>
            </w:pPr>
            <w:r>
              <w:rPr>
                <w:rFonts w:ascii="宋体" w:hAnsi="宋体"/>
                <w:b/>
                <w:sz w:val="24"/>
                <w:szCs w:val="24"/>
              </w:rPr>
              <w:t>图</w:t>
            </w:r>
            <w:r>
              <w:rPr>
                <w:rFonts w:hint="eastAsia" w:ascii="宋体" w:hAnsi="宋体"/>
                <w:b/>
                <w:sz w:val="24"/>
                <w:szCs w:val="24"/>
              </w:rPr>
              <w:t>2</w:t>
            </w:r>
            <w:r>
              <w:rPr>
                <w:b/>
                <w:sz w:val="24"/>
                <w:szCs w:val="24"/>
              </w:rPr>
              <w:t>-</w:t>
            </w:r>
            <w:r>
              <w:rPr>
                <w:rFonts w:hint="eastAsia"/>
                <w:b/>
                <w:sz w:val="24"/>
                <w:szCs w:val="24"/>
              </w:rPr>
              <w:t>3</w:t>
            </w:r>
            <w:r>
              <w:rPr>
                <w:b/>
                <w:sz w:val="24"/>
                <w:szCs w:val="24"/>
              </w:rPr>
              <w:t xml:space="preserve">  </w:t>
            </w:r>
            <w:r>
              <w:rPr>
                <w:rFonts w:ascii="宋体" w:hAnsi="宋体"/>
                <w:b/>
                <w:bCs/>
                <w:sz w:val="24"/>
                <w:szCs w:val="24"/>
              </w:rPr>
              <w:t>背板、机械配件</w:t>
            </w:r>
            <w:r>
              <w:rPr>
                <w:b/>
                <w:bCs/>
                <w:sz w:val="24"/>
                <w:szCs w:val="24"/>
              </w:rPr>
              <w:t>A</w:t>
            </w:r>
            <w:r>
              <w:rPr>
                <w:rFonts w:ascii="宋体" w:hAnsi="宋体"/>
                <w:b/>
                <w:bCs/>
                <w:sz w:val="24"/>
                <w:szCs w:val="24"/>
              </w:rPr>
              <w:t>、</w:t>
            </w:r>
            <w:r>
              <w:rPr>
                <w:b/>
                <w:bCs/>
                <w:sz w:val="24"/>
                <w:szCs w:val="24"/>
              </w:rPr>
              <w:t>B</w:t>
            </w:r>
            <w:r>
              <w:rPr>
                <w:rFonts w:ascii="宋体" w:hAnsi="宋体"/>
                <w:b/>
                <w:sz w:val="24"/>
                <w:szCs w:val="24"/>
              </w:rPr>
              <w:t>生产工艺流程及产污节点图</w:t>
            </w:r>
          </w:p>
          <w:p w14:paraId="5A8D0642">
            <w:pPr>
              <w:keepNext/>
              <w:keepLines/>
              <w:widowControl w:val="0"/>
              <w:autoSpaceDE w:val="0"/>
              <w:autoSpaceDN w:val="0"/>
              <w:adjustRightInd w:val="0"/>
              <w:spacing w:line="360" w:lineRule="auto"/>
              <w:ind w:firstLine="482"/>
              <w:jc w:val="left"/>
              <w:outlineLvl w:val="1"/>
              <w:rPr>
                <w:b/>
                <w:bCs/>
                <w:color w:val="000000"/>
                <w:kern w:val="0"/>
                <w:sz w:val="24"/>
                <w:szCs w:val="24"/>
              </w:rPr>
            </w:pPr>
            <w:r>
              <w:rPr>
                <w:rFonts w:ascii="宋体" w:hAnsi="宋体"/>
                <w:b/>
                <w:bCs/>
                <w:color w:val="000000"/>
                <w:kern w:val="0"/>
                <w:sz w:val="24"/>
                <w:szCs w:val="24"/>
              </w:rPr>
              <w:t>（</w:t>
            </w:r>
            <w:r>
              <w:rPr>
                <w:rFonts w:hint="eastAsia" w:ascii="宋体" w:hAnsi="宋体"/>
                <w:b/>
                <w:bCs/>
                <w:color w:val="000000"/>
                <w:kern w:val="0"/>
                <w:sz w:val="24"/>
                <w:szCs w:val="24"/>
              </w:rPr>
              <w:t>1</w:t>
            </w:r>
            <w:r>
              <w:rPr>
                <w:b/>
                <w:bCs/>
                <w:color w:val="000000"/>
                <w:kern w:val="0"/>
                <w:sz w:val="24"/>
                <w:szCs w:val="24"/>
              </w:rPr>
              <w:t>.1</w:t>
            </w:r>
            <w:r>
              <w:rPr>
                <w:rFonts w:ascii="宋体" w:hAnsi="宋体"/>
                <w:b/>
                <w:bCs/>
                <w:color w:val="000000"/>
                <w:kern w:val="0"/>
                <w:sz w:val="24"/>
                <w:szCs w:val="24"/>
              </w:rPr>
              <w:t>）生产工艺流程说明</w:t>
            </w:r>
          </w:p>
          <w:p w14:paraId="6F35F063">
            <w:pPr>
              <w:widowControl w:val="0"/>
              <w:adjustRightInd w:val="0"/>
              <w:snapToGrid w:val="0"/>
              <w:spacing w:line="360" w:lineRule="auto"/>
              <w:ind w:firstLine="480" w:firstLineChars="200"/>
              <w:rPr>
                <w:sz w:val="24"/>
                <w:szCs w:val="24"/>
              </w:rPr>
            </w:pPr>
            <w:r>
              <w:rPr>
                <w:rFonts w:hint="eastAsia" w:ascii="宋体" w:hAnsi="宋体" w:cs="宋体"/>
                <w:kern w:val="0"/>
                <w:sz w:val="24"/>
                <w:szCs w:val="24"/>
              </w:rPr>
              <w:t>①</w:t>
            </w:r>
            <w:r>
              <w:rPr>
                <w:rFonts w:ascii="宋体" w:hAnsi="宋体"/>
                <w:kern w:val="0"/>
                <w:sz w:val="24"/>
                <w:szCs w:val="24"/>
              </w:rPr>
              <w:t>机</w:t>
            </w:r>
            <w:r>
              <w:rPr>
                <w:sz w:val="24"/>
                <w:szCs w:val="24"/>
              </w:rPr>
              <w:t>加工：工件根据工艺图纸进行加工中心粗加工，加工过程中会加入切削液降温。该工序会产生：S2-1：边角料，S2-2：废切削液，S2-3：切削液废包装桶。</w:t>
            </w:r>
          </w:p>
          <w:p w14:paraId="0353E62D">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②</w:t>
            </w:r>
            <w:r>
              <w:rPr>
                <w:rFonts w:ascii="宋体" w:hAnsi="宋体"/>
                <w:kern w:val="0"/>
                <w:sz w:val="24"/>
                <w:szCs w:val="24"/>
              </w:rPr>
              <w:t>焊接：采用焊机对工件进行焊接，利用</w:t>
            </w:r>
            <w:r>
              <w:rPr>
                <w:kern w:val="0"/>
                <w:sz w:val="24"/>
                <w:szCs w:val="24"/>
              </w:rPr>
              <w:t>CO</w:t>
            </w:r>
            <w:r>
              <w:rPr>
                <w:kern w:val="0"/>
                <w:sz w:val="24"/>
                <w:szCs w:val="24"/>
                <w:vertAlign w:val="subscript"/>
              </w:rPr>
              <w:t>2</w:t>
            </w:r>
            <w:r>
              <w:rPr>
                <w:rFonts w:ascii="宋体" w:hAnsi="宋体"/>
                <w:kern w:val="0"/>
                <w:sz w:val="24"/>
                <w:szCs w:val="24"/>
              </w:rPr>
              <w:t>、无铅焊丝通过气体保护焊机进行焊接组装。该工序会产生：</w:t>
            </w:r>
            <w:r>
              <w:rPr>
                <w:kern w:val="0"/>
                <w:sz w:val="24"/>
                <w:szCs w:val="24"/>
              </w:rPr>
              <w:t>G2-1</w:t>
            </w:r>
            <w:r>
              <w:rPr>
                <w:rFonts w:ascii="宋体" w:hAnsi="宋体"/>
                <w:kern w:val="0"/>
                <w:sz w:val="24"/>
                <w:szCs w:val="24"/>
              </w:rPr>
              <w:t>：焊接烟尘。</w:t>
            </w:r>
          </w:p>
          <w:p w14:paraId="44B20884">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③</w:t>
            </w:r>
            <w:r>
              <w:rPr>
                <w:rFonts w:ascii="宋体" w:hAnsi="宋体"/>
                <w:kern w:val="0"/>
                <w:sz w:val="24"/>
                <w:szCs w:val="24"/>
              </w:rPr>
              <w:t>精加工：用</w:t>
            </w:r>
            <w:r>
              <w:rPr>
                <w:kern w:val="0"/>
                <w:sz w:val="24"/>
                <w:szCs w:val="24"/>
              </w:rPr>
              <w:t>CNC</w:t>
            </w:r>
            <w:r>
              <w:rPr>
                <w:rFonts w:ascii="宋体" w:hAnsi="宋体"/>
                <w:kern w:val="0"/>
                <w:sz w:val="24"/>
                <w:szCs w:val="24"/>
              </w:rPr>
              <w:t>加工中心进行精加工，最后成型。该工序会产生：</w:t>
            </w:r>
            <w:r>
              <w:rPr>
                <w:kern w:val="0"/>
                <w:sz w:val="24"/>
                <w:szCs w:val="24"/>
              </w:rPr>
              <w:t>S2-1</w:t>
            </w:r>
            <w:r>
              <w:rPr>
                <w:rFonts w:ascii="宋体" w:hAnsi="宋体"/>
                <w:kern w:val="0"/>
                <w:sz w:val="24"/>
                <w:szCs w:val="24"/>
              </w:rPr>
              <w:t>：边角料，</w:t>
            </w:r>
            <w:r>
              <w:rPr>
                <w:kern w:val="0"/>
                <w:sz w:val="24"/>
                <w:szCs w:val="24"/>
              </w:rPr>
              <w:t>S2-2</w:t>
            </w:r>
            <w:r>
              <w:rPr>
                <w:rFonts w:ascii="宋体" w:hAnsi="宋体"/>
                <w:kern w:val="0"/>
                <w:sz w:val="24"/>
                <w:szCs w:val="24"/>
              </w:rPr>
              <w:t>：废切削液，</w:t>
            </w:r>
            <w:r>
              <w:rPr>
                <w:kern w:val="0"/>
                <w:sz w:val="24"/>
                <w:szCs w:val="24"/>
              </w:rPr>
              <w:t>S2-3</w:t>
            </w:r>
            <w:r>
              <w:rPr>
                <w:rFonts w:ascii="宋体" w:hAnsi="宋体"/>
                <w:kern w:val="0"/>
                <w:sz w:val="24"/>
                <w:szCs w:val="24"/>
              </w:rPr>
              <w:t>：切削液废包装桶。</w:t>
            </w:r>
          </w:p>
          <w:p w14:paraId="7CFD8452">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④</w:t>
            </w:r>
            <w:r>
              <w:rPr>
                <w:rFonts w:ascii="宋体" w:hAnsi="宋体"/>
                <w:kern w:val="0"/>
                <w:sz w:val="24"/>
                <w:szCs w:val="24"/>
              </w:rPr>
              <w:t>抛丸：使用抛丸机对工件表面进行抛光。该工序会产生：</w:t>
            </w:r>
            <w:r>
              <w:rPr>
                <w:kern w:val="0"/>
                <w:sz w:val="24"/>
                <w:szCs w:val="24"/>
              </w:rPr>
              <w:t>G2-2:</w:t>
            </w:r>
            <w:r>
              <w:rPr>
                <w:rFonts w:ascii="宋体" w:hAnsi="宋体"/>
                <w:kern w:val="0"/>
                <w:sz w:val="24"/>
                <w:szCs w:val="24"/>
              </w:rPr>
              <w:t>抛丸废气，</w:t>
            </w:r>
            <w:r>
              <w:rPr>
                <w:kern w:val="0"/>
                <w:sz w:val="24"/>
                <w:szCs w:val="24"/>
              </w:rPr>
              <w:t>S2-4</w:t>
            </w:r>
            <w:r>
              <w:rPr>
                <w:rFonts w:ascii="宋体" w:hAnsi="宋体"/>
                <w:kern w:val="0"/>
                <w:sz w:val="24"/>
                <w:szCs w:val="24"/>
              </w:rPr>
              <w:t>：废钢丸。</w:t>
            </w:r>
          </w:p>
          <w:p w14:paraId="24CA42DD">
            <w:pPr>
              <w:widowControl w:val="0"/>
              <w:adjustRightInd w:val="0"/>
              <w:snapToGrid w:val="0"/>
              <w:spacing w:line="360" w:lineRule="auto"/>
              <w:ind w:firstLine="480" w:firstLineChars="200"/>
              <w:jc w:val="left"/>
              <w:rPr>
                <w:kern w:val="0"/>
                <w:sz w:val="24"/>
                <w:szCs w:val="24"/>
              </w:rPr>
            </w:pPr>
            <w:r>
              <w:rPr>
                <w:rFonts w:hint="eastAsia" w:ascii="宋体" w:hAnsi="宋体" w:cs="宋体"/>
                <w:kern w:val="0"/>
                <w:sz w:val="24"/>
                <w:szCs w:val="24"/>
              </w:rPr>
              <w:t>⑤</w:t>
            </w:r>
            <w:r>
              <w:rPr>
                <w:rFonts w:ascii="宋体" w:hAnsi="宋体"/>
                <w:kern w:val="0"/>
                <w:sz w:val="24"/>
                <w:szCs w:val="24"/>
              </w:rPr>
              <w:t xml:space="preserve">静电喷塑：项目共设 </w:t>
            </w:r>
            <w:r>
              <w:rPr>
                <w:kern w:val="0"/>
                <w:sz w:val="24"/>
                <w:szCs w:val="24"/>
              </w:rPr>
              <w:t xml:space="preserve">1 </w:t>
            </w:r>
            <w:r>
              <w:rPr>
                <w:rFonts w:ascii="宋体" w:hAnsi="宋体"/>
                <w:kern w:val="0"/>
                <w:sz w:val="24"/>
                <w:szCs w:val="24"/>
              </w:rPr>
              <w:t xml:space="preserve">间喷塑房，采用静电自动喷塑，项目喷塑量较少，喷塑后进入固化烘道烘。喷塑设有独立的隔间，喷塑后工件人工上挂到烘道固化。项目喷塑全部采用静电喷塑，静电由静电发生器产生，项目静电喷塑塑粉附着率为 </w:t>
            </w:r>
            <w:r>
              <w:rPr>
                <w:kern w:val="0"/>
                <w:sz w:val="24"/>
                <w:szCs w:val="24"/>
              </w:rPr>
              <w:t xml:space="preserve">70% </w:t>
            </w:r>
            <w:r>
              <w:rPr>
                <w:rFonts w:ascii="宋体" w:hAnsi="宋体"/>
                <w:kern w:val="0"/>
                <w:sz w:val="24"/>
                <w:szCs w:val="24"/>
              </w:rPr>
              <w:t xml:space="preserve">，项目喷塑厚度平均为 </w:t>
            </w:r>
            <w:r>
              <w:rPr>
                <w:kern w:val="0"/>
                <w:sz w:val="24"/>
                <w:szCs w:val="24"/>
              </w:rPr>
              <w:t>150μm</w:t>
            </w:r>
            <w:r>
              <w:rPr>
                <w:rFonts w:ascii="宋体" w:hAnsi="宋体"/>
                <w:kern w:val="0"/>
                <w:sz w:val="24"/>
                <w:szCs w:val="24"/>
              </w:rPr>
              <w:t>。</w:t>
            </w:r>
          </w:p>
          <w:p w14:paraId="7E73E289">
            <w:pPr>
              <w:widowControl w:val="0"/>
              <w:adjustRightInd w:val="0"/>
              <w:snapToGrid w:val="0"/>
              <w:spacing w:line="360" w:lineRule="auto"/>
              <w:ind w:firstLine="480" w:firstLineChars="200"/>
              <w:jc w:val="left"/>
              <w:rPr>
                <w:kern w:val="0"/>
                <w:sz w:val="24"/>
                <w:szCs w:val="24"/>
              </w:rPr>
            </w:pPr>
            <w:r>
              <w:rPr>
                <w:rFonts w:ascii="宋体" w:hAnsi="宋体"/>
                <w:kern w:val="0"/>
                <w:sz w:val="24"/>
                <w:szCs w:val="24"/>
              </w:rPr>
              <w:t>静电喷塑原理为：塑粉在喷枪口射出时，经过高压静电发生器电离的空气区域，</w:t>
            </w:r>
            <w:r>
              <w:rPr>
                <w:kern w:val="0"/>
                <w:sz w:val="24"/>
                <w:szCs w:val="24"/>
              </w:rPr>
              <w:t xml:space="preserve"> </w:t>
            </w:r>
            <w:r>
              <w:rPr>
                <w:rFonts w:ascii="宋体" w:hAnsi="宋体"/>
                <w:kern w:val="0"/>
                <w:sz w:val="24"/>
                <w:szCs w:val="24"/>
              </w:rPr>
              <w:t>静电塑粉带上负电荷，悬挂链上工件，经接地带上正电荷，从而达到静电塑粉吸附工件表面，形成粉末涂层。</w:t>
            </w:r>
          </w:p>
          <w:p w14:paraId="3EC6A232">
            <w:pPr>
              <w:widowControl w:val="0"/>
              <w:adjustRightInd w:val="0"/>
              <w:snapToGrid w:val="0"/>
              <w:spacing w:line="360" w:lineRule="auto"/>
              <w:ind w:firstLine="480" w:firstLineChars="200"/>
              <w:jc w:val="left"/>
              <w:rPr>
                <w:kern w:val="0"/>
                <w:sz w:val="24"/>
                <w:szCs w:val="24"/>
              </w:rPr>
            </w:pPr>
            <w:r>
              <w:rPr>
                <w:rFonts w:ascii="宋体" w:hAnsi="宋体"/>
                <w:kern w:val="0"/>
                <w:sz w:val="24"/>
                <w:szCs w:val="24"/>
              </w:rPr>
              <w:t>喷塑后，工件上塑粉附着不牢，需经固化处理，即需把喷塑件加热到</w:t>
            </w:r>
            <w:r>
              <w:rPr>
                <w:kern w:val="0"/>
                <w:sz w:val="24"/>
                <w:szCs w:val="24"/>
              </w:rPr>
              <w:t xml:space="preserve"> 200℃</w:t>
            </w:r>
            <w:r>
              <w:rPr>
                <w:rFonts w:ascii="宋体" w:hAnsi="宋体"/>
                <w:kern w:val="0"/>
                <w:sz w:val="24"/>
                <w:szCs w:val="24"/>
              </w:rPr>
              <w:t>左右， 塑粉成为熔融状态，从而更紧密的与金属件附着在一起。由于塑粉分解温度在</w:t>
            </w:r>
            <w:r>
              <w:rPr>
                <w:kern w:val="0"/>
                <w:sz w:val="24"/>
                <w:szCs w:val="24"/>
              </w:rPr>
              <w:t xml:space="preserve">300℃ , </w:t>
            </w:r>
            <w:r>
              <w:rPr>
                <w:rFonts w:ascii="宋体" w:hAnsi="宋体"/>
                <w:kern w:val="0"/>
                <w:sz w:val="24"/>
                <w:szCs w:val="24"/>
              </w:rPr>
              <w:t>该过程中塑粉不会分解，但塑粉成为熔融状态时，有少量的有机废气挥发出来。固化烘道长</w:t>
            </w:r>
            <w:r>
              <w:rPr>
                <w:kern w:val="0"/>
                <w:sz w:val="24"/>
                <w:szCs w:val="24"/>
              </w:rPr>
              <w:t xml:space="preserve">30m </w:t>
            </w:r>
            <w:r>
              <w:rPr>
                <w:rFonts w:ascii="宋体" w:hAnsi="宋体"/>
                <w:kern w:val="0"/>
                <w:sz w:val="24"/>
                <w:szCs w:val="24"/>
              </w:rPr>
              <w:t>，固化时间约为</w:t>
            </w:r>
            <w:r>
              <w:rPr>
                <w:kern w:val="0"/>
                <w:sz w:val="24"/>
                <w:szCs w:val="24"/>
              </w:rPr>
              <w:t xml:space="preserve">30min </w:t>
            </w:r>
            <w:r>
              <w:rPr>
                <w:rFonts w:ascii="宋体" w:hAnsi="宋体"/>
                <w:kern w:val="0"/>
                <w:sz w:val="24"/>
                <w:szCs w:val="24"/>
              </w:rPr>
              <w:t>左右</w:t>
            </w:r>
            <w:r>
              <w:rPr>
                <w:rFonts w:hint="eastAsia" w:ascii="宋体" w:hAnsi="宋体"/>
                <w:kern w:val="0"/>
                <w:sz w:val="24"/>
                <w:szCs w:val="24"/>
              </w:rPr>
              <w:t>，</w:t>
            </w:r>
            <w:r>
              <w:rPr>
                <w:rFonts w:ascii="宋体" w:hAnsi="宋体"/>
                <w:kern w:val="0"/>
                <w:sz w:val="24"/>
                <w:szCs w:val="24"/>
              </w:rPr>
              <w:t>采</w:t>
            </w:r>
            <w:r>
              <w:rPr>
                <w:rFonts w:hint="eastAsia" w:ascii="宋体" w:hAnsi="宋体"/>
                <w:kern w:val="0"/>
                <w:sz w:val="24"/>
                <w:szCs w:val="24"/>
              </w:rPr>
              <w:t>用燃烧器燃烧丙烷气体产生的</w:t>
            </w:r>
            <w:r>
              <w:rPr>
                <w:rFonts w:ascii="宋体" w:hAnsi="宋体"/>
                <w:kern w:val="0"/>
                <w:sz w:val="24"/>
                <w:szCs w:val="24"/>
              </w:rPr>
              <w:t>热风循环烘干。</w:t>
            </w:r>
            <w:r>
              <w:rPr>
                <w:kern w:val="0"/>
                <w:sz w:val="24"/>
                <w:szCs w:val="24"/>
              </w:rPr>
              <w:t xml:space="preserve"> </w:t>
            </w:r>
            <w:r>
              <w:rPr>
                <w:rFonts w:ascii="宋体" w:hAnsi="宋体"/>
                <w:kern w:val="0"/>
                <w:sz w:val="24"/>
                <w:szCs w:val="24"/>
              </w:rPr>
              <w:t>固化后经冷却隧道内自然冷却即可。</w:t>
            </w:r>
          </w:p>
          <w:p w14:paraId="45FE8BCB">
            <w:pPr>
              <w:widowControl w:val="0"/>
              <w:autoSpaceDE w:val="0"/>
              <w:autoSpaceDN w:val="0"/>
              <w:adjustRightInd w:val="0"/>
              <w:spacing w:line="360" w:lineRule="auto"/>
              <w:ind w:firstLine="480" w:firstLineChars="200"/>
              <w:jc w:val="left"/>
              <w:rPr>
                <w:rFonts w:hint="eastAsia"/>
                <w:bCs/>
                <w:sz w:val="24"/>
                <w:szCs w:val="24"/>
              </w:rPr>
            </w:pPr>
            <w:r>
              <w:rPr>
                <w:rFonts w:hint="eastAsia" w:ascii="宋体" w:hAnsi="宋体" w:cs="宋体"/>
                <w:sz w:val="24"/>
                <w:szCs w:val="24"/>
              </w:rPr>
              <w:t>⑥</w:t>
            </w:r>
            <w:r>
              <w:rPr>
                <w:rFonts w:ascii="宋体" w:hAnsi="宋体"/>
                <w:bCs/>
                <w:sz w:val="24"/>
                <w:szCs w:val="24"/>
              </w:rPr>
              <w:t>包装入库：装配完成的产品包装入库。</w:t>
            </w:r>
          </w:p>
          <w:p w14:paraId="45AE2F27">
            <w:pPr>
              <w:widowControl w:val="0"/>
              <w:autoSpaceDE w:val="0"/>
              <w:autoSpaceDN w:val="0"/>
              <w:adjustRightInd w:val="0"/>
              <w:snapToGrid w:val="0"/>
              <w:spacing w:line="360" w:lineRule="auto"/>
              <w:ind w:right="-172" w:firstLine="482"/>
              <w:rPr>
                <w:b/>
                <w:bCs/>
                <w:sz w:val="24"/>
                <w:szCs w:val="24"/>
              </w:rPr>
            </w:pPr>
            <w:r>
              <w:rPr>
                <w:rFonts w:hint="eastAsia"/>
                <w:b/>
                <w:bCs/>
                <w:sz w:val="24"/>
                <w:szCs w:val="24"/>
              </w:rPr>
              <w:t>2、验收阶段生产工艺流程</w:t>
            </w:r>
          </w:p>
          <w:p w14:paraId="4653C47C">
            <w:pPr>
              <w:keepNext/>
              <w:keepLines/>
              <w:widowControl w:val="0"/>
              <w:autoSpaceDE w:val="0"/>
              <w:autoSpaceDN w:val="0"/>
              <w:adjustRightInd w:val="0"/>
              <w:spacing w:line="360" w:lineRule="auto"/>
              <w:ind w:firstLine="482"/>
              <w:jc w:val="left"/>
              <w:outlineLvl w:val="1"/>
              <w:rPr>
                <w:b/>
                <w:color w:val="000000"/>
                <w:kern w:val="0"/>
                <w:sz w:val="24"/>
                <w:szCs w:val="24"/>
              </w:rPr>
            </w:pPr>
            <w:r>
              <w:rPr>
                <w:rFonts w:ascii="宋体" w:hAnsi="宋体"/>
                <w:b/>
                <w:bCs/>
                <w:color w:val="000000"/>
                <w:kern w:val="0"/>
                <w:sz w:val="24"/>
                <w:szCs w:val="24"/>
              </w:rPr>
              <w:t>（</w:t>
            </w:r>
            <w:r>
              <w:rPr>
                <w:b/>
                <w:bCs/>
                <w:color w:val="000000"/>
                <w:kern w:val="0"/>
                <w:sz w:val="24"/>
                <w:szCs w:val="24"/>
              </w:rPr>
              <w:t>1</w:t>
            </w:r>
            <w:r>
              <w:rPr>
                <w:rFonts w:ascii="宋体" w:hAnsi="宋体"/>
                <w:b/>
                <w:bCs/>
                <w:color w:val="000000"/>
                <w:kern w:val="0"/>
                <w:sz w:val="24"/>
                <w:szCs w:val="24"/>
              </w:rPr>
              <w:t>）连杆生产工艺流程</w:t>
            </w:r>
          </w:p>
          <w:p w14:paraId="16A59BC5">
            <w:pPr>
              <w:widowControl w:val="0"/>
              <w:adjustRightInd w:val="0"/>
              <w:snapToGrid w:val="0"/>
              <w:spacing w:line="360" w:lineRule="auto"/>
              <w:ind w:firstLine="420"/>
              <w:jc w:val="center"/>
              <w:rPr>
                <w:szCs w:val="21"/>
              </w:rPr>
            </w:pPr>
            <w:r>
              <w:rPr>
                <w:rFonts w:hint="eastAsia"/>
              </w:rPr>
              <w:object>
                <v:shape id="_x0000_i1026" o:spt="75" type="#_x0000_t75" style="height:556.3pt;width:470.0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6A559C6C">
            <w:pPr>
              <w:widowControl w:val="0"/>
              <w:adjustRightInd w:val="0"/>
              <w:snapToGrid w:val="0"/>
              <w:spacing w:line="360" w:lineRule="auto"/>
              <w:ind w:firstLine="482" w:firstLineChars="200"/>
              <w:jc w:val="center"/>
              <w:rPr>
                <w:sz w:val="24"/>
                <w:szCs w:val="24"/>
              </w:rPr>
            </w:pPr>
            <w:r>
              <w:rPr>
                <w:rFonts w:ascii="宋体" w:hAnsi="宋体"/>
                <w:b/>
                <w:sz w:val="24"/>
                <w:szCs w:val="24"/>
              </w:rPr>
              <w:t>图</w:t>
            </w:r>
            <w:r>
              <w:rPr>
                <w:b/>
                <w:sz w:val="24"/>
                <w:szCs w:val="24"/>
              </w:rPr>
              <w:t>2-</w:t>
            </w:r>
            <w:r>
              <w:rPr>
                <w:rFonts w:hint="eastAsia"/>
                <w:b/>
                <w:sz w:val="24"/>
                <w:szCs w:val="24"/>
              </w:rPr>
              <w:t>4</w:t>
            </w:r>
            <w:r>
              <w:rPr>
                <w:b/>
                <w:sz w:val="24"/>
                <w:szCs w:val="24"/>
              </w:rPr>
              <w:t xml:space="preserve">  </w:t>
            </w:r>
            <w:r>
              <w:rPr>
                <w:rFonts w:ascii="宋体" w:hAnsi="宋体"/>
                <w:b/>
                <w:sz w:val="24"/>
                <w:szCs w:val="24"/>
              </w:rPr>
              <w:t>连杆的</w:t>
            </w:r>
            <w:r>
              <w:rPr>
                <w:rFonts w:hint="eastAsia" w:ascii="宋体" w:hAnsi="宋体"/>
                <w:b/>
                <w:sz w:val="24"/>
                <w:szCs w:val="24"/>
              </w:rPr>
              <w:t>验收</w:t>
            </w:r>
            <w:r>
              <w:rPr>
                <w:rFonts w:ascii="宋体" w:hAnsi="宋体"/>
                <w:b/>
                <w:sz w:val="24"/>
                <w:szCs w:val="24"/>
              </w:rPr>
              <w:t>生产工艺流程及产污节点图</w:t>
            </w:r>
          </w:p>
          <w:p w14:paraId="715EBC7D">
            <w:pPr>
              <w:keepNext/>
              <w:keepLines/>
              <w:widowControl w:val="0"/>
              <w:autoSpaceDE w:val="0"/>
              <w:autoSpaceDN w:val="0"/>
              <w:adjustRightInd w:val="0"/>
              <w:spacing w:line="360" w:lineRule="auto"/>
              <w:ind w:firstLine="482"/>
              <w:jc w:val="left"/>
              <w:outlineLvl w:val="1"/>
              <w:rPr>
                <w:b/>
                <w:bCs/>
                <w:color w:val="000000"/>
                <w:kern w:val="0"/>
                <w:sz w:val="24"/>
                <w:szCs w:val="24"/>
              </w:rPr>
            </w:pPr>
            <w:r>
              <w:rPr>
                <w:rFonts w:ascii="宋体" w:hAnsi="宋体"/>
                <w:b/>
                <w:bCs/>
                <w:color w:val="000000"/>
                <w:kern w:val="0"/>
                <w:sz w:val="24"/>
                <w:szCs w:val="24"/>
              </w:rPr>
              <w:t>（</w:t>
            </w:r>
            <w:r>
              <w:rPr>
                <w:b/>
                <w:bCs/>
                <w:color w:val="000000"/>
                <w:kern w:val="0"/>
                <w:sz w:val="24"/>
                <w:szCs w:val="24"/>
              </w:rPr>
              <w:t>1.1</w:t>
            </w:r>
            <w:r>
              <w:rPr>
                <w:rFonts w:ascii="宋体" w:hAnsi="宋体"/>
                <w:b/>
                <w:bCs/>
                <w:color w:val="000000"/>
                <w:kern w:val="0"/>
                <w:sz w:val="24"/>
                <w:szCs w:val="24"/>
              </w:rPr>
              <w:t>）生产工艺流程说明</w:t>
            </w:r>
          </w:p>
          <w:p w14:paraId="5A71FEC5">
            <w:pPr>
              <w:widowControl w:val="0"/>
              <w:snapToGrid w:val="0"/>
              <w:spacing w:line="360" w:lineRule="auto"/>
              <w:ind w:firstLine="480" w:firstLineChars="200"/>
              <w:rPr>
                <w:b/>
                <w:bCs/>
                <w:kern w:val="0"/>
                <w:sz w:val="24"/>
                <w:szCs w:val="24"/>
                <w:u w:val="single"/>
              </w:rPr>
            </w:pPr>
            <w:r>
              <w:rPr>
                <w:rFonts w:hint="eastAsia" w:ascii="宋体" w:hAnsi="宋体" w:cs="宋体"/>
                <w:kern w:val="0"/>
                <w:sz w:val="24"/>
                <w:szCs w:val="24"/>
              </w:rPr>
              <w:t>①</w:t>
            </w:r>
            <w:r>
              <w:rPr>
                <w:rFonts w:ascii="宋体" w:hAnsi="宋体"/>
                <w:kern w:val="0"/>
                <w:sz w:val="24"/>
                <w:szCs w:val="24"/>
              </w:rPr>
              <w:t>下料：通过车床将外购回来的铁件按照图纸尺寸要求进行下料。该工序会产生：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6247B30A">
            <w:pPr>
              <w:widowControl w:val="0"/>
              <w:adjustRightInd w:val="0"/>
              <w:snapToGrid w:val="0"/>
              <w:spacing w:line="360" w:lineRule="auto"/>
              <w:ind w:firstLine="480"/>
              <w:rPr>
                <w:bCs/>
                <w:kern w:val="0"/>
                <w:sz w:val="24"/>
                <w:szCs w:val="24"/>
              </w:rPr>
            </w:pPr>
            <w:r>
              <w:rPr>
                <w:rFonts w:hint="eastAsia" w:ascii="宋体" w:hAnsi="宋体" w:cs="宋体"/>
                <w:bCs/>
                <w:kern w:val="0"/>
                <w:sz w:val="24"/>
                <w:szCs w:val="24"/>
              </w:rPr>
              <w:t>②</w:t>
            </w:r>
            <w:r>
              <w:rPr>
                <w:rFonts w:ascii="宋体" w:hAnsi="宋体"/>
                <w:bCs/>
                <w:kern w:val="0"/>
                <w:sz w:val="24"/>
                <w:szCs w:val="24"/>
              </w:rPr>
              <w:t>机加工：</w:t>
            </w:r>
            <w:r>
              <w:rPr>
                <w:rFonts w:hint="eastAsia" w:ascii="宋体" w:hAnsi="宋体"/>
                <w:bCs/>
                <w:kern w:val="0"/>
                <w:sz w:val="24"/>
                <w:szCs w:val="24"/>
              </w:rPr>
              <w:t>此工段外协加工。</w:t>
            </w:r>
          </w:p>
          <w:p w14:paraId="73AC80EA">
            <w:pPr>
              <w:widowControl w:val="0"/>
              <w:adjustRightInd w:val="0"/>
              <w:snapToGrid w:val="0"/>
              <w:spacing w:line="360" w:lineRule="auto"/>
              <w:ind w:firstLine="480"/>
              <w:rPr>
                <w:kern w:val="0"/>
                <w:sz w:val="24"/>
                <w:szCs w:val="24"/>
              </w:rPr>
            </w:pPr>
            <w:r>
              <w:rPr>
                <w:rFonts w:hint="eastAsia" w:ascii="宋体" w:hAnsi="宋体" w:cs="宋体"/>
                <w:bCs/>
                <w:kern w:val="0"/>
                <w:sz w:val="24"/>
                <w:szCs w:val="24"/>
              </w:rPr>
              <w:t>③</w:t>
            </w:r>
            <w:r>
              <w:rPr>
                <w:rFonts w:ascii="宋体" w:hAnsi="宋体"/>
                <w:bCs/>
                <w:kern w:val="0"/>
                <w:sz w:val="24"/>
                <w:szCs w:val="24"/>
              </w:rPr>
              <w:t>镗制：</w:t>
            </w:r>
            <w:r>
              <w:rPr>
                <w:rFonts w:hint="eastAsia" w:ascii="宋体" w:hAnsi="宋体"/>
                <w:bCs/>
                <w:kern w:val="0"/>
                <w:sz w:val="24"/>
                <w:szCs w:val="24"/>
              </w:rPr>
              <w:t>此工段外协加工。</w:t>
            </w:r>
          </w:p>
          <w:p w14:paraId="3BDA7BA2">
            <w:pPr>
              <w:widowControl w:val="0"/>
              <w:adjustRightInd w:val="0"/>
              <w:snapToGrid w:val="0"/>
              <w:spacing w:line="360" w:lineRule="auto"/>
              <w:ind w:firstLine="480"/>
              <w:rPr>
                <w:kern w:val="0"/>
                <w:sz w:val="24"/>
                <w:szCs w:val="24"/>
              </w:rPr>
            </w:pPr>
            <w:r>
              <w:rPr>
                <w:rFonts w:hint="eastAsia" w:ascii="宋体" w:hAnsi="宋体" w:cs="宋体"/>
                <w:kern w:val="0"/>
                <w:sz w:val="24"/>
                <w:szCs w:val="24"/>
              </w:rPr>
              <w:t>④</w:t>
            </w:r>
            <w:r>
              <w:rPr>
                <w:rFonts w:ascii="宋体" w:hAnsi="宋体"/>
                <w:kern w:val="0"/>
                <w:sz w:val="24"/>
                <w:szCs w:val="24"/>
              </w:rPr>
              <w:t>钻孔：利用摇臂钻</w:t>
            </w:r>
            <w:r>
              <w:rPr>
                <w:rFonts w:ascii="宋体" w:hAnsi="宋体"/>
                <w:bCs/>
                <w:kern w:val="0"/>
                <w:sz w:val="24"/>
                <w:szCs w:val="24"/>
              </w:rPr>
              <w:t>根据图纸进行钻孔。</w:t>
            </w:r>
            <w:r>
              <w:rPr>
                <w:rFonts w:ascii="宋体" w:hAnsi="宋体"/>
                <w:kern w:val="0"/>
                <w:sz w:val="24"/>
                <w:szCs w:val="24"/>
              </w:rPr>
              <w:t>该工序会产生：</w:t>
            </w:r>
            <w:r>
              <w:rPr>
                <w:kern w:val="0"/>
                <w:sz w:val="24"/>
                <w:szCs w:val="24"/>
              </w:rPr>
              <w:t>S1-1</w:t>
            </w:r>
            <w:r>
              <w:rPr>
                <w:rFonts w:ascii="宋体" w:hAnsi="宋体"/>
                <w:kern w:val="0"/>
                <w:sz w:val="24"/>
                <w:szCs w:val="24"/>
              </w:rPr>
              <w:t>：边角料，</w:t>
            </w:r>
            <w:r>
              <w:rPr>
                <w:kern w:val="0"/>
                <w:sz w:val="24"/>
                <w:szCs w:val="24"/>
              </w:rPr>
              <w:t>S1-2</w:t>
            </w:r>
            <w:r>
              <w:rPr>
                <w:rFonts w:ascii="宋体" w:hAnsi="宋体"/>
                <w:kern w:val="0"/>
                <w:sz w:val="24"/>
                <w:szCs w:val="24"/>
              </w:rPr>
              <w:t>：废切削液，</w:t>
            </w:r>
            <w:r>
              <w:rPr>
                <w:kern w:val="0"/>
                <w:sz w:val="24"/>
                <w:szCs w:val="24"/>
              </w:rPr>
              <w:t>S1-3</w:t>
            </w:r>
            <w:r>
              <w:rPr>
                <w:rFonts w:ascii="宋体" w:hAnsi="宋体"/>
                <w:kern w:val="0"/>
                <w:sz w:val="24"/>
                <w:szCs w:val="24"/>
              </w:rPr>
              <w:t>：切削液废包装桶。</w:t>
            </w:r>
          </w:p>
          <w:p w14:paraId="47C5BB9C">
            <w:pPr>
              <w:widowControl w:val="0"/>
              <w:snapToGrid w:val="0"/>
              <w:spacing w:line="360" w:lineRule="auto"/>
              <w:ind w:firstLine="480" w:firstLineChars="200"/>
              <w:rPr>
                <w:kern w:val="0"/>
                <w:sz w:val="24"/>
                <w:szCs w:val="24"/>
              </w:rPr>
            </w:pPr>
            <w:r>
              <w:rPr>
                <w:rFonts w:hint="eastAsia" w:ascii="宋体" w:hAnsi="宋体" w:cs="宋体"/>
                <w:bCs/>
                <w:kern w:val="0"/>
                <w:sz w:val="24"/>
                <w:szCs w:val="24"/>
              </w:rPr>
              <w:t>⑤</w:t>
            </w:r>
            <w:r>
              <w:rPr>
                <w:rFonts w:ascii="宋体" w:hAnsi="宋体"/>
                <w:bCs/>
                <w:kern w:val="0"/>
                <w:sz w:val="24"/>
                <w:szCs w:val="24"/>
              </w:rPr>
              <w:t>抛丸、砂修：</w:t>
            </w:r>
            <w:r>
              <w:rPr>
                <w:rFonts w:ascii="宋体" w:hAnsi="宋体"/>
                <w:kern w:val="0"/>
                <w:sz w:val="24"/>
                <w:szCs w:val="24"/>
              </w:rPr>
              <w:t>使用抛丸机和砂修机对工件表面进行打磨，去除工件表面的氧化皮等杂质。该工序会产生：</w:t>
            </w:r>
            <w:r>
              <w:rPr>
                <w:kern w:val="0"/>
                <w:sz w:val="24"/>
                <w:szCs w:val="24"/>
              </w:rPr>
              <w:t>G1-1:</w:t>
            </w:r>
            <w:r>
              <w:rPr>
                <w:rFonts w:ascii="宋体" w:hAnsi="宋体"/>
                <w:kern w:val="0"/>
                <w:sz w:val="24"/>
                <w:szCs w:val="24"/>
              </w:rPr>
              <w:t>抛丸、砂修粉尘，</w:t>
            </w:r>
            <w:r>
              <w:rPr>
                <w:kern w:val="0"/>
                <w:sz w:val="24"/>
                <w:szCs w:val="24"/>
              </w:rPr>
              <w:t>S1-4</w:t>
            </w:r>
            <w:r>
              <w:rPr>
                <w:rFonts w:ascii="宋体" w:hAnsi="宋体"/>
                <w:kern w:val="0"/>
                <w:sz w:val="24"/>
                <w:szCs w:val="24"/>
              </w:rPr>
              <w:t>：废钢丸。</w:t>
            </w:r>
          </w:p>
          <w:p w14:paraId="07BB2DA3">
            <w:pPr>
              <w:widowControl w:val="0"/>
              <w:snapToGrid w:val="0"/>
              <w:spacing w:line="360" w:lineRule="auto"/>
              <w:ind w:firstLine="480" w:firstLineChars="200"/>
              <w:rPr>
                <w:kern w:val="0"/>
                <w:sz w:val="24"/>
                <w:szCs w:val="24"/>
              </w:rPr>
            </w:pPr>
            <w:r>
              <w:rPr>
                <w:rFonts w:hint="eastAsia" w:ascii="宋体" w:hAnsi="宋体" w:cs="宋体"/>
                <w:kern w:val="0"/>
                <w:sz w:val="24"/>
                <w:szCs w:val="24"/>
              </w:rPr>
              <w:t>⑥</w:t>
            </w:r>
            <w:r>
              <w:rPr>
                <w:rFonts w:ascii="宋体" w:hAnsi="宋体"/>
                <w:kern w:val="0"/>
                <w:sz w:val="24"/>
                <w:szCs w:val="24"/>
              </w:rPr>
              <w:t>上挂：抛丸后的工件人工上挂，悬挂链输送</w:t>
            </w:r>
            <w:r>
              <w:rPr>
                <w:kern w:val="0"/>
                <w:sz w:val="24"/>
                <w:szCs w:val="24"/>
              </w:rPr>
              <w:t>.</w:t>
            </w:r>
          </w:p>
          <w:p w14:paraId="32D27126">
            <w:pPr>
              <w:widowControl w:val="0"/>
              <w:snapToGrid w:val="0"/>
              <w:spacing w:line="360" w:lineRule="auto"/>
              <w:ind w:firstLine="480" w:firstLineChars="200"/>
              <w:rPr>
                <w:kern w:val="0"/>
                <w:sz w:val="24"/>
                <w:szCs w:val="24"/>
              </w:rPr>
            </w:pPr>
            <w:r>
              <w:rPr>
                <w:rFonts w:hint="eastAsia" w:ascii="宋体" w:hAnsi="宋体" w:cs="宋体"/>
                <w:kern w:val="0"/>
                <w:sz w:val="24"/>
                <w:szCs w:val="24"/>
              </w:rPr>
              <w:t>⑦</w:t>
            </w:r>
            <w:r>
              <w:rPr>
                <w:rFonts w:ascii="宋体" w:hAnsi="宋体"/>
                <w:kern w:val="0"/>
                <w:sz w:val="24"/>
                <w:szCs w:val="24"/>
              </w:rPr>
              <w:t>调漆：建设项目将外购的环氧底漆、环氧面漆、稀释剂按照</w:t>
            </w:r>
            <w:r>
              <w:rPr>
                <w:kern w:val="0"/>
                <w:sz w:val="24"/>
                <w:szCs w:val="24"/>
              </w:rPr>
              <w:t>10</w:t>
            </w:r>
            <w:r>
              <w:rPr>
                <w:rFonts w:ascii="宋体" w:hAnsi="宋体"/>
                <w:kern w:val="0"/>
                <w:sz w:val="24"/>
                <w:szCs w:val="24"/>
              </w:rPr>
              <w:t>：</w:t>
            </w:r>
            <w:r>
              <w:rPr>
                <w:kern w:val="0"/>
                <w:sz w:val="24"/>
                <w:szCs w:val="24"/>
              </w:rPr>
              <w:t>2</w:t>
            </w:r>
            <w:r>
              <w:rPr>
                <w:rFonts w:ascii="宋体" w:hAnsi="宋体"/>
                <w:kern w:val="0"/>
                <w:sz w:val="24"/>
                <w:szCs w:val="24"/>
              </w:rPr>
              <w:t>和</w:t>
            </w:r>
            <w:r>
              <w:rPr>
                <w:kern w:val="0"/>
                <w:sz w:val="24"/>
                <w:szCs w:val="24"/>
              </w:rPr>
              <w:t>10</w:t>
            </w:r>
            <w:r>
              <w:rPr>
                <w:rFonts w:ascii="宋体" w:hAnsi="宋体"/>
                <w:kern w:val="0"/>
                <w:sz w:val="24"/>
                <w:szCs w:val="24"/>
              </w:rPr>
              <w:t>：</w:t>
            </w:r>
            <w:r>
              <w:rPr>
                <w:kern w:val="0"/>
                <w:sz w:val="24"/>
                <w:szCs w:val="24"/>
              </w:rPr>
              <w:t>1</w:t>
            </w:r>
            <w:r>
              <w:rPr>
                <w:rFonts w:ascii="宋体" w:hAnsi="宋体"/>
                <w:kern w:val="0"/>
                <w:sz w:val="24"/>
                <w:szCs w:val="24"/>
              </w:rPr>
              <w:t>的比例进行人工调漆，为喷漆工序做准备，调漆工序在密闭的喷漆房（</w:t>
            </w:r>
            <w:r>
              <w:rPr>
                <w:kern w:val="0"/>
                <w:sz w:val="24"/>
                <w:szCs w:val="24"/>
              </w:rPr>
              <w:t>12m*10m*3m</w:t>
            </w:r>
            <w:r>
              <w:rPr>
                <w:rFonts w:ascii="宋体" w:hAnsi="宋体"/>
                <w:kern w:val="0"/>
                <w:sz w:val="24"/>
                <w:szCs w:val="24"/>
              </w:rPr>
              <w:t>）进行，不单独设置调漆房。该工序会产生：</w:t>
            </w:r>
            <w:r>
              <w:rPr>
                <w:kern w:val="0"/>
                <w:sz w:val="24"/>
                <w:szCs w:val="24"/>
              </w:rPr>
              <w:t>G1-2</w:t>
            </w:r>
            <w:r>
              <w:rPr>
                <w:rFonts w:ascii="宋体" w:hAnsi="宋体"/>
                <w:kern w:val="0"/>
                <w:sz w:val="24"/>
                <w:szCs w:val="24"/>
              </w:rPr>
              <w:t>：调漆废气，</w:t>
            </w:r>
            <w:r>
              <w:rPr>
                <w:kern w:val="0"/>
                <w:sz w:val="24"/>
                <w:szCs w:val="24"/>
              </w:rPr>
              <w:t>S1-6</w:t>
            </w:r>
            <w:r>
              <w:rPr>
                <w:rFonts w:ascii="宋体" w:hAnsi="宋体"/>
                <w:kern w:val="0"/>
                <w:sz w:val="24"/>
                <w:szCs w:val="24"/>
              </w:rPr>
              <w:t>：废包装桶</w:t>
            </w:r>
          </w:p>
          <w:p w14:paraId="4E4B9BB7">
            <w:pPr>
              <w:widowControl w:val="0"/>
              <w:snapToGrid w:val="0"/>
              <w:spacing w:line="360" w:lineRule="auto"/>
              <w:ind w:firstLine="480" w:firstLineChars="200"/>
              <w:rPr>
                <w:kern w:val="0"/>
                <w:sz w:val="24"/>
                <w:szCs w:val="24"/>
              </w:rPr>
            </w:pPr>
            <w:r>
              <w:rPr>
                <w:rFonts w:hint="eastAsia" w:ascii="宋体" w:hAnsi="宋体" w:cs="宋体"/>
                <w:kern w:val="0"/>
                <w:sz w:val="24"/>
                <w:szCs w:val="24"/>
              </w:rPr>
              <w:t>⑧</w:t>
            </w:r>
            <w:r>
              <w:rPr>
                <w:rFonts w:ascii="宋体" w:hAnsi="宋体"/>
                <w:kern w:val="0"/>
                <w:sz w:val="24"/>
                <w:szCs w:val="24"/>
              </w:rPr>
              <w:t>喷底漆、流平烘干：采用吸上式喷枪对工件进行机器人喷涂，为湿式喷涂，吸上式喷枪的涂料罐位于喷枪的下部，涂料喷嘴一般较空气帽的中心孔稍向前凸出，压缩空气从空气帽中心孔，即涂料喷嘴的周围喷出，在涂料喷嘴的前端形成负压，将涂料从涂料罐内吸出并雾化。喷嘴口径</w:t>
            </w:r>
            <w:r>
              <w:rPr>
                <w:kern w:val="0"/>
                <w:sz w:val="24"/>
                <w:szCs w:val="24"/>
              </w:rPr>
              <w:t>1.3mm</w:t>
            </w:r>
            <w:r>
              <w:rPr>
                <w:rFonts w:ascii="宋体" w:hAnsi="宋体"/>
                <w:kern w:val="0"/>
                <w:sz w:val="24"/>
                <w:szCs w:val="24"/>
              </w:rPr>
              <w:t>，喷涂距离约为</w:t>
            </w:r>
            <w:r>
              <w:rPr>
                <w:kern w:val="0"/>
                <w:sz w:val="24"/>
                <w:szCs w:val="24"/>
              </w:rPr>
              <w:t>200mm</w:t>
            </w:r>
            <w:r>
              <w:rPr>
                <w:rFonts w:ascii="宋体" w:hAnsi="宋体"/>
                <w:kern w:val="0"/>
                <w:sz w:val="24"/>
                <w:szCs w:val="24"/>
              </w:rPr>
              <w:t>，涂料最大喷出量为</w:t>
            </w:r>
            <w:r>
              <w:rPr>
                <w:kern w:val="0"/>
                <w:sz w:val="24"/>
                <w:szCs w:val="24"/>
              </w:rPr>
              <w:t>300mL/min</w:t>
            </w:r>
            <w:r>
              <w:rPr>
                <w:rFonts w:ascii="宋体" w:hAnsi="宋体"/>
                <w:kern w:val="0"/>
                <w:sz w:val="24"/>
                <w:szCs w:val="24"/>
              </w:rPr>
              <w:t>，喷涂厚度约为</w:t>
            </w:r>
            <w:r>
              <w:rPr>
                <w:kern w:val="0"/>
                <w:sz w:val="24"/>
                <w:szCs w:val="24"/>
              </w:rPr>
              <w:t>40μm</w:t>
            </w:r>
            <w:r>
              <w:rPr>
                <w:rFonts w:ascii="宋体" w:hAnsi="宋体"/>
                <w:kern w:val="0"/>
                <w:sz w:val="24"/>
                <w:szCs w:val="24"/>
              </w:rPr>
              <w:t>，喷涂的过程中会产生漆雾，一部分收集至废气装置处理，一部分散落在喷漆房内形成漆渣。底漆喷涂完成后，工件随喷漆线进入流平烘干通道进行烘干。烘干道长</w:t>
            </w:r>
            <w:r>
              <w:rPr>
                <w:kern w:val="0"/>
                <w:sz w:val="24"/>
                <w:szCs w:val="24"/>
              </w:rPr>
              <w:t>90</w:t>
            </w:r>
            <w:r>
              <w:rPr>
                <w:rFonts w:ascii="宋体" w:hAnsi="宋体"/>
                <w:kern w:val="0"/>
                <w:sz w:val="24"/>
                <w:szCs w:val="24"/>
              </w:rPr>
              <w:t>米，加热温度在</w:t>
            </w:r>
            <w:r>
              <w:rPr>
                <w:kern w:val="0"/>
                <w:sz w:val="24"/>
                <w:szCs w:val="24"/>
              </w:rPr>
              <w:t>55-100℃</w:t>
            </w:r>
            <w:r>
              <w:rPr>
                <w:rFonts w:ascii="宋体" w:hAnsi="宋体"/>
                <w:kern w:val="0"/>
                <w:sz w:val="24"/>
                <w:szCs w:val="24"/>
              </w:rPr>
              <w:t>，采</w:t>
            </w:r>
            <w:r>
              <w:rPr>
                <w:rFonts w:hint="eastAsia" w:ascii="宋体" w:hAnsi="宋体"/>
                <w:kern w:val="0"/>
                <w:sz w:val="24"/>
                <w:szCs w:val="24"/>
              </w:rPr>
              <w:t>用燃烧器燃烧丙烷气体产生的</w:t>
            </w:r>
            <w:r>
              <w:rPr>
                <w:rFonts w:ascii="宋体" w:hAnsi="宋体"/>
                <w:kern w:val="0"/>
                <w:sz w:val="24"/>
                <w:szCs w:val="24"/>
              </w:rPr>
              <w:t>热风循环烘干，单次烘干时间需</w:t>
            </w:r>
            <w:r>
              <w:rPr>
                <w:kern w:val="0"/>
                <w:sz w:val="24"/>
                <w:szCs w:val="24"/>
              </w:rPr>
              <w:t>30min</w:t>
            </w:r>
            <w:r>
              <w:rPr>
                <w:rFonts w:ascii="宋体" w:hAnsi="宋体"/>
                <w:kern w:val="0"/>
                <w:sz w:val="24"/>
                <w:szCs w:val="24"/>
              </w:rPr>
              <w:t>。该工序会产生：</w:t>
            </w:r>
            <w:r>
              <w:rPr>
                <w:kern w:val="0"/>
                <w:sz w:val="24"/>
                <w:szCs w:val="24"/>
              </w:rPr>
              <w:t>S1-5</w:t>
            </w:r>
            <w:r>
              <w:rPr>
                <w:rFonts w:ascii="宋体" w:hAnsi="宋体"/>
                <w:kern w:val="0"/>
                <w:sz w:val="24"/>
                <w:szCs w:val="24"/>
              </w:rPr>
              <w:t>：漆渣，</w:t>
            </w:r>
            <w:r>
              <w:rPr>
                <w:kern w:val="0"/>
                <w:sz w:val="24"/>
                <w:szCs w:val="24"/>
              </w:rPr>
              <w:t>G1-3</w:t>
            </w:r>
            <w:r>
              <w:rPr>
                <w:rFonts w:ascii="宋体" w:hAnsi="宋体"/>
                <w:kern w:val="0"/>
                <w:sz w:val="24"/>
                <w:szCs w:val="24"/>
              </w:rPr>
              <w:t>：喷漆废气，</w:t>
            </w:r>
            <w:r>
              <w:rPr>
                <w:kern w:val="0"/>
                <w:sz w:val="24"/>
                <w:szCs w:val="24"/>
              </w:rPr>
              <w:t>G1-4</w:t>
            </w:r>
            <w:r>
              <w:rPr>
                <w:rFonts w:ascii="宋体" w:hAnsi="宋体"/>
                <w:kern w:val="0"/>
                <w:sz w:val="24"/>
                <w:szCs w:val="24"/>
              </w:rPr>
              <w:t>：烘干废气，</w:t>
            </w:r>
            <w:r>
              <w:rPr>
                <w:kern w:val="0"/>
                <w:sz w:val="24"/>
                <w:szCs w:val="24"/>
              </w:rPr>
              <w:t>G1-5</w:t>
            </w:r>
            <w:r>
              <w:rPr>
                <w:rFonts w:ascii="宋体" w:hAnsi="宋体"/>
                <w:kern w:val="0"/>
                <w:sz w:val="24"/>
                <w:szCs w:val="24"/>
              </w:rPr>
              <w:t>：丙烷燃烧废气。</w:t>
            </w:r>
          </w:p>
          <w:p w14:paraId="45A19E50">
            <w:pPr>
              <w:widowControl w:val="0"/>
              <w:snapToGrid w:val="0"/>
              <w:spacing w:line="360" w:lineRule="auto"/>
              <w:ind w:firstLine="480" w:firstLineChars="200"/>
              <w:rPr>
                <w:kern w:val="0"/>
                <w:sz w:val="24"/>
                <w:szCs w:val="24"/>
              </w:rPr>
            </w:pPr>
            <w:r>
              <w:rPr>
                <w:rFonts w:ascii="宋体" w:hAnsi="宋体"/>
                <w:kern w:val="0"/>
                <w:sz w:val="24"/>
                <w:szCs w:val="24"/>
              </w:rPr>
              <w:t>喷面漆、流平烘干：烘干后的工件需要进行喷面漆，将完成调成后的成品漆，采用吸上式喷枪对工件进行机器人喷涂，为湿式喷涂，吸上式喷枪的涂料罐位于喷枪的下部，涂料喷嘴一般较空气帽的中心孔稍向前凸出，压缩空气从空气帽中心孔，即涂料喷嘴的周围喷出，在涂料喷嘴的前端形成负压，将涂料从涂料罐内吸出并雾化。喷嘴口径</w:t>
            </w:r>
            <w:r>
              <w:rPr>
                <w:kern w:val="0"/>
                <w:sz w:val="24"/>
                <w:szCs w:val="24"/>
              </w:rPr>
              <w:t>1.3mm</w:t>
            </w:r>
            <w:r>
              <w:rPr>
                <w:rFonts w:ascii="宋体" w:hAnsi="宋体"/>
                <w:kern w:val="0"/>
                <w:sz w:val="24"/>
                <w:szCs w:val="24"/>
              </w:rPr>
              <w:t>，喷涂距离约为</w:t>
            </w:r>
            <w:r>
              <w:rPr>
                <w:kern w:val="0"/>
                <w:sz w:val="24"/>
                <w:szCs w:val="24"/>
              </w:rPr>
              <w:t>200mm</w:t>
            </w:r>
            <w:r>
              <w:rPr>
                <w:rFonts w:ascii="宋体" w:hAnsi="宋体"/>
                <w:kern w:val="0"/>
                <w:sz w:val="24"/>
                <w:szCs w:val="24"/>
              </w:rPr>
              <w:t>，涂料最大喷出量为</w:t>
            </w:r>
            <w:r>
              <w:rPr>
                <w:kern w:val="0"/>
                <w:sz w:val="24"/>
                <w:szCs w:val="24"/>
              </w:rPr>
              <w:t>300mL/min</w:t>
            </w:r>
            <w:r>
              <w:rPr>
                <w:rFonts w:ascii="宋体" w:hAnsi="宋体"/>
                <w:kern w:val="0"/>
                <w:sz w:val="24"/>
                <w:szCs w:val="24"/>
              </w:rPr>
              <w:t>，喷涂厚度约为</w:t>
            </w:r>
            <w:r>
              <w:rPr>
                <w:kern w:val="0"/>
                <w:sz w:val="24"/>
                <w:szCs w:val="24"/>
              </w:rPr>
              <w:t>30μm</w:t>
            </w:r>
            <w:r>
              <w:rPr>
                <w:rFonts w:ascii="宋体" w:hAnsi="宋体"/>
                <w:kern w:val="0"/>
                <w:sz w:val="24"/>
                <w:szCs w:val="24"/>
              </w:rPr>
              <w:t>，喷涂的过程中会产生漆雾，一部分收集至废气装置处理，一部分散落在喷漆房内形成漆渣。面漆喷涂完成后，工件随喷漆线进入流平烘干通道进行烘干。烘干道长</w:t>
            </w:r>
            <w:r>
              <w:rPr>
                <w:kern w:val="0"/>
                <w:sz w:val="24"/>
                <w:szCs w:val="24"/>
              </w:rPr>
              <w:t>90</w:t>
            </w:r>
            <w:r>
              <w:rPr>
                <w:rFonts w:ascii="宋体" w:hAnsi="宋体"/>
                <w:kern w:val="0"/>
                <w:sz w:val="24"/>
                <w:szCs w:val="24"/>
              </w:rPr>
              <w:t>米，加热温度在</w:t>
            </w:r>
            <w:r>
              <w:rPr>
                <w:kern w:val="0"/>
                <w:sz w:val="24"/>
                <w:szCs w:val="24"/>
              </w:rPr>
              <w:t>55-100℃</w:t>
            </w:r>
            <w:r>
              <w:rPr>
                <w:rFonts w:ascii="宋体" w:hAnsi="宋体"/>
                <w:kern w:val="0"/>
                <w:sz w:val="24"/>
                <w:szCs w:val="24"/>
              </w:rPr>
              <w:t>，采</w:t>
            </w:r>
            <w:r>
              <w:rPr>
                <w:rFonts w:hint="eastAsia" w:ascii="宋体" w:hAnsi="宋体"/>
                <w:kern w:val="0"/>
                <w:sz w:val="24"/>
                <w:szCs w:val="24"/>
              </w:rPr>
              <w:t>用燃烧器燃烧丙烷气体产生的</w:t>
            </w:r>
            <w:r>
              <w:rPr>
                <w:rFonts w:ascii="宋体" w:hAnsi="宋体"/>
                <w:kern w:val="0"/>
                <w:sz w:val="24"/>
                <w:szCs w:val="24"/>
              </w:rPr>
              <w:t>热风循环烘干，单次烘干时间需</w:t>
            </w:r>
            <w:r>
              <w:rPr>
                <w:kern w:val="0"/>
                <w:sz w:val="24"/>
                <w:szCs w:val="24"/>
              </w:rPr>
              <w:t>30min</w:t>
            </w:r>
            <w:r>
              <w:rPr>
                <w:rFonts w:ascii="宋体" w:hAnsi="宋体"/>
                <w:kern w:val="0"/>
                <w:sz w:val="24"/>
                <w:szCs w:val="24"/>
              </w:rPr>
              <w:t>。喷枪及挂件使用清洗剂（稀释剂）在喷漆房内，定期清洗，该过程产生的废气计入喷漆废气中，不单独说明。该工序会产生：</w:t>
            </w:r>
            <w:r>
              <w:rPr>
                <w:kern w:val="0"/>
                <w:sz w:val="24"/>
                <w:szCs w:val="24"/>
              </w:rPr>
              <w:t>S1-5</w:t>
            </w:r>
            <w:r>
              <w:rPr>
                <w:rFonts w:ascii="宋体" w:hAnsi="宋体"/>
                <w:kern w:val="0"/>
                <w:sz w:val="24"/>
                <w:szCs w:val="24"/>
              </w:rPr>
              <w:t>：漆渣，</w:t>
            </w:r>
            <w:r>
              <w:rPr>
                <w:kern w:val="0"/>
                <w:sz w:val="24"/>
                <w:szCs w:val="24"/>
              </w:rPr>
              <w:t>G1-3</w:t>
            </w:r>
            <w:r>
              <w:rPr>
                <w:rFonts w:ascii="宋体" w:hAnsi="宋体"/>
                <w:kern w:val="0"/>
                <w:sz w:val="24"/>
                <w:szCs w:val="24"/>
              </w:rPr>
              <w:t>：喷漆废气，</w:t>
            </w:r>
            <w:r>
              <w:rPr>
                <w:kern w:val="0"/>
                <w:sz w:val="24"/>
                <w:szCs w:val="24"/>
              </w:rPr>
              <w:t>G1-4</w:t>
            </w:r>
            <w:r>
              <w:rPr>
                <w:rFonts w:ascii="宋体" w:hAnsi="宋体"/>
                <w:kern w:val="0"/>
                <w:sz w:val="24"/>
                <w:szCs w:val="24"/>
              </w:rPr>
              <w:t>：烘干废气，</w:t>
            </w:r>
            <w:r>
              <w:rPr>
                <w:kern w:val="0"/>
                <w:sz w:val="24"/>
                <w:szCs w:val="24"/>
              </w:rPr>
              <w:t>G1-5</w:t>
            </w:r>
            <w:r>
              <w:rPr>
                <w:rFonts w:ascii="宋体" w:hAnsi="宋体"/>
                <w:kern w:val="0"/>
                <w:sz w:val="24"/>
                <w:szCs w:val="24"/>
              </w:rPr>
              <w:t>：丙烷燃烧废气。</w:t>
            </w:r>
          </w:p>
          <w:p w14:paraId="64432CF1">
            <w:pPr>
              <w:widowControl w:val="0"/>
              <w:adjustRightInd w:val="0"/>
              <w:spacing w:line="360" w:lineRule="auto"/>
              <w:ind w:firstLine="482" w:firstLineChars="200"/>
              <w:rPr>
                <w:b/>
                <w:bCs/>
                <w:kern w:val="0"/>
                <w:sz w:val="24"/>
                <w:szCs w:val="24"/>
              </w:rPr>
            </w:pPr>
            <w:r>
              <w:rPr>
                <w:rFonts w:ascii="宋体" w:hAnsi="宋体"/>
                <w:b/>
                <w:bCs/>
                <w:kern w:val="0"/>
                <w:sz w:val="24"/>
                <w:szCs w:val="24"/>
              </w:rPr>
              <w:t>（</w:t>
            </w:r>
            <w:r>
              <w:rPr>
                <w:b/>
                <w:bCs/>
                <w:kern w:val="0"/>
                <w:sz w:val="24"/>
                <w:szCs w:val="24"/>
              </w:rPr>
              <w:t>2</w:t>
            </w:r>
            <w:r>
              <w:rPr>
                <w:rFonts w:ascii="宋体" w:hAnsi="宋体"/>
                <w:b/>
                <w:bCs/>
                <w:kern w:val="0"/>
                <w:sz w:val="24"/>
                <w:szCs w:val="24"/>
              </w:rPr>
              <w:t>）背板、机械配件</w:t>
            </w:r>
            <w:r>
              <w:rPr>
                <w:b/>
                <w:bCs/>
                <w:kern w:val="0"/>
                <w:sz w:val="24"/>
                <w:szCs w:val="24"/>
              </w:rPr>
              <w:t>A</w:t>
            </w:r>
            <w:r>
              <w:rPr>
                <w:rFonts w:ascii="宋体" w:hAnsi="宋体"/>
                <w:b/>
                <w:bCs/>
                <w:kern w:val="0"/>
                <w:sz w:val="24"/>
                <w:szCs w:val="24"/>
              </w:rPr>
              <w:t>、</w:t>
            </w:r>
            <w:r>
              <w:rPr>
                <w:b/>
                <w:bCs/>
                <w:kern w:val="0"/>
                <w:sz w:val="24"/>
                <w:szCs w:val="24"/>
              </w:rPr>
              <w:t>B</w:t>
            </w:r>
            <w:r>
              <w:rPr>
                <w:rFonts w:ascii="宋体" w:hAnsi="宋体"/>
                <w:b/>
                <w:bCs/>
                <w:kern w:val="0"/>
                <w:sz w:val="24"/>
                <w:szCs w:val="24"/>
              </w:rPr>
              <w:t>生产工艺流程</w:t>
            </w:r>
          </w:p>
          <w:p w14:paraId="001FF724">
            <w:pPr>
              <w:widowControl w:val="0"/>
              <w:ind w:firstLine="420"/>
              <w:jc w:val="center"/>
              <w:rPr>
                <w:szCs w:val="21"/>
              </w:rPr>
            </w:pPr>
            <w:r>
              <w:rPr>
                <w:rFonts w:hint="eastAsia"/>
              </w:rPr>
              <w:object>
                <v:shape id="_x0000_i1027" o:spt="75" type="#_x0000_t75" style="height:465.95pt;width:427.65pt;" o:ole="t" filled="f" o:preferrelative="t" stroked="f" coordsize="21600,21600">
                  <v:path/>
                  <v:fill on="f" focussize="0,0"/>
                  <v:stroke on="f" joinstyle="miter"/>
                  <v:imagedata r:id="rId18" o:title=""/>
                  <o:lock v:ext="edit" aspectratio="t"/>
                  <w10:wrap type="none"/>
                  <w10:anchorlock/>
                </v:shape>
                <o:OLEObject Type="Embed" ProgID="Visio.Drawing.15" ShapeID="_x0000_i1027" DrawAspect="Content" ObjectID="_1468075727" r:id="rId17">
                  <o:LockedField>false</o:LockedField>
                </o:OLEObject>
              </w:object>
            </w:r>
          </w:p>
          <w:p w14:paraId="6558CE88">
            <w:pPr>
              <w:widowControl w:val="0"/>
              <w:adjustRightInd w:val="0"/>
              <w:snapToGrid w:val="0"/>
              <w:ind w:firstLine="482" w:firstLineChars="200"/>
              <w:jc w:val="center"/>
              <w:rPr>
                <w:sz w:val="24"/>
                <w:szCs w:val="24"/>
              </w:rPr>
            </w:pPr>
            <w:r>
              <w:rPr>
                <w:rFonts w:ascii="宋体" w:hAnsi="宋体"/>
                <w:b/>
                <w:sz w:val="24"/>
                <w:szCs w:val="24"/>
              </w:rPr>
              <w:t>图</w:t>
            </w:r>
            <w:r>
              <w:rPr>
                <w:b/>
                <w:sz w:val="24"/>
                <w:szCs w:val="24"/>
              </w:rPr>
              <w:t>2-</w:t>
            </w:r>
            <w:r>
              <w:rPr>
                <w:rFonts w:hint="eastAsia"/>
                <w:b/>
                <w:sz w:val="24"/>
                <w:szCs w:val="24"/>
              </w:rPr>
              <w:t>5</w:t>
            </w:r>
            <w:r>
              <w:rPr>
                <w:b/>
                <w:sz w:val="24"/>
                <w:szCs w:val="24"/>
              </w:rPr>
              <w:t xml:space="preserve">  </w:t>
            </w:r>
            <w:r>
              <w:rPr>
                <w:rFonts w:ascii="宋体" w:hAnsi="宋体"/>
                <w:b/>
                <w:bCs/>
                <w:sz w:val="24"/>
                <w:szCs w:val="24"/>
              </w:rPr>
              <w:t>背板、机械配件</w:t>
            </w:r>
            <w:r>
              <w:rPr>
                <w:b/>
                <w:bCs/>
                <w:sz w:val="24"/>
                <w:szCs w:val="24"/>
              </w:rPr>
              <w:t>A</w:t>
            </w:r>
            <w:r>
              <w:rPr>
                <w:rFonts w:ascii="宋体" w:hAnsi="宋体"/>
                <w:b/>
                <w:bCs/>
                <w:sz w:val="24"/>
                <w:szCs w:val="24"/>
              </w:rPr>
              <w:t>、</w:t>
            </w:r>
            <w:r>
              <w:rPr>
                <w:b/>
                <w:bCs/>
                <w:sz w:val="24"/>
                <w:szCs w:val="24"/>
              </w:rPr>
              <w:t>B</w:t>
            </w:r>
            <w:r>
              <w:rPr>
                <w:rFonts w:hint="eastAsia"/>
                <w:b/>
                <w:bCs/>
                <w:sz w:val="24"/>
                <w:szCs w:val="24"/>
              </w:rPr>
              <w:t>验收</w:t>
            </w:r>
            <w:r>
              <w:rPr>
                <w:rFonts w:ascii="宋体" w:hAnsi="宋体"/>
                <w:b/>
                <w:sz w:val="24"/>
                <w:szCs w:val="24"/>
              </w:rPr>
              <w:t>生产工艺流程及产污节点图</w:t>
            </w:r>
          </w:p>
          <w:p w14:paraId="1AF828ED">
            <w:pPr>
              <w:keepNext/>
              <w:keepLines/>
              <w:widowControl w:val="0"/>
              <w:autoSpaceDE w:val="0"/>
              <w:autoSpaceDN w:val="0"/>
              <w:adjustRightInd w:val="0"/>
              <w:spacing w:line="360" w:lineRule="auto"/>
              <w:ind w:firstLine="482"/>
              <w:jc w:val="left"/>
              <w:outlineLvl w:val="1"/>
              <w:rPr>
                <w:b/>
                <w:bCs/>
                <w:color w:val="000000"/>
                <w:kern w:val="0"/>
                <w:sz w:val="24"/>
                <w:szCs w:val="24"/>
              </w:rPr>
            </w:pPr>
            <w:r>
              <w:rPr>
                <w:rFonts w:ascii="宋体" w:hAnsi="宋体"/>
                <w:b/>
                <w:bCs/>
                <w:color w:val="000000"/>
                <w:kern w:val="0"/>
                <w:sz w:val="24"/>
                <w:szCs w:val="24"/>
              </w:rPr>
              <w:t>（</w:t>
            </w:r>
            <w:r>
              <w:rPr>
                <w:b/>
                <w:bCs/>
                <w:color w:val="000000"/>
                <w:kern w:val="0"/>
                <w:sz w:val="24"/>
                <w:szCs w:val="24"/>
              </w:rPr>
              <w:t>2.1</w:t>
            </w:r>
            <w:r>
              <w:rPr>
                <w:rFonts w:ascii="宋体" w:hAnsi="宋体"/>
                <w:b/>
                <w:bCs/>
                <w:color w:val="000000"/>
                <w:kern w:val="0"/>
                <w:sz w:val="24"/>
                <w:szCs w:val="24"/>
              </w:rPr>
              <w:t>）生产工艺流程说明</w:t>
            </w:r>
          </w:p>
          <w:p w14:paraId="3D46D514">
            <w:pPr>
              <w:widowControl w:val="0"/>
              <w:adjustRightInd w:val="0"/>
              <w:snapToGrid w:val="0"/>
              <w:spacing w:line="360" w:lineRule="auto"/>
              <w:ind w:firstLine="480" w:firstLineChars="200"/>
              <w:rPr>
                <w:b/>
                <w:bCs/>
                <w:kern w:val="0"/>
                <w:sz w:val="24"/>
                <w:szCs w:val="24"/>
                <w:u w:val="single"/>
              </w:rPr>
            </w:pPr>
            <w:r>
              <w:rPr>
                <w:rFonts w:hint="eastAsia" w:ascii="宋体" w:hAnsi="宋体" w:cs="宋体"/>
                <w:kern w:val="0"/>
                <w:sz w:val="24"/>
                <w:szCs w:val="24"/>
              </w:rPr>
              <w:t>①</w:t>
            </w:r>
            <w:r>
              <w:rPr>
                <w:rFonts w:ascii="宋体" w:hAnsi="宋体"/>
                <w:kern w:val="0"/>
                <w:sz w:val="24"/>
                <w:szCs w:val="24"/>
              </w:rPr>
              <w:t>机加工：</w:t>
            </w:r>
            <w:r>
              <w:rPr>
                <w:rFonts w:hint="eastAsia" w:ascii="宋体" w:hAnsi="宋体"/>
                <w:bCs/>
                <w:kern w:val="0"/>
                <w:sz w:val="24"/>
                <w:szCs w:val="24"/>
              </w:rPr>
              <w:t>此工段外协加工。</w:t>
            </w:r>
          </w:p>
          <w:p w14:paraId="616936F5">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②</w:t>
            </w:r>
            <w:r>
              <w:rPr>
                <w:rFonts w:ascii="宋体" w:hAnsi="宋体"/>
                <w:kern w:val="0"/>
                <w:sz w:val="24"/>
                <w:szCs w:val="24"/>
              </w:rPr>
              <w:t>焊接：</w:t>
            </w:r>
            <w:r>
              <w:rPr>
                <w:rFonts w:hint="eastAsia" w:ascii="宋体" w:hAnsi="宋体"/>
                <w:bCs/>
                <w:kern w:val="0"/>
                <w:sz w:val="24"/>
                <w:szCs w:val="24"/>
              </w:rPr>
              <w:t>此工段外协加工</w:t>
            </w:r>
            <w:r>
              <w:rPr>
                <w:rFonts w:ascii="宋体" w:hAnsi="宋体"/>
                <w:kern w:val="0"/>
                <w:sz w:val="24"/>
                <w:szCs w:val="24"/>
              </w:rPr>
              <w:t>。</w:t>
            </w:r>
          </w:p>
          <w:p w14:paraId="1C6E34EA">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③</w:t>
            </w:r>
            <w:r>
              <w:rPr>
                <w:rFonts w:ascii="宋体" w:hAnsi="宋体"/>
                <w:kern w:val="0"/>
                <w:sz w:val="24"/>
                <w:szCs w:val="24"/>
              </w:rPr>
              <w:t>精加工：</w:t>
            </w:r>
            <w:r>
              <w:rPr>
                <w:rFonts w:hint="eastAsia" w:ascii="宋体" w:hAnsi="宋体"/>
                <w:bCs/>
                <w:kern w:val="0"/>
                <w:sz w:val="24"/>
                <w:szCs w:val="24"/>
              </w:rPr>
              <w:t>此工段外协加工</w:t>
            </w:r>
            <w:r>
              <w:rPr>
                <w:rFonts w:ascii="宋体" w:hAnsi="宋体"/>
                <w:kern w:val="0"/>
                <w:sz w:val="24"/>
                <w:szCs w:val="24"/>
              </w:rPr>
              <w:t>。</w:t>
            </w:r>
          </w:p>
          <w:p w14:paraId="4AF0BBAA">
            <w:pPr>
              <w:widowControl w:val="0"/>
              <w:adjustRightInd w:val="0"/>
              <w:snapToGrid w:val="0"/>
              <w:spacing w:line="360" w:lineRule="auto"/>
              <w:ind w:firstLine="480" w:firstLineChars="200"/>
              <w:rPr>
                <w:kern w:val="0"/>
                <w:sz w:val="24"/>
                <w:szCs w:val="24"/>
              </w:rPr>
            </w:pPr>
            <w:r>
              <w:rPr>
                <w:rFonts w:hint="eastAsia" w:ascii="宋体" w:hAnsi="宋体" w:cs="宋体"/>
                <w:kern w:val="0"/>
                <w:sz w:val="24"/>
                <w:szCs w:val="24"/>
              </w:rPr>
              <w:t>④</w:t>
            </w:r>
            <w:r>
              <w:rPr>
                <w:rFonts w:ascii="宋体" w:hAnsi="宋体"/>
                <w:kern w:val="0"/>
                <w:sz w:val="24"/>
                <w:szCs w:val="24"/>
              </w:rPr>
              <w:t>抛丸：使用抛丸机对工件表面进行抛光。该工序会产生：</w:t>
            </w:r>
            <w:r>
              <w:rPr>
                <w:kern w:val="0"/>
                <w:sz w:val="24"/>
                <w:szCs w:val="24"/>
              </w:rPr>
              <w:t>G2-2:</w:t>
            </w:r>
            <w:r>
              <w:rPr>
                <w:rFonts w:ascii="宋体" w:hAnsi="宋体"/>
                <w:kern w:val="0"/>
                <w:sz w:val="24"/>
                <w:szCs w:val="24"/>
              </w:rPr>
              <w:t>抛丸废气，</w:t>
            </w:r>
            <w:r>
              <w:rPr>
                <w:kern w:val="0"/>
                <w:sz w:val="24"/>
                <w:szCs w:val="24"/>
              </w:rPr>
              <w:t>S2-4</w:t>
            </w:r>
            <w:r>
              <w:rPr>
                <w:rFonts w:ascii="宋体" w:hAnsi="宋体"/>
                <w:kern w:val="0"/>
                <w:sz w:val="24"/>
                <w:szCs w:val="24"/>
              </w:rPr>
              <w:t>：废钢丸。</w:t>
            </w:r>
          </w:p>
          <w:p w14:paraId="105C4D9D">
            <w:pPr>
              <w:widowControl w:val="0"/>
              <w:adjustRightInd w:val="0"/>
              <w:snapToGrid w:val="0"/>
              <w:spacing w:line="360" w:lineRule="auto"/>
              <w:ind w:firstLine="480" w:firstLineChars="200"/>
              <w:jc w:val="left"/>
              <w:rPr>
                <w:kern w:val="0"/>
                <w:sz w:val="24"/>
                <w:szCs w:val="24"/>
              </w:rPr>
            </w:pPr>
            <w:r>
              <w:rPr>
                <w:rFonts w:hint="eastAsia" w:ascii="宋体" w:hAnsi="宋体" w:cs="宋体"/>
                <w:kern w:val="0"/>
                <w:sz w:val="24"/>
                <w:szCs w:val="24"/>
              </w:rPr>
              <w:t>⑤</w:t>
            </w:r>
            <w:r>
              <w:rPr>
                <w:rFonts w:ascii="宋体" w:hAnsi="宋体"/>
                <w:kern w:val="0"/>
                <w:sz w:val="24"/>
                <w:szCs w:val="24"/>
              </w:rPr>
              <w:t xml:space="preserve">静电喷塑：项目共设 </w:t>
            </w:r>
            <w:r>
              <w:rPr>
                <w:kern w:val="0"/>
                <w:sz w:val="24"/>
                <w:szCs w:val="24"/>
              </w:rPr>
              <w:t xml:space="preserve">1 </w:t>
            </w:r>
            <w:r>
              <w:rPr>
                <w:rFonts w:ascii="宋体" w:hAnsi="宋体"/>
                <w:kern w:val="0"/>
                <w:sz w:val="24"/>
                <w:szCs w:val="24"/>
              </w:rPr>
              <w:t xml:space="preserve">间喷塑房，采用静电自动喷塑，项目喷塑量较少，喷塑后进入固化烘道烘。喷塑设有独立的隔间，喷塑后工件人工上挂到烘道固化。项目喷塑全部采用静电喷塑，静电由静电发生器产生，项目静电喷塑塑粉附着率为 </w:t>
            </w:r>
            <w:r>
              <w:rPr>
                <w:kern w:val="0"/>
                <w:sz w:val="24"/>
                <w:szCs w:val="24"/>
              </w:rPr>
              <w:t xml:space="preserve">70% </w:t>
            </w:r>
            <w:r>
              <w:rPr>
                <w:rFonts w:ascii="宋体" w:hAnsi="宋体"/>
                <w:kern w:val="0"/>
                <w:sz w:val="24"/>
                <w:szCs w:val="24"/>
              </w:rPr>
              <w:t xml:space="preserve">，项目喷塑厚度平均为 </w:t>
            </w:r>
            <w:r>
              <w:rPr>
                <w:kern w:val="0"/>
                <w:sz w:val="24"/>
                <w:szCs w:val="24"/>
              </w:rPr>
              <w:t>150μm</w:t>
            </w:r>
            <w:r>
              <w:rPr>
                <w:rFonts w:ascii="宋体" w:hAnsi="宋体"/>
                <w:kern w:val="0"/>
                <w:sz w:val="24"/>
                <w:szCs w:val="24"/>
              </w:rPr>
              <w:t>。</w:t>
            </w:r>
          </w:p>
          <w:p w14:paraId="401A463E">
            <w:pPr>
              <w:widowControl w:val="0"/>
              <w:adjustRightInd w:val="0"/>
              <w:snapToGrid w:val="0"/>
              <w:spacing w:line="360" w:lineRule="auto"/>
              <w:ind w:firstLine="480" w:firstLineChars="200"/>
              <w:jc w:val="left"/>
              <w:rPr>
                <w:kern w:val="0"/>
                <w:sz w:val="24"/>
                <w:szCs w:val="24"/>
              </w:rPr>
            </w:pPr>
            <w:r>
              <w:rPr>
                <w:rFonts w:ascii="宋体" w:hAnsi="宋体"/>
                <w:kern w:val="0"/>
                <w:sz w:val="24"/>
                <w:szCs w:val="24"/>
              </w:rPr>
              <w:t>静电喷塑原理为：塑粉在喷枪口射出时，经过高压静电发生器电离的空气区域，</w:t>
            </w:r>
            <w:r>
              <w:rPr>
                <w:kern w:val="0"/>
                <w:sz w:val="24"/>
                <w:szCs w:val="24"/>
              </w:rPr>
              <w:t xml:space="preserve"> </w:t>
            </w:r>
            <w:r>
              <w:rPr>
                <w:rFonts w:ascii="宋体" w:hAnsi="宋体"/>
                <w:kern w:val="0"/>
                <w:sz w:val="24"/>
                <w:szCs w:val="24"/>
              </w:rPr>
              <w:t>静电塑粉带上负电荷，悬挂链上工件，经接地带上正电荷，从而达到静电塑粉吸附工件表面，形成粉末涂层。</w:t>
            </w:r>
          </w:p>
          <w:p w14:paraId="4B0599EE">
            <w:pPr>
              <w:widowControl w:val="0"/>
              <w:adjustRightInd w:val="0"/>
              <w:snapToGrid w:val="0"/>
              <w:spacing w:line="360" w:lineRule="auto"/>
              <w:ind w:firstLine="480" w:firstLineChars="200"/>
              <w:jc w:val="left"/>
              <w:rPr>
                <w:kern w:val="0"/>
                <w:sz w:val="24"/>
                <w:szCs w:val="24"/>
              </w:rPr>
            </w:pPr>
            <w:r>
              <w:rPr>
                <w:rFonts w:ascii="宋体" w:hAnsi="宋体"/>
                <w:kern w:val="0"/>
                <w:sz w:val="24"/>
                <w:szCs w:val="24"/>
              </w:rPr>
              <w:t>喷塑后，工件上塑粉附着不牢，需经固化处理，即需把喷塑件加热到</w:t>
            </w:r>
            <w:r>
              <w:rPr>
                <w:kern w:val="0"/>
                <w:sz w:val="24"/>
                <w:szCs w:val="24"/>
              </w:rPr>
              <w:t xml:space="preserve"> 200℃</w:t>
            </w:r>
            <w:r>
              <w:rPr>
                <w:rFonts w:ascii="宋体" w:hAnsi="宋体"/>
                <w:kern w:val="0"/>
                <w:sz w:val="24"/>
                <w:szCs w:val="24"/>
              </w:rPr>
              <w:t>左右， 塑粉成为熔融状态，从而更紧密的与金属件附着在一起。由于塑粉分解温度在</w:t>
            </w:r>
            <w:r>
              <w:rPr>
                <w:kern w:val="0"/>
                <w:sz w:val="24"/>
                <w:szCs w:val="24"/>
              </w:rPr>
              <w:t xml:space="preserve">300℃ , </w:t>
            </w:r>
            <w:r>
              <w:rPr>
                <w:rFonts w:ascii="宋体" w:hAnsi="宋体"/>
                <w:kern w:val="0"/>
                <w:sz w:val="24"/>
                <w:szCs w:val="24"/>
              </w:rPr>
              <w:t>该过程中塑粉不会分解，但塑粉成为熔融状态时，有少量的有机废气挥发出来。固化烘道长</w:t>
            </w:r>
            <w:r>
              <w:rPr>
                <w:kern w:val="0"/>
                <w:sz w:val="24"/>
                <w:szCs w:val="24"/>
              </w:rPr>
              <w:t xml:space="preserve">30m </w:t>
            </w:r>
            <w:r>
              <w:rPr>
                <w:rFonts w:ascii="宋体" w:hAnsi="宋体"/>
                <w:kern w:val="0"/>
                <w:sz w:val="24"/>
                <w:szCs w:val="24"/>
              </w:rPr>
              <w:t>，固化时间约为</w:t>
            </w:r>
            <w:r>
              <w:rPr>
                <w:kern w:val="0"/>
                <w:sz w:val="24"/>
                <w:szCs w:val="24"/>
              </w:rPr>
              <w:t xml:space="preserve">30min </w:t>
            </w:r>
            <w:r>
              <w:rPr>
                <w:rFonts w:ascii="宋体" w:hAnsi="宋体"/>
                <w:kern w:val="0"/>
                <w:sz w:val="24"/>
                <w:szCs w:val="24"/>
              </w:rPr>
              <w:t>左右</w:t>
            </w:r>
            <w:r>
              <w:rPr>
                <w:rFonts w:hint="eastAsia" w:ascii="宋体" w:hAnsi="宋体"/>
                <w:kern w:val="0"/>
                <w:sz w:val="24"/>
                <w:szCs w:val="24"/>
              </w:rPr>
              <w:t>，</w:t>
            </w:r>
            <w:r>
              <w:rPr>
                <w:rFonts w:ascii="宋体" w:hAnsi="宋体"/>
                <w:kern w:val="0"/>
                <w:sz w:val="24"/>
                <w:szCs w:val="24"/>
              </w:rPr>
              <w:t>采</w:t>
            </w:r>
            <w:r>
              <w:rPr>
                <w:rFonts w:hint="eastAsia" w:ascii="宋体" w:hAnsi="宋体"/>
                <w:kern w:val="0"/>
                <w:sz w:val="24"/>
                <w:szCs w:val="24"/>
              </w:rPr>
              <w:t>用燃烧器燃烧丙烷气体产生的</w:t>
            </w:r>
            <w:r>
              <w:rPr>
                <w:rFonts w:ascii="宋体" w:hAnsi="宋体"/>
                <w:kern w:val="0"/>
                <w:sz w:val="24"/>
                <w:szCs w:val="24"/>
              </w:rPr>
              <w:t>热风循环烘干。</w:t>
            </w:r>
            <w:r>
              <w:rPr>
                <w:kern w:val="0"/>
                <w:sz w:val="24"/>
                <w:szCs w:val="24"/>
              </w:rPr>
              <w:t xml:space="preserve"> </w:t>
            </w:r>
            <w:r>
              <w:rPr>
                <w:rFonts w:ascii="宋体" w:hAnsi="宋体"/>
                <w:kern w:val="0"/>
                <w:sz w:val="24"/>
                <w:szCs w:val="24"/>
              </w:rPr>
              <w:t>固化后经冷却隧道内自然冷却即可。</w:t>
            </w:r>
          </w:p>
          <w:p w14:paraId="30EF1E65">
            <w:pPr>
              <w:widowControl w:val="0"/>
              <w:autoSpaceDE w:val="0"/>
              <w:autoSpaceDN w:val="0"/>
              <w:adjustRightInd w:val="0"/>
              <w:spacing w:line="360" w:lineRule="auto"/>
              <w:ind w:firstLine="480" w:firstLineChars="200"/>
              <w:jc w:val="left"/>
              <w:rPr>
                <w:bCs/>
                <w:sz w:val="24"/>
                <w:szCs w:val="24"/>
              </w:rPr>
            </w:pPr>
            <w:r>
              <w:rPr>
                <w:rFonts w:hint="eastAsia" w:ascii="宋体" w:hAnsi="宋体" w:cs="宋体"/>
                <w:sz w:val="24"/>
                <w:szCs w:val="24"/>
              </w:rPr>
              <w:t>⑥</w:t>
            </w:r>
            <w:r>
              <w:rPr>
                <w:rFonts w:ascii="宋体" w:hAnsi="宋体"/>
                <w:bCs/>
                <w:sz w:val="24"/>
                <w:szCs w:val="24"/>
              </w:rPr>
              <w:t>包装入库：装配完成的产品包装入库。</w:t>
            </w:r>
          </w:p>
          <w:p w14:paraId="606DE7D9">
            <w:pPr>
              <w:widowControl w:val="0"/>
              <w:spacing w:line="360" w:lineRule="auto"/>
              <w:ind w:firstLine="482"/>
              <w:rPr>
                <w:b/>
                <w:bCs/>
                <w:sz w:val="24"/>
                <w:szCs w:val="24"/>
              </w:rPr>
            </w:pPr>
            <w:r>
              <w:rPr>
                <w:rFonts w:hint="eastAsia"/>
                <w:b/>
                <w:bCs/>
                <w:sz w:val="24"/>
                <w:szCs w:val="24"/>
              </w:rPr>
              <w:t>项目工程变动情况</w:t>
            </w:r>
          </w:p>
          <w:p w14:paraId="736463E5">
            <w:pPr>
              <w:widowControl w:val="0"/>
              <w:autoSpaceDE w:val="0"/>
              <w:autoSpaceDN w:val="0"/>
              <w:adjustRightInd w:val="0"/>
              <w:snapToGrid w:val="0"/>
              <w:spacing w:line="360" w:lineRule="auto"/>
              <w:ind w:firstLine="480" w:firstLineChars="200"/>
              <w:rPr>
                <w:sz w:val="24"/>
              </w:rPr>
            </w:pPr>
            <w:r>
              <w:rPr>
                <w:rFonts w:hint="eastAsia"/>
                <w:sz w:val="24"/>
              </w:rPr>
              <w:t>对照《污染影响类建设项目重大变动清单》（环办环评函[2020]688号），梳理项目工程变动情况如下表：</w:t>
            </w:r>
          </w:p>
          <w:p w14:paraId="6D592FE4">
            <w:pPr>
              <w:widowControl w:val="0"/>
              <w:autoSpaceDE w:val="0"/>
              <w:autoSpaceDN w:val="0"/>
              <w:snapToGrid w:val="0"/>
              <w:spacing w:line="360" w:lineRule="auto"/>
              <w:ind w:right="-172" w:firstLine="490"/>
              <w:jc w:val="center"/>
              <w:rPr>
                <w:b/>
                <w:bCs/>
                <w:color w:val="000000" w:themeColor="text1"/>
                <w:spacing w:val="2"/>
                <w:kern w:val="0"/>
                <w:sz w:val="24"/>
                <w:szCs w:val="24"/>
                <w14:textFill>
                  <w14:solidFill>
                    <w14:schemeClr w14:val="tx1"/>
                  </w14:solidFill>
                </w14:textFill>
              </w:rPr>
            </w:pPr>
            <w:r>
              <w:rPr>
                <w:rFonts w:hint="eastAsia"/>
                <w:b/>
                <w:bCs/>
                <w:color w:val="000000" w:themeColor="text1"/>
                <w:spacing w:val="2"/>
                <w:kern w:val="0"/>
                <w:sz w:val="24"/>
                <w:szCs w:val="24"/>
                <w14:textFill>
                  <w14:solidFill>
                    <w14:schemeClr w14:val="tx1"/>
                  </w14:solidFill>
                </w14:textFill>
              </w:rPr>
              <w:t>表 2-5 工程变动情况一览表</w:t>
            </w:r>
          </w:p>
          <w:tbl>
            <w:tblPr>
              <w:tblStyle w:val="26"/>
              <w:tblpPr w:leftFromText="180" w:rightFromText="180" w:vertAnchor="text" w:horzAnchor="page" w:tblpXSpec="center" w:tblpY="20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574"/>
              <w:gridCol w:w="5866"/>
              <w:gridCol w:w="1294"/>
            </w:tblGrid>
            <w:tr w14:paraId="0C81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14:paraId="118F26A8">
                  <w:pPr>
                    <w:widowControl w:val="0"/>
                    <w:jc w:val="center"/>
                    <w:rPr>
                      <w:b/>
                      <w:bCs/>
                      <w:szCs w:val="21"/>
                    </w:rPr>
                  </w:pPr>
                  <w:r>
                    <w:rPr>
                      <w:b/>
                      <w:bCs/>
                      <w:szCs w:val="21"/>
                    </w:rPr>
                    <w:t>序号</w:t>
                  </w:r>
                </w:p>
              </w:tc>
              <w:tc>
                <w:tcPr>
                  <w:tcW w:w="838" w:type="pct"/>
                  <w:vAlign w:val="center"/>
                </w:tcPr>
                <w:p w14:paraId="3BCAB301">
                  <w:pPr>
                    <w:widowControl w:val="0"/>
                    <w:jc w:val="center"/>
                    <w:rPr>
                      <w:b/>
                      <w:bCs/>
                      <w:szCs w:val="21"/>
                    </w:rPr>
                  </w:pPr>
                  <w:r>
                    <w:rPr>
                      <w:b/>
                      <w:bCs/>
                      <w:szCs w:val="21"/>
                    </w:rPr>
                    <w:t>项目工程</w:t>
                  </w:r>
                </w:p>
              </w:tc>
              <w:tc>
                <w:tcPr>
                  <w:tcW w:w="3122" w:type="pct"/>
                  <w:vAlign w:val="center"/>
                </w:tcPr>
                <w:p w14:paraId="6A41FB23">
                  <w:pPr>
                    <w:widowControl w:val="0"/>
                    <w:jc w:val="center"/>
                    <w:rPr>
                      <w:b/>
                      <w:bCs/>
                      <w:szCs w:val="21"/>
                    </w:rPr>
                  </w:pPr>
                  <w:r>
                    <w:rPr>
                      <w:b/>
                      <w:bCs/>
                      <w:szCs w:val="21"/>
                    </w:rPr>
                    <w:t>工程情况判定</w:t>
                  </w:r>
                </w:p>
              </w:tc>
              <w:tc>
                <w:tcPr>
                  <w:tcW w:w="689" w:type="pct"/>
                  <w:vAlign w:val="center"/>
                </w:tcPr>
                <w:p w14:paraId="004C5C63">
                  <w:pPr>
                    <w:widowControl w:val="0"/>
                    <w:rPr>
                      <w:b/>
                      <w:bCs/>
                      <w:szCs w:val="21"/>
                    </w:rPr>
                  </w:pPr>
                  <w:r>
                    <w:rPr>
                      <w:b/>
                      <w:bCs/>
                      <w:szCs w:val="21"/>
                    </w:rPr>
                    <w:t>是否</w:t>
                  </w:r>
                  <w:r>
                    <w:rPr>
                      <w:rFonts w:hint="eastAsia"/>
                      <w:b/>
                      <w:bCs/>
                      <w:szCs w:val="21"/>
                    </w:rPr>
                    <w:t>属于重大变动</w:t>
                  </w:r>
                </w:p>
              </w:tc>
            </w:tr>
            <w:tr w14:paraId="2A30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vAlign w:val="center"/>
                </w:tcPr>
                <w:p w14:paraId="4BF58EF9">
                  <w:pPr>
                    <w:widowControl w:val="0"/>
                    <w:jc w:val="center"/>
                    <w:rPr>
                      <w:szCs w:val="21"/>
                    </w:rPr>
                  </w:pPr>
                  <w:r>
                    <w:rPr>
                      <w:rFonts w:hint="eastAsia"/>
                      <w:szCs w:val="21"/>
                    </w:rPr>
                    <w:t>1</w:t>
                  </w:r>
                </w:p>
              </w:tc>
              <w:tc>
                <w:tcPr>
                  <w:tcW w:w="838" w:type="pct"/>
                  <w:vAlign w:val="center"/>
                </w:tcPr>
                <w:p w14:paraId="267AB81F">
                  <w:pPr>
                    <w:widowControl w:val="0"/>
                    <w:jc w:val="center"/>
                    <w:rPr>
                      <w:szCs w:val="21"/>
                    </w:rPr>
                  </w:pPr>
                  <w:r>
                    <w:rPr>
                      <w:rFonts w:hint="eastAsia"/>
                      <w:szCs w:val="21"/>
                    </w:rPr>
                    <w:t>性质</w:t>
                  </w:r>
                </w:p>
              </w:tc>
              <w:tc>
                <w:tcPr>
                  <w:tcW w:w="3122" w:type="pct"/>
                  <w:vAlign w:val="center"/>
                </w:tcPr>
                <w:p w14:paraId="4CF6475E">
                  <w:pPr>
                    <w:widowControl w:val="0"/>
                    <w:jc w:val="center"/>
                    <w:rPr>
                      <w:szCs w:val="21"/>
                    </w:rPr>
                  </w:pPr>
                  <w:r>
                    <w:rPr>
                      <w:rFonts w:hint="eastAsia"/>
                      <w:szCs w:val="21"/>
                    </w:rPr>
                    <w:t>本项目验收阶段与环评设计开发、使用功能未发生变化</w:t>
                  </w:r>
                </w:p>
              </w:tc>
              <w:tc>
                <w:tcPr>
                  <w:tcW w:w="689" w:type="pct"/>
                  <w:vAlign w:val="center"/>
                </w:tcPr>
                <w:p w14:paraId="1F1CAD47">
                  <w:pPr>
                    <w:widowControl w:val="0"/>
                    <w:jc w:val="center"/>
                    <w:rPr>
                      <w:szCs w:val="21"/>
                    </w:rPr>
                  </w:pPr>
                  <w:r>
                    <w:rPr>
                      <w:szCs w:val="21"/>
                    </w:rPr>
                    <w:t>否</w:t>
                  </w:r>
                </w:p>
              </w:tc>
            </w:tr>
            <w:tr w14:paraId="532A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14:paraId="18DD7488">
                  <w:pPr>
                    <w:widowControl w:val="0"/>
                    <w:jc w:val="center"/>
                    <w:rPr>
                      <w:szCs w:val="21"/>
                    </w:rPr>
                  </w:pPr>
                  <w:r>
                    <w:rPr>
                      <w:rFonts w:hint="eastAsia"/>
                      <w:szCs w:val="21"/>
                    </w:rPr>
                    <w:t>2</w:t>
                  </w:r>
                </w:p>
              </w:tc>
              <w:tc>
                <w:tcPr>
                  <w:tcW w:w="838" w:type="pct"/>
                  <w:vAlign w:val="center"/>
                </w:tcPr>
                <w:p w14:paraId="02CC3570">
                  <w:pPr>
                    <w:widowControl w:val="0"/>
                    <w:jc w:val="center"/>
                    <w:rPr>
                      <w:szCs w:val="21"/>
                    </w:rPr>
                  </w:pPr>
                  <w:r>
                    <w:rPr>
                      <w:rFonts w:hint="eastAsia"/>
                      <w:szCs w:val="21"/>
                    </w:rPr>
                    <w:t>规模</w:t>
                  </w:r>
                </w:p>
              </w:tc>
              <w:tc>
                <w:tcPr>
                  <w:tcW w:w="3122" w:type="pct"/>
                  <w:vAlign w:val="center"/>
                </w:tcPr>
                <w:p w14:paraId="6F2ACDB8">
                  <w:pPr>
                    <w:widowControl w:val="0"/>
                    <w:jc w:val="center"/>
                    <w:rPr>
                      <w:szCs w:val="21"/>
                    </w:rPr>
                  </w:pPr>
                  <w:r>
                    <w:rPr>
                      <w:rFonts w:hint="eastAsia"/>
                      <w:szCs w:val="21"/>
                    </w:rPr>
                    <w:t>本项目验收阶段生产、处置和储存规模均未超出环评设计生产、处置和储存规模，污染物排放量不增加</w:t>
                  </w:r>
                </w:p>
              </w:tc>
              <w:tc>
                <w:tcPr>
                  <w:tcW w:w="689" w:type="pct"/>
                  <w:vAlign w:val="center"/>
                </w:tcPr>
                <w:p w14:paraId="5823095A">
                  <w:pPr>
                    <w:widowControl w:val="0"/>
                    <w:jc w:val="center"/>
                    <w:rPr>
                      <w:szCs w:val="21"/>
                    </w:rPr>
                  </w:pPr>
                  <w:r>
                    <w:rPr>
                      <w:szCs w:val="21"/>
                    </w:rPr>
                    <w:t>否</w:t>
                  </w:r>
                </w:p>
              </w:tc>
            </w:tr>
            <w:tr w14:paraId="16FC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14:paraId="23BD7288">
                  <w:pPr>
                    <w:widowControl w:val="0"/>
                    <w:jc w:val="center"/>
                    <w:rPr>
                      <w:szCs w:val="21"/>
                    </w:rPr>
                  </w:pPr>
                  <w:r>
                    <w:rPr>
                      <w:rFonts w:hint="eastAsia"/>
                      <w:szCs w:val="21"/>
                    </w:rPr>
                    <w:t>3</w:t>
                  </w:r>
                </w:p>
              </w:tc>
              <w:tc>
                <w:tcPr>
                  <w:tcW w:w="838" w:type="pct"/>
                  <w:vAlign w:val="center"/>
                </w:tcPr>
                <w:p w14:paraId="35DF8CF8">
                  <w:pPr>
                    <w:widowControl w:val="0"/>
                    <w:jc w:val="center"/>
                    <w:rPr>
                      <w:szCs w:val="21"/>
                    </w:rPr>
                  </w:pPr>
                  <w:r>
                    <w:rPr>
                      <w:rFonts w:hint="eastAsia"/>
                      <w:szCs w:val="21"/>
                    </w:rPr>
                    <w:t>地点</w:t>
                  </w:r>
                </w:p>
              </w:tc>
              <w:tc>
                <w:tcPr>
                  <w:tcW w:w="3122" w:type="pct"/>
                  <w:vAlign w:val="center"/>
                </w:tcPr>
                <w:p w14:paraId="5C2FDD75">
                  <w:pPr>
                    <w:widowControl w:val="0"/>
                    <w:jc w:val="center"/>
                    <w:rPr>
                      <w:szCs w:val="21"/>
                    </w:rPr>
                  </w:pPr>
                  <w:r>
                    <w:rPr>
                      <w:rFonts w:hint="eastAsia"/>
                      <w:szCs w:val="21"/>
                    </w:rPr>
                    <w:t>本项目验收阶段地址与环评设计阶段相符</w:t>
                  </w:r>
                </w:p>
              </w:tc>
              <w:tc>
                <w:tcPr>
                  <w:tcW w:w="689" w:type="pct"/>
                  <w:vAlign w:val="center"/>
                </w:tcPr>
                <w:p w14:paraId="334FC9C4">
                  <w:pPr>
                    <w:widowControl w:val="0"/>
                    <w:jc w:val="center"/>
                    <w:rPr>
                      <w:szCs w:val="21"/>
                    </w:rPr>
                  </w:pPr>
                  <w:r>
                    <w:rPr>
                      <w:szCs w:val="21"/>
                    </w:rPr>
                    <w:t>否</w:t>
                  </w:r>
                </w:p>
              </w:tc>
            </w:tr>
            <w:tr w14:paraId="4173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restart"/>
                  <w:vAlign w:val="center"/>
                </w:tcPr>
                <w:p w14:paraId="6335FC93">
                  <w:pPr>
                    <w:widowControl w:val="0"/>
                    <w:jc w:val="center"/>
                    <w:rPr>
                      <w:szCs w:val="21"/>
                    </w:rPr>
                  </w:pPr>
                  <w:r>
                    <w:rPr>
                      <w:rFonts w:hint="eastAsia"/>
                      <w:szCs w:val="21"/>
                    </w:rPr>
                    <w:t>4</w:t>
                  </w:r>
                </w:p>
              </w:tc>
              <w:tc>
                <w:tcPr>
                  <w:tcW w:w="838" w:type="pct"/>
                  <w:vMerge w:val="restart"/>
                  <w:vAlign w:val="center"/>
                </w:tcPr>
                <w:p w14:paraId="292786A5">
                  <w:pPr>
                    <w:widowControl w:val="0"/>
                    <w:jc w:val="center"/>
                    <w:rPr>
                      <w:szCs w:val="21"/>
                    </w:rPr>
                  </w:pPr>
                  <w:r>
                    <w:rPr>
                      <w:rFonts w:hint="eastAsia"/>
                      <w:szCs w:val="21"/>
                    </w:rPr>
                    <w:t>生产工艺</w:t>
                  </w:r>
                </w:p>
              </w:tc>
              <w:tc>
                <w:tcPr>
                  <w:tcW w:w="3122" w:type="pct"/>
                  <w:vAlign w:val="center"/>
                </w:tcPr>
                <w:p w14:paraId="6C65295A">
                  <w:pPr>
                    <w:widowControl w:val="0"/>
                    <w:jc w:val="center"/>
                    <w:rPr>
                      <w:szCs w:val="21"/>
                    </w:rPr>
                  </w:pPr>
                  <w:r>
                    <w:rPr>
                      <w:szCs w:val="21"/>
                    </w:rPr>
                    <w:t>未新增产品品种；未新增主要生产装置、设备及配套设施；</w:t>
                  </w:r>
                  <w:r>
                    <w:rPr>
                      <w:rFonts w:hint="eastAsia"/>
                      <w:szCs w:val="21"/>
                    </w:rPr>
                    <w:t>验收阶段项目未建设机加工工艺，</w:t>
                  </w:r>
                  <w:r>
                    <w:rPr>
                      <w:szCs w:val="21"/>
                    </w:rPr>
                    <w:t>验收生产工艺流程</w:t>
                  </w:r>
                  <w:r>
                    <w:rPr>
                      <w:rFonts w:hint="eastAsia"/>
                      <w:szCs w:val="21"/>
                      <w:lang w:val="en-US" w:eastAsia="zh-CN"/>
                    </w:rPr>
                    <w:t>机</w:t>
                  </w:r>
                  <w:r>
                    <w:rPr>
                      <w:rFonts w:hint="eastAsia"/>
                      <w:szCs w:val="21"/>
                    </w:rPr>
                    <w:t>加工工艺、焊接工艺，工段外协加工；</w:t>
                  </w:r>
                  <w:r>
                    <w:rPr>
                      <w:szCs w:val="21"/>
                    </w:rPr>
                    <w:t xml:space="preserve">验收项目原辅料种类及数量均未超出环评设计量； </w:t>
                  </w:r>
                </w:p>
              </w:tc>
              <w:tc>
                <w:tcPr>
                  <w:tcW w:w="689" w:type="pct"/>
                  <w:vAlign w:val="center"/>
                </w:tcPr>
                <w:p w14:paraId="7FF0517C">
                  <w:pPr>
                    <w:widowControl w:val="0"/>
                    <w:jc w:val="center"/>
                    <w:rPr>
                      <w:szCs w:val="21"/>
                    </w:rPr>
                  </w:pPr>
                  <w:r>
                    <w:rPr>
                      <w:szCs w:val="21"/>
                    </w:rPr>
                    <w:t>否</w:t>
                  </w:r>
                </w:p>
              </w:tc>
            </w:tr>
            <w:tr w14:paraId="36C2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7435A27A">
                  <w:pPr>
                    <w:widowControl w:val="0"/>
                    <w:jc w:val="center"/>
                    <w:rPr>
                      <w:szCs w:val="21"/>
                    </w:rPr>
                  </w:pPr>
                </w:p>
              </w:tc>
              <w:tc>
                <w:tcPr>
                  <w:tcW w:w="838" w:type="pct"/>
                  <w:vMerge w:val="continue"/>
                  <w:vAlign w:val="center"/>
                </w:tcPr>
                <w:p w14:paraId="48A7188F">
                  <w:pPr>
                    <w:widowControl w:val="0"/>
                    <w:jc w:val="center"/>
                    <w:rPr>
                      <w:szCs w:val="21"/>
                    </w:rPr>
                  </w:pPr>
                </w:p>
              </w:tc>
              <w:tc>
                <w:tcPr>
                  <w:tcW w:w="3122" w:type="pct"/>
                  <w:vAlign w:val="center"/>
                </w:tcPr>
                <w:p w14:paraId="4D65F1B4">
                  <w:pPr>
                    <w:widowControl w:val="0"/>
                    <w:jc w:val="center"/>
                    <w:rPr>
                      <w:szCs w:val="21"/>
                    </w:rPr>
                  </w:pPr>
                  <w:r>
                    <w:rPr>
                      <w:szCs w:val="21"/>
                    </w:rPr>
                    <w:t>验收阶段，物料运输与环评一致</w:t>
                  </w:r>
                  <w:r>
                    <w:rPr>
                      <w:rFonts w:hint="eastAsia"/>
                      <w:szCs w:val="21"/>
                    </w:rPr>
                    <w:t>；</w:t>
                  </w:r>
                  <w:r>
                    <w:rPr>
                      <w:szCs w:val="21"/>
                    </w:rPr>
                    <w:t xml:space="preserve"> </w:t>
                  </w:r>
                </w:p>
              </w:tc>
              <w:tc>
                <w:tcPr>
                  <w:tcW w:w="689" w:type="pct"/>
                  <w:vAlign w:val="center"/>
                </w:tcPr>
                <w:p w14:paraId="5AF6525E">
                  <w:pPr>
                    <w:widowControl w:val="0"/>
                    <w:jc w:val="center"/>
                    <w:rPr>
                      <w:szCs w:val="21"/>
                    </w:rPr>
                  </w:pPr>
                  <w:r>
                    <w:rPr>
                      <w:szCs w:val="21"/>
                    </w:rPr>
                    <w:t>否</w:t>
                  </w:r>
                </w:p>
              </w:tc>
            </w:tr>
            <w:tr w14:paraId="4CBA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6874246C">
                  <w:pPr>
                    <w:widowControl w:val="0"/>
                    <w:jc w:val="center"/>
                    <w:rPr>
                      <w:szCs w:val="21"/>
                    </w:rPr>
                  </w:pPr>
                </w:p>
              </w:tc>
              <w:tc>
                <w:tcPr>
                  <w:tcW w:w="838" w:type="pct"/>
                  <w:vMerge w:val="restart"/>
                  <w:vAlign w:val="center"/>
                </w:tcPr>
                <w:p w14:paraId="4AA63F3E">
                  <w:pPr>
                    <w:widowControl w:val="0"/>
                    <w:jc w:val="center"/>
                    <w:rPr>
                      <w:szCs w:val="21"/>
                    </w:rPr>
                  </w:pPr>
                  <w:r>
                    <w:rPr>
                      <w:rFonts w:hint="eastAsia"/>
                      <w:szCs w:val="21"/>
                    </w:rPr>
                    <w:t>环境保护措施</w:t>
                  </w:r>
                </w:p>
              </w:tc>
              <w:tc>
                <w:tcPr>
                  <w:tcW w:w="3122" w:type="pct"/>
                  <w:vAlign w:val="center"/>
                </w:tcPr>
                <w:p w14:paraId="66D4F899">
                  <w:pPr>
                    <w:widowControl w:val="0"/>
                    <w:jc w:val="center"/>
                  </w:pPr>
                  <w:r>
                    <w:rPr>
                      <w:szCs w:val="21"/>
                    </w:rPr>
                    <w:t>废气防治措施发生变化</w:t>
                  </w:r>
                  <w:r>
                    <w:rPr>
                      <w:rFonts w:hint="eastAsia"/>
                      <w:szCs w:val="21"/>
                    </w:rPr>
                    <w:t>：</w:t>
                  </w:r>
                  <w:r>
                    <w:rPr>
                      <w:rFonts w:hint="eastAsia"/>
                      <w:szCs w:val="21"/>
                      <w:lang w:val="en-US" w:eastAsia="zh-CN"/>
                    </w:rPr>
                    <w:t>项目未产生焊接废气</w:t>
                  </w:r>
                  <w:r>
                    <w:rPr>
                      <w:rFonts w:hint="eastAsia"/>
                      <w:szCs w:val="21"/>
                    </w:rPr>
                    <w:t>；</w:t>
                  </w:r>
                  <w:r>
                    <w:rPr>
                      <w:szCs w:val="21"/>
                    </w:rPr>
                    <w:t>大气污染物无组织排放量未增加，未新增废气主要排放口</w:t>
                  </w:r>
                </w:p>
              </w:tc>
              <w:tc>
                <w:tcPr>
                  <w:tcW w:w="689" w:type="pct"/>
                  <w:vAlign w:val="center"/>
                </w:tcPr>
                <w:p w14:paraId="135205F0">
                  <w:pPr>
                    <w:widowControl w:val="0"/>
                    <w:jc w:val="center"/>
                    <w:rPr>
                      <w:szCs w:val="21"/>
                    </w:rPr>
                  </w:pPr>
                  <w:r>
                    <w:rPr>
                      <w:szCs w:val="21"/>
                    </w:rPr>
                    <w:t>否</w:t>
                  </w:r>
                </w:p>
              </w:tc>
            </w:tr>
            <w:tr w14:paraId="571F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2A045079">
                  <w:pPr>
                    <w:widowControl w:val="0"/>
                    <w:jc w:val="center"/>
                    <w:rPr>
                      <w:szCs w:val="21"/>
                    </w:rPr>
                  </w:pPr>
                </w:p>
              </w:tc>
              <w:tc>
                <w:tcPr>
                  <w:tcW w:w="838" w:type="pct"/>
                  <w:vMerge w:val="continue"/>
                  <w:vAlign w:val="center"/>
                </w:tcPr>
                <w:p w14:paraId="029000EF">
                  <w:pPr>
                    <w:widowControl w:val="0"/>
                    <w:jc w:val="center"/>
                    <w:rPr>
                      <w:szCs w:val="21"/>
                    </w:rPr>
                  </w:pPr>
                </w:p>
              </w:tc>
              <w:tc>
                <w:tcPr>
                  <w:tcW w:w="3122" w:type="pct"/>
                  <w:vAlign w:val="center"/>
                </w:tcPr>
                <w:p w14:paraId="69809588">
                  <w:pPr>
                    <w:widowControl w:val="0"/>
                    <w:jc w:val="center"/>
                    <w:rPr>
                      <w:szCs w:val="21"/>
                    </w:rPr>
                  </w:pPr>
                  <w:r>
                    <w:rPr>
                      <w:szCs w:val="21"/>
                    </w:rPr>
                    <w:t>废水防治措施未发生变化，未新增废水直接排放口；废水排放方式与环评一致，排放口位置未发生变化</w:t>
                  </w:r>
                </w:p>
              </w:tc>
              <w:tc>
                <w:tcPr>
                  <w:tcW w:w="689" w:type="pct"/>
                  <w:vAlign w:val="center"/>
                </w:tcPr>
                <w:p w14:paraId="04F571E8">
                  <w:pPr>
                    <w:widowControl w:val="0"/>
                    <w:jc w:val="center"/>
                    <w:rPr>
                      <w:szCs w:val="21"/>
                    </w:rPr>
                  </w:pPr>
                  <w:r>
                    <w:rPr>
                      <w:szCs w:val="21"/>
                    </w:rPr>
                    <w:t>否</w:t>
                  </w:r>
                </w:p>
              </w:tc>
            </w:tr>
            <w:tr w14:paraId="6886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6E858009">
                  <w:pPr>
                    <w:widowControl w:val="0"/>
                    <w:jc w:val="center"/>
                    <w:rPr>
                      <w:szCs w:val="21"/>
                    </w:rPr>
                  </w:pPr>
                </w:p>
              </w:tc>
              <w:tc>
                <w:tcPr>
                  <w:tcW w:w="838" w:type="pct"/>
                  <w:vMerge w:val="continue"/>
                  <w:vAlign w:val="center"/>
                </w:tcPr>
                <w:p w14:paraId="128DC7DE">
                  <w:pPr>
                    <w:widowControl w:val="0"/>
                    <w:jc w:val="center"/>
                    <w:rPr>
                      <w:szCs w:val="21"/>
                    </w:rPr>
                  </w:pPr>
                </w:p>
              </w:tc>
              <w:tc>
                <w:tcPr>
                  <w:tcW w:w="3122" w:type="pct"/>
                  <w:vAlign w:val="center"/>
                </w:tcPr>
                <w:p w14:paraId="64394705">
                  <w:pPr>
                    <w:widowControl w:val="0"/>
                    <w:jc w:val="center"/>
                    <w:rPr>
                      <w:szCs w:val="21"/>
                    </w:rPr>
                  </w:pPr>
                  <w:r>
                    <w:rPr>
                      <w:rFonts w:hint="eastAsia"/>
                      <w:szCs w:val="21"/>
                    </w:rPr>
                    <w:t>噪</w:t>
                  </w:r>
                  <w:r>
                    <w:rPr>
                      <w:szCs w:val="21"/>
                    </w:rPr>
                    <w:t>声、土壤及地下水防治措施与环评一致，未发生变化</w:t>
                  </w:r>
                </w:p>
              </w:tc>
              <w:tc>
                <w:tcPr>
                  <w:tcW w:w="689" w:type="pct"/>
                  <w:vAlign w:val="center"/>
                </w:tcPr>
                <w:p w14:paraId="04666D93">
                  <w:pPr>
                    <w:widowControl w:val="0"/>
                    <w:jc w:val="center"/>
                    <w:rPr>
                      <w:szCs w:val="21"/>
                    </w:rPr>
                  </w:pPr>
                  <w:r>
                    <w:rPr>
                      <w:szCs w:val="21"/>
                    </w:rPr>
                    <w:t>否</w:t>
                  </w:r>
                </w:p>
              </w:tc>
            </w:tr>
            <w:tr w14:paraId="2D88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069CD5C6">
                  <w:pPr>
                    <w:widowControl w:val="0"/>
                    <w:jc w:val="center"/>
                    <w:rPr>
                      <w:szCs w:val="21"/>
                    </w:rPr>
                  </w:pPr>
                </w:p>
              </w:tc>
              <w:tc>
                <w:tcPr>
                  <w:tcW w:w="838" w:type="pct"/>
                  <w:vMerge w:val="continue"/>
                  <w:vAlign w:val="center"/>
                </w:tcPr>
                <w:p w14:paraId="49C1BB03">
                  <w:pPr>
                    <w:widowControl w:val="0"/>
                    <w:jc w:val="center"/>
                    <w:rPr>
                      <w:szCs w:val="21"/>
                    </w:rPr>
                  </w:pPr>
                </w:p>
              </w:tc>
              <w:tc>
                <w:tcPr>
                  <w:tcW w:w="3122" w:type="pct"/>
                  <w:vAlign w:val="center"/>
                </w:tcPr>
                <w:p w14:paraId="283030C4">
                  <w:pPr>
                    <w:widowControl w:val="0"/>
                    <w:jc w:val="center"/>
                    <w:rPr>
                      <w:szCs w:val="21"/>
                    </w:rPr>
                  </w:pPr>
                  <w:r>
                    <w:rPr>
                      <w:szCs w:val="21"/>
                    </w:rPr>
                    <w:t>固废处理方式与环评一致，未发生变化</w:t>
                  </w:r>
                </w:p>
              </w:tc>
              <w:tc>
                <w:tcPr>
                  <w:tcW w:w="689" w:type="pct"/>
                  <w:vAlign w:val="center"/>
                </w:tcPr>
                <w:p w14:paraId="5BCB9E67">
                  <w:pPr>
                    <w:widowControl w:val="0"/>
                    <w:jc w:val="center"/>
                    <w:rPr>
                      <w:szCs w:val="21"/>
                    </w:rPr>
                  </w:pPr>
                  <w:r>
                    <w:rPr>
                      <w:szCs w:val="21"/>
                    </w:rPr>
                    <w:t>否</w:t>
                  </w:r>
                </w:p>
              </w:tc>
            </w:tr>
            <w:tr w14:paraId="49D0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continue"/>
                  <w:vAlign w:val="center"/>
                </w:tcPr>
                <w:p w14:paraId="6FAFA909">
                  <w:pPr>
                    <w:widowControl w:val="0"/>
                    <w:jc w:val="center"/>
                    <w:rPr>
                      <w:szCs w:val="21"/>
                    </w:rPr>
                  </w:pPr>
                </w:p>
              </w:tc>
              <w:tc>
                <w:tcPr>
                  <w:tcW w:w="838" w:type="pct"/>
                  <w:vMerge w:val="continue"/>
                  <w:vAlign w:val="center"/>
                </w:tcPr>
                <w:p w14:paraId="40F4A406">
                  <w:pPr>
                    <w:widowControl w:val="0"/>
                    <w:jc w:val="center"/>
                    <w:rPr>
                      <w:szCs w:val="21"/>
                    </w:rPr>
                  </w:pPr>
                </w:p>
              </w:tc>
              <w:tc>
                <w:tcPr>
                  <w:tcW w:w="3122" w:type="pct"/>
                  <w:vAlign w:val="center"/>
                </w:tcPr>
                <w:p w14:paraId="0445476F">
                  <w:pPr>
                    <w:widowControl w:val="0"/>
                    <w:jc w:val="center"/>
                    <w:rPr>
                      <w:szCs w:val="21"/>
                    </w:rPr>
                  </w:pPr>
                  <w:r>
                    <w:rPr>
                      <w:szCs w:val="21"/>
                    </w:rPr>
                    <w:t>事故废水暂存能力及拦截设施未发生变化</w:t>
                  </w:r>
                </w:p>
              </w:tc>
              <w:tc>
                <w:tcPr>
                  <w:tcW w:w="689" w:type="pct"/>
                  <w:vAlign w:val="center"/>
                </w:tcPr>
                <w:p w14:paraId="70D22B36">
                  <w:pPr>
                    <w:widowControl w:val="0"/>
                    <w:jc w:val="center"/>
                    <w:rPr>
                      <w:szCs w:val="21"/>
                    </w:rPr>
                  </w:pPr>
                  <w:r>
                    <w:rPr>
                      <w:szCs w:val="21"/>
                    </w:rPr>
                    <w:t>否</w:t>
                  </w:r>
                </w:p>
              </w:tc>
            </w:tr>
          </w:tbl>
          <w:p w14:paraId="7A2D6505">
            <w:pPr>
              <w:widowControl w:val="0"/>
              <w:autoSpaceDE w:val="0"/>
              <w:autoSpaceDN w:val="0"/>
              <w:adjustRightInd w:val="0"/>
              <w:spacing w:line="360" w:lineRule="auto"/>
              <w:ind w:firstLine="480" w:firstLineChars="200"/>
              <w:jc w:val="left"/>
              <w:rPr>
                <w:rFonts w:hint="eastAsia" w:ascii="宋体" w:hAnsi="宋体"/>
                <w:bCs/>
                <w:color w:val="auto"/>
                <w:sz w:val="24"/>
                <w:szCs w:val="24"/>
              </w:rPr>
            </w:pPr>
            <w:r>
              <w:rPr>
                <w:rFonts w:hint="eastAsia"/>
                <w:color w:val="auto"/>
                <w:sz w:val="24"/>
              </w:rPr>
              <w:t>本项目</w:t>
            </w:r>
            <w:r>
              <w:rPr>
                <w:rFonts w:hint="eastAsia"/>
                <w:color w:val="auto"/>
                <w:sz w:val="24"/>
                <w:lang w:val="en-US" w:eastAsia="zh-CN"/>
              </w:rPr>
              <w:t>生产工艺发生变化：</w:t>
            </w:r>
            <w:r>
              <w:rPr>
                <w:rFonts w:hint="eastAsia"/>
                <w:color w:val="auto"/>
                <w:sz w:val="24"/>
              </w:rPr>
              <w:t>未建设机加工工艺、焊接工艺，</w:t>
            </w:r>
            <w:r>
              <w:rPr>
                <w:rFonts w:hint="eastAsia"/>
                <w:color w:val="auto"/>
                <w:sz w:val="24"/>
                <w:lang w:val="en-US" w:eastAsia="zh-CN"/>
              </w:rPr>
              <w:t>此</w:t>
            </w:r>
            <w:r>
              <w:rPr>
                <w:rFonts w:hint="eastAsia" w:ascii="宋体" w:hAnsi="宋体"/>
                <w:bCs/>
                <w:color w:val="auto"/>
                <w:kern w:val="0"/>
                <w:sz w:val="24"/>
                <w:szCs w:val="24"/>
              </w:rPr>
              <w:t>工段外协加工</w:t>
            </w:r>
            <w:r>
              <w:rPr>
                <w:rFonts w:hint="eastAsia" w:ascii="宋体" w:hAnsi="宋体"/>
                <w:bCs/>
                <w:color w:val="auto"/>
                <w:sz w:val="24"/>
                <w:szCs w:val="24"/>
              </w:rPr>
              <w:t>；</w:t>
            </w:r>
          </w:p>
          <w:p w14:paraId="2335D64C">
            <w:pPr>
              <w:widowControl w:val="0"/>
              <w:autoSpaceDE w:val="0"/>
              <w:autoSpaceDN w:val="0"/>
              <w:adjustRightInd w:val="0"/>
              <w:spacing w:line="360" w:lineRule="auto"/>
              <w:ind w:firstLine="480" w:firstLineChars="200"/>
              <w:jc w:val="left"/>
              <w:rPr>
                <w:rFonts w:hint="default"/>
                <w:color w:val="auto"/>
                <w:sz w:val="24"/>
                <w:lang w:val="en-US" w:eastAsia="zh-CN"/>
              </w:rPr>
            </w:pPr>
            <w:r>
              <w:rPr>
                <w:rFonts w:hint="eastAsia"/>
                <w:color w:val="auto"/>
                <w:sz w:val="24"/>
              </w:rPr>
              <w:t>废气防治措施发生变化：</w:t>
            </w:r>
            <w:r>
              <w:rPr>
                <w:rFonts w:hint="eastAsia"/>
                <w:color w:val="auto"/>
                <w:sz w:val="24"/>
                <w:lang w:val="en-US" w:eastAsia="zh-CN"/>
              </w:rPr>
              <w:t>项目未产生焊接废气，</w:t>
            </w:r>
            <w:r>
              <w:rPr>
                <w:rFonts w:hint="eastAsia"/>
                <w:color w:val="auto"/>
                <w:sz w:val="24"/>
              </w:rPr>
              <w:t>砂修废气经集气罩收集、抛丸粉尘经过密闭收集，收集后的焊接烟尘、砂修废气、抛丸粉尘合并通过1套布袋除尘器装置处理后，尾气通过一根15m高的排气筒排放（排气筒编号：DA001排气筒）</w:t>
            </w:r>
            <w:r>
              <w:rPr>
                <w:rFonts w:hint="eastAsia"/>
                <w:color w:val="auto"/>
                <w:sz w:val="24"/>
                <w:lang w:eastAsia="zh-CN"/>
              </w:rPr>
              <w:t>；</w:t>
            </w:r>
            <w:r>
              <w:rPr>
                <w:rFonts w:hint="eastAsia"/>
                <w:color w:val="auto"/>
                <w:sz w:val="24"/>
                <w:lang w:val="en-US" w:eastAsia="zh-CN"/>
              </w:rPr>
              <w:t>调</w:t>
            </w:r>
            <w:r>
              <w:rPr>
                <w:rFonts w:hint="eastAsia"/>
                <w:color w:val="auto"/>
                <w:sz w:val="24"/>
                <w:lang w:eastAsia="zh-CN"/>
              </w:rPr>
              <w:t>漆废气、喷漆废气</w:t>
            </w:r>
            <w:r>
              <w:rPr>
                <w:rFonts w:hint="eastAsia"/>
                <w:color w:val="auto"/>
                <w:sz w:val="24"/>
                <w:lang w:val="en-US" w:eastAsia="zh-CN"/>
              </w:rPr>
              <w:t>废气处理装置由原先的二级性炭吸附装置升级为四级性炭吸附装置，为环境利好方向变动；为满足客户需求，在废气排放总量不变的情况下新增检验补喷工序，检验补喷废气经过自带旋风除尘装置处理后通过一根15m高的排气筒排放（排气筒编号：DA005）；新增喷漆烘干废气、丙烷燃烧废气排气筒，喷漆烘干废气、丙烷燃烧废气经过集气罩收集后通过1套过滤棉+二级活性炭吸附装置处理通过一根15m高的排气筒排放（排气筒编号：DA006）。</w:t>
            </w:r>
          </w:p>
          <w:p w14:paraId="673625B5">
            <w:pPr>
              <w:widowControl w:val="0"/>
              <w:autoSpaceDE w:val="0"/>
              <w:autoSpaceDN w:val="0"/>
              <w:adjustRightInd w:val="0"/>
              <w:spacing w:line="360" w:lineRule="auto"/>
              <w:ind w:firstLine="480" w:firstLineChars="200"/>
              <w:jc w:val="left"/>
              <w:rPr>
                <w:rFonts w:hint="eastAsia" w:ascii="宋体" w:hAnsi="宋体" w:cs="宋体"/>
                <w:kern w:val="0"/>
                <w:sz w:val="24"/>
                <w:szCs w:val="24"/>
                <w:lang w:bidi="ar"/>
              </w:rPr>
            </w:pPr>
            <w:r>
              <w:rPr>
                <w:rFonts w:hint="eastAsia"/>
                <w:color w:val="auto"/>
                <w:sz w:val="24"/>
              </w:rPr>
              <w:t>综上，本项目不属于重大变动，可以纳入竣工验收管理</w:t>
            </w:r>
            <w:r>
              <w:rPr>
                <w:rFonts w:hint="eastAsia"/>
                <w:color w:val="FF0000"/>
                <w:sz w:val="24"/>
              </w:rPr>
              <w:t>。</w:t>
            </w:r>
          </w:p>
        </w:tc>
      </w:tr>
    </w:tbl>
    <w:p w14:paraId="06CEEB3F">
      <w:pPr>
        <w:spacing w:line="20" w:lineRule="exact"/>
        <w:ind w:right="-172" w:firstLine="420"/>
      </w:pPr>
      <w:r>
        <w:br w:type="page"/>
      </w:r>
    </w:p>
    <w:p w14:paraId="4B2382FD">
      <w:pPr>
        <w:pStyle w:val="4"/>
        <w:keepNext w:val="0"/>
        <w:keepLines w:val="0"/>
        <w:widowControl w:val="0"/>
        <w:autoSpaceDE w:val="0"/>
        <w:autoSpaceDN w:val="0"/>
        <w:adjustRightInd w:val="0"/>
        <w:snapToGrid w:val="0"/>
        <w:ind w:right="-172" w:firstLine="562"/>
        <w:jc w:val="left"/>
      </w:pPr>
      <w:bookmarkStart w:id="8" w:name="_Toc11673"/>
      <w:r>
        <w:rPr>
          <w:rFonts w:hint="eastAsia"/>
          <w:sz w:val="28"/>
        </w:rPr>
        <w:t>表三</w:t>
      </w:r>
      <w:bookmarkEnd w:id="8"/>
    </w:p>
    <w:tbl>
      <w:tblPr>
        <w:tblStyle w:val="2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6"/>
      </w:tblGrid>
      <w:tr w14:paraId="2C3E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7" w:hRule="atLeast"/>
          <w:jc w:val="center"/>
        </w:trPr>
        <w:tc>
          <w:tcPr>
            <w:tcW w:w="9242" w:type="dxa"/>
          </w:tcPr>
          <w:p w14:paraId="2C64F91B">
            <w:pPr>
              <w:widowControl w:val="0"/>
              <w:autoSpaceDE w:val="0"/>
              <w:autoSpaceDN w:val="0"/>
              <w:spacing w:line="360" w:lineRule="auto"/>
              <w:ind w:right="-172" w:firstLine="482"/>
              <w:rPr>
                <w:b/>
                <w:bCs/>
                <w:kern w:val="0"/>
                <w:sz w:val="24"/>
              </w:rPr>
            </w:pPr>
            <w:r>
              <w:rPr>
                <w:rFonts w:hint="eastAsia"/>
                <w:b/>
                <w:bCs/>
                <w:kern w:val="0"/>
                <w:sz w:val="24"/>
              </w:rPr>
              <w:t>主要污染源、污染物处理和排放：</w:t>
            </w:r>
          </w:p>
          <w:p w14:paraId="38B54871">
            <w:pPr>
              <w:widowControl w:val="0"/>
              <w:autoSpaceDE w:val="0"/>
              <w:autoSpaceDN w:val="0"/>
              <w:spacing w:line="360" w:lineRule="auto"/>
              <w:ind w:right="-172" w:firstLine="482"/>
              <w:rPr>
                <w:b/>
                <w:bCs/>
                <w:kern w:val="0"/>
                <w:sz w:val="24"/>
              </w:rPr>
            </w:pPr>
            <w:r>
              <w:rPr>
                <w:b/>
                <w:bCs/>
                <w:kern w:val="0"/>
                <w:sz w:val="24"/>
              </w:rPr>
              <w:t>1、废水污染源及治理措施</w:t>
            </w:r>
          </w:p>
          <w:p w14:paraId="1DA8E368">
            <w:pPr>
              <w:widowControl w:val="0"/>
              <w:autoSpaceDE w:val="0"/>
              <w:autoSpaceDN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废水主要为生活污水、生产废水，</w:t>
            </w:r>
            <w:bookmarkStart w:id="9" w:name="OLE_LINK17"/>
            <w:r>
              <w:rPr>
                <w:rFonts w:hint="eastAsia"/>
                <w:color w:val="000000" w:themeColor="text1"/>
                <w:kern w:val="0"/>
                <w:sz w:val="24"/>
                <w14:textFill>
                  <w14:solidFill>
                    <w14:schemeClr w14:val="tx1"/>
                  </w14:solidFill>
                </w14:textFill>
              </w:rPr>
              <w:t>生活污水经隔油池、化粪池预处理后用于厂区绿化；</w:t>
            </w:r>
            <w:bookmarkEnd w:id="9"/>
            <w:r>
              <w:rPr>
                <w:rFonts w:hint="eastAsia"/>
                <w:color w:val="000000" w:themeColor="text1"/>
                <w:kern w:val="0"/>
                <w:sz w:val="24"/>
                <w14:textFill>
                  <w14:solidFill>
                    <w14:schemeClr w14:val="tx1"/>
                  </w14:solidFill>
                </w14:textFill>
              </w:rPr>
              <w:t>生产废水经过厂区自建的三级沉淀池处理后回用于生产，生活污水经化粪池预处理后满足</w:t>
            </w:r>
            <w:bookmarkStart w:id="10" w:name="OLE_LINK18"/>
            <w:r>
              <w:rPr>
                <w:rFonts w:hint="eastAsia"/>
                <w:color w:val="000000" w:themeColor="text1"/>
                <w:kern w:val="0"/>
                <w:sz w:val="24"/>
                <w14:textFill>
                  <w14:solidFill>
                    <w14:schemeClr w14:val="tx1"/>
                  </w14:solidFill>
                </w14:textFill>
              </w:rPr>
              <w:t>《城市污水再生利用 绿地灌溉水质》（GB/T 25499-2010）中表一相关限值</w:t>
            </w:r>
            <w:bookmarkEnd w:id="10"/>
            <w:r>
              <w:rPr>
                <w:rFonts w:hint="eastAsia"/>
                <w:color w:val="000000" w:themeColor="text1"/>
                <w:kern w:val="0"/>
                <w:sz w:val="24"/>
                <w14:textFill>
                  <w14:solidFill>
                    <w14:schemeClr w14:val="tx1"/>
                  </w14:solidFill>
                </w14:textFill>
              </w:rPr>
              <w:t>，用于厂区绿化。</w:t>
            </w:r>
          </w:p>
          <w:p w14:paraId="7328C3C7">
            <w:pPr>
              <w:widowControl w:val="0"/>
              <w:ind w:right="-172" w:firstLine="482"/>
              <w:jc w:val="center"/>
              <w:rPr>
                <w:b/>
                <w:bCs/>
                <w:sz w:val="24"/>
                <w:szCs w:val="22"/>
              </w:rPr>
            </w:pPr>
            <w:r>
              <w:rPr>
                <w:rFonts w:hint="eastAsia"/>
                <w:b/>
                <w:bCs/>
                <w:sz w:val="24"/>
                <w:szCs w:val="22"/>
              </w:rPr>
              <w:t>表 3-1 废水治理设施及去向</w:t>
            </w:r>
          </w:p>
          <w:tbl>
            <w:tblPr>
              <w:tblStyle w:val="26"/>
              <w:tblpPr w:leftFromText="180" w:rightFromText="180" w:vertAnchor="text" w:tblpXSpec="center" w:tblpY="1"/>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991"/>
              <w:gridCol w:w="6306"/>
            </w:tblGrid>
            <w:tr w14:paraId="0904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73" w:type="dxa"/>
                  <w:vAlign w:val="center"/>
                </w:tcPr>
                <w:p w14:paraId="7DEB8F91">
                  <w:pPr>
                    <w:widowControl w:val="0"/>
                    <w:jc w:val="center"/>
                    <w:rPr>
                      <w:b/>
                      <w:bCs/>
                    </w:rPr>
                  </w:pPr>
                  <w:r>
                    <w:rPr>
                      <w:rFonts w:hint="eastAsia"/>
                      <w:b/>
                      <w:bCs/>
                    </w:rPr>
                    <w:t>序号</w:t>
                  </w:r>
                </w:p>
              </w:tc>
              <w:tc>
                <w:tcPr>
                  <w:tcW w:w="1991" w:type="dxa"/>
                  <w:vAlign w:val="center"/>
                </w:tcPr>
                <w:p w14:paraId="50EFABA1">
                  <w:pPr>
                    <w:widowControl w:val="0"/>
                    <w:jc w:val="center"/>
                    <w:rPr>
                      <w:b/>
                      <w:bCs/>
                    </w:rPr>
                  </w:pPr>
                  <w:r>
                    <w:rPr>
                      <w:rFonts w:hint="eastAsia"/>
                      <w:b/>
                      <w:bCs/>
                    </w:rPr>
                    <w:t>废水类别</w:t>
                  </w:r>
                </w:p>
              </w:tc>
              <w:tc>
                <w:tcPr>
                  <w:tcW w:w="6306" w:type="dxa"/>
                  <w:vAlign w:val="center"/>
                </w:tcPr>
                <w:p w14:paraId="1598265E">
                  <w:pPr>
                    <w:widowControl w:val="0"/>
                    <w:jc w:val="center"/>
                    <w:rPr>
                      <w:b/>
                      <w:bCs/>
                    </w:rPr>
                  </w:pPr>
                  <w:r>
                    <w:rPr>
                      <w:rFonts w:hint="eastAsia"/>
                      <w:b/>
                      <w:bCs/>
                    </w:rPr>
                    <w:t>处理设施及去向</w:t>
                  </w:r>
                </w:p>
              </w:tc>
            </w:tr>
            <w:tr w14:paraId="4E5E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73" w:type="dxa"/>
                  <w:vAlign w:val="center"/>
                </w:tcPr>
                <w:p w14:paraId="127B6CCE">
                  <w:pPr>
                    <w:widowControl w:val="0"/>
                    <w:jc w:val="center"/>
                  </w:pPr>
                  <w:r>
                    <w:rPr>
                      <w:rFonts w:hint="eastAsia"/>
                    </w:rPr>
                    <w:t>1</w:t>
                  </w:r>
                </w:p>
              </w:tc>
              <w:tc>
                <w:tcPr>
                  <w:tcW w:w="1991" w:type="dxa"/>
                  <w:vAlign w:val="center"/>
                </w:tcPr>
                <w:p w14:paraId="2409DD86">
                  <w:pPr>
                    <w:widowControl w:val="0"/>
                    <w:jc w:val="center"/>
                  </w:pPr>
                  <w:r>
                    <w:rPr>
                      <w:rFonts w:hint="eastAsia"/>
                    </w:rPr>
                    <w:t>生活废水</w:t>
                  </w:r>
                </w:p>
              </w:tc>
              <w:tc>
                <w:tcPr>
                  <w:tcW w:w="6306" w:type="dxa"/>
                  <w:vAlign w:val="center"/>
                </w:tcPr>
                <w:p w14:paraId="29842A7C">
                  <w:pPr>
                    <w:widowControl w:val="0"/>
                    <w:jc w:val="center"/>
                  </w:pPr>
                  <w:r>
                    <w:rPr>
                      <w:rFonts w:hint="eastAsia"/>
                    </w:rPr>
                    <w:t>生活污水经隔油池、化粪池预处理后用于厂区绿化。</w:t>
                  </w:r>
                </w:p>
              </w:tc>
            </w:tr>
            <w:tr w14:paraId="38B6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73" w:type="dxa"/>
                  <w:vAlign w:val="center"/>
                </w:tcPr>
                <w:p w14:paraId="52D6E95C">
                  <w:pPr>
                    <w:widowControl w:val="0"/>
                    <w:jc w:val="center"/>
                  </w:pPr>
                  <w:r>
                    <w:rPr>
                      <w:rFonts w:hint="eastAsia"/>
                    </w:rPr>
                    <w:t>2</w:t>
                  </w:r>
                </w:p>
              </w:tc>
              <w:tc>
                <w:tcPr>
                  <w:tcW w:w="1991" w:type="dxa"/>
                  <w:vAlign w:val="center"/>
                </w:tcPr>
                <w:p w14:paraId="19C33DB3">
                  <w:pPr>
                    <w:widowControl w:val="0"/>
                    <w:jc w:val="center"/>
                  </w:pPr>
                  <w:r>
                    <w:rPr>
                      <w:rFonts w:hint="eastAsia"/>
                    </w:rPr>
                    <w:t>生产废水</w:t>
                  </w:r>
                </w:p>
              </w:tc>
              <w:tc>
                <w:tcPr>
                  <w:tcW w:w="6306" w:type="dxa"/>
                  <w:vAlign w:val="center"/>
                </w:tcPr>
                <w:p w14:paraId="7222B63E">
                  <w:pPr>
                    <w:widowControl w:val="0"/>
                    <w:jc w:val="center"/>
                  </w:pPr>
                  <w:r>
                    <w:rPr>
                      <w:rFonts w:hint="eastAsia"/>
                    </w:rPr>
                    <w:t>经过厂区自建的三级沉淀池处理后回用于生产</w:t>
                  </w:r>
                </w:p>
              </w:tc>
            </w:tr>
          </w:tbl>
          <w:p w14:paraId="49A2D052">
            <w:pPr>
              <w:widowControl w:val="0"/>
              <w:autoSpaceDE w:val="0"/>
              <w:autoSpaceDN w:val="0"/>
              <w:adjustRightInd w:val="0"/>
              <w:snapToGrid w:val="0"/>
              <w:spacing w:line="360" w:lineRule="auto"/>
              <w:ind w:firstLine="482" w:firstLineChars="200"/>
              <w:rPr>
                <w:b/>
                <w:sz w:val="24"/>
              </w:rPr>
            </w:pPr>
            <w:r>
              <w:rPr>
                <w:rFonts w:hint="eastAsia"/>
                <w:b/>
                <w:sz w:val="24"/>
              </w:rPr>
              <w:t>（1）生活废水处理</w:t>
            </w:r>
          </w:p>
          <w:p w14:paraId="061EA35F">
            <w:pPr>
              <w:widowControl w:val="0"/>
              <w:autoSpaceDE w:val="0"/>
              <w:autoSpaceDN w:val="0"/>
              <w:adjustRightInd w:val="0"/>
              <w:snapToGrid w:val="0"/>
              <w:spacing w:line="360" w:lineRule="auto"/>
              <w:ind w:firstLine="480" w:firstLineChars="200"/>
              <w:rPr>
                <w:sz w:val="24"/>
              </w:rPr>
            </w:pPr>
            <w:r>
              <w:rPr>
                <w:rFonts w:hint="eastAsia"/>
                <w:kern w:val="0"/>
                <w:sz w:val="24"/>
              </w:rPr>
              <w:t>生活污水经隔油池、化粪池预处理后用于厂区绿化。</w:t>
            </w:r>
          </w:p>
          <w:p w14:paraId="606E3539">
            <w:pPr>
              <w:widowControl w:val="0"/>
              <w:numPr>
                <w:ilvl w:val="0"/>
                <w:numId w:val="5"/>
              </w:numPr>
              <w:autoSpaceDE w:val="0"/>
              <w:autoSpaceDN w:val="0"/>
              <w:adjustRightInd w:val="0"/>
              <w:snapToGrid w:val="0"/>
              <w:spacing w:line="360" w:lineRule="auto"/>
              <w:ind w:firstLine="482" w:firstLineChars="200"/>
              <w:rPr>
                <w:b/>
                <w:sz w:val="24"/>
              </w:rPr>
            </w:pPr>
            <w:r>
              <w:rPr>
                <w:rFonts w:hint="eastAsia"/>
                <w:b/>
                <w:sz w:val="24"/>
              </w:rPr>
              <w:t>生产废水处理</w:t>
            </w:r>
          </w:p>
          <w:p w14:paraId="7EFCB102">
            <w:pPr>
              <w:widowControl w:val="0"/>
              <w:autoSpaceDE w:val="0"/>
              <w:autoSpaceDN w:val="0"/>
              <w:adjustRightInd w:val="0"/>
              <w:snapToGrid w:val="0"/>
              <w:spacing w:line="360" w:lineRule="auto"/>
              <w:ind w:firstLine="480" w:firstLineChars="200"/>
              <w:rPr>
                <w:kern w:val="0"/>
                <w:sz w:val="24"/>
              </w:rPr>
            </w:pPr>
            <w:r>
              <w:rPr>
                <w:rFonts w:hint="eastAsia"/>
                <w:kern w:val="0"/>
                <w:sz w:val="24"/>
              </w:rPr>
              <w:t>生产废水经过厂区自建的三级沉淀池处理后回用于生产。</w:t>
            </w:r>
          </w:p>
          <w:p w14:paraId="3F1F89BF">
            <w:pPr>
              <w:widowControl w:val="0"/>
              <w:ind w:right="-172" w:firstLine="482"/>
              <w:jc w:val="center"/>
              <w:rPr>
                <w:rFonts w:hint="eastAsia" w:ascii="宋体" w:hAnsi="宋体"/>
                <w:b/>
                <w:bCs/>
                <w:sz w:val="24"/>
              </w:rPr>
            </w:pPr>
            <w:r>
              <w:rPr>
                <w:rFonts w:hint="eastAsia"/>
              </w:rPr>
              <w:object>
                <v:shape id="_x0000_i1028" o:spt="75" type="#_x0000_t75" style="height:111.05pt;width:387.8pt;" o:ole="t" filled="f" o:preferrelative="t" stroked="f" coordsize="21600,21600">
                  <v:path/>
                  <v:fill on="f" focussize="0,0"/>
                  <v:stroke on="f" joinstyle="miter"/>
                  <v:imagedata r:id="rId20" o:title=""/>
                  <o:lock v:ext="edit" aspectratio="t"/>
                  <w10:wrap type="none"/>
                  <w10:anchorlock/>
                </v:shape>
                <o:OLEObject Type="Embed" ProgID="Visio.Drawing.15" ShapeID="_x0000_i1028" DrawAspect="Content" ObjectID="_1468075728" r:id="rId19">
                  <o:LockedField>false</o:LockedField>
                </o:OLEObject>
              </w:object>
            </w:r>
          </w:p>
          <w:p w14:paraId="37F42D25">
            <w:pPr>
              <w:widowControl w:val="0"/>
              <w:ind w:right="-172" w:firstLine="482"/>
              <w:jc w:val="center"/>
              <w:rPr>
                <w:rFonts w:hint="eastAsia" w:ascii="宋体" w:hAnsi="宋体"/>
                <w:b/>
                <w:bCs/>
                <w:sz w:val="24"/>
              </w:rPr>
            </w:pPr>
            <w:r>
              <w:rPr>
                <w:rFonts w:hint="eastAsia" w:ascii="宋体" w:hAnsi="宋体"/>
                <w:b/>
                <w:bCs/>
                <w:sz w:val="24"/>
              </w:rPr>
              <w:t xml:space="preserve">图 </w:t>
            </w:r>
            <w:r>
              <w:rPr>
                <w:b/>
                <w:bCs/>
                <w:sz w:val="24"/>
              </w:rPr>
              <w:t>3-1</w:t>
            </w:r>
            <w:r>
              <w:rPr>
                <w:rFonts w:hint="eastAsia" w:ascii="宋体" w:hAnsi="宋体"/>
                <w:b/>
                <w:bCs/>
                <w:sz w:val="24"/>
              </w:rPr>
              <w:t xml:space="preserve"> 生活污水处理工艺流程图</w:t>
            </w:r>
          </w:p>
          <w:p w14:paraId="2D74A63B">
            <w:pPr>
              <w:widowControl w:val="0"/>
              <w:autoSpaceDE w:val="0"/>
              <w:autoSpaceDN w:val="0"/>
              <w:adjustRightInd w:val="0"/>
              <w:snapToGrid w:val="0"/>
              <w:spacing w:line="360" w:lineRule="auto"/>
              <w:ind w:right="-172" w:firstLine="482"/>
              <w:rPr>
                <w:b/>
                <w:bCs/>
                <w:sz w:val="24"/>
                <w:szCs w:val="24"/>
              </w:rPr>
            </w:pPr>
            <w:r>
              <w:rPr>
                <w:rFonts w:hint="eastAsia"/>
                <w:b/>
                <w:bCs/>
                <w:sz w:val="24"/>
                <w:szCs w:val="24"/>
              </w:rPr>
              <w:t>2、废气污染源及治理措施</w:t>
            </w:r>
          </w:p>
          <w:p w14:paraId="6F19EB57">
            <w:pPr>
              <w:widowControl w:val="0"/>
              <w:autoSpaceDE w:val="0"/>
              <w:autoSpaceDN w:val="0"/>
              <w:adjustRightInd w:val="0"/>
              <w:snapToGrid w:val="0"/>
              <w:spacing w:line="360" w:lineRule="auto"/>
              <w:ind w:firstLine="480" w:firstLineChars="200"/>
              <w:rPr>
                <w:kern w:val="0"/>
                <w:sz w:val="24"/>
              </w:rPr>
            </w:pPr>
            <w:r>
              <w:rPr>
                <w:rFonts w:hint="eastAsia"/>
                <w:kern w:val="0"/>
                <w:sz w:val="24"/>
              </w:rPr>
              <w:t>废气污染源主要来源为1#车间生产废气（</w:t>
            </w:r>
            <w:r>
              <w:rPr>
                <w:kern w:val="0"/>
                <w:sz w:val="24"/>
              </w:rPr>
              <w:t>调漆废气、喷漆废气、烘干废气、、丙烷燃烧废气</w:t>
            </w:r>
            <w:r>
              <w:rPr>
                <w:rFonts w:hint="eastAsia"/>
                <w:kern w:val="0"/>
                <w:sz w:val="24"/>
              </w:rPr>
              <w:t>）；2#车间生产废气（</w:t>
            </w:r>
            <w:r>
              <w:rPr>
                <w:kern w:val="0"/>
                <w:sz w:val="24"/>
              </w:rPr>
              <w:t>砂修粉尘、喷塑粉尘</w:t>
            </w:r>
            <w:r>
              <w:rPr>
                <w:rFonts w:hint="eastAsia"/>
                <w:kern w:val="0"/>
                <w:sz w:val="24"/>
              </w:rPr>
              <w:t>、</w:t>
            </w:r>
            <w:r>
              <w:rPr>
                <w:kern w:val="0"/>
                <w:sz w:val="24"/>
              </w:rPr>
              <w:t>抛丸粉尘</w:t>
            </w:r>
            <w:r>
              <w:rPr>
                <w:rFonts w:hint="eastAsia"/>
                <w:kern w:val="0"/>
                <w:sz w:val="24"/>
              </w:rPr>
              <w:t>、</w:t>
            </w:r>
            <w:r>
              <w:rPr>
                <w:kern w:val="0"/>
                <w:sz w:val="24"/>
              </w:rPr>
              <w:t>固化废气、丙烷燃烧废气</w:t>
            </w:r>
            <w:r>
              <w:rPr>
                <w:rFonts w:hint="eastAsia"/>
                <w:kern w:val="0"/>
                <w:sz w:val="24"/>
                <w:lang w:eastAsia="zh-CN"/>
              </w:rPr>
              <w:t>、</w:t>
            </w:r>
            <w:r>
              <w:rPr>
                <w:rFonts w:hint="eastAsia"/>
                <w:kern w:val="0"/>
                <w:sz w:val="24"/>
                <w:lang w:val="en-US" w:eastAsia="zh-CN"/>
              </w:rPr>
              <w:t>检验补喷废气</w:t>
            </w:r>
            <w:r>
              <w:rPr>
                <w:rFonts w:hint="eastAsia"/>
                <w:kern w:val="0"/>
                <w:sz w:val="24"/>
              </w:rPr>
              <w:t>）。</w:t>
            </w:r>
          </w:p>
          <w:p w14:paraId="47ACC783">
            <w:pPr>
              <w:widowControl w:val="0"/>
              <w:autoSpaceDE w:val="0"/>
              <w:autoSpaceDN w:val="0"/>
              <w:adjustRightInd w:val="0"/>
              <w:snapToGrid w:val="0"/>
              <w:spacing w:line="360" w:lineRule="auto"/>
              <w:ind w:firstLine="480" w:firstLineChars="200"/>
              <w:rPr>
                <w:kern w:val="0"/>
                <w:sz w:val="24"/>
              </w:rPr>
            </w:pPr>
            <w:r>
              <w:rPr>
                <w:kern w:val="0"/>
                <w:sz w:val="24"/>
              </w:rPr>
              <w:t>砂修废气经集气罩收集、抛丸粉尘经过密闭收集，收集后的砂修废气、抛丸粉尘合并通过1套布袋除尘器装置处理后，尾气通过一根15m高的排气筒排放（排气筒编号：DA001排气筒）</w:t>
            </w:r>
          </w:p>
          <w:p w14:paraId="1F763636">
            <w:pPr>
              <w:widowControl w:val="0"/>
              <w:autoSpaceDE w:val="0"/>
              <w:autoSpaceDN w:val="0"/>
              <w:adjustRightInd w:val="0"/>
              <w:snapToGrid w:val="0"/>
              <w:spacing w:line="360" w:lineRule="auto"/>
              <w:ind w:firstLine="480" w:firstLineChars="200"/>
              <w:rPr>
                <w:kern w:val="0"/>
                <w:sz w:val="24"/>
              </w:rPr>
            </w:pPr>
            <w:r>
              <w:rPr>
                <w:kern w:val="0"/>
                <w:sz w:val="24"/>
              </w:rPr>
              <w:t>喷塑粉尘经过密闭抽风收集后，通过1套旋风除尘器+</w:t>
            </w:r>
            <w:r>
              <w:rPr>
                <w:rFonts w:hint="eastAsia"/>
                <w:kern w:val="0"/>
                <w:sz w:val="24"/>
              </w:rPr>
              <w:t>布袋</w:t>
            </w:r>
            <w:r>
              <w:rPr>
                <w:kern w:val="0"/>
                <w:sz w:val="24"/>
              </w:rPr>
              <w:t>除尘器处理后通过一根15m高排气筒排放（排气筒编号：DA002）；</w:t>
            </w:r>
          </w:p>
          <w:p w14:paraId="150A87E4">
            <w:pPr>
              <w:widowControl w:val="0"/>
              <w:autoSpaceDE w:val="0"/>
              <w:autoSpaceDN w:val="0"/>
              <w:adjustRightInd w:val="0"/>
              <w:snapToGrid w:val="0"/>
              <w:spacing w:line="360" w:lineRule="auto"/>
              <w:ind w:firstLine="480" w:firstLineChars="200"/>
              <w:rPr>
                <w:rFonts w:hint="eastAsia" w:eastAsia="宋体"/>
                <w:kern w:val="0"/>
                <w:sz w:val="24"/>
                <w:lang w:eastAsia="zh-CN"/>
              </w:rPr>
            </w:pPr>
            <w:r>
              <w:rPr>
                <w:rFonts w:hint="eastAsia"/>
                <w:kern w:val="0"/>
                <w:sz w:val="24"/>
                <w:lang w:val="en-US" w:eastAsia="zh-CN"/>
              </w:rPr>
              <w:t>喷塑固化</w:t>
            </w:r>
            <w:r>
              <w:rPr>
                <w:kern w:val="0"/>
                <w:sz w:val="24"/>
              </w:rPr>
              <w:t>废气、丙烷燃烧废气经过集气罩收集后通过1套</w:t>
            </w:r>
            <w:r>
              <w:rPr>
                <w:rFonts w:hint="eastAsia"/>
                <w:kern w:val="0"/>
                <w:sz w:val="24"/>
              </w:rPr>
              <w:t>过滤棉+</w:t>
            </w:r>
            <w:r>
              <w:rPr>
                <w:kern w:val="0"/>
                <w:sz w:val="24"/>
              </w:rPr>
              <w:t>二级活性炭吸附装置处理通过一根15m高的排气筒排放（排气筒编号：DA004）</w:t>
            </w:r>
            <w:r>
              <w:rPr>
                <w:rFonts w:hint="eastAsia"/>
                <w:kern w:val="0"/>
                <w:sz w:val="24"/>
                <w:lang w:eastAsia="zh-CN"/>
              </w:rPr>
              <w:t>；</w:t>
            </w:r>
          </w:p>
          <w:p w14:paraId="4B43C28F">
            <w:pPr>
              <w:widowControl w:val="0"/>
              <w:autoSpaceDE w:val="0"/>
              <w:autoSpaceDN w:val="0"/>
              <w:adjustRightInd w:val="0"/>
              <w:snapToGrid w:val="0"/>
              <w:spacing w:line="360" w:lineRule="auto"/>
              <w:ind w:firstLine="480" w:firstLineChars="200"/>
              <w:rPr>
                <w:rFonts w:hint="eastAsia"/>
                <w:kern w:val="0"/>
                <w:sz w:val="24"/>
                <w:lang w:eastAsia="zh-CN"/>
              </w:rPr>
            </w:pPr>
            <w:r>
              <w:rPr>
                <w:kern w:val="0"/>
                <w:sz w:val="24"/>
              </w:rPr>
              <w:t>调漆废气、喷漆废气经密闭抽风收集后通过</w:t>
            </w:r>
            <w:r>
              <w:rPr>
                <w:rFonts w:hint="eastAsia"/>
                <w:kern w:val="0"/>
                <w:sz w:val="24"/>
                <w:lang w:val="en-US" w:eastAsia="zh-CN"/>
              </w:rPr>
              <w:t>水帘除雾后经过</w:t>
            </w:r>
            <w:r>
              <w:rPr>
                <w:kern w:val="0"/>
                <w:sz w:val="24"/>
              </w:rPr>
              <w:t>一套喷淋塔+过滤棉</w:t>
            </w:r>
            <w:r>
              <w:rPr>
                <w:rFonts w:hint="eastAsia"/>
                <w:kern w:val="0"/>
                <w:sz w:val="24"/>
                <w:lang w:val="en-US" w:eastAsia="zh-CN"/>
              </w:rPr>
              <w:t>与密闭收集的危废储存废气经过四</w:t>
            </w:r>
            <w:r>
              <w:rPr>
                <w:kern w:val="0"/>
                <w:sz w:val="24"/>
              </w:rPr>
              <w:t>级活性炭吸附装置处理后，尾气通过一根高15m的排气筒排放。（排气筒编号DA003）</w:t>
            </w:r>
            <w:r>
              <w:rPr>
                <w:rFonts w:hint="eastAsia"/>
                <w:kern w:val="0"/>
                <w:sz w:val="24"/>
                <w:lang w:eastAsia="zh-CN"/>
              </w:rPr>
              <w:t>；</w:t>
            </w:r>
          </w:p>
          <w:p w14:paraId="314B200C">
            <w:pPr>
              <w:widowControl w:val="0"/>
              <w:autoSpaceDE w:val="0"/>
              <w:autoSpaceDN w:val="0"/>
              <w:adjustRightInd w:val="0"/>
              <w:snapToGrid w:val="0"/>
              <w:spacing w:line="360" w:lineRule="auto"/>
              <w:ind w:firstLine="480" w:firstLineChars="200"/>
              <w:rPr>
                <w:rFonts w:hint="default"/>
                <w:kern w:val="0"/>
                <w:sz w:val="24"/>
                <w:lang w:val="en-US" w:eastAsia="zh-CN"/>
              </w:rPr>
            </w:pPr>
            <w:r>
              <w:rPr>
                <w:rFonts w:hint="eastAsia"/>
                <w:kern w:val="0"/>
                <w:sz w:val="24"/>
                <w:lang w:val="en-US" w:eastAsia="zh-CN"/>
              </w:rPr>
              <w:t>检验补喷废气经过自带旋风除尘装置处理后通过一根15m高的排气筒排放（排气筒编号：DA005）；</w:t>
            </w:r>
          </w:p>
          <w:p w14:paraId="7FB4D886">
            <w:pPr>
              <w:widowControl w:val="0"/>
              <w:autoSpaceDE w:val="0"/>
              <w:autoSpaceDN w:val="0"/>
              <w:adjustRightInd w:val="0"/>
              <w:snapToGrid w:val="0"/>
              <w:spacing w:line="360" w:lineRule="auto"/>
              <w:ind w:firstLine="480" w:firstLineChars="200"/>
              <w:rPr>
                <w:rFonts w:hint="eastAsia"/>
                <w:kern w:val="0"/>
                <w:sz w:val="24"/>
                <w:lang w:eastAsia="zh-CN"/>
              </w:rPr>
            </w:pPr>
            <w:r>
              <w:rPr>
                <w:rFonts w:hint="eastAsia"/>
                <w:kern w:val="0"/>
                <w:sz w:val="24"/>
                <w:lang w:val="en-US" w:eastAsia="zh-CN"/>
              </w:rPr>
              <w:t>喷漆烘干</w:t>
            </w:r>
            <w:r>
              <w:rPr>
                <w:rFonts w:hint="eastAsia"/>
                <w:kern w:val="0"/>
                <w:sz w:val="24"/>
                <w:lang w:eastAsia="zh-CN"/>
              </w:rPr>
              <w:t>废气、丙烷燃烧废气经过集气罩收集后通过1套过滤棉+二级活性炭吸附装置处理通过一根15m高的排气筒排放（排气筒编号：DA00</w:t>
            </w:r>
            <w:r>
              <w:rPr>
                <w:rFonts w:hint="eastAsia"/>
                <w:kern w:val="0"/>
                <w:sz w:val="24"/>
                <w:lang w:val="en-US" w:eastAsia="zh-CN"/>
              </w:rPr>
              <w:t>6</w:t>
            </w:r>
            <w:r>
              <w:rPr>
                <w:rFonts w:hint="eastAsia"/>
                <w:kern w:val="0"/>
                <w:sz w:val="24"/>
                <w:lang w:eastAsia="zh-CN"/>
              </w:rPr>
              <w:t>）。</w:t>
            </w:r>
          </w:p>
          <w:p w14:paraId="0C0F7673">
            <w:pPr>
              <w:widowControl w:val="0"/>
              <w:autoSpaceDE w:val="0"/>
              <w:autoSpaceDN w:val="0"/>
              <w:adjustRightInd w:val="0"/>
              <w:snapToGrid w:val="0"/>
              <w:spacing w:line="360" w:lineRule="auto"/>
              <w:ind w:firstLine="480" w:firstLineChars="200"/>
              <w:rPr>
                <w:rFonts w:hint="eastAsia"/>
                <w:kern w:val="0"/>
                <w:sz w:val="24"/>
                <w:lang w:eastAsia="zh-CN"/>
              </w:rPr>
            </w:pPr>
          </w:p>
          <w:p w14:paraId="6B0CA252">
            <w:pPr>
              <w:widowControl w:val="0"/>
              <w:autoSpaceDE w:val="0"/>
              <w:autoSpaceDN w:val="0"/>
              <w:adjustRightInd w:val="0"/>
              <w:snapToGrid w:val="0"/>
              <w:spacing w:line="360" w:lineRule="auto"/>
              <w:ind w:firstLine="480" w:firstLineChars="200"/>
              <w:rPr>
                <w:rFonts w:hint="eastAsia"/>
                <w:kern w:val="0"/>
                <w:sz w:val="24"/>
                <w:lang w:eastAsia="zh-CN"/>
              </w:rPr>
            </w:pPr>
          </w:p>
          <w:p w14:paraId="12849209">
            <w:pPr>
              <w:pStyle w:val="24"/>
              <w:widowControl/>
              <w:spacing w:after="0"/>
              <w:ind w:left="0" w:leftChars="0" w:right="-172" w:firstLine="0" w:firstLineChars="0"/>
              <w:jc w:val="center"/>
            </w:pPr>
            <w:r>
              <w:object>
                <v:shape id="_x0000_i1029" o:spt="75" type="#_x0000_t75" style="height:603.6pt;width:376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9" r:id="rId21">
                  <o:LockedField>false</o:LockedField>
                </o:OLEObject>
              </w:object>
            </w:r>
          </w:p>
          <w:p w14:paraId="02E318B3">
            <w:pPr>
              <w:widowControl w:val="0"/>
              <w:autoSpaceDE w:val="0"/>
              <w:autoSpaceDN w:val="0"/>
              <w:adjustRightInd w:val="0"/>
              <w:snapToGrid w:val="0"/>
              <w:spacing w:line="360" w:lineRule="auto"/>
              <w:ind w:right="-172" w:firstLine="482"/>
              <w:jc w:val="center"/>
              <w:rPr>
                <w:rFonts w:hint="eastAsia"/>
                <w:b/>
                <w:bCs/>
                <w:sz w:val="24"/>
                <w:szCs w:val="24"/>
              </w:rPr>
            </w:pPr>
            <w:r>
              <w:rPr>
                <w:rFonts w:hint="eastAsia" w:ascii="宋体" w:hAnsi="宋体"/>
                <w:b/>
                <w:bCs/>
                <w:sz w:val="24"/>
              </w:rPr>
              <w:t xml:space="preserve">图 </w:t>
            </w:r>
            <w:r>
              <w:rPr>
                <w:b/>
                <w:bCs/>
                <w:sz w:val="24"/>
              </w:rPr>
              <w:t>3-</w:t>
            </w:r>
            <w:r>
              <w:rPr>
                <w:rFonts w:hint="eastAsia"/>
                <w:b/>
                <w:bCs/>
                <w:sz w:val="24"/>
              </w:rPr>
              <w:t>2</w:t>
            </w:r>
            <w:r>
              <w:rPr>
                <w:rFonts w:hint="eastAsia" w:ascii="宋体" w:hAnsi="宋体"/>
                <w:b/>
                <w:bCs/>
                <w:sz w:val="24"/>
              </w:rPr>
              <w:t xml:space="preserve"> </w:t>
            </w:r>
            <w:r>
              <w:rPr>
                <w:b/>
                <w:bCs/>
                <w:sz w:val="24"/>
                <w:szCs w:val="24"/>
              </w:rPr>
              <w:t>项</w:t>
            </w:r>
            <w:r>
              <w:rPr>
                <w:rFonts w:ascii="宋体" w:hAnsi="宋体"/>
                <w:b/>
                <w:bCs/>
                <w:sz w:val="24"/>
              </w:rPr>
              <w:t>目废气收集处理</w:t>
            </w:r>
            <w:r>
              <w:rPr>
                <w:rFonts w:hint="eastAsia" w:ascii="宋体" w:hAnsi="宋体"/>
                <w:b/>
                <w:bCs/>
                <w:sz w:val="24"/>
              </w:rPr>
              <w:t>工艺流程图</w:t>
            </w:r>
          </w:p>
          <w:p w14:paraId="1FF64D21">
            <w:pPr>
              <w:widowControl w:val="0"/>
              <w:autoSpaceDE w:val="0"/>
              <w:autoSpaceDN w:val="0"/>
              <w:adjustRightInd w:val="0"/>
              <w:snapToGrid w:val="0"/>
              <w:spacing w:line="360" w:lineRule="auto"/>
              <w:ind w:firstLine="482" w:firstLineChars="200"/>
              <w:rPr>
                <w:b/>
                <w:bCs/>
                <w:sz w:val="24"/>
              </w:rPr>
            </w:pPr>
            <w:r>
              <w:rPr>
                <w:rFonts w:hint="eastAsia"/>
                <w:b/>
                <w:bCs/>
                <w:sz w:val="24"/>
              </w:rPr>
              <w:t>3、噪声污染源及治理措施</w:t>
            </w:r>
          </w:p>
          <w:p w14:paraId="46F99CE4">
            <w:pPr>
              <w:widowControl w:val="0"/>
              <w:autoSpaceDE w:val="0"/>
              <w:autoSpaceDN w:val="0"/>
              <w:adjustRightInd w:val="0"/>
              <w:snapToGrid w:val="0"/>
              <w:spacing w:line="360" w:lineRule="auto"/>
              <w:ind w:firstLine="480" w:firstLineChars="200"/>
              <w:rPr>
                <w:bCs/>
                <w:sz w:val="24"/>
              </w:rPr>
            </w:pPr>
            <w:r>
              <w:rPr>
                <w:rFonts w:hint="eastAsia"/>
                <w:bCs/>
                <w:sz w:val="24"/>
              </w:rPr>
              <w:t>本项目主要噪声由机械设备运行产生的噪声，通过采用车间厂房隔音、减振基座、安装隔声罩等措施，减小噪声对外环境的影响。项目单位采取以下噪声治理措施：</w:t>
            </w:r>
          </w:p>
          <w:p w14:paraId="7104AF9E">
            <w:pPr>
              <w:pStyle w:val="42"/>
              <w:widowControl w:val="0"/>
              <w:numPr>
                <w:ilvl w:val="0"/>
                <w:numId w:val="6"/>
              </w:numPr>
              <w:spacing w:line="360" w:lineRule="auto"/>
              <w:ind w:left="0" w:firstLine="480"/>
              <w:jc w:val="left"/>
              <w:rPr>
                <w:rFonts w:hint="eastAsia"/>
                <w:sz w:val="24"/>
              </w:rPr>
            </w:pPr>
            <w:r>
              <w:rPr>
                <w:rFonts w:hint="eastAsia"/>
                <w:sz w:val="24"/>
              </w:rPr>
              <w:t>电焊机、抛丸机、砂修机采取合理布局、选用低噪声设备、设备减振、</w:t>
            </w:r>
            <w:r>
              <w:rPr>
                <w:sz w:val="24"/>
              </w:rPr>
              <w:t>墙体隔声</w:t>
            </w:r>
            <w:r>
              <w:rPr>
                <w:rFonts w:hint="eastAsia"/>
                <w:sz w:val="24"/>
              </w:rPr>
              <w:t>、加强管理等；</w:t>
            </w:r>
          </w:p>
          <w:p w14:paraId="5BD2239A">
            <w:pPr>
              <w:widowControl w:val="0"/>
              <w:spacing w:line="360" w:lineRule="auto"/>
              <w:ind w:firstLine="480" w:firstLineChars="200"/>
              <w:jc w:val="left"/>
              <w:rPr>
                <w:sz w:val="24"/>
              </w:rPr>
            </w:pPr>
            <w:r>
              <w:rPr>
                <w:rFonts w:hint="eastAsia"/>
                <w:sz w:val="24"/>
              </w:rPr>
              <w:t>②管理方面：加强生产设备的维修、维护，确保生产设备处于良好的运行状态；尽量避免高 噪声设备同时运行，尽量让高噪声设备错时，运车间个别工作岗位应按照劳动保护的有关要求进行个人防护，如佩戴耳塞、耳罩等防噪声用品。</w:t>
            </w:r>
          </w:p>
          <w:p w14:paraId="27ACB7AB">
            <w:pPr>
              <w:pStyle w:val="42"/>
              <w:widowControl w:val="0"/>
              <w:numPr>
                <w:ilvl w:val="0"/>
                <w:numId w:val="3"/>
              </w:numPr>
              <w:autoSpaceDE w:val="0"/>
              <w:autoSpaceDN w:val="0"/>
              <w:adjustRightInd w:val="0"/>
              <w:snapToGrid w:val="0"/>
              <w:spacing w:line="360" w:lineRule="auto"/>
              <w:ind w:firstLineChars="0"/>
              <w:rPr>
                <w:b/>
                <w:bCs/>
                <w:sz w:val="24"/>
              </w:rPr>
            </w:pPr>
            <w:r>
              <w:rPr>
                <w:rFonts w:hint="eastAsia"/>
                <w:b/>
                <w:bCs/>
                <w:sz w:val="24"/>
              </w:rPr>
              <w:t>固废污染源及治理措施</w:t>
            </w:r>
          </w:p>
          <w:p w14:paraId="280EE41A">
            <w:pPr>
              <w:pStyle w:val="24"/>
              <w:widowControl w:val="0"/>
              <w:spacing w:after="0" w:line="360" w:lineRule="auto"/>
              <w:ind w:left="0" w:leftChars="0" w:firstLine="480"/>
              <w:rPr>
                <w:bCs/>
                <w:sz w:val="24"/>
              </w:rPr>
            </w:pPr>
            <w:r>
              <w:rPr>
                <w:rFonts w:hint="eastAsia"/>
                <w:bCs/>
                <w:sz w:val="24"/>
              </w:rPr>
              <w:t>本项目营运期固废主要一般固废主要为边角料、不合格品、除尘装置收集粉尘、废包装材料、二氧化碳废钢瓶、废钢丸；危险固废包括破损的废包装桶、废活性炭、废过滤棉、漆渣、沉淀池底渣。</w:t>
            </w:r>
          </w:p>
          <w:p w14:paraId="5E519023">
            <w:pPr>
              <w:widowControl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企业职工日常活动中产生的生活垃圾；</w:t>
            </w:r>
            <w:r>
              <w:rPr>
                <w:bCs/>
                <w:color w:val="000000" w:themeColor="text1"/>
                <w:sz w:val="24"/>
                <w14:textFill>
                  <w14:solidFill>
                    <w14:schemeClr w14:val="tx1"/>
                  </w14:solidFill>
                </w14:textFill>
              </w:rPr>
              <w:t>项目在下料等工段中会产生一定量的边角料</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焊接、砂修、抛丸工序布袋除尘装置收集</w:t>
            </w:r>
            <w:r>
              <w:rPr>
                <w:rFonts w:hint="eastAsia"/>
                <w:bCs/>
                <w:color w:val="000000" w:themeColor="text1"/>
                <w:sz w:val="24"/>
                <w14:textFill>
                  <w14:solidFill>
                    <w14:schemeClr w14:val="tx1"/>
                  </w14:solidFill>
                </w14:textFill>
              </w:rPr>
              <w:t>的</w:t>
            </w:r>
            <w:r>
              <w:rPr>
                <w:bCs/>
                <w:color w:val="000000" w:themeColor="text1"/>
                <w:sz w:val="24"/>
                <w14:textFill>
                  <w14:solidFill>
                    <w14:schemeClr w14:val="tx1"/>
                  </w14:solidFill>
                </w14:textFill>
              </w:rPr>
              <w:t>粉尘量</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项目使用焊丝/焊条等会产生少量废包装材料</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焊接时会使用少量二氧化碳，会产生二氧化碳废钢瓶</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抛丸工序会产生废钢丸</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项目在油性漆、稀释剂拆开使用后破损产生废包装桶</w:t>
            </w:r>
            <w:r>
              <w:rPr>
                <w:rFonts w:hint="eastAsia"/>
                <w:bCs/>
                <w:color w:val="000000" w:themeColor="text1"/>
                <w:sz w:val="24"/>
                <w14:textFill>
                  <w14:solidFill>
                    <w14:schemeClr w14:val="tx1"/>
                  </w14:solidFill>
                </w14:textFill>
              </w:rPr>
              <w:t>；废气处理设备在运行时会产生废活性炭、</w:t>
            </w:r>
            <w:r>
              <w:rPr>
                <w:bCs/>
                <w:color w:val="000000" w:themeColor="text1"/>
                <w:sz w:val="24"/>
                <w14:textFill>
                  <w14:solidFill>
                    <w14:schemeClr w14:val="tx1"/>
                  </w14:solidFill>
                </w14:textFill>
              </w:rPr>
              <w:t>废过滤棉</w:t>
            </w:r>
            <w:r>
              <w:rPr>
                <w:rFonts w:hint="eastAsia"/>
                <w:bCs/>
                <w:color w:val="000000" w:themeColor="text1"/>
                <w:sz w:val="24"/>
                <w14:textFill>
                  <w14:solidFill>
                    <w14:schemeClr w14:val="tx1"/>
                  </w14:solidFill>
                </w14:textFill>
              </w:rPr>
              <w:t>、沉淀池底渣；</w:t>
            </w:r>
            <w:r>
              <w:rPr>
                <w:bCs/>
                <w:color w:val="000000" w:themeColor="text1"/>
                <w:sz w:val="24"/>
                <w14:textFill>
                  <w14:solidFill>
                    <w14:schemeClr w14:val="tx1"/>
                  </w14:solidFill>
                </w14:textFill>
              </w:rPr>
              <w:t>喷面漆、底漆需要会产生少量漆渣</w:t>
            </w:r>
            <w:r>
              <w:rPr>
                <w:rFonts w:hint="eastAsia"/>
                <w:bCs/>
                <w:color w:val="000000" w:themeColor="text1"/>
                <w:sz w:val="24"/>
                <w14:textFill>
                  <w14:solidFill>
                    <w14:schemeClr w14:val="tx1"/>
                  </w14:solidFill>
                </w14:textFill>
              </w:rPr>
              <w:t>。</w:t>
            </w:r>
          </w:p>
          <w:p w14:paraId="19485BA0">
            <w:pPr>
              <w:pStyle w:val="24"/>
              <w:widowControl/>
              <w:numPr>
                <w:ilvl w:val="0"/>
                <w:numId w:val="7"/>
              </w:numPr>
              <w:spacing w:after="0" w:line="360" w:lineRule="auto"/>
              <w:ind w:left="0" w:leftChars="0" w:firstLine="480"/>
              <w:rPr>
                <w:bCs/>
                <w:sz w:val="24"/>
              </w:rPr>
            </w:pPr>
            <w:r>
              <w:rPr>
                <w:rFonts w:hint="eastAsia"/>
                <w:bCs/>
                <w:sz w:val="24"/>
              </w:rPr>
              <w:t>生活垃圾由环卫部门清运。</w:t>
            </w:r>
          </w:p>
          <w:p w14:paraId="5D884BF5">
            <w:pPr>
              <w:pStyle w:val="24"/>
              <w:widowControl/>
              <w:numPr>
                <w:ilvl w:val="0"/>
                <w:numId w:val="7"/>
              </w:numPr>
              <w:spacing w:after="0" w:line="360" w:lineRule="auto"/>
              <w:ind w:left="0" w:leftChars="0" w:firstLine="480"/>
              <w:rPr>
                <w:bCs/>
                <w:sz w:val="24"/>
              </w:rPr>
            </w:pPr>
            <w:r>
              <w:rPr>
                <w:rFonts w:hint="eastAsia"/>
                <w:bCs/>
                <w:sz w:val="24"/>
              </w:rPr>
              <w:t>二氧化碳废钢瓶收集后回由厂家回收再利用。</w:t>
            </w:r>
          </w:p>
          <w:p w14:paraId="426F76AB">
            <w:pPr>
              <w:pStyle w:val="24"/>
              <w:widowControl w:val="0"/>
              <w:numPr>
                <w:ilvl w:val="0"/>
                <w:numId w:val="7"/>
              </w:numPr>
              <w:spacing w:after="0" w:line="360" w:lineRule="auto"/>
              <w:ind w:left="0" w:leftChars="0" w:firstLine="480"/>
              <w:rPr>
                <w:bCs/>
                <w:sz w:val="24"/>
              </w:rPr>
            </w:pPr>
            <w:r>
              <w:rPr>
                <w:rFonts w:hint="eastAsia"/>
                <w:bCs/>
                <w:sz w:val="24"/>
              </w:rPr>
              <w:t>边角料、除尘装置收集粉尘、废包装材料、废钢丸收集后</w:t>
            </w:r>
            <w:r>
              <w:rPr>
                <w:bCs/>
                <w:sz w:val="24"/>
              </w:rPr>
              <w:t>暂存于厂区内一般固废暂存间，定期外售</w:t>
            </w:r>
            <w:r>
              <w:rPr>
                <w:rFonts w:hint="eastAsia"/>
                <w:bCs/>
                <w:sz w:val="24"/>
              </w:rPr>
              <w:t>。</w:t>
            </w:r>
          </w:p>
          <w:p w14:paraId="49285B68">
            <w:pPr>
              <w:pStyle w:val="24"/>
              <w:widowControl w:val="0"/>
              <w:spacing w:after="0" w:line="360" w:lineRule="auto"/>
              <w:ind w:left="0" w:leftChars="0" w:firstLine="480"/>
              <w:rPr>
                <w:bCs/>
                <w:sz w:val="24"/>
              </w:rPr>
            </w:pPr>
            <w:r>
              <w:rPr>
                <w:rFonts w:hint="eastAsia"/>
                <w:bCs/>
                <w:sz w:val="24"/>
              </w:rPr>
              <w:t>废包装桶、废活性炭、废过滤棉、废乳化液、漆渣、沉淀池底渣</w:t>
            </w:r>
            <w:r>
              <w:rPr>
                <w:bCs/>
                <w:sz w:val="24"/>
              </w:rPr>
              <w:t>，产生后暂存于危废暂存间，交由有资质单位处置</w:t>
            </w:r>
            <w:r>
              <w:rPr>
                <w:rFonts w:hint="eastAsia"/>
                <w:bCs/>
                <w:sz w:val="24"/>
              </w:rPr>
              <w:t>。</w:t>
            </w:r>
          </w:p>
          <w:p w14:paraId="2C478417">
            <w:pPr>
              <w:pStyle w:val="24"/>
              <w:widowControl/>
              <w:spacing w:after="0" w:line="360" w:lineRule="auto"/>
              <w:ind w:left="0" w:leftChars="0" w:firstLine="480"/>
              <w:rPr>
                <w:bCs/>
                <w:sz w:val="24"/>
              </w:rPr>
            </w:pPr>
            <w:r>
              <w:rPr>
                <w:rFonts w:hint="eastAsia"/>
                <w:bCs/>
                <w:sz w:val="24"/>
              </w:rPr>
              <w:t>项目所产生的固体废物经过分类收集和妥善处理后，能够做到零排放，不会对周围环境产生明显影响。固体废物处理措施详见下表：</w:t>
            </w:r>
          </w:p>
          <w:p w14:paraId="4EA341FE">
            <w:pPr>
              <w:widowControl w:val="0"/>
              <w:ind w:firstLine="482"/>
              <w:jc w:val="center"/>
              <w:rPr>
                <w:rFonts w:hint="eastAsia" w:ascii="宋体" w:hAnsi="宋体"/>
                <w:b/>
                <w:bCs/>
                <w:sz w:val="24"/>
              </w:rPr>
            </w:pPr>
            <w:r>
              <w:rPr>
                <w:rFonts w:hint="eastAsia" w:ascii="宋体" w:hAnsi="宋体"/>
                <w:b/>
                <w:bCs/>
                <w:sz w:val="24"/>
              </w:rPr>
              <w:t xml:space="preserve">表 </w:t>
            </w:r>
            <w:r>
              <w:rPr>
                <w:b/>
                <w:bCs/>
                <w:sz w:val="24"/>
              </w:rPr>
              <w:t>3-</w:t>
            </w:r>
            <w:r>
              <w:rPr>
                <w:rFonts w:hint="eastAsia"/>
                <w:b/>
                <w:bCs/>
                <w:sz w:val="24"/>
              </w:rPr>
              <w:t>2</w:t>
            </w:r>
            <w:r>
              <w:rPr>
                <w:rFonts w:hint="eastAsia" w:ascii="宋体" w:hAnsi="宋体"/>
                <w:b/>
                <w:bCs/>
                <w:sz w:val="24"/>
              </w:rPr>
              <w:t xml:space="preserve"> 固体废弃物产生和排放情况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426"/>
              <w:gridCol w:w="1190"/>
              <w:gridCol w:w="717"/>
              <w:gridCol w:w="1212"/>
              <w:gridCol w:w="1264"/>
              <w:gridCol w:w="1839"/>
              <w:gridCol w:w="858"/>
            </w:tblGrid>
            <w:tr w14:paraId="33ED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76CEE002">
                  <w:pPr>
                    <w:jc w:val="center"/>
                    <w:rPr>
                      <w:b/>
                      <w:bCs/>
                    </w:rPr>
                  </w:pPr>
                  <w:r>
                    <w:rPr>
                      <w:rFonts w:hint="eastAsia"/>
                      <w:b/>
                      <w:bCs/>
                    </w:rPr>
                    <w:t>序号</w:t>
                  </w:r>
                </w:p>
              </w:tc>
              <w:tc>
                <w:tcPr>
                  <w:tcW w:w="786" w:type="pct"/>
                  <w:tcBorders>
                    <w:top w:val="single" w:color="auto" w:sz="4" w:space="0"/>
                    <w:left w:val="single" w:color="auto" w:sz="4" w:space="0"/>
                    <w:bottom w:val="single" w:color="auto" w:sz="4" w:space="0"/>
                    <w:right w:val="single" w:color="auto" w:sz="4" w:space="0"/>
                  </w:tcBorders>
                  <w:vAlign w:val="center"/>
                </w:tcPr>
                <w:p w14:paraId="7974A296">
                  <w:pPr>
                    <w:jc w:val="center"/>
                    <w:rPr>
                      <w:rFonts w:hint="eastAsia"/>
                      <w:b/>
                      <w:bCs/>
                    </w:rPr>
                  </w:pPr>
                  <w:r>
                    <w:rPr>
                      <w:rFonts w:hint="eastAsia"/>
                      <w:b/>
                      <w:bCs/>
                    </w:rPr>
                    <w:t>固体废物</w:t>
                  </w:r>
                </w:p>
              </w:tc>
              <w:tc>
                <w:tcPr>
                  <w:tcW w:w="656" w:type="pct"/>
                  <w:tcBorders>
                    <w:top w:val="single" w:color="auto" w:sz="4" w:space="0"/>
                    <w:left w:val="single" w:color="auto" w:sz="4" w:space="0"/>
                    <w:bottom w:val="single" w:color="auto" w:sz="4" w:space="0"/>
                    <w:right w:val="single" w:color="auto" w:sz="4" w:space="0"/>
                  </w:tcBorders>
                  <w:vAlign w:val="center"/>
                </w:tcPr>
                <w:p w14:paraId="0A8E4A0F">
                  <w:pPr>
                    <w:jc w:val="center"/>
                    <w:rPr>
                      <w:rFonts w:hint="eastAsia"/>
                      <w:b/>
                      <w:bCs/>
                    </w:rPr>
                  </w:pPr>
                  <w:r>
                    <w:rPr>
                      <w:rFonts w:hint="eastAsia"/>
                      <w:b/>
                      <w:bCs/>
                    </w:rPr>
                    <w:t>产生工序</w:t>
                  </w:r>
                </w:p>
              </w:tc>
              <w:tc>
                <w:tcPr>
                  <w:tcW w:w="395" w:type="pct"/>
                  <w:tcBorders>
                    <w:top w:val="single" w:color="auto" w:sz="4" w:space="0"/>
                    <w:left w:val="single" w:color="auto" w:sz="4" w:space="0"/>
                    <w:bottom w:val="single" w:color="auto" w:sz="4" w:space="0"/>
                    <w:right w:val="single" w:color="auto" w:sz="4" w:space="0"/>
                  </w:tcBorders>
                  <w:vAlign w:val="center"/>
                </w:tcPr>
                <w:p w14:paraId="0FBBD4C7">
                  <w:pPr>
                    <w:jc w:val="center"/>
                    <w:rPr>
                      <w:rFonts w:hint="eastAsia"/>
                      <w:b/>
                      <w:bCs/>
                    </w:rPr>
                  </w:pPr>
                  <w:r>
                    <w:rPr>
                      <w:rFonts w:hint="eastAsia"/>
                      <w:b/>
                      <w:bCs/>
                    </w:rPr>
                    <w:t>形态</w:t>
                  </w:r>
                </w:p>
              </w:tc>
              <w:tc>
                <w:tcPr>
                  <w:tcW w:w="668" w:type="pct"/>
                  <w:tcBorders>
                    <w:top w:val="single" w:color="auto" w:sz="4" w:space="0"/>
                    <w:left w:val="single" w:color="auto" w:sz="4" w:space="0"/>
                    <w:bottom w:val="single" w:color="auto" w:sz="4" w:space="0"/>
                    <w:right w:val="single" w:color="auto" w:sz="4" w:space="0"/>
                  </w:tcBorders>
                  <w:vAlign w:val="center"/>
                </w:tcPr>
                <w:p w14:paraId="33DE9A07">
                  <w:pPr>
                    <w:jc w:val="center"/>
                    <w:rPr>
                      <w:rFonts w:hint="eastAsia"/>
                      <w:b/>
                      <w:bCs/>
                    </w:rPr>
                  </w:pPr>
                  <w:r>
                    <w:rPr>
                      <w:rFonts w:hint="eastAsia"/>
                      <w:b/>
                      <w:bCs/>
                    </w:rPr>
                    <w:t>主要成分</w:t>
                  </w:r>
                </w:p>
              </w:tc>
              <w:tc>
                <w:tcPr>
                  <w:tcW w:w="697" w:type="pct"/>
                  <w:tcBorders>
                    <w:top w:val="single" w:color="auto" w:sz="4" w:space="0"/>
                    <w:left w:val="single" w:color="auto" w:sz="4" w:space="0"/>
                    <w:bottom w:val="single" w:color="auto" w:sz="4" w:space="0"/>
                    <w:right w:val="single" w:color="auto" w:sz="4" w:space="0"/>
                  </w:tcBorders>
                  <w:vAlign w:val="center"/>
                </w:tcPr>
                <w:p w14:paraId="7DC7E02C">
                  <w:pPr>
                    <w:jc w:val="center"/>
                    <w:rPr>
                      <w:rFonts w:hint="eastAsia"/>
                      <w:b/>
                      <w:bCs/>
                    </w:rPr>
                  </w:pPr>
                  <w:r>
                    <w:rPr>
                      <w:rFonts w:hint="eastAsia"/>
                      <w:b/>
                      <w:bCs/>
                    </w:rPr>
                    <w:t>预测产生量（t/a）</w:t>
                  </w:r>
                </w:p>
              </w:tc>
              <w:tc>
                <w:tcPr>
                  <w:tcW w:w="1014" w:type="pct"/>
                  <w:tcBorders>
                    <w:top w:val="single" w:color="auto" w:sz="4" w:space="0"/>
                    <w:left w:val="single" w:color="auto" w:sz="4" w:space="0"/>
                    <w:bottom w:val="single" w:color="auto" w:sz="4" w:space="0"/>
                    <w:right w:val="single" w:color="auto" w:sz="4" w:space="0"/>
                  </w:tcBorders>
                  <w:vAlign w:val="center"/>
                </w:tcPr>
                <w:p w14:paraId="77EFEBD2">
                  <w:pPr>
                    <w:jc w:val="center"/>
                    <w:rPr>
                      <w:rFonts w:hint="eastAsia"/>
                      <w:b/>
                      <w:bCs/>
                    </w:rPr>
                  </w:pPr>
                  <w:r>
                    <w:rPr>
                      <w:rFonts w:hint="eastAsia"/>
                      <w:b/>
                      <w:bCs/>
                    </w:rPr>
                    <w:t>处置情况</w:t>
                  </w:r>
                </w:p>
              </w:tc>
              <w:tc>
                <w:tcPr>
                  <w:tcW w:w="474" w:type="pct"/>
                  <w:tcBorders>
                    <w:top w:val="single" w:color="auto" w:sz="4" w:space="0"/>
                    <w:left w:val="single" w:color="auto" w:sz="4" w:space="0"/>
                    <w:bottom w:val="single" w:color="auto" w:sz="4" w:space="0"/>
                    <w:right w:val="single" w:color="auto" w:sz="4" w:space="0"/>
                  </w:tcBorders>
                  <w:vAlign w:val="center"/>
                </w:tcPr>
                <w:p w14:paraId="4A36D099">
                  <w:pPr>
                    <w:jc w:val="center"/>
                    <w:rPr>
                      <w:rFonts w:hint="eastAsia"/>
                      <w:b/>
                      <w:bCs/>
                    </w:rPr>
                  </w:pPr>
                  <w:r>
                    <w:rPr>
                      <w:rFonts w:hint="eastAsia"/>
                      <w:b/>
                      <w:bCs/>
                    </w:rPr>
                    <w:t>种类判断固体废物</w:t>
                  </w:r>
                </w:p>
              </w:tc>
            </w:tr>
            <w:tr w14:paraId="6DE6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33B296BC">
                  <w:pPr>
                    <w:jc w:val="center"/>
                    <w:rPr>
                      <w:rFonts w:hint="eastAsia"/>
                    </w:rPr>
                  </w:pPr>
                  <w:r>
                    <w:rPr>
                      <w:rFonts w:hint="eastAsia"/>
                    </w:rPr>
                    <w:t>1</w:t>
                  </w:r>
                </w:p>
              </w:tc>
              <w:tc>
                <w:tcPr>
                  <w:tcW w:w="786" w:type="pct"/>
                  <w:tcBorders>
                    <w:top w:val="single" w:color="auto" w:sz="4" w:space="0"/>
                    <w:left w:val="single" w:color="auto" w:sz="4" w:space="0"/>
                    <w:bottom w:val="single" w:color="auto" w:sz="4" w:space="0"/>
                    <w:right w:val="single" w:color="auto" w:sz="4" w:space="0"/>
                  </w:tcBorders>
                  <w:vAlign w:val="center"/>
                </w:tcPr>
                <w:p w14:paraId="654D784C">
                  <w:pPr>
                    <w:jc w:val="center"/>
                    <w:rPr>
                      <w:rFonts w:hint="eastAsia"/>
                    </w:rPr>
                  </w:pPr>
                  <w:r>
                    <w:rPr>
                      <w:rFonts w:hint="eastAsia"/>
                    </w:rPr>
                    <w:t>生活垃圾</w:t>
                  </w:r>
                </w:p>
              </w:tc>
              <w:tc>
                <w:tcPr>
                  <w:tcW w:w="656" w:type="pct"/>
                  <w:tcBorders>
                    <w:top w:val="single" w:color="auto" w:sz="4" w:space="0"/>
                    <w:left w:val="single" w:color="auto" w:sz="4" w:space="0"/>
                    <w:bottom w:val="single" w:color="auto" w:sz="4" w:space="0"/>
                    <w:right w:val="single" w:color="auto" w:sz="4" w:space="0"/>
                  </w:tcBorders>
                  <w:vAlign w:val="center"/>
                </w:tcPr>
                <w:p w14:paraId="680CD8D1">
                  <w:pPr>
                    <w:jc w:val="center"/>
                    <w:rPr>
                      <w:rFonts w:hint="eastAsia"/>
                    </w:rPr>
                  </w:pPr>
                  <w:r>
                    <w:rPr>
                      <w:rFonts w:hint="eastAsia"/>
                    </w:rPr>
                    <w:t>职工生活</w:t>
                  </w:r>
                </w:p>
              </w:tc>
              <w:tc>
                <w:tcPr>
                  <w:tcW w:w="395" w:type="pct"/>
                  <w:tcBorders>
                    <w:top w:val="single" w:color="auto" w:sz="4" w:space="0"/>
                    <w:left w:val="single" w:color="auto" w:sz="4" w:space="0"/>
                    <w:bottom w:val="single" w:color="auto" w:sz="4" w:space="0"/>
                    <w:right w:val="single" w:color="auto" w:sz="4" w:space="0"/>
                  </w:tcBorders>
                  <w:vAlign w:val="center"/>
                </w:tcPr>
                <w:p w14:paraId="4FE6C8A1">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63ABA83F">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4B6257F8">
                  <w:pPr>
                    <w:jc w:val="center"/>
                    <w:rPr>
                      <w:rFonts w:hint="eastAsia"/>
                    </w:rPr>
                  </w:pPr>
                  <w:r>
                    <w:rPr>
                      <w:rFonts w:hint="eastAsia"/>
                    </w:rPr>
                    <w:t>4.5</w:t>
                  </w:r>
                </w:p>
              </w:tc>
              <w:tc>
                <w:tcPr>
                  <w:tcW w:w="1014" w:type="pct"/>
                  <w:tcBorders>
                    <w:top w:val="single" w:color="auto" w:sz="4" w:space="0"/>
                    <w:left w:val="single" w:color="auto" w:sz="4" w:space="0"/>
                    <w:bottom w:val="single" w:color="auto" w:sz="4" w:space="0"/>
                    <w:right w:val="single" w:color="auto" w:sz="4" w:space="0"/>
                  </w:tcBorders>
                  <w:vAlign w:val="center"/>
                </w:tcPr>
                <w:p w14:paraId="16D5B231">
                  <w:pPr>
                    <w:jc w:val="center"/>
                    <w:rPr>
                      <w:rFonts w:hint="eastAsia"/>
                    </w:rPr>
                  </w:pPr>
                  <w:r>
                    <w:rPr>
                      <w:rFonts w:hint="eastAsia"/>
                    </w:rPr>
                    <w:t>环卫部门清运</w:t>
                  </w:r>
                </w:p>
              </w:tc>
              <w:tc>
                <w:tcPr>
                  <w:tcW w:w="474" w:type="pct"/>
                  <w:tcBorders>
                    <w:top w:val="single" w:color="auto" w:sz="4" w:space="0"/>
                    <w:left w:val="single" w:color="auto" w:sz="4" w:space="0"/>
                    <w:bottom w:val="single" w:color="auto" w:sz="4" w:space="0"/>
                    <w:right w:val="single" w:color="auto" w:sz="4" w:space="0"/>
                  </w:tcBorders>
                  <w:vAlign w:val="center"/>
                </w:tcPr>
                <w:p w14:paraId="1F21C743">
                  <w:pPr>
                    <w:jc w:val="center"/>
                    <w:rPr>
                      <w:rFonts w:hint="eastAsia"/>
                    </w:rPr>
                  </w:pPr>
                  <w:r>
                    <w:rPr>
                      <w:rFonts w:hint="eastAsia"/>
                    </w:rPr>
                    <w:t>生活垃圾</w:t>
                  </w:r>
                </w:p>
              </w:tc>
            </w:tr>
            <w:tr w14:paraId="157C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2F1D9261">
                  <w:pPr>
                    <w:jc w:val="center"/>
                    <w:rPr>
                      <w:rFonts w:hint="eastAsia"/>
                    </w:rPr>
                  </w:pPr>
                  <w:r>
                    <w:rPr>
                      <w:rFonts w:hint="eastAsia"/>
                    </w:rPr>
                    <w:t>2</w:t>
                  </w:r>
                </w:p>
              </w:tc>
              <w:tc>
                <w:tcPr>
                  <w:tcW w:w="786" w:type="pct"/>
                  <w:tcBorders>
                    <w:top w:val="single" w:color="auto" w:sz="4" w:space="0"/>
                    <w:left w:val="single" w:color="auto" w:sz="4" w:space="0"/>
                    <w:bottom w:val="single" w:color="auto" w:sz="4" w:space="0"/>
                    <w:right w:val="single" w:color="auto" w:sz="4" w:space="0"/>
                  </w:tcBorders>
                  <w:vAlign w:val="center"/>
                </w:tcPr>
                <w:p w14:paraId="1C856EBA">
                  <w:pPr>
                    <w:jc w:val="center"/>
                    <w:rPr>
                      <w:rFonts w:hint="eastAsia"/>
                    </w:rPr>
                  </w:pPr>
                  <w:r>
                    <w:rPr>
                      <w:rFonts w:hint="eastAsia"/>
                    </w:rPr>
                    <w:t>边角料</w:t>
                  </w:r>
                </w:p>
              </w:tc>
              <w:tc>
                <w:tcPr>
                  <w:tcW w:w="656" w:type="pct"/>
                  <w:tcBorders>
                    <w:top w:val="single" w:color="auto" w:sz="4" w:space="0"/>
                    <w:left w:val="single" w:color="auto" w:sz="4" w:space="0"/>
                    <w:bottom w:val="single" w:color="auto" w:sz="4" w:space="0"/>
                    <w:right w:val="single" w:color="auto" w:sz="4" w:space="0"/>
                  </w:tcBorders>
                  <w:vAlign w:val="center"/>
                </w:tcPr>
                <w:p w14:paraId="45F5A718">
                  <w:pPr>
                    <w:jc w:val="center"/>
                    <w:rPr>
                      <w:rFonts w:hint="eastAsia"/>
                    </w:rPr>
                  </w:pPr>
                  <w:r>
                    <w:rPr>
                      <w:rFonts w:hint="eastAsia"/>
                    </w:rPr>
                    <w:t>下料、机加工</w:t>
                  </w:r>
                </w:p>
              </w:tc>
              <w:tc>
                <w:tcPr>
                  <w:tcW w:w="395" w:type="pct"/>
                  <w:tcBorders>
                    <w:top w:val="single" w:color="auto" w:sz="4" w:space="0"/>
                    <w:left w:val="single" w:color="auto" w:sz="4" w:space="0"/>
                    <w:bottom w:val="single" w:color="auto" w:sz="4" w:space="0"/>
                    <w:right w:val="single" w:color="auto" w:sz="4" w:space="0"/>
                  </w:tcBorders>
                  <w:vAlign w:val="center"/>
                </w:tcPr>
                <w:p w14:paraId="7C180F2B">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420AE174">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3677EA4B">
                  <w:pPr>
                    <w:jc w:val="center"/>
                    <w:rPr>
                      <w:rFonts w:hint="eastAsia"/>
                    </w:rPr>
                  </w:pPr>
                  <w:r>
                    <w:rPr>
                      <w:rFonts w:hint="eastAsia"/>
                    </w:rPr>
                    <w:t>155</w:t>
                  </w:r>
                </w:p>
              </w:tc>
              <w:tc>
                <w:tcPr>
                  <w:tcW w:w="1014" w:type="pct"/>
                  <w:vMerge w:val="restart"/>
                  <w:tcBorders>
                    <w:top w:val="nil"/>
                    <w:left w:val="single" w:color="auto" w:sz="4" w:space="0"/>
                    <w:bottom w:val="single" w:color="auto" w:sz="4" w:space="0"/>
                    <w:right w:val="single" w:color="auto" w:sz="4" w:space="0"/>
                  </w:tcBorders>
                  <w:vAlign w:val="center"/>
                </w:tcPr>
                <w:p w14:paraId="31642034">
                  <w:pPr>
                    <w:jc w:val="center"/>
                    <w:rPr>
                      <w:rFonts w:hint="eastAsia"/>
                    </w:rPr>
                  </w:pPr>
                  <w:r>
                    <w:rPr>
                      <w:rFonts w:hint="eastAsia"/>
                    </w:rPr>
                    <w:t>定期外售</w:t>
                  </w:r>
                </w:p>
              </w:tc>
              <w:tc>
                <w:tcPr>
                  <w:tcW w:w="474" w:type="pct"/>
                  <w:vMerge w:val="restart"/>
                  <w:tcBorders>
                    <w:top w:val="nil"/>
                    <w:left w:val="single" w:color="auto" w:sz="4" w:space="0"/>
                    <w:bottom w:val="single" w:color="auto" w:sz="4" w:space="0"/>
                    <w:right w:val="single" w:color="auto" w:sz="4" w:space="0"/>
                  </w:tcBorders>
                  <w:vAlign w:val="center"/>
                </w:tcPr>
                <w:p w14:paraId="69344660">
                  <w:pPr>
                    <w:jc w:val="center"/>
                    <w:rPr>
                      <w:rFonts w:hint="eastAsia"/>
                    </w:rPr>
                  </w:pPr>
                  <w:r>
                    <w:rPr>
                      <w:rFonts w:hint="eastAsia"/>
                    </w:rPr>
                    <w:t>一般固废</w:t>
                  </w:r>
                </w:p>
              </w:tc>
            </w:tr>
            <w:tr w14:paraId="3952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6F2EAC4A">
                  <w:pPr>
                    <w:jc w:val="center"/>
                    <w:rPr>
                      <w:rFonts w:hint="eastAsia"/>
                    </w:rPr>
                  </w:pPr>
                  <w:r>
                    <w:rPr>
                      <w:rFonts w:hint="eastAsia"/>
                    </w:rPr>
                    <w:t>3</w:t>
                  </w:r>
                </w:p>
              </w:tc>
              <w:tc>
                <w:tcPr>
                  <w:tcW w:w="786" w:type="pct"/>
                  <w:tcBorders>
                    <w:top w:val="single" w:color="auto" w:sz="4" w:space="0"/>
                    <w:left w:val="single" w:color="auto" w:sz="4" w:space="0"/>
                    <w:bottom w:val="single" w:color="auto" w:sz="4" w:space="0"/>
                    <w:right w:val="single" w:color="auto" w:sz="4" w:space="0"/>
                  </w:tcBorders>
                  <w:vAlign w:val="center"/>
                </w:tcPr>
                <w:p w14:paraId="6C948FB6">
                  <w:pPr>
                    <w:jc w:val="center"/>
                    <w:rPr>
                      <w:rFonts w:hint="eastAsia"/>
                    </w:rPr>
                  </w:pPr>
                  <w:r>
                    <w:rPr>
                      <w:rFonts w:hint="eastAsia"/>
                    </w:rPr>
                    <w:t>除尘装置收集粉尘</w:t>
                  </w:r>
                </w:p>
              </w:tc>
              <w:tc>
                <w:tcPr>
                  <w:tcW w:w="656" w:type="pct"/>
                  <w:tcBorders>
                    <w:top w:val="single" w:color="auto" w:sz="4" w:space="0"/>
                    <w:left w:val="single" w:color="auto" w:sz="4" w:space="0"/>
                    <w:bottom w:val="single" w:color="auto" w:sz="4" w:space="0"/>
                    <w:right w:val="single" w:color="auto" w:sz="4" w:space="0"/>
                  </w:tcBorders>
                  <w:vAlign w:val="center"/>
                </w:tcPr>
                <w:p w14:paraId="1A5A2AA3">
                  <w:pPr>
                    <w:jc w:val="center"/>
                    <w:rPr>
                      <w:rFonts w:hint="eastAsia"/>
                    </w:rPr>
                  </w:pPr>
                  <w:r>
                    <w:rPr>
                      <w:rFonts w:hint="eastAsia"/>
                    </w:rPr>
                    <w:t>环保装置</w:t>
                  </w:r>
                </w:p>
              </w:tc>
              <w:tc>
                <w:tcPr>
                  <w:tcW w:w="395" w:type="pct"/>
                  <w:tcBorders>
                    <w:top w:val="single" w:color="auto" w:sz="4" w:space="0"/>
                    <w:left w:val="single" w:color="auto" w:sz="4" w:space="0"/>
                    <w:bottom w:val="single" w:color="auto" w:sz="4" w:space="0"/>
                    <w:right w:val="single" w:color="auto" w:sz="4" w:space="0"/>
                  </w:tcBorders>
                  <w:vAlign w:val="center"/>
                </w:tcPr>
                <w:p w14:paraId="102269E3">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1344E58F">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55276C59">
                  <w:pPr>
                    <w:jc w:val="center"/>
                    <w:rPr>
                      <w:rFonts w:hint="eastAsia"/>
                    </w:rPr>
                  </w:pPr>
                  <w:r>
                    <w:rPr>
                      <w:rFonts w:hint="eastAsia"/>
                    </w:rPr>
                    <w:t>147.58</w:t>
                  </w:r>
                </w:p>
              </w:tc>
              <w:tc>
                <w:tcPr>
                  <w:tcW w:w="1014" w:type="pct"/>
                  <w:vMerge w:val="continue"/>
                  <w:tcBorders>
                    <w:top w:val="nil"/>
                    <w:left w:val="single" w:color="auto" w:sz="4" w:space="0"/>
                    <w:bottom w:val="single" w:color="auto" w:sz="4" w:space="0"/>
                    <w:right w:val="single" w:color="auto" w:sz="4" w:space="0"/>
                  </w:tcBorders>
                  <w:vAlign w:val="center"/>
                </w:tcPr>
                <w:p w14:paraId="64748485">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650CDBA0">
                  <w:pPr>
                    <w:jc w:val="left"/>
                    <w:rPr>
                      <w:rFonts w:ascii="宋体" w:hAnsi="宋体"/>
                      <w:szCs w:val="21"/>
                    </w:rPr>
                  </w:pPr>
                </w:p>
              </w:tc>
            </w:tr>
            <w:tr w14:paraId="6F42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291B8A5C">
                  <w:pPr>
                    <w:jc w:val="center"/>
                    <w:rPr>
                      <w:rFonts w:hint="eastAsia"/>
                    </w:rPr>
                  </w:pPr>
                  <w:r>
                    <w:rPr>
                      <w:rFonts w:hint="eastAsia"/>
                    </w:rPr>
                    <w:t>4</w:t>
                  </w:r>
                </w:p>
              </w:tc>
              <w:tc>
                <w:tcPr>
                  <w:tcW w:w="786" w:type="pct"/>
                  <w:tcBorders>
                    <w:top w:val="single" w:color="auto" w:sz="4" w:space="0"/>
                    <w:left w:val="single" w:color="auto" w:sz="4" w:space="0"/>
                    <w:bottom w:val="single" w:color="auto" w:sz="4" w:space="0"/>
                    <w:right w:val="single" w:color="auto" w:sz="4" w:space="0"/>
                  </w:tcBorders>
                  <w:vAlign w:val="center"/>
                </w:tcPr>
                <w:p w14:paraId="2097BD8C">
                  <w:pPr>
                    <w:jc w:val="center"/>
                    <w:rPr>
                      <w:rFonts w:hint="eastAsia"/>
                    </w:rPr>
                  </w:pPr>
                  <w:r>
                    <w:rPr>
                      <w:rFonts w:hint="eastAsia"/>
                    </w:rPr>
                    <w:t>废包装材料</w:t>
                  </w:r>
                </w:p>
              </w:tc>
              <w:tc>
                <w:tcPr>
                  <w:tcW w:w="656" w:type="pct"/>
                  <w:tcBorders>
                    <w:top w:val="single" w:color="auto" w:sz="4" w:space="0"/>
                    <w:left w:val="single" w:color="auto" w:sz="4" w:space="0"/>
                    <w:bottom w:val="single" w:color="auto" w:sz="4" w:space="0"/>
                    <w:right w:val="single" w:color="auto" w:sz="4" w:space="0"/>
                  </w:tcBorders>
                  <w:vAlign w:val="center"/>
                </w:tcPr>
                <w:p w14:paraId="784F5A54">
                  <w:pPr>
                    <w:jc w:val="center"/>
                    <w:rPr>
                      <w:rFonts w:hint="eastAsia"/>
                    </w:rPr>
                  </w:pPr>
                  <w:r>
                    <w:rPr>
                      <w:rFonts w:hint="eastAsia"/>
                    </w:rPr>
                    <w:t>包装</w:t>
                  </w:r>
                </w:p>
              </w:tc>
              <w:tc>
                <w:tcPr>
                  <w:tcW w:w="395" w:type="pct"/>
                  <w:tcBorders>
                    <w:top w:val="single" w:color="auto" w:sz="4" w:space="0"/>
                    <w:left w:val="single" w:color="auto" w:sz="4" w:space="0"/>
                    <w:bottom w:val="single" w:color="auto" w:sz="4" w:space="0"/>
                    <w:right w:val="single" w:color="auto" w:sz="4" w:space="0"/>
                  </w:tcBorders>
                  <w:vAlign w:val="center"/>
                </w:tcPr>
                <w:p w14:paraId="17494ABE">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71C5292C">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33C96822">
                  <w:pPr>
                    <w:jc w:val="center"/>
                    <w:rPr>
                      <w:rFonts w:hint="eastAsia"/>
                    </w:rPr>
                  </w:pPr>
                  <w:r>
                    <w:rPr>
                      <w:rFonts w:hint="eastAsia"/>
                    </w:rPr>
                    <w:t>0.5</w:t>
                  </w:r>
                </w:p>
              </w:tc>
              <w:tc>
                <w:tcPr>
                  <w:tcW w:w="1014" w:type="pct"/>
                  <w:vMerge w:val="continue"/>
                  <w:tcBorders>
                    <w:top w:val="nil"/>
                    <w:left w:val="single" w:color="auto" w:sz="4" w:space="0"/>
                    <w:bottom w:val="single" w:color="auto" w:sz="4" w:space="0"/>
                    <w:right w:val="single" w:color="auto" w:sz="4" w:space="0"/>
                  </w:tcBorders>
                  <w:vAlign w:val="center"/>
                </w:tcPr>
                <w:p w14:paraId="50ACB099">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0BFFCC08">
                  <w:pPr>
                    <w:jc w:val="left"/>
                    <w:rPr>
                      <w:rFonts w:ascii="宋体" w:hAnsi="宋体"/>
                      <w:szCs w:val="21"/>
                    </w:rPr>
                  </w:pPr>
                </w:p>
              </w:tc>
            </w:tr>
            <w:tr w14:paraId="36FE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773E0C9A">
                  <w:pPr>
                    <w:jc w:val="center"/>
                    <w:rPr>
                      <w:rFonts w:hint="eastAsia"/>
                    </w:rPr>
                  </w:pPr>
                  <w:r>
                    <w:rPr>
                      <w:rFonts w:hint="eastAsia"/>
                    </w:rPr>
                    <w:t>5</w:t>
                  </w:r>
                </w:p>
              </w:tc>
              <w:tc>
                <w:tcPr>
                  <w:tcW w:w="786" w:type="pct"/>
                  <w:tcBorders>
                    <w:top w:val="single" w:color="auto" w:sz="4" w:space="0"/>
                    <w:left w:val="single" w:color="auto" w:sz="4" w:space="0"/>
                    <w:bottom w:val="single" w:color="auto" w:sz="4" w:space="0"/>
                    <w:right w:val="single" w:color="auto" w:sz="4" w:space="0"/>
                  </w:tcBorders>
                  <w:vAlign w:val="center"/>
                </w:tcPr>
                <w:p w14:paraId="22765879">
                  <w:pPr>
                    <w:jc w:val="center"/>
                    <w:rPr>
                      <w:rFonts w:hint="eastAsia"/>
                    </w:rPr>
                  </w:pPr>
                  <w:r>
                    <w:rPr>
                      <w:rFonts w:hint="eastAsia"/>
                    </w:rPr>
                    <w:t>废钢丸</w:t>
                  </w:r>
                </w:p>
              </w:tc>
              <w:tc>
                <w:tcPr>
                  <w:tcW w:w="656" w:type="pct"/>
                  <w:tcBorders>
                    <w:top w:val="single" w:color="auto" w:sz="4" w:space="0"/>
                    <w:left w:val="single" w:color="auto" w:sz="4" w:space="0"/>
                    <w:bottom w:val="single" w:color="auto" w:sz="4" w:space="0"/>
                    <w:right w:val="single" w:color="auto" w:sz="4" w:space="0"/>
                  </w:tcBorders>
                  <w:vAlign w:val="center"/>
                </w:tcPr>
                <w:p w14:paraId="312CDC6B">
                  <w:pPr>
                    <w:jc w:val="center"/>
                    <w:rPr>
                      <w:rFonts w:hint="eastAsia"/>
                    </w:rPr>
                  </w:pPr>
                  <w:r>
                    <w:rPr>
                      <w:rFonts w:hint="eastAsia"/>
                    </w:rPr>
                    <w:t>抛丸</w:t>
                  </w:r>
                </w:p>
              </w:tc>
              <w:tc>
                <w:tcPr>
                  <w:tcW w:w="395" w:type="pct"/>
                  <w:tcBorders>
                    <w:top w:val="single" w:color="auto" w:sz="4" w:space="0"/>
                    <w:left w:val="single" w:color="auto" w:sz="4" w:space="0"/>
                    <w:bottom w:val="single" w:color="auto" w:sz="4" w:space="0"/>
                    <w:right w:val="single" w:color="auto" w:sz="4" w:space="0"/>
                  </w:tcBorders>
                  <w:vAlign w:val="center"/>
                </w:tcPr>
                <w:p w14:paraId="2110D322">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1D808629">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66A79F52">
                  <w:pPr>
                    <w:jc w:val="center"/>
                    <w:rPr>
                      <w:rFonts w:hint="eastAsia"/>
                    </w:rPr>
                  </w:pPr>
                  <w:r>
                    <w:rPr>
                      <w:rFonts w:hint="eastAsia"/>
                    </w:rPr>
                    <w:t>0.5</w:t>
                  </w:r>
                </w:p>
              </w:tc>
              <w:tc>
                <w:tcPr>
                  <w:tcW w:w="1014" w:type="pct"/>
                  <w:vMerge w:val="continue"/>
                  <w:tcBorders>
                    <w:top w:val="nil"/>
                    <w:left w:val="single" w:color="auto" w:sz="4" w:space="0"/>
                    <w:bottom w:val="single" w:color="auto" w:sz="4" w:space="0"/>
                    <w:right w:val="single" w:color="auto" w:sz="4" w:space="0"/>
                  </w:tcBorders>
                  <w:vAlign w:val="center"/>
                </w:tcPr>
                <w:p w14:paraId="4797F11E">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2B09EE0E">
                  <w:pPr>
                    <w:jc w:val="left"/>
                    <w:rPr>
                      <w:rFonts w:ascii="宋体" w:hAnsi="宋体"/>
                      <w:szCs w:val="21"/>
                    </w:rPr>
                  </w:pPr>
                </w:p>
              </w:tc>
            </w:tr>
            <w:tr w14:paraId="3052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58C16121">
                  <w:pPr>
                    <w:jc w:val="center"/>
                    <w:rPr>
                      <w:rFonts w:hint="eastAsia"/>
                    </w:rPr>
                  </w:pPr>
                  <w:r>
                    <w:rPr>
                      <w:rFonts w:hint="eastAsia"/>
                    </w:rPr>
                    <w:t>6</w:t>
                  </w:r>
                </w:p>
              </w:tc>
              <w:tc>
                <w:tcPr>
                  <w:tcW w:w="786" w:type="pct"/>
                  <w:tcBorders>
                    <w:top w:val="single" w:color="auto" w:sz="4" w:space="0"/>
                    <w:left w:val="single" w:color="auto" w:sz="4" w:space="0"/>
                    <w:bottom w:val="single" w:color="auto" w:sz="4" w:space="0"/>
                    <w:right w:val="single" w:color="auto" w:sz="4" w:space="0"/>
                  </w:tcBorders>
                  <w:vAlign w:val="center"/>
                </w:tcPr>
                <w:p w14:paraId="0DB826CD">
                  <w:pPr>
                    <w:jc w:val="center"/>
                    <w:rPr>
                      <w:rFonts w:hint="eastAsia"/>
                    </w:rPr>
                  </w:pPr>
                  <w:r>
                    <w:rPr>
                      <w:rFonts w:hint="eastAsia"/>
                    </w:rPr>
                    <w:t>二氧化碳废钢瓶</w:t>
                  </w:r>
                </w:p>
              </w:tc>
              <w:tc>
                <w:tcPr>
                  <w:tcW w:w="656" w:type="pct"/>
                  <w:tcBorders>
                    <w:top w:val="single" w:color="auto" w:sz="4" w:space="0"/>
                    <w:left w:val="single" w:color="auto" w:sz="4" w:space="0"/>
                    <w:bottom w:val="single" w:color="auto" w:sz="4" w:space="0"/>
                    <w:right w:val="single" w:color="auto" w:sz="4" w:space="0"/>
                  </w:tcBorders>
                  <w:vAlign w:val="center"/>
                </w:tcPr>
                <w:p w14:paraId="6CB54AF4">
                  <w:pPr>
                    <w:jc w:val="center"/>
                    <w:rPr>
                      <w:rFonts w:hint="eastAsia"/>
                    </w:rPr>
                  </w:pPr>
                  <w:r>
                    <w:rPr>
                      <w:rFonts w:hint="eastAsia"/>
                    </w:rPr>
                    <w:t>焊接</w:t>
                  </w:r>
                </w:p>
              </w:tc>
              <w:tc>
                <w:tcPr>
                  <w:tcW w:w="395" w:type="pct"/>
                  <w:tcBorders>
                    <w:top w:val="single" w:color="auto" w:sz="4" w:space="0"/>
                    <w:left w:val="single" w:color="auto" w:sz="4" w:space="0"/>
                    <w:bottom w:val="single" w:color="auto" w:sz="4" w:space="0"/>
                    <w:right w:val="single" w:color="auto" w:sz="4" w:space="0"/>
                  </w:tcBorders>
                  <w:vAlign w:val="center"/>
                </w:tcPr>
                <w:p w14:paraId="02097399">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3FA458EC">
                  <w:pPr>
                    <w:jc w:val="center"/>
                    <w:rPr>
                      <w:rFonts w:hint="eastAsia"/>
                    </w:rPr>
                  </w:pPr>
                  <w:r>
                    <w:rPr>
                      <w:rFonts w:hint="eastAsia"/>
                    </w:rPr>
                    <w:t>/</w:t>
                  </w:r>
                </w:p>
              </w:tc>
              <w:tc>
                <w:tcPr>
                  <w:tcW w:w="697" w:type="pct"/>
                  <w:tcBorders>
                    <w:top w:val="single" w:color="auto" w:sz="4" w:space="0"/>
                    <w:left w:val="single" w:color="auto" w:sz="4" w:space="0"/>
                    <w:bottom w:val="single" w:color="auto" w:sz="4" w:space="0"/>
                    <w:right w:val="single" w:color="auto" w:sz="4" w:space="0"/>
                  </w:tcBorders>
                  <w:vAlign w:val="center"/>
                </w:tcPr>
                <w:p w14:paraId="1EF43340">
                  <w:pPr>
                    <w:jc w:val="center"/>
                    <w:rPr>
                      <w:rFonts w:hint="eastAsia"/>
                    </w:rPr>
                  </w:pPr>
                  <w:r>
                    <w:rPr>
                      <w:rFonts w:hint="eastAsia"/>
                    </w:rPr>
                    <w:t>200瓶</w:t>
                  </w:r>
                </w:p>
              </w:tc>
              <w:tc>
                <w:tcPr>
                  <w:tcW w:w="1014" w:type="pct"/>
                  <w:tcBorders>
                    <w:top w:val="single" w:color="auto" w:sz="4" w:space="0"/>
                    <w:left w:val="single" w:color="auto" w:sz="4" w:space="0"/>
                    <w:bottom w:val="single" w:color="auto" w:sz="4" w:space="0"/>
                    <w:right w:val="single" w:color="auto" w:sz="4" w:space="0"/>
                  </w:tcBorders>
                  <w:vAlign w:val="center"/>
                </w:tcPr>
                <w:p w14:paraId="195EDCBE">
                  <w:pPr>
                    <w:jc w:val="center"/>
                    <w:rPr>
                      <w:rFonts w:hint="eastAsia"/>
                    </w:rPr>
                  </w:pPr>
                  <w:r>
                    <w:rPr>
                      <w:rFonts w:hint="eastAsia"/>
                    </w:rPr>
                    <w:t>厂家回收再利用</w:t>
                  </w:r>
                </w:p>
              </w:tc>
              <w:tc>
                <w:tcPr>
                  <w:tcW w:w="474" w:type="pct"/>
                  <w:vMerge w:val="continue"/>
                  <w:tcBorders>
                    <w:top w:val="nil"/>
                    <w:left w:val="single" w:color="auto" w:sz="4" w:space="0"/>
                    <w:bottom w:val="single" w:color="auto" w:sz="4" w:space="0"/>
                    <w:right w:val="single" w:color="auto" w:sz="4" w:space="0"/>
                  </w:tcBorders>
                  <w:vAlign w:val="center"/>
                </w:tcPr>
                <w:p w14:paraId="67472B3B">
                  <w:pPr>
                    <w:jc w:val="left"/>
                    <w:rPr>
                      <w:rFonts w:ascii="宋体" w:hAnsi="宋体"/>
                      <w:szCs w:val="21"/>
                    </w:rPr>
                  </w:pPr>
                </w:p>
              </w:tc>
            </w:tr>
            <w:tr w14:paraId="65BF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6200B20A">
                  <w:pPr>
                    <w:jc w:val="center"/>
                    <w:rPr>
                      <w:rFonts w:hint="eastAsia"/>
                    </w:rPr>
                  </w:pPr>
                  <w:r>
                    <w:rPr>
                      <w:rFonts w:hint="eastAsia"/>
                    </w:rPr>
                    <w:t>7</w:t>
                  </w:r>
                </w:p>
              </w:tc>
              <w:tc>
                <w:tcPr>
                  <w:tcW w:w="786" w:type="pct"/>
                  <w:tcBorders>
                    <w:top w:val="single" w:color="auto" w:sz="4" w:space="0"/>
                    <w:left w:val="single" w:color="auto" w:sz="4" w:space="0"/>
                    <w:bottom w:val="single" w:color="auto" w:sz="4" w:space="0"/>
                    <w:right w:val="single" w:color="auto" w:sz="4" w:space="0"/>
                  </w:tcBorders>
                  <w:vAlign w:val="center"/>
                </w:tcPr>
                <w:p w14:paraId="4FBB08CB">
                  <w:pPr>
                    <w:jc w:val="center"/>
                    <w:rPr>
                      <w:rFonts w:hint="eastAsia"/>
                    </w:rPr>
                  </w:pPr>
                  <w:r>
                    <w:rPr>
                      <w:rFonts w:hint="eastAsia"/>
                    </w:rPr>
                    <w:t>废包装桶</w:t>
                  </w:r>
                </w:p>
              </w:tc>
              <w:tc>
                <w:tcPr>
                  <w:tcW w:w="656" w:type="pct"/>
                  <w:tcBorders>
                    <w:top w:val="single" w:color="auto" w:sz="4" w:space="0"/>
                    <w:left w:val="single" w:color="auto" w:sz="4" w:space="0"/>
                    <w:bottom w:val="single" w:color="auto" w:sz="4" w:space="0"/>
                    <w:right w:val="single" w:color="auto" w:sz="4" w:space="0"/>
                  </w:tcBorders>
                  <w:vAlign w:val="center"/>
                </w:tcPr>
                <w:p w14:paraId="554D2172">
                  <w:pPr>
                    <w:jc w:val="center"/>
                    <w:rPr>
                      <w:rFonts w:hint="eastAsia"/>
                    </w:rPr>
                  </w:pPr>
                  <w:r>
                    <w:rPr>
                      <w:rFonts w:hint="eastAsia"/>
                    </w:rPr>
                    <w:t>喷漆、机加工工序</w:t>
                  </w:r>
                </w:p>
              </w:tc>
              <w:tc>
                <w:tcPr>
                  <w:tcW w:w="395" w:type="pct"/>
                  <w:tcBorders>
                    <w:top w:val="single" w:color="auto" w:sz="4" w:space="0"/>
                    <w:left w:val="single" w:color="auto" w:sz="4" w:space="0"/>
                    <w:bottom w:val="single" w:color="auto" w:sz="4" w:space="0"/>
                    <w:right w:val="single" w:color="auto" w:sz="4" w:space="0"/>
                  </w:tcBorders>
                  <w:vAlign w:val="center"/>
                </w:tcPr>
                <w:p w14:paraId="0B08FA1E">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7270135B">
                  <w:pPr>
                    <w:jc w:val="center"/>
                    <w:rPr>
                      <w:rFonts w:hint="eastAsia"/>
                    </w:rPr>
                  </w:pPr>
                  <w:r>
                    <w:rPr>
                      <w:rFonts w:hint="eastAsia"/>
                    </w:rPr>
                    <w:t>有机溶剂等</w:t>
                  </w:r>
                </w:p>
              </w:tc>
              <w:tc>
                <w:tcPr>
                  <w:tcW w:w="697" w:type="pct"/>
                  <w:tcBorders>
                    <w:top w:val="single" w:color="auto" w:sz="4" w:space="0"/>
                    <w:left w:val="single" w:color="auto" w:sz="4" w:space="0"/>
                    <w:bottom w:val="single" w:color="auto" w:sz="4" w:space="0"/>
                    <w:right w:val="single" w:color="auto" w:sz="4" w:space="0"/>
                  </w:tcBorders>
                  <w:vAlign w:val="center"/>
                </w:tcPr>
                <w:p w14:paraId="50A38EAE">
                  <w:pPr>
                    <w:jc w:val="center"/>
                    <w:rPr>
                      <w:rFonts w:hint="eastAsia"/>
                    </w:rPr>
                  </w:pPr>
                  <w:r>
                    <w:rPr>
                      <w:rFonts w:hint="eastAsia"/>
                    </w:rPr>
                    <w:t>0.5</w:t>
                  </w:r>
                </w:p>
              </w:tc>
              <w:tc>
                <w:tcPr>
                  <w:tcW w:w="1014" w:type="pct"/>
                  <w:vMerge w:val="restart"/>
                  <w:tcBorders>
                    <w:top w:val="nil"/>
                    <w:left w:val="single" w:color="auto" w:sz="4" w:space="0"/>
                    <w:bottom w:val="single" w:color="auto" w:sz="4" w:space="0"/>
                    <w:right w:val="single" w:color="auto" w:sz="4" w:space="0"/>
                  </w:tcBorders>
                  <w:vAlign w:val="center"/>
                </w:tcPr>
                <w:p w14:paraId="2DA59688">
                  <w:pPr>
                    <w:jc w:val="center"/>
                    <w:rPr>
                      <w:rFonts w:hint="eastAsia"/>
                    </w:rPr>
                  </w:pPr>
                  <w:r>
                    <w:rPr>
                      <w:rFonts w:hint="eastAsia"/>
                    </w:rPr>
                    <w:t>暂存厂内危废暂存间，定期委托有资质单位处置</w:t>
                  </w:r>
                </w:p>
              </w:tc>
              <w:tc>
                <w:tcPr>
                  <w:tcW w:w="474" w:type="pct"/>
                  <w:vMerge w:val="restart"/>
                  <w:tcBorders>
                    <w:top w:val="nil"/>
                    <w:left w:val="single" w:color="auto" w:sz="4" w:space="0"/>
                    <w:bottom w:val="single" w:color="auto" w:sz="4" w:space="0"/>
                    <w:right w:val="single" w:color="auto" w:sz="4" w:space="0"/>
                  </w:tcBorders>
                  <w:vAlign w:val="center"/>
                </w:tcPr>
                <w:p w14:paraId="448CB9C5">
                  <w:pPr>
                    <w:jc w:val="center"/>
                    <w:rPr>
                      <w:rFonts w:hint="eastAsia"/>
                    </w:rPr>
                  </w:pPr>
                  <w:r>
                    <w:rPr>
                      <w:rFonts w:hint="eastAsia"/>
                    </w:rPr>
                    <w:t>危险废物</w:t>
                  </w:r>
                </w:p>
              </w:tc>
            </w:tr>
            <w:tr w14:paraId="79A3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02036794">
                  <w:pPr>
                    <w:jc w:val="center"/>
                    <w:rPr>
                      <w:rFonts w:hint="eastAsia"/>
                    </w:rPr>
                  </w:pPr>
                  <w:r>
                    <w:rPr>
                      <w:rFonts w:hint="eastAsia"/>
                    </w:rPr>
                    <w:t>8</w:t>
                  </w:r>
                </w:p>
              </w:tc>
              <w:tc>
                <w:tcPr>
                  <w:tcW w:w="786" w:type="pct"/>
                  <w:tcBorders>
                    <w:top w:val="single" w:color="auto" w:sz="4" w:space="0"/>
                    <w:left w:val="single" w:color="auto" w:sz="4" w:space="0"/>
                    <w:bottom w:val="single" w:color="auto" w:sz="4" w:space="0"/>
                    <w:right w:val="single" w:color="auto" w:sz="4" w:space="0"/>
                  </w:tcBorders>
                  <w:vAlign w:val="center"/>
                </w:tcPr>
                <w:p w14:paraId="57A94340">
                  <w:pPr>
                    <w:jc w:val="center"/>
                    <w:rPr>
                      <w:rFonts w:hint="eastAsia"/>
                    </w:rPr>
                  </w:pPr>
                  <w:r>
                    <w:rPr>
                      <w:rFonts w:hint="eastAsia"/>
                    </w:rPr>
                    <w:t>废活性炭</w:t>
                  </w:r>
                </w:p>
              </w:tc>
              <w:tc>
                <w:tcPr>
                  <w:tcW w:w="656" w:type="pct"/>
                  <w:tcBorders>
                    <w:top w:val="single" w:color="auto" w:sz="4" w:space="0"/>
                    <w:left w:val="single" w:color="auto" w:sz="4" w:space="0"/>
                    <w:bottom w:val="single" w:color="auto" w:sz="4" w:space="0"/>
                    <w:right w:val="single" w:color="auto" w:sz="4" w:space="0"/>
                  </w:tcBorders>
                  <w:vAlign w:val="center"/>
                </w:tcPr>
                <w:p w14:paraId="1385C7B8">
                  <w:pPr>
                    <w:jc w:val="center"/>
                    <w:rPr>
                      <w:rFonts w:hint="eastAsia"/>
                    </w:rPr>
                  </w:pPr>
                  <w:r>
                    <w:rPr>
                      <w:rFonts w:hint="eastAsia"/>
                    </w:rPr>
                    <w:t>环保装置</w:t>
                  </w:r>
                </w:p>
              </w:tc>
              <w:tc>
                <w:tcPr>
                  <w:tcW w:w="395" w:type="pct"/>
                  <w:tcBorders>
                    <w:top w:val="single" w:color="auto" w:sz="4" w:space="0"/>
                    <w:left w:val="single" w:color="auto" w:sz="4" w:space="0"/>
                    <w:bottom w:val="single" w:color="auto" w:sz="4" w:space="0"/>
                    <w:right w:val="single" w:color="auto" w:sz="4" w:space="0"/>
                  </w:tcBorders>
                  <w:vAlign w:val="center"/>
                </w:tcPr>
                <w:p w14:paraId="0E4BA3AE">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06D308C8">
                  <w:pPr>
                    <w:jc w:val="center"/>
                    <w:rPr>
                      <w:rFonts w:hint="eastAsia"/>
                    </w:rPr>
                  </w:pPr>
                  <w:r>
                    <w:rPr>
                      <w:rFonts w:hint="eastAsia"/>
                    </w:rPr>
                    <w:t>有机溶剂等</w:t>
                  </w:r>
                </w:p>
              </w:tc>
              <w:tc>
                <w:tcPr>
                  <w:tcW w:w="697" w:type="pct"/>
                  <w:tcBorders>
                    <w:top w:val="single" w:color="auto" w:sz="4" w:space="0"/>
                    <w:left w:val="single" w:color="auto" w:sz="4" w:space="0"/>
                    <w:bottom w:val="single" w:color="auto" w:sz="4" w:space="0"/>
                    <w:right w:val="single" w:color="auto" w:sz="4" w:space="0"/>
                  </w:tcBorders>
                  <w:vAlign w:val="center"/>
                </w:tcPr>
                <w:p w14:paraId="69048778">
                  <w:pPr>
                    <w:jc w:val="center"/>
                    <w:rPr>
                      <w:rFonts w:hint="eastAsia"/>
                    </w:rPr>
                  </w:pPr>
                  <w:r>
                    <w:rPr>
                      <w:rFonts w:hint="eastAsia"/>
                    </w:rPr>
                    <w:t>12.8849</w:t>
                  </w:r>
                </w:p>
              </w:tc>
              <w:tc>
                <w:tcPr>
                  <w:tcW w:w="1014" w:type="pct"/>
                  <w:vMerge w:val="continue"/>
                  <w:tcBorders>
                    <w:top w:val="nil"/>
                    <w:left w:val="single" w:color="auto" w:sz="4" w:space="0"/>
                    <w:bottom w:val="single" w:color="auto" w:sz="4" w:space="0"/>
                    <w:right w:val="single" w:color="auto" w:sz="4" w:space="0"/>
                  </w:tcBorders>
                  <w:vAlign w:val="center"/>
                </w:tcPr>
                <w:p w14:paraId="6DCDE3E1">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0EAC0E0D">
                  <w:pPr>
                    <w:jc w:val="left"/>
                    <w:rPr>
                      <w:rFonts w:ascii="宋体" w:hAnsi="宋体"/>
                      <w:szCs w:val="21"/>
                    </w:rPr>
                  </w:pPr>
                </w:p>
              </w:tc>
            </w:tr>
            <w:tr w14:paraId="6C6B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19BCBF19">
                  <w:pPr>
                    <w:jc w:val="center"/>
                    <w:rPr>
                      <w:rFonts w:hint="eastAsia"/>
                    </w:rPr>
                  </w:pPr>
                  <w:r>
                    <w:rPr>
                      <w:rFonts w:hint="eastAsia"/>
                    </w:rPr>
                    <w:t>9</w:t>
                  </w:r>
                </w:p>
              </w:tc>
              <w:tc>
                <w:tcPr>
                  <w:tcW w:w="786" w:type="pct"/>
                  <w:tcBorders>
                    <w:top w:val="single" w:color="auto" w:sz="4" w:space="0"/>
                    <w:left w:val="single" w:color="auto" w:sz="4" w:space="0"/>
                    <w:bottom w:val="single" w:color="auto" w:sz="4" w:space="0"/>
                    <w:right w:val="single" w:color="auto" w:sz="4" w:space="0"/>
                  </w:tcBorders>
                  <w:vAlign w:val="center"/>
                </w:tcPr>
                <w:p w14:paraId="78FBE570">
                  <w:pPr>
                    <w:jc w:val="center"/>
                    <w:rPr>
                      <w:rFonts w:hint="eastAsia"/>
                    </w:rPr>
                  </w:pPr>
                  <w:r>
                    <w:rPr>
                      <w:rFonts w:hint="eastAsia"/>
                    </w:rPr>
                    <w:t>废过滤棉</w:t>
                  </w:r>
                </w:p>
              </w:tc>
              <w:tc>
                <w:tcPr>
                  <w:tcW w:w="656" w:type="pct"/>
                  <w:tcBorders>
                    <w:top w:val="single" w:color="auto" w:sz="4" w:space="0"/>
                    <w:left w:val="single" w:color="auto" w:sz="4" w:space="0"/>
                    <w:bottom w:val="single" w:color="auto" w:sz="4" w:space="0"/>
                    <w:right w:val="single" w:color="auto" w:sz="4" w:space="0"/>
                  </w:tcBorders>
                  <w:vAlign w:val="center"/>
                </w:tcPr>
                <w:p w14:paraId="729E0534">
                  <w:pPr>
                    <w:jc w:val="center"/>
                    <w:rPr>
                      <w:rFonts w:hint="eastAsia"/>
                    </w:rPr>
                  </w:pPr>
                  <w:r>
                    <w:rPr>
                      <w:rFonts w:hint="eastAsia"/>
                    </w:rPr>
                    <w:t>环保装置</w:t>
                  </w:r>
                </w:p>
              </w:tc>
              <w:tc>
                <w:tcPr>
                  <w:tcW w:w="395" w:type="pct"/>
                  <w:tcBorders>
                    <w:top w:val="single" w:color="auto" w:sz="4" w:space="0"/>
                    <w:left w:val="single" w:color="auto" w:sz="4" w:space="0"/>
                    <w:bottom w:val="single" w:color="auto" w:sz="4" w:space="0"/>
                    <w:right w:val="single" w:color="auto" w:sz="4" w:space="0"/>
                  </w:tcBorders>
                  <w:vAlign w:val="center"/>
                </w:tcPr>
                <w:p w14:paraId="333A7E1F">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66054A32">
                  <w:pPr>
                    <w:jc w:val="center"/>
                    <w:rPr>
                      <w:rFonts w:hint="eastAsia"/>
                    </w:rPr>
                  </w:pPr>
                  <w:r>
                    <w:rPr>
                      <w:rFonts w:hint="eastAsia"/>
                    </w:rPr>
                    <w:t>有机溶剂等</w:t>
                  </w:r>
                </w:p>
              </w:tc>
              <w:tc>
                <w:tcPr>
                  <w:tcW w:w="697" w:type="pct"/>
                  <w:tcBorders>
                    <w:top w:val="single" w:color="auto" w:sz="4" w:space="0"/>
                    <w:left w:val="single" w:color="auto" w:sz="4" w:space="0"/>
                    <w:bottom w:val="single" w:color="auto" w:sz="4" w:space="0"/>
                    <w:right w:val="single" w:color="auto" w:sz="4" w:space="0"/>
                  </w:tcBorders>
                  <w:vAlign w:val="center"/>
                </w:tcPr>
                <w:p w14:paraId="73FC3F52">
                  <w:pPr>
                    <w:jc w:val="center"/>
                    <w:rPr>
                      <w:rFonts w:hint="eastAsia"/>
                    </w:rPr>
                  </w:pPr>
                  <w:r>
                    <w:rPr>
                      <w:rFonts w:hint="eastAsia"/>
                    </w:rPr>
                    <w:t>1.26</w:t>
                  </w:r>
                </w:p>
              </w:tc>
              <w:tc>
                <w:tcPr>
                  <w:tcW w:w="1014" w:type="pct"/>
                  <w:vMerge w:val="continue"/>
                  <w:tcBorders>
                    <w:top w:val="nil"/>
                    <w:left w:val="single" w:color="auto" w:sz="4" w:space="0"/>
                    <w:bottom w:val="single" w:color="auto" w:sz="4" w:space="0"/>
                    <w:right w:val="single" w:color="auto" w:sz="4" w:space="0"/>
                  </w:tcBorders>
                  <w:vAlign w:val="center"/>
                </w:tcPr>
                <w:p w14:paraId="2F1620DB">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7EF732F8">
                  <w:pPr>
                    <w:jc w:val="left"/>
                    <w:rPr>
                      <w:rFonts w:ascii="宋体" w:hAnsi="宋体"/>
                      <w:szCs w:val="21"/>
                    </w:rPr>
                  </w:pPr>
                </w:p>
              </w:tc>
            </w:tr>
            <w:tr w14:paraId="3ADF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6A18359A">
                  <w:pPr>
                    <w:jc w:val="center"/>
                    <w:rPr>
                      <w:rFonts w:hint="eastAsia"/>
                    </w:rPr>
                  </w:pPr>
                  <w:r>
                    <w:rPr>
                      <w:rFonts w:hint="eastAsia"/>
                    </w:rPr>
                    <w:t>10</w:t>
                  </w:r>
                </w:p>
              </w:tc>
              <w:tc>
                <w:tcPr>
                  <w:tcW w:w="786" w:type="pct"/>
                  <w:tcBorders>
                    <w:top w:val="single" w:color="auto" w:sz="4" w:space="0"/>
                    <w:left w:val="single" w:color="auto" w:sz="4" w:space="0"/>
                    <w:bottom w:val="single" w:color="auto" w:sz="4" w:space="0"/>
                    <w:right w:val="single" w:color="auto" w:sz="4" w:space="0"/>
                  </w:tcBorders>
                  <w:vAlign w:val="center"/>
                </w:tcPr>
                <w:p w14:paraId="3DCD4291">
                  <w:pPr>
                    <w:jc w:val="center"/>
                    <w:rPr>
                      <w:rFonts w:hint="eastAsia"/>
                    </w:rPr>
                  </w:pPr>
                  <w:r>
                    <w:rPr>
                      <w:rFonts w:hint="eastAsia"/>
                    </w:rPr>
                    <w:t>漆渣</w:t>
                  </w:r>
                </w:p>
              </w:tc>
              <w:tc>
                <w:tcPr>
                  <w:tcW w:w="656" w:type="pct"/>
                  <w:tcBorders>
                    <w:top w:val="single" w:color="auto" w:sz="4" w:space="0"/>
                    <w:left w:val="single" w:color="auto" w:sz="4" w:space="0"/>
                    <w:bottom w:val="single" w:color="auto" w:sz="4" w:space="0"/>
                    <w:right w:val="single" w:color="auto" w:sz="4" w:space="0"/>
                  </w:tcBorders>
                  <w:vAlign w:val="center"/>
                </w:tcPr>
                <w:p w14:paraId="067F848E">
                  <w:pPr>
                    <w:jc w:val="center"/>
                    <w:rPr>
                      <w:rFonts w:hint="eastAsia"/>
                    </w:rPr>
                  </w:pPr>
                  <w:r>
                    <w:rPr>
                      <w:rFonts w:hint="eastAsia"/>
                    </w:rPr>
                    <w:t>喷漆工序</w:t>
                  </w:r>
                </w:p>
              </w:tc>
              <w:tc>
                <w:tcPr>
                  <w:tcW w:w="395" w:type="pct"/>
                  <w:tcBorders>
                    <w:top w:val="single" w:color="auto" w:sz="4" w:space="0"/>
                    <w:left w:val="single" w:color="auto" w:sz="4" w:space="0"/>
                    <w:bottom w:val="single" w:color="auto" w:sz="4" w:space="0"/>
                    <w:right w:val="single" w:color="auto" w:sz="4" w:space="0"/>
                  </w:tcBorders>
                  <w:vAlign w:val="center"/>
                </w:tcPr>
                <w:p w14:paraId="650CE0D3">
                  <w:pPr>
                    <w:jc w:val="center"/>
                    <w:rPr>
                      <w:rFonts w:hint="eastAsia"/>
                    </w:rPr>
                  </w:pPr>
                  <w:r>
                    <w:rPr>
                      <w:rFonts w:hint="eastAsia"/>
                    </w:rPr>
                    <w:t>固态</w:t>
                  </w:r>
                </w:p>
              </w:tc>
              <w:tc>
                <w:tcPr>
                  <w:tcW w:w="668" w:type="pct"/>
                  <w:tcBorders>
                    <w:top w:val="single" w:color="auto" w:sz="4" w:space="0"/>
                    <w:left w:val="single" w:color="auto" w:sz="4" w:space="0"/>
                    <w:bottom w:val="single" w:color="auto" w:sz="4" w:space="0"/>
                    <w:right w:val="single" w:color="auto" w:sz="4" w:space="0"/>
                  </w:tcBorders>
                  <w:vAlign w:val="center"/>
                </w:tcPr>
                <w:p w14:paraId="3A19E30F">
                  <w:pPr>
                    <w:jc w:val="center"/>
                    <w:rPr>
                      <w:rFonts w:hint="eastAsia"/>
                    </w:rPr>
                  </w:pPr>
                  <w:r>
                    <w:rPr>
                      <w:rFonts w:hint="eastAsia"/>
                    </w:rPr>
                    <w:t>有机溶剂等</w:t>
                  </w:r>
                </w:p>
              </w:tc>
              <w:tc>
                <w:tcPr>
                  <w:tcW w:w="697" w:type="pct"/>
                  <w:tcBorders>
                    <w:top w:val="single" w:color="auto" w:sz="4" w:space="0"/>
                    <w:left w:val="single" w:color="auto" w:sz="4" w:space="0"/>
                    <w:bottom w:val="single" w:color="auto" w:sz="4" w:space="0"/>
                    <w:right w:val="single" w:color="auto" w:sz="4" w:space="0"/>
                  </w:tcBorders>
                  <w:vAlign w:val="center"/>
                </w:tcPr>
                <w:p w14:paraId="0E287937">
                  <w:pPr>
                    <w:jc w:val="center"/>
                    <w:rPr>
                      <w:rFonts w:hint="eastAsia"/>
                    </w:rPr>
                  </w:pPr>
                  <w:r>
                    <w:rPr>
                      <w:rFonts w:hint="eastAsia"/>
                    </w:rPr>
                    <w:t>0.54</w:t>
                  </w:r>
                </w:p>
              </w:tc>
              <w:tc>
                <w:tcPr>
                  <w:tcW w:w="1014" w:type="pct"/>
                  <w:vMerge w:val="continue"/>
                  <w:tcBorders>
                    <w:top w:val="nil"/>
                    <w:left w:val="single" w:color="auto" w:sz="4" w:space="0"/>
                    <w:bottom w:val="single" w:color="auto" w:sz="4" w:space="0"/>
                    <w:right w:val="single" w:color="auto" w:sz="4" w:space="0"/>
                  </w:tcBorders>
                  <w:vAlign w:val="center"/>
                </w:tcPr>
                <w:p w14:paraId="41BEE063">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52B312A6">
                  <w:pPr>
                    <w:jc w:val="left"/>
                    <w:rPr>
                      <w:rFonts w:ascii="宋体" w:hAnsi="宋体"/>
                      <w:szCs w:val="21"/>
                    </w:rPr>
                  </w:pPr>
                </w:p>
              </w:tc>
            </w:tr>
            <w:tr w14:paraId="3607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263CC377">
                  <w:pPr>
                    <w:jc w:val="center"/>
                    <w:rPr>
                      <w:rFonts w:hint="eastAsia"/>
                    </w:rPr>
                  </w:pPr>
                  <w:r>
                    <w:rPr>
                      <w:rFonts w:hint="eastAsia"/>
                    </w:rPr>
                    <w:t>11</w:t>
                  </w:r>
                </w:p>
              </w:tc>
              <w:tc>
                <w:tcPr>
                  <w:tcW w:w="786" w:type="pct"/>
                  <w:tcBorders>
                    <w:top w:val="single" w:color="auto" w:sz="4" w:space="0"/>
                    <w:left w:val="single" w:color="auto" w:sz="4" w:space="0"/>
                    <w:bottom w:val="single" w:color="auto" w:sz="4" w:space="0"/>
                    <w:right w:val="single" w:color="auto" w:sz="4" w:space="0"/>
                  </w:tcBorders>
                  <w:vAlign w:val="center"/>
                </w:tcPr>
                <w:p w14:paraId="04236255">
                  <w:pPr>
                    <w:jc w:val="center"/>
                    <w:rPr>
                      <w:rFonts w:hint="eastAsia"/>
                    </w:rPr>
                  </w:pPr>
                  <w:r>
                    <w:rPr>
                      <w:rFonts w:hint="eastAsia"/>
                    </w:rPr>
                    <w:t>沉淀池底渣</w:t>
                  </w:r>
                </w:p>
              </w:tc>
              <w:tc>
                <w:tcPr>
                  <w:tcW w:w="656" w:type="pct"/>
                  <w:tcBorders>
                    <w:top w:val="single" w:color="auto" w:sz="4" w:space="0"/>
                    <w:left w:val="single" w:color="auto" w:sz="4" w:space="0"/>
                    <w:bottom w:val="single" w:color="auto" w:sz="4" w:space="0"/>
                    <w:right w:val="single" w:color="auto" w:sz="4" w:space="0"/>
                  </w:tcBorders>
                  <w:vAlign w:val="center"/>
                </w:tcPr>
                <w:p w14:paraId="5C800FE6">
                  <w:pPr>
                    <w:jc w:val="center"/>
                    <w:rPr>
                      <w:rFonts w:hint="eastAsia"/>
                    </w:rPr>
                  </w:pPr>
                  <w:r>
                    <w:rPr>
                      <w:rFonts w:hint="eastAsia"/>
                    </w:rPr>
                    <w:t>污水处理设备</w:t>
                  </w:r>
                </w:p>
              </w:tc>
              <w:tc>
                <w:tcPr>
                  <w:tcW w:w="395" w:type="pct"/>
                  <w:tcBorders>
                    <w:top w:val="single" w:color="auto" w:sz="4" w:space="0"/>
                    <w:left w:val="single" w:color="auto" w:sz="4" w:space="0"/>
                    <w:bottom w:val="single" w:color="auto" w:sz="4" w:space="0"/>
                    <w:right w:val="single" w:color="auto" w:sz="4" w:space="0"/>
                  </w:tcBorders>
                  <w:vAlign w:val="center"/>
                </w:tcPr>
                <w:p w14:paraId="37EECD29">
                  <w:pPr>
                    <w:jc w:val="center"/>
                    <w:rPr>
                      <w:rFonts w:hint="eastAsia"/>
                    </w:rPr>
                  </w:pPr>
                  <w:r>
                    <w:rPr>
                      <w:rFonts w:hint="eastAsia"/>
                    </w:rPr>
                    <w:t>半固态</w:t>
                  </w:r>
                </w:p>
              </w:tc>
              <w:tc>
                <w:tcPr>
                  <w:tcW w:w="668" w:type="pct"/>
                  <w:tcBorders>
                    <w:top w:val="single" w:color="auto" w:sz="4" w:space="0"/>
                    <w:left w:val="single" w:color="auto" w:sz="4" w:space="0"/>
                    <w:bottom w:val="single" w:color="auto" w:sz="4" w:space="0"/>
                    <w:right w:val="single" w:color="auto" w:sz="4" w:space="0"/>
                  </w:tcBorders>
                  <w:vAlign w:val="center"/>
                </w:tcPr>
                <w:p w14:paraId="5F41793B">
                  <w:pPr>
                    <w:jc w:val="center"/>
                    <w:rPr>
                      <w:rFonts w:hint="eastAsia"/>
                    </w:rPr>
                  </w:pPr>
                  <w:r>
                    <w:rPr>
                      <w:rFonts w:hint="eastAsia"/>
                    </w:rPr>
                    <w:t>水、漆渣</w:t>
                  </w:r>
                </w:p>
              </w:tc>
              <w:tc>
                <w:tcPr>
                  <w:tcW w:w="697" w:type="pct"/>
                  <w:tcBorders>
                    <w:top w:val="single" w:color="auto" w:sz="4" w:space="0"/>
                    <w:left w:val="single" w:color="auto" w:sz="4" w:space="0"/>
                    <w:bottom w:val="single" w:color="auto" w:sz="4" w:space="0"/>
                    <w:right w:val="single" w:color="auto" w:sz="4" w:space="0"/>
                  </w:tcBorders>
                  <w:vAlign w:val="center"/>
                </w:tcPr>
                <w:p w14:paraId="6DD4B661">
                  <w:pPr>
                    <w:jc w:val="center"/>
                    <w:rPr>
                      <w:rFonts w:hint="eastAsia"/>
                    </w:rPr>
                  </w:pPr>
                  <w:r>
                    <w:rPr>
                      <w:rFonts w:hint="eastAsia"/>
                    </w:rPr>
                    <w:t>9.6</w:t>
                  </w:r>
                </w:p>
              </w:tc>
              <w:tc>
                <w:tcPr>
                  <w:tcW w:w="1014" w:type="pct"/>
                  <w:vMerge w:val="continue"/>
                  <w:tcBorders>
                    <w:top w:val="nil"/>
                    <w:left w:val="single" w:color="auto" w:sz="4" w:space="0"/>
                    <w:bottom w:val="single" w:color="auto" w:sz="4" w:space="0"/>
                    <w:right w:val="single" w:color="auto" w:sz="4" w:space="0"/>
                  </w:tcBorders>
                  <w:vAlign w:val="center"/>
                </w:tcPr>
                <w:p w14:paraId="1465A14D">
                  <w:pPr>
                    <w:jc w:val="left"/>
                    <w:rPr>
                      <w:rFonts w:ascii="宋体" w:hAnsi="宋体"/>
                      <w:szCs w:val="21"/>
                    </w:rPr>
                  </w:pPr>
                </w:p>
              </w:tc>
              <w:tc>
                <w:tcPr>
                  <w:tcW w:w="474" w:type="pct"/>
                  <w:vMerge w:val="continue"/>
                  <w:tcBorders>
                    <w:top w:val="nil"/>
                    <w:left w:val="single" w:color="auto" w:sz="4" w:space="0"/>
                    <w:bottom w:val="single" w:color="auto" w:sz="4" w:space="0"/>
                    <w:right w:val="single" w:color="auto" w:sz="4" w:space="0"/>
                  </w:tcBorders>
                  <w:vAlign w:val="center"/>
                </w:tcPr>
                <w:p w14:paraId="19E9B668">
                  <w:pPr>
                    <w:jc w:val="left"/>
                    <w:rPr>
                      <w:rFonts w:ascii="宋体" w:hAnsi="宋体"/>
                      <w:szCs w:val="21"/>
                    </w:rPr>
                  </w:pPr>
                </w:p>
              </w:tc>
            </w:tr>
          </w:tbl>
          <w:p w14:paraId="720B0801">
            <w:pPr>
              <w:widowControl w:val="0"/>
              <w:ind w:right="-172" w:firstLine="482"/>
              <w:rPr>
                <w:rFonts w:hint="eastAsia" w:ascii="宋体" w:hAnsi="宋体"/>
                <w:b/>
                <w:bCs/>
                <w:sz w:val="24"/>
              </w:rPr>
            </w:pPr>
          </w:p>
        </w:tc>
      </w:tr>
    </w:tbl>
    <w:p w14:paraId="0672ACA4">
      <w:pPr>
        <w:pStyle w:val="4"/>
        <w:ind w:firstLine="562"/>
        <w:rPr>
          <w:sz w:val="28"/>
          <w:szCs w:val="13"/>
        </w:rPr>
      </w:pPr>
      <w:bookmarkStart w:id="11" w:name="_Toc17591"/>
      <w:r>
        <w:rPr>
          <w:rFonts w:hint="eastAsia"/>
          <w:sz w:val="28"/>
          <w:szCs w:val="13"/>
        </w:rPr>
        <w:t>表四</w:t>
      </w:r>
      <w:bookmarkEnd w:id="11"/>
    </w:p>
    <w:tbl>
      <w:tblPr>
        <w:tblStyle w:val="26"/>
        <w:tblpPr w:leftFromText="180" w:rightFromText="180" w:vertAnchor="text" w:tblpXSpec="center" w:tblpY="1"/>
        <w:tblOverlap w:val="never"/>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5BC4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2" w:type="dxa"/>
          </w:tcPr>
          <w:p w14:paraId="7855C779">
            <w:pPr>
              <w:widowControl w:val="0"/>
              <w:autoSpaceDE w:val="0"/>
              <w:autoSpaceDN w:val="0"/>
              <w:adjustRightInd w:val="0"/>
              <w:snapToGrid w:val="0"/>
              <w:spacing w:line="360" w:lineRule="auto"/>
              <w:ind w:firstLine="482"/>
              <w:rPr>
                <w:b/>
                <w:bCs/>
                <w:sz w:val="24"/>
                <w:szCs w:val="22"/>
              </w:rPr>
            </w:pPr>
            <w:r>
              <w:rPr>
                <w:rFonts w:hint="eastAsia"/>
                <w:b/>
                <w:bCs/>
                <w:sz w:val="24"/>
                <w:szCs w:val="22"/>
              </w:rPr>
              <w:t>建设项目环境影响报告表主要结论及审批部门审批决定：</w:t>
            </w:r>
          </w:p>
          <w:p w14:paraId="0DD25A22">
            <w:pPr>
              <w:widowControl w:val="0"/>
              <w:autoSpaceDE w:val="0"/>
              <w:autoSpaceDN w:val="0"/>
              <w:adjustRightInd w:val="0"/>
              <w:snapToGrid w:val="0"/>
              <w:spacing w:line="360" w:lineRule="auto"/>
              <w:ind w:firstLine="482" w:firstLineChars="200"/>
              <w:rPr>
                <w:b/>
                <w:bCs/>
                <w:sz w:val="24"/>
                <w:szCs w:val="22"/>
              </w:rPr>
            </w:pPr>
            <w:r>
              <w:rPr>
                <w:rFonts w:hint="eastAsia"/>
                <w:b/>
                <w:bCs/>
                <w:sz w:val="24"/>
                <w:szCs w:val="22"/>
              </w:rPr>
              <w:t>一、结论</w:t>
            </w:r>
          </w:p>
          <w:p w14:paraId="59D8707D">
            <w:pPr>
              <w:widowControl w:val="0"/>
              <w:autoSpaceDE w:val="0"/>
              <w:autoSpaceDN w:val="0"/>
              <w:adjustRightInd w:val="0"/>
              <w:snapToGrid w:val="0"/>
              <w:spacing w:line="360" w:lineRule="auto"/>
              <w:ind w:firstLine="482" w:firstLineChars="200"/>
              <w:rPr>
                <w:b/>
                <w:sz w:val="24"/>
              </w:rPr>
            </w:pPr>
            <w:r>
              <w:rPr>
                <w:rFonts w:hint="eastAsia"/>
                <w:b/>
                <w:sz w:val="24"/>
              </w:rPr>
              <w:t>1、项目概况</w:t>
            </w:r>
          </w:p>
          <w:p w14:paraId="4028B24A">
            <w:pPr>
              <w:pStyle w:val="54"/>
              <w:widowControl w:val="0"/>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宣城兴旺达精密科技有限公司成立于2022年10月11日，注册地位于郎溪县梅渚镇大梁村石巷组，法定代表人为蔡洪威。经营范围包括一般项目：机械零件、零部件加工；通用零部件制造；金属加工机械制造；模具制造；汽车零部件及配件制造；金属结构制造；通用设备制造（不含特种设备制造）；金属工具制造；五金产品制造；金属表面处理及热处理加工；喷涂加工；机械零件、零部件销售；模具销售；五金产品批发；技术服务、技术开发、技术咨询、技术交流、技术转让、技术推广。</w:t>
            </w:r>
          </w:p>
          <w:p w14:paraId="14618CA7">
            <w:pPr>
              <w:widowControl w:val="0"/>
              <w:autoSpaceDE w:val="0"/>
              <w:autoSpaceDN w:val="0"/>
              <w:adjustRightInd w:val="0"/>
              <w:snapToGrid w:val="0"/>
              <w:spacing w:line="360" w:lineRule="auto"/>
              <w:ind w:firstLine="482" w:firstLineChars="200"/>
              <w:rPr>
                <w:b/>
                <w:sz w:val="24"/>
              </w:rPr>
            </w:pPr>
            <w:r>
              <w:rPr>
                <w:rFonts w:hint="eastAsia"/>
                <w:b/>
                <w:sz w:val="24"/>
              </w:rPr>
              <w:t>2、产业政策符合性</w:t>
            </w:r>
          </w:p>
          <w:p w14:paraId="4281F709">
            <w:pPr>
              <w:widowControl w:val="0"/>
              <w:tabs>
                <w:tab w:val="left" w:leader="middleDot" w:pos="7371"/>
              </w:tabs>
              <w:spacing w:line="360" w:lineRule="auto"/>
              <w:ind w:firstLine="480" w:firstLineChars="200"/>
              <w:rPr>
                <w:sz w:val="24"/>
              </w:rPr>
            </w:pPr>
            <w:r>
              <w:rPr>
                <w:sz w:val="24"/>
              </w:rPr>
              <w:t>本项目属于[C3670]</w:t>
            </w:r>
            <w:r>
              <w:rPr>
                <w:rFonts w:hint="eastAsia"/>
                <w:sz w:val="24"/>
              </w:rPr>
              <w:t>汽车零部件及配件制造</w:t>
            </w:r>
            <w:r>
              <w:rPr>
                <w:sz w:val="24"/>
              </w:rPr>
              <w:t>。本项目为汽车零部件及配件制造，对照中华人民共和国发展和改革委员会《产业结构调整指导目录（2019年本）》（发展改革委令第29号，2019年10月30日发布）中的鼓励类、限制类或淘汰类项目，拟建项目不属于鼓励类、限制类或淘汰类项目，可视为允许类。</w:t>
            </w:r>
          </w:p>
          <w:p w14:paraId="30B5B1DD">
            <w:pPr>
              <w:widowControl w:val="0"/>
              <w:tabs>
                <w:tab w:val="left" w:leader="middleDot" w:pos="7371"/>
              </w:tabs>
              <w:spacing w:line="360" w:lineRule="auto"/>
              <w:ind w:firstLine="480" w:firstLineChars="200"/>
              <w:rPr>
                <w:rFonts w:hint="eastAsia"/>
                <w:sz w:val="24"/>
              </w:rPr>
            </w:pPr>
            <w:r>
              <w:rPr>
                <w:sz w:val="24"/>
              </w:rPr>
              <w:t>本项目于2022年10月28日通过郎溪县发展改革委备案（项目代码：2210-341821-04-05-263586）</w:t>
            </w:r>
            <w:r>
              <w:rPr>
                <w:rFonts w:hint="eastAsia"/>
                <w:sz w:val="24"/>
              </w:rPr>
              <w:t>。</w:t>
            </w:r>
          </w:p>
          <w:p w14:paraId="45753E4E">
            <w:pPr>
              <w:widowControl w:val="0"/>
              <w:tabs>
                <w:tab w:val="left" w:leader="middleDot" w:pos="7371"/>
              </w:tabs>
              <w:spacing w:line="360" w:lineRule="auto"/>
              <w:ind w:firstLine="480" w:firstLineChars="200"/>
              <w:rPr>
                <w:sz w:val="24"/>
              </w:rPr>
            </w:pPr>
            <w:r>
              <w:rPr>
                <w:sz w:val="24"/>
              </w:rPr>
              <w:t>因此，本项目的建设符合国家和安徽省的相关产业政策。</w:t>
            </w:r>
          </w:p>
          <w:p w14:paraId="34A0AF7C">
            <w:pPr>
              <w:widowControl w:val="0"/>
              <w:autoSpaceDE w:val="0"/>
              <w:autoSpaceDN w:val="0"/>
              <w:adjustRightInd w:val="0"/>
              <w:snapToGrid w:val="0"/>
              <w:spacing w:line="360" w:lineRule="auto"/>
              <w:ind w:firstLine="482" w:firstLineChars="200"/>
              <w:rPr>
                <w:sz w:val="24"/>
                <w:szCs w:val="24"/>
              </w:rPr>
            </w:pPr>
            <w:r>
              <w:rPr>
                <w:rFonts w:hint="eastAsia"/>
                <w:b/>
                <w:sz w:val="24"/>
              </w:rPr>
              <w:t>3、规划符合性及选址合理性</w:t>
            </w:r>
          </w:p>
          <w:p w14:paraId="1378FEBE">
            <w:pPr>
              <w:widowControl w:val="0"/>
              <w:spacing w:line="360" w:lineRule="auto"/>
              <w:ind w:firstLine="480" w:firstLineChars="200"/>
              <w:rPr>
                <w:sz w:val="24"/>
              </w:rPr>
            </w:pPr>
            <w:r>
              <w:rPr>
                <w:rFonts w:hint="eastAsia"/>
                <w:sz w:val="24"/>
              </w:rPr>
              <w:t>根据《安徽郎溪经济开发区总体规划（2019-2030年）》，本项目厂址位于郎溪经济开发区梅渚工业园区，郎溪经济开发区分为北片和南片，北片包含有主园、梅渚园、新发园和定埠港；南片则为十字园。主园重点发展高端装备制造、电力电子、新材料和大健康产业，兼顾现代服务业；十字园重点发展纺织新材料、绿色食品和高端装备制造 产业；梅渚园定位为主园的拓展区和延伸区，应积极与主园融为一体，实现基础 设施共享，服务配套依赖主园及梅渚镇区；新发园定位为开发区的原材料基地，服务配套依赖主园及新发镇区；定埠港口物流园重点培育装配式建筑等临港制造和金属加工整理配送等临港物流。本项目为</w:t>
            </w:r>
            <w:r>
              <w:rPr>
                <w:sz w:val="24"/>
              </w:rPr>
              <w:t>[C3670]</w:t>
            </w:r>
            <w:r>
              <w:rPr>
                <w:rFonts w:hint="eastAsia"/>
                <w:sz w:val="24"/>
              </w:rPr>
              <w:t>汽车零部件及配件制造，属于主导产业中的智能制造业，属于允许入园行业，符合《安徽郎溪经济开发区总体规划（2019-2030年）》要求</w:t>
            </w:r>
            <w:r>
              <w:rPr>
                <w:sz w:val="24"/>
              </w:rPr>
              <w:t>。</w:t>
            </w:r>
          </w:p>
          <w:p w14:paraId="75416BFE">
            <w:pPr>
              <w:widowControl w:val="0"/>
              <w:spacing w:line="360" w:lineRule="auto"/>
              <w:ind w:firstLine="480" w:firstLineChars="200"/>
              <w:rPr>
                <w:sz w:val="24"/>
              </w:rPr>
            </w:pPr>
            <w:r>
              <w:rPr>
                <w:sz w:val="24"/>
              </w:rPr>
              <w:t>本项目选址位于安徽省宣城市郎溪经济开发区梅渚园区，园区主导产业为：智能制造、新材料及大健康三大产业，本项目属于开发区主导产业中的智能制造。因此项目建设符合《安徽郎溪经济开发区总体规划（2019-2030）》；项目位于郎溪经济开发区梅渚园区内，选址为工业用地，项目选址符合郎溪经济开发区总体规划要求。</w:t>
            </w:r>
          </w:p>
          <w:p w14:paraId="68977484">
            <w:pPr>
              <w:widowControl w:val="0"/>
              <w:autoSpaceDE w:val="0"/>
              <w:autoSpaceDN w:val="0"/>
              <w:adjustRightInd w:val="0"/>
              <w:snapToGrid w:val="0"/>
              <w:spacing w:line="360" w:lineRule="auto"/>
              <w:ind w:firstLine="482" w:firstLineChars="200"/>
              <w:rPr>
                <w:b/>
                <w:sz w:val="24"/>
              </w:rPr>
            </w:pPr>
            <w:r>
              <w:rPr>
                <w:rFonts w:hint="eastAsia"/>
                <w:b/>
                <w:sz w:val="24"/>
              </w:rPr>
              <w:t>4、环境质量现状结论</w:t>
            </w:r>
          </w:p>
          <w:p w14:paraId="155DD887">
            <w:pPr>
              <w:widowControl w:val="0"/>
              <w:adjustRightInd w:val="0"/>
              <w:snapToGrid w:val="0"/>
              <w:spacing w:line="360" w:lineRule="auto"/>
              <w:ind w:firstLine="480" w:firstLineChars="200"/>
              <w:rPr>
                <w:rFonts w:hint="eastAsia"/>
                <w:sz w:val="24"/>
                <w:szCs w:val="24"/>
              </w:rPr>
            </w:pPr>
            <w:r>
              <w:rPr>
                <w:rFonts w:hint="eastAsia"/>
                <w:sz w:val="24"/>
                <w:szCs w:val="24"/>
              </w:rPr>
              <w:t>本项目所在区域</w:t>
            </w:r>
            <w:r>
              <w:rPr>
                <w:rFonts w:cs="宋体"/>
                <w:spacing w:val="6"/>
                <w:sz w:val="24"/>
                <w:szCs w:val="24"/>
              </w:rPr>
              <w:t xml:space="preserve"> </w:t>
            </w:r>
            <w:r>
              <w:rPr>
                <w:sz w:val="24"/>
                <w:szCs w:val="24"/>
              </w:rPr>
              <w:t>SO</w:t>
            </w:r>
            <w:r>
              <w:rPr>
                <w:rFonts w:hint="eastAsia"/>
                <w:sz w:val="24"/>
                <w:szCs w:val="24"/>
                <w:vertAlign w:val="subscript"/>
                <w:lang w:val="en-US" w:eastAsia="zh-CN"/>
              </w:rPr>
              <w:t>2</w:t>
            </w:r>
            <w:r>
              <w:rPr>
                <w:rFonts w:hint="eastAsia"/>
                <w:sz w:val="24"/>
                <w:szCs w:val="24"/>
              </w:rPr>
              <w:t>、</w:t>
            </w:r>
            <w:r>
              <w:rPr>
                <w:sz w:val="24"/>
                <w:szCs w:val="24"/>
              </w:rPr>
              <w:t>NO</w:t>
            </w:r>
            <w:r>
              <w:rPr>
                <w:sz w:val="24"/>
                <w:szCs w:val="24"/>
                <w:vertAlign w:val="subscript"/>
              </w:rPr>
              <w:t>2</w:t>
            </w:r>
            <w:r>
              <w:rPr>
                <w:rFonts w:hint="eastAsia"/>
                <w:sz w:val="24"/>
                <w:szCs w:val="24"/>
              </w:rPr>
              <w:t>、</w:t>
            </w:r>
            <w:r>
              <w:rPr>
                <w:sz w:val="24"/>
                <w:szCs w:val="24"/>
              </w:rPr>
              <w:t>PM</w:t>
            </w:r>
            <w:r>
              <w:rPr>
                <w:sz w:val="24"/>
                <w:szCs w:val="24"/>
                <w:vertAlign w:val="subscript"/>
              </w:rPr>
              <w:t>2.5</w:t>
            </w:r>
            <w:r>
              <w:rPr>
                <w:rFonts w:hint="eastAsia"/>
                <w:sz w:val="24"/>
                <w:szCs w:val="24"/>
              </w:rPr>
              <w:t>、</w:t>
            </w:r>
            <w:r>
              <w:rPr>
                <w:sz w:val="24"/>
                <w:szCs w:val="24"/>
              </w:rPr>
              <w:t>PM</w:t>
            </w:r>
            <w:r>
              <w:rPr>
                <w:sz w:val="24"/>
                <w:szCs w:val="24"/>
                <w:vertAlign w:val="subscript"/>
              </w:rPr>
              <w:t>10</w:t>
            </w:r>
            <w:r>
              <w:rPr>
                <w:rFonts w:hint="eastAsia"/>
                <w:sz w:val="24"/>
                <w:szCs w:val="24"/>
              </w:rPr>
              <w:t>平均浓度、</w:t>
            </w:r>
            <w:r>
              <w:rPr>
                <w:sz w:val="24"/>
                <w:szCs w:val="24"/>
              </w:rPr>
              <w:t>CO</w:t>
            </w:r>
            <w:r>
              <w:rPr>
                <w:rFonts w:hint="eastAsia"/>
                <w:sz w:val="24"/>
                <w:szCs w:val="24"/>
              </w:rPr>
              <w:t>日平均浓度均能满足《环境空气质量标准》</w:t>
            </w:r>
            <w:r>
              <w:rPr>
                <w:sz w:val="24"/>
                <w:szCs w:val="24"/>
              </w:rPr>
              <w:t>(GB3095-2012)</w:t>
            </w:r>
            <w:r>
              <w:rPr>
                <w:rFonts w:hint="eastAsia"/>
                <w:sz w:val="24"/>
                <w:szCs w:val="24"/>
              </w:rPr>
              <w:t>二级标准要求；</w:t>
            </w:r>
            <w:r>
              <w:rPr>
                <w:sz w:val="24"/>
                <w:szCs w:val="24"/>
              </w:rPr>
              <w:t>O</w:t>
            </w:r>
            <w:r>
              <w:rPr>
                <w:sz w:val="24"/>
                <w:szCs w:val="24"/>
                <w:vertAlign w:val="subscript"/>
              </w:rPr>
              <w:t>3</w:t>
            </w:r>
            <w:r>
              <w:rPr>
                <w:rFonts w:hint="eastAsia"/>
                <w:sz w:val="24"/>
                <w:szCs w:val="24"/>
              </w:rPr>
              <w:t>日最大</w:t>
            </w:r>
            <w:r>
              <w:rPr>
                <w:sz w:val="24"/>
                <w:szCs w:val="24"/>
              </w:rPr>
              <w:t>8h</w:t>
            </w:r>
            <w:r>
              <w:rPr>
                <w:rFonts w:hint="eastAsia"/>
                <w:sz w:val="24"/>
                <w:szCs w:val="24"/>
              </w:rPr>
              <w:t>平均浓度不能满足《环境空气质量标准》二级标准要求，区域为不达标区。为进一步做好大气污染防治工作，在县委、县政府的统一部署和支持下，郎溪县生态环境分局引进第三方管控服务团队，建立郎溪县大气污染问题管控</w:t>
            </w:r>
            <w:r>
              <w:rPr>
                <w:sz w:val="24"/>
                <w:szCs w:val="24"/>
              </w:rPr>
              <w:t>APP</w:t>
            </w:r>
            <w:r>
              <w:rPr>
                <w:rFonts w:hint="eastAsia"/>
                <w:sz w:val="24"/>
                <w:szCs w:val="24"/>
              </w:rPr>
              <w:t>闭环整改流程，形成</w:t>
            </w:r>
            <w:r>
              <w:rPr>
                <w:sz w:val="24"/>
                <w:szCs w:val="24"/>
              </w:rPr>
              <w:t>“</w:t>
            </w:r>
            <w:r>
              <w:rPr>
                <w:rFonts w:hint="eastAsia"/>
                <w:sz w:val="24"/>
                <w:szCs w:val="24"/>
              </w:rPr>
              <w:t>巡查、发现、上报、交办、销号、复核</w:t>
            </w:r>
            <w:r>
              <w:rPr>
                <w:sz w:val="24"/>
                <w:szCs w:val="24"/>
              </w:rPr>
              <w:t>”</w:t>
            </w:r>
            <w:r>
              <w:rPr>
                <w:rFonts w:hint="eastAsia"/>
                <w:sz w:val="24"/>
                <w:szCs w:val="24"/>
              </w:rPr>
              <w:t>的大气管控新机制，同时建立微信工作群，进一步提高大气污染防治工作效率，更加便捷地调度各单位管控措施落实情况</w:t>
            </w:r>
            <w:r>
              <w:rPr>
                <w:sz w:val="24"/>
                <w:szCs w:val="24"/>
              </w:rPr>
              <w:t>。</w:t>
            </w:r>
          </w:p>
          <w:p w14:paraId="4C486E16">
            <w:pPr>
              <w:widowControl w:val="0"/>
              <w:adjustRightInd w:val="0"/>
              <w:snapToGrid w:val="0"/>
              <w:spacing w:line="360" w:lineRule="auto"/>
              <w:ind w:firstLine="480" w:firstLineChars="200"/>
              <w:rPr>
                <w:sz w:val="24"/>
              </w:rPr>
            </w:pPr>
            <w:r>
              <w:rPr>
                <w:rFonts w:hint="eastAsia"/>
                <w:sz w:val="24"/>
              </w:rPr>
              <w:t>区域内的地表水</w:t>
            </w:r>
            <w:r>
              <w:rPr>
                <w:sz w:val="24"/>
              </w:rPr>
              <w:t>梅溧河</w:t>
            </w:r>
            <w:r>
              <w:rPr>
                <w:rFonts w:hint="eastAsia"/>
                <w:sz w:val="24"/>
              </w:rPr>
              <w:t>环境现状数据指标 pH、COD、BOD5、NH3-N、石油类指标均</w:t>
            </w:r>
            <w:r>
              <w:rPr>
                <w:sz w:val="24"/>
              </w:rPr>
              <w:t>梅溧河地表水环境执行《地表水环境质量标准》(GB 3838-2002)中的Ⅳ类标准</w:t>
            </w:r>
            <w:r>
              <w:rPr>
                <w:rFonts w:hint="eastAsia"/>
                <w:sz w:val="24"/>
              </w:rPr>
              <w:t>，水环境质量状况良好。项目区环境噪声监测点昼间、夜间等效声级均满足 GB3096-2008《声环境质量标准》中3类标准，评价结果表明项目区的声环境质量良好。</w:t>
            </w:r>
          </w:p>
          <w:p w14:paraId="11B420EE">
            <w:pPr>
              <w:widowControl w:val="0"/>
              <w:autoSpaceDE w:val="0"/>
              <w:autoSpaceDN w:val="0"/>
              <w:adjustRightInd w:val="0"/>
              <w:snapToGrid w:val="0"/>
              <w:spacing w:line="360" w:lineRule="auto"/>
              <w:ind w:firstLine="482" w:firstLineChars="200"/>
              <w:rPr>
                <w:b/>
                <w:sz w:val="24"/>
              </w:rPr>
            </w:pPr>
            <w:r>
              <w:rPr>
                <w:rFonts w:hint="eastAsia"/>
                <w:b/>
                <w:sz w:val="24"/>
              </w:rPr>
              <w:t>5、营运期环境影响结论</w:t>
            </w:r>
          </w:p>
          <w:p w14:paraId="46600342">
            <w:pPr>
              <w:widowControl w:val="0"/>
              <w:autoSpaceDE w:val="0"/>
              <w:autoSpaceDN w:val="0"/>
              <w:adjustRightInd w:val="0"/>
              <w:snapToGrid w:val="0"/>
              <w:spacing w:line="360" w:lineRule="auto"/>
              <w:ind w:firstLine="482" w:firstLineChars="200"/>
              <w:rPr>
                <w:b/>
                <w:bCs/>
                <w:sz w:val="24"/>
                <w:szCs w:val="24"/>
              </w:rPr>
            </w:pPr>
            <w:r>
              <w:rPr>
                <w:b/>
                <w:bCs/>
                <w:kern w:val="0"/>
                <w:sz w:val="24"/>
                <w:szCs w:val="24"/>
              </w:rPr>
              <w:t>(1)</w:t>
            </w:r>
            <w:r>
              <w:rPr>
                <w:rFonts w:hint="eastAsia"/>
                <w:b/>
                <w:bCs/>
                <w:kern w:val="0"/>
                <w:sz w:val="24"/>
                <w:szCs w:val="24"/>
              </w:rPr>
              <w:t>地表水环境影响</w:t>
            </w:r>
          </w:p>
          <w:p w14:paraId="6C69C8AD">
            <w:pPr>
              <w:widowControl w:val="0"/>
              <w:autoSpaceDE w:val="0"/>
              <w:autoSpaceDN w:val="0"/>
              <w:adjustRightInd w:val="0"/>
              <w:snapToGrid w:val="0"/>
              <w:spacing w:line="360" w:lineRule="auto"/>
              <w:ind w:firstLine="480" w:firstLineChars="200"/>
              <w:rPr>
                <w:sz w:val="24"/>
                <w:szCs w:val="24"/>
              </w:rPr>
            </w:pPr>
            <w:r>
              <w:rPr>
                <w:rFonts w:hint="eastAsia"/>
                <w:bCs/>
                <w:sz w:val="24"/>
                <w:szCs w:val="24"/>
              </w:rPr>
              <w:t>本项目废水主要为：</w:t>
            </w:r>
            <w:r>
              <w:rPr>
                <w:rFonts w:hint="eastAsia"/>
                <w:color w:val="000000" w:themeColor="text1"/>
                <w:kern w:val="0"/>
                <w:sz w:val="24"/>
                <w14:textFill>
                  <w14:solidFill>
                    <w14:schemeClr w14:val="tx1"/>
                  </w14:solidFill>
                </w14:textFill>
              </w:rPr>
              <w:t>生活污水、生产废水，近期生活污水经隔油池、化粪池预处理后用于厂区绿化，远期生活污水经隔油池、化粪池预处理后接管至梅渚镇污水处理厂；生产废水经过厂区自建的三级沉淀池处理后回用于生产，近期生活污水经化粪池预处理后满足《城市污水再生利用 绿地灌溉水质》（GB/T 25499-2010）中表一相关限值，用于厂区绿化，远期生活污水接管至梅渚镇污水处理厂集中处理，处理达到《城镇污水处理厂污染物排放标准》（GB18918-2002）表1中一级A标准后排入梅溧河</w:t>
            </w:r>
            <w:r>
              <w:rPr>
                <w:rFonts w:hint="eastAsia"/>
                <w:bCs/>
                <w:sz w:val="24"/>
                <w:szCs w:val="24"/>
              </w:rPr>
              <w:t>。</w:t>
            </w:r>
          </w:p>
          <w:p w14:paraId="31447C8D">
            <w:pPr>
              <w:widowControl w:val="0"/>
              <w:autoSpaceDE w:val="0"/>
              <w:autoSpaceDN w:val="0"/>
              <w:adjustRightInd w:val="0"/>
              <w:snapToGrid w:val="0"/>
              <w:spacing w:line="360" w:lineRule="auto"/>
              <w:ind w:firstLine="482" w:firstLineChars="200"/>
              <w:rPr>
                <w:b/>
                <w:bCs/>
                <w:kern w:val="0"/>
                <w:sz w:val="24"/>
                <w:szCs w:val="24"/>
              </w:rPr>
            </w:pPr>
            <w:r>
              <w:rPr>
                <w:b/>
                <w:bCs/>
                <w:kern w:val="0"/>
                <w:sz w:val="24"/>
                <w:szCs w:val="24"/>
              </w:rPr>
              <w:t>(2)</w:t>
            </w:r>
            <w:r>
              <w:rPr>
                <w:rFonts w:hint="eastAsia"/>
                <w:b/>
                <w:bCs/>
                <w:kern w:val="0"/>
                <w:sz w:val="24"/>
                <w:szCs w:val="24"/>
              </w:rPr>
              <w:t>大气环境影响</w:t>
            </w:r>
          </w:p>
          <w:p w14:paraId="2BF7F5DD">
            <w:pPr>
              <w:widowControl w:val="0"/>
              <w:autoSpaceDE w:val="0"/>
              <w:autoSpaceDN w:val="0"/>
              <w:adjustRightInd w:val="0"/>
              <w:snapToGrid w:val="0"/>
              <w:spacing w:line="360" w:lineRule="auto"/>
              <w:ind w:firstLine="480" w:firstLineChars="200"/>
              <w:rPr>
                <w:rFonts w:hint="eastAsia"/>
                <w:kern w:val="0"/>
                <w:sz w:val="24"/>
              </w:rPr>
            </w:pPr>
            <w:r>
              <w:rPr>
                <w:rFonts w:hint="eastAsia"/>
                <w:kern w:val="0"/>
                <w:sz w:val="24"/>
              </w:rPr>
              <w:t>本项目涂装工段产生的颗粒物执行《大气污染物综合排放标准》（GB16297-1996)表2新污染源大气污染物排放限值中二级标准的排放限值，涂装工段非甲烷总烃、二甲苯执行《固定源挥发性有机物综合排放标准 第6部分：其他行业》（DB34 4812.6-2024)表1挥发性有机物基本污染物项目排放限值和表2挥发性有机物特征污染物项目排放限值；丙烷燃烧废气颗粒物、二氧化硫、氮氧化物执行《工业炉窑大气污染综合治理方案》（环大气〔2019〕56号）中排放限值。</w:t>
            </w:r>
          </w:p>
          <w:p w14:paraId="5D54E2EF">
            <w:pPr>
              <w:widowControl w:val="0"/>
              <w:autoSpaceDE w:val="0"/>
              <w:autoSpaceDN w:val="0"/>
              <w:adjustRightInd w:val="0"/>
              <w:snapToGrid w:val="0"/>
              <w:spacing w:line="360" w:lineRule="auto"/>
              <w:ind w:firstLine="480" w:firstLineChars="200"/>
              <w:rPr>
                <w:kern w:val="0"/>
                <w:sz w:val="24"/>
              </w:rPr>
            </w:pPr>
            <w:r>
              <w:rPr>
                <w:rFonts w:hint="eastAsia"/>
                <w:kern w:val="0"/>
                <w:sz w:val="24"/>
              </w:rPr>
              <w:t>厂界颗粒物、非甲烷总烃、二甲苯无组织排放执行《大气污染物综合排放标准》（GB16297-1996)表2新污染源大气污染物排放限值中二级标准的排放限值；厂区内VOCs无组织排放限值执行《固定源挥发性有机物综合排放标准 第6部分：其他行业》（DB34 4812.6-2024)表4 厂区内VOCs无组织排放限值。</w:t>
            </w:r>
          </w:p>
          <w:p w14:paraId="4079EAD6">
            <w:pPr>
              <w:widowControl w:val="0"/>
              <w:autoSpaceDE w:val="0"/>
              <w:autoSpaceDN w:val="0"/>
              <w:adjustRightInd w:val="0"/>
              <w:snapToGrid w:val="0"/>
              <w:spacing w:line="360" w:lineRule="auto"/>
              <w:ind w:firstLine="482" w:firstLineChars="200"/>
              <w:rPr>
                <w:b/>
                <w:bCs/>
                <w:sz w:val="24"/>
                <w:szCs w:val="24"/>
              </w:rPr>
            </w:pPr>
            <w:r>
              <w:rPr>
                <w:b/>
                <w:bCs/>
                <w:sz w:val="24"/>
                <w:szCs w:val="24"/>
              </w:rPr>
              <w:t>(3)</w:t>
            </w:r>
            <w:r>
              <w:rPr>
                <w:rFonts w:hint="eastAsia"/>
                <w:b/>
                <w:bCs/>
                <w:sz w:val="24"/>
                <w:szCs w:val="24"/>
              </w:rPr>
              <w:t>声环境影响</w:t>
            </w:r>
          </w:p>
          <w:p w14:paraId="2032DA8D">
            <w:pPr>
              <w:widowControl w:val="0"/>
              <w:autoSpaceDE w:val="0"/>
              <w:autoSpaceDN w:val="0"/>
              <w:adjustRightInd w:val="0"/>
              <w:snapToGrid w:val="0"/>
              <w:spacing w:line="360" w:lineRule="auto"/>
              <w:ind w:firstLine="480" w:firstLineChars="200"/>
              <w:rPr>
                <w:sz w:val="24"/>
                <w:szCs w:val="24"/>
              </w:rPr>
            </w:pPr>
            <w:r>
              <w:rPr>
                <w:sz w:val="24"/>
                <w:szCs w:val="24"/>
              </w:rPr>
              <w:t>本项目运营期</w:t>
            </w:r>
            <w:r>
              <w:rPr>
                <w:rFonts w:hint="eastAsia"/>
                <w:sz w:val="24"/>
                <w:szCs w:val="24"/>
              </w:rPr>
              <w:t>噪声3.1源强</w:t>
            </w:r>
          </w:p>
          <w:p w14:paraId="59F71FA6">
            <w:pPr>
              <w:widowControl w:val="0"/>
              <w:autoSpaceDE w:val="0"/>
              <w:autoSpaceDN w:val="0"/>
              <w:adjustRightInd w:val="0"/>
              <w:snapToGrid w:val="0"/>
              <w:spacing w:line="360" w:lineRule="auto"/>
              <w:ind w:firstLine="480" w:firstLineChars="200"/>
              <w:rPr>
                <w:spacing w:val="-2"/>
                <w:sz w:val="24"/>
                <w:szCs w:val="24"/>
              </w:rPr>
            </w:pPr>
            <w:r>
              <w:rPr>
                <w:rFonts w:hint="eastAsia"/>
                <w:sz w:val="24"/>
                <w:szCs w:val="24"/>
              </w:rPr>
              <w:t>本项目噪声主要来自各类机械设备和风机等，声源强度不高，属中低频稳态噪声</w:t>
            </w:r>
            <w:r>
              <w:rPr>
                <w:rFonts w:hint="eastAsia"/>
                <w:snapToGrid w:val="0"/>
                <w:spacing w:val="-6"/>
                <w:kern w:val="0"/>
                <w:sz w:val="24"/>
                <w:szCs w:val="24"/>
              </w:rPr>
              <w:t>，</w:t>
            </w:r>
            <w:r>
              <w:rPr>
                <w:rFonts w:hint="eastAsia"/>
                <w:spacing w:val="-2"/>
                <w:sz w:val="24"/>
                <w:szCs w:val="24"/>
              </w:rPr>
              <w:t>项目厂界</w:t>
            </w:r>
            <w:r>
              <w:rPr>
                <w:spacing w:val="-2"/>
                <w:sz w:val="24"/>
                <w:szCs w:val="24"/>
              </w:rPr>
              <w:t>昼间噪声</w:t>
            </w:r>
            <w:r>
              <w:rPr>
                <w:rFonts w:hint="eastAsia"/>
                <w:spacing w:val="-2"/>
                <w:sz w:val="24"/>
                <w:szCs w:val="24"/>
              </w:rPr>
              <w:t>排放均</w:t>
            </w:r>
            <w:r>
              <w:rPr>
                <w:spacing w:val="-2"/>
                <w:sz w:val="24"/>
                <w:szCs w:val="24"/>
              </w:rPr>
              <w:t>满足《工业企业厂界环境噪声排放标准》（GB12348-2008）</w:t>
            </w:r>
            <w:r>
              <w:rPr>
                <w:rFonts w:hint="eastAsia"/>
                <w:spacing w:val="-2"/>
                <w:sz w:val="24"/>
                <w:szCs w:val="24"/>
              </w:rPr>
              <w:t>3</w:t>
            </w:r>
            <w:r>
              <w:rPr>
                <w:spacing w:val="-2"/>
                <w:sz w:val="24"/>
                <w:szCs w:val="24"/>
              </w:rPr>
              <w:t>类标准（昼间≤6</w:t>
            </w:r>
            <w:r>
              <w:rPr>
                <w:rFonts w:hint="eastAsia"/>
                <w:spacing w:val="-2"/>
                <w:sz w:val="24"/>
                <w:szCs w:val="24"/>
              </w:rPr>
              <w:t>5</w:t>
            </w:r>
            <w:r>
              <w:rPr>
                <w:spacing w:val="-2"/>
                <w:sz w:val="24"/>
                <w:szCs w:val="24"/>
              </w:rPr>
              <w:t>dB(A)</w:t>
            </w:r>
            <w:r>
              <w:rPr>
                <w:rFonts w:hint="eastAsia"/>
                <w:spacing w:val="-2"/>
                <w:sz w:val="24"/>
                <w:szCs w:val="24"/>
              </w:rPr>
              <w:t>，夜</w:t>
            </w:r>
            <w:r>
              <w:rPr>
                <w:spacing w:val="-2"/>
                <w:sz w:val="24"/>
                <w:szCs w:val="24"/>
              </w:rPr>
              <w:t>间≤</w:t>
            </w:r>
            <w:r>
              <w:rPr>
                <w:rFonts w:hint="eastAsia"/>
                <w:spacing w:val="-2"/>
                <w:sz w:val="24"/>
                <w:szCs w:val="24"/>
              </w:rPr>
              <w:t>55</w:t>
            </w:r>
            <w:r>
              <w:rPr>
                <w:spacing w:val="-2"/>
                <w:sz w:val="24"/>
                <w:szCs w:val="24"/>
              </w:rPr>
              <w:t>dB(A)）</w:t>
            </w:r>
            <w:r>
              <w:rPr>
                <w:rFonts w:hint="eastAsia"/>
                <w:spacing w:val="-2"/>
                <w:sz w:val="24"/>
                <w:szCs w:val="24"/>
              </w:rPr>
              <w:t>。因此，本项目噪声</w:t>
            </w:r>
            <w:r>
              <w:rPr>
                <w:spacing w:val="-2"/>
                <w:sz w:val="24"/>
                <w:szCs w:val="24"/>
              </w:rPr>
              <w:t>对周围声环境影响较小。</w:t>
            </w:r>
          </w:p>
          <w:p w14:paraId="788607A1">
            <w:pPr>
              <w:widowControl w:val="0"/>
              <w:autoSpaceDE w:val="0"/>
              <w:autoSpaceDN w:val="0"/>
              <w:adjustRightInd w:val="0"/>
              <w:snapToGrid w:val="0"/>
              <w:spacing w:line="360" w:lineRule="auto"/>
              <w:ind w:firstLine="474" w:firstLineChars="200"/>
              <w:rPr>
                <w:b/>
                <w:bCs/>
                <w:spacing w:val="-2"/>
                <w:sz w:val="24"/>
                <w:szCs w:val="24"/>
              </w:rPr>
            </w:pPr>
            <w:r>
              <w:rPr>
                <w:b/>
                <w:bCs/>
                <w:spacing w:val="-2"/>
                <w:sz w:val="24"/>
                <w:szCs w:val="24"/>
              </w:rPr>
              <w:t>(4)</w:t>
            </w:r>
            <w:r>
              <w:rPr>
                <w:rFonts w:hint="eastAsia"/>
                <w:b/>
                <w:bCs/>
                <w:spacing w:val="-2"/>
                <w:sz w:val="24"/>
                <w:szCs w:val="24"/>
              </w:rPr>
              <w:t>固体废物影响</w:t>
            </w:r>
          </w:p>
          <w:p w14:paraId="1CAC34B5">
            <w:pPr>
              <w:widowControl w:val="0"/>
              <w:autoSpaceDE w:val="0"/>
              <w:autoSpaceDN w:val="0"/>
              <w:adjustRightInd w:val="0"/>
              <w:snapToGrid w:val="0"/>
              <w:spacing w:line="360" w:lineRule="auto"/>
              <w:ind w:firstLine="480" w:firstLineChars="200"/>
              <w:rPr>
                <w:rFonts w:hint="eastAsia"/>
                <w:bCs/>
                <w:sz w:val="24"/>
              </w:rPr>
            </w:pPr>
            <w:r>
              <w:rPr>
                <w:rFonts w:hint="eastAsia"/>
                <w:sz w:val="24"/>
                <w:szCs w:val="24"/>
              </w:rPr>
              <w:t>本项目中的</w:t>
            </w:r>
            <w:r>
              <w:rPr>
                <w:rFonts w:hint="eastAsia"/>
                <w:bCs/>
                <w:sz w:val="24"/>
              </w:rPr>
              <w:t>一般固废主要为边角料、不合格品、除尘装置收集粉尘、废包装材料、二氧化碳废钢瓶、废钢丸；危险固废包括破损的废包装桶、废活性炭、废过滤棉、漆渣、沉淀池底渣。生活垃圾由环卫部门清运；二氧化碳废钢瓶收集后回由厂家回收再利用；边角料、除尘装置收集粉尘、废包装材料、废钢丸收集后暂存于厂区内一般固废暂存间，定期外售。</w:t>
            </w:r>
          </w:p>
          <w:p w14:paraId="48DFB402">
            <w:pPr>
              <w:widowControl w:val="0"/>
              <w:autoSpaceDE w:val="0"/>
              <w:autoSpaceDN w:val="0"/>
              <w:adjustRightInd w:val="0"/>
              <w:snapToGrid w:val="0"/>
              <w:spacing w:line="360" w:lineRule="auto"/>
              <w:ind w:firstLine="480" w:firstLineChars="200"/>
              <w:rPr>
                <w:kern w:val="0"/>
                <w:sz w:val="24"/>
                <w:szCs w:val="24"/>
              </w:rPr>
            </w:pPr>
            <w:r>
              <w:rPr>
                <w:rFonts w:hint="eastAsia"/>
                <w:bCs/>
                <w:sz w:val="24"/>
              </w:rPr>
              <w:t>废包装桶、废活性炭、废过滤棉、废乳化液、漆渣、沉淀池底渣，产生后暂存于危废暂存间，交由有资质单位处置。</w:t>
            </w:r>
            <w:r>
              <w:rPr>
                <w:rFonts w:hint="eastAsia"/>
                <w:spacing w:val="-2"/>
                <w:sz w:val="24"/>
                <w:szCs w:val="24"/>
              </w:rPr>
              <w:t>本项目</w:t>
            </w:r>
            <w:r>
              <w:rPr>
                <w:spacing w:val="-2"/>
                <w:sz w:val="24"/>
                <w:szCs w:val="24"/>
              </w:rPr>
              <w:t>所有固体废物均</w:t>
            </w:r>
            <w:r>
              <w:rPr>
                <w:rFonts w:hint="eastAsia"/>
                <w:spacing w:val="-2"/>
                <w:sz w:val="24"/>
                <w:szCs w:val="24"/>
              </w:rPr>
              <w:t>得到合理有效处置，</w:t>
            </w:r>
            <w:r>
              <w:rPr>
                <w:spacing w:val="-2"/>
                <w:sz w:val="24"/>
                <w:szCs w:val="24"/>
              </w:rPr>
              <w:t>不会对周围环境</w:t>
            </w:r>
            <w:r>
              <w:rPr>
                <w:rFonts w:hint="eastAsia"/>
                <w:spacing w:val="-2"/>
                <w:sz w:val="24"/>
                <w:szCs w:val="24"/>
              </w:rPr>
              <w:t>造成二次污染</w:t>
            </w:r>
            <w:r>
              <w:rPr>
                <w:rFonts w:hint="eastAsia"/>
                <w:kern w:val="0"/>
                <w:sz w:val="24"/>
                <w:szCs w:val="24"/>
              </w:rPr>
              <w:t>。</w:t>
            </w:r>
          </w:p>
          <w:p w14:paraId="490988C4">
            <w:pPr>
              <w:pStyle w:val="24"/>
              <w:widowControl/>
              <w:spacing w:after="0" w:line="360" w:lineRule="auto"/>
              <w:ind w:left="0" w:leftChars="0" w:firstLine="482"/>
              <w:rPr>
                <w:b/>
                <w:bCs/>
                <w:sz w:val="24"/>
                <w:szCs w:val="24"/>
              </w:rPr>
            </w:pPr>
            <w:r>
              <w:rPr>
                <w:rFonts w:hint="eastAsia"/>
                <w:b/>
                <w:bCs/>
                <w:sz w:val="24"/>
                <w:szCs w:val="24"/>
              </w:rPr>
              <w:t>6、</w:t>
            </w:r>
            <w:r>
              <w:rPr>
                <w:b/>
                <w:bCs/>
                <w:sz w:val="24"/>
                <w:szCs w:val="24"/>
              </w:rPr>
              <w:t>总量控制</w:t>
            </w:r>
          </w:p>
          <w:p w14:paraId="0DD0B174">
            <w:pPr>
              <w:widowControl w:val="0"/>
              <w:adjustRightInd w:val="0"/>
              <w:snapToGrid w:val="0"/>
              <w:spacing w:line="360" w:lineRule="auto"/>
              <w:ind w:firstLine="480" w:firstLineChars="200"/>
              <w:rPr>
                <w:sz w:val="24"/>
              </w:rPr>
            </w:pPr>
            <w:r>
              <w:rPr>
                <w:rFonts w:hint="eastAsia"/>
                <w:sz w:val="24"/>
              </w:rPr>
              <w:t>根据《国家环境保护“十三五”规划基本思路》，“十三五”期间总量控制污染物共八项：二氧化硫、氮氧化物、化学需氧量、氨氮、烟（粉）尘、VOCs、总氮、总磷（重点区域和行业）：</w:t>
            </w:r>
          </w:p>
          <w:p w14:paraId="24BAB5CC">
            <w:pPr>
              <w:widowControl w:val="0"/>
              <w:adjustRightInd w:val="0"/>
              <w:snapToGrid w:val="0"/>
              <w:spacing w:line="360" w:lineRule="auto"/>
              <w:ind w:firstLine="458" w:firstLineChars="200"/>
              <w:rPr>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（1）废水</w:t>
            </w:r>
          </w:p>
          <w:p w14:paraId="29DD2B60">
            <w:pPr>
              <w:widowControl w:val="0"/>
              <w:adjustRightInd w:val="0"/>
              <w:snapToGrid w:val="0"/>
              <w:spacing w:line="360" w:lineRule="auto"/>
              <w:ind w:firstLine="456" w:firstLineChars="200"/>
              <w:rPr>
                <w:bCs/>
                <w:color w:val="000000" w:themeColor="text1"/>
                <w:spacing w:val="-6"/>
                <w:sz w:val="24"/>
                <w14:textFill>
                  <w14:solidFill>
                    <w14:schemeClr w14:val="tx1"/>
                  </w14:solidFill>
                </w14:textFill>
              </w:rPr>
            </w:pPr>
            <w:r>
              <w:rPr>
                <w:bCs/>
                <w:color w:val="000000" w:themeColor="text1"/>
                <w:spacing w:val="-6"/>
                <w:sz w:val="24"/>
                <w14:textFill>
                  <w14:solidFill>
                    <w14:schemeClr w14:val="tx1"/>
                  </w14:solidFill>
                </w14:textFill>
              </w:rPr>
              <w:t>项目</w:t>
            </w:r>
            <w:r>
              <w:rPr>
                <w:rFonts w:hint="eastAsia"/>
                <w:bCs/>
                <w:color w:val="000000" w:themeColor="text1"/>
                <w:spacing w:val="-6"/>
                <w:sz w:val="24"/>
                <w14:textFill>
                  <w14:solidFill>
                    <w14:schemeClr w14:val="tx1"/>
                  </w14:solidFill>
                </w14:textFill>
              </w:rPr>
              <w:t>远期</w:t>
            </w:r>
            <w:r>
              <w:rPr>
                <w:bCs/>
                <w:color w:val="000000" w:themeColor="text1"/>
                <w:spacing w:val="-6"/>
                <w:sz w:val="24"/>
                <w14:textFill>
                  <w14:solidFill>
                    <w14:schemeClr w14:val="tx1"/>
                  </w14:solidFill>
                </w14:textFill>
              </w:rPr>
              <w:t>生活污水经隔油池+化粪池预处理达接管标准后，经市政管网进入梅渚镇污水处理厂集中处理，达标后尾水排入梅溧河。项目新增废水污染物指标：废水量：</w:t>
            </w:r>
            <w:r>
              <w:rPr>
                <w:rFonts w:hint="eastAsia"/>
                <w:bCs/>
                <w:color w:val="000000" w:themeColor="text1"/>
                <w:spacing w:val="-6"/>
                <w:sz w:val="24"/>
                <w14:textFill>
                  <w14:solidFill>
                    <w14:schemeClr w14:val="tx1"/>
                  </w14:solidFill>
                </w14:textFill>
              </w:rPr>
              <w:t>720</w:t>
            </w:r>
            <w:r>
              <w:rPr>
                <w:bCs/>
                <w:color w:val="000000" w:themeColor="text1"/>
                <w:spacing w:val="-6"/>
                <w:sz w:val="24"/>
                <w14:textFill>
                  <w14:solidFill>
                    <w14:schemeClr w14:val="tx1"/>
                  </w14:solidFill>
                </w14:textFill>
              </w:rPr>
              <w:t>t/a；COD：0.</w:t>
            </w:r>
            <w:r>
              <w:rPr>
                <w:rFonts w:hint="eastAsia"/>
                <w:bCs/>
                <w:color w:val="000000" w:themeColor="text1"/>
                <w:spacing w:val="-6"/>
                <w:sz w:val="24"/>
                <w14:textFill>
                  <w14:solidFill>
                    <w14:schemeClr w14:val="tx1"/>
                  </w14:solidFill>
                </w14:textFill>
              </w:rPr>
              <w:t>202</w:t>
            </w:r>
            <w:r>
              <w:rPr>
                <w:bCs/>
                <w:color w:val="000000" w:themeColor="text1"/>
                <w:spacing w:val="-6"/>
                <w:sz w:val="24"/>
                <w14:textFill>
                  <w14:solidFill>
                    <w14:schemeClr w14:val="tx1"/>
                  </w14:solidFill>
                </w14:textFill>
              </w:rPr>
              <w:t>t/a；氨氮：0.01</w:t>
            </w:r>
            <w:r>
              <w:rPr>
                <w:rFonts w:hint="eastAsia"/>
                <w:bCs/>
                <w:color w:val="000000" w:themeColor="text1"/>
                <w:spacing w:val="-6"/>
                <w:sz w:val="24"/>
                <w14:textFill>
                  <w14:solidFill>
                    <w14:schemeClr w14:val="tx1"/>
                  </w14:solidFill>
                </w14:textFill>
              </w:rPr>
              <w:t>4</w:t>
            </w:r>
            <w:r>
              <w:rPr>
                <w:bCs/>
                <w:color w:val="000000" w:themeColor="text1"/>
                <w:spacing w:val="-6"/>
                <w:sz w:val="24"/>
                <w14:textFill>
                  <w14:solidFill>
                    <w14:schemeClr w14:val="tx1"/>
                  </w14:solidFill>
                </w14:textFill>
              </w:rPr>
              <w:t>t/a。废水污染物总量纳入梅渚镇污水处理厂总量范围内，不再单独申请总量</w:t>
            </w:r>
            <w:r>
              <w:rPr>
                <w:rFonts w:hint="eastAsia"/>
                <w:bCs/>
                <w:color w:val="000000" w:themeColor="text1"/>
                <w:spacing w:val="-6"/>
                <w:sz w:val="24"/>
                <w14:textFill>
                  <w14:solidFill>
                    <w14:schemeClr w14:val="tx1"/>
                  </w14:solidFill>
                </w14:textFill>
              </w:rPr>
              <w:t>，项目排入外环境的</w:t>
            </w:r>
            <w:r>
              <w:rPr>
                <w:bCs/>
                <w:color w:val="000000" w:themeColor="text1"/>
                <w:spacing w:val="-6"/>
                <w:sz w:val="24"/>
                <w14:textFill>
                  <w14:solidFill>
                    <w14:schemeClr w14:val="tx1"/>
                  </w14:solidFill>
                </w14:textFill>
              </w:rPr>
              <w:t>废水污染物指标：废水量：</w:t>
            </w:r>
            <w:r>
              <w:rPr>
                <w:rFonts w:hint="eastAsia"/>
                <w:bCs/>
                <w:color w:val="000000" w:themeColor="text1"/>
                <w:spacing w:val="-6"/>
                <w:sz w:val="24"/>
                <w14:textFill>
                  <w14:solidFill>
                    <w14:schemeClr w14:val="tx1"/>
                  </w14:solidFill>
                </w14:textFill>
              </w:rPr>
              <w:t>720</w:t>
            </w:r>
            <w:r>
              <w:rPr>
                <w:bCs/>
                <w:color w:val="000000" w:themeColor="text1"/>
                <w:spacing w:val="-6"/>
                <w:sz w:val="24"/>
                <w14:textFill>
                  <w14:solidFill>
                    <w14:schemeClr w14:val="tx1"/>
                  </w14:solidFill>
                </w14:textFill>
              </w:rPr>
              <w:t>t/a；COD：</w:t>
            </w:r>
            <w:r>
              <w:rPr>
                <w:rFonts w:hint="eastAsia"/>
                <w:bCs/>
                <w:color w:val="000000" w:themeColor="text1"/>
                <w:spacing w:val="-6"/>
                <w:sz w:val="24"/>
                <w14:textFill>
                  <w14:solidFill>
                    <w14:schemeClr w14:val="tx1"/>
                  </w14:solidFill>
                </w14:textFill>
              </w:rPr>
              <w:t>0.036</w:t>
            </w:r>
            <w:r>
              <w:rPr>
                <w:bCs/>
                <w:color w:val="000000" w:themeColor="text1"/>
                <w:spacing w:val="-6"/>
                <w:sz w:val="24"/>
                <w14:textFill>
                  <w14:solidFill>
                    <w14:schemeClr w14:val="tx1"/>
                  </w14:solidFill>
                </w14:textFill>
              </w:rPr>
              <w:t>t/a；氨氮：0.0</w:t>
            </w:r>
            <w:r>
              <w:rPr>
                <w:rFonts w:hint="eastAsia"/>
                <w:bCs/>
                <w:color w:val="000000" w:themeColor="text1"/>
                <w:spacing w:val="-6"/>
                <w:sz w:val="24"/>
                <w14:textFill>
                  <w14:solidFill>
                    <w14:schemeClr w14:val="tx1"/>
                  </w14:solidFill>
                </w14:textFill>
              </w:rPr>
              <w:t>04</w:t>
            </w:r>
            <w:r>
              <w:rPr>
                <w:bCs/>
                <w:color w:val="000000" w:themeColor="text1"/>
                <w:spacing w:val="-6"/>
                <w:sz w:val="24"/>
                <w14:textFill>
                  <w14:solidFill>
                    <w14:schemeClr w14:val="tx1"/>
                  </w14:solidFill>
                </w14:textFill>
              </w:rPr>
              <w:t>t/a</w:t>
            </w:r>
            <w:r>
              <w:rPr>
                <w:rFonts w:hint="eastAsia"/>
                <w:bCs/>
                <w:color w:val="000000" w:themeColor="text1"/>
                <w:spacing w:val="-6"/>
                <w:sz w:val="24"/>
                <w14:textFill>
                  <w14:solidFill>
                    <w14:schemeClr w14:val="tx1"/>
                  </w14:solidFill>
                </w14:textFill>
              </w:rPr>
              <w:t>。</w:t>
            </w:r>
          </w:p>
          <w:p w14:paraId="24D5DAAB">
            <w:pPr>
              <w:widowControl w:val="0"/>
              <w:adjustRightInd w:val="0"/>
              <w:snapToGrid w:val="0"/>
              <w:spacing w:line="360" w:lineRule="auto"/>
              <w:ind w:firstLine="458" w:firstLineChars="200"/>
              <w:rPr>
                <w:rFonts w:hint="eastAsia"/>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（2）废气</w:t>
            </w:r>
          </w:p>
          <w:p w14:paraId="3B328EF7">
            <w:pPr>
              <w:widowControl w:val="0"/>
              <w:adjustRightInd w:val="0"/>
              <w:snapToGrid w:val="0"/>
              <w:spacing w:line="360" w:lineRule="auto"/>
              <w:ind w:firstLine="456" w:firstLineChars="200"/>
              <w:rPr>
                <w:bCs/>
                <w:color w:val="000000" w:themeColor="text1"/>
                <w:spacing w:val="-6"/>
                <w:sz w:val="24"/>
                <w14:textFill>
                  <w14:solidFill>
                    <w14:schemeClr w14:val="tx1"/>
                  </w14:solidFill>
                </w14:textFill>
              </w:rPr>
            </w:pPr>
            <w:r>
              <w:rPr>
                <w:bCs/>
                <w:color w:val="000000" w:themeColor="text1"/>
                <w:spacing w:val="-6"/>
                <w:sz w:val="24"/>
                <w14:textFill>
                  <w14:solidFill>
                    <w14:schemeClr w14:val="tx1"/>
                  </w14:solidFill>
                </w14:textFill>
              </w:rPr>
              <w:t>项目建成运行后，新增有组织大气污染物：烟（粉）尘：1.</w:t>
            </w:r>
            <w:r>
              <w:rPr>
                <w:rFonts w:hint="eastAsia"/>
                <w:bCs/>
                <w:color w:val="000000" w:themeColor="text1"/>
                <w:spacing w:val="-6"/>
                <w:sz w:val="24"/>
                <w14:textFill>
                  <w14:solidFill>
                    <w14:schemeClr w14:val="tx1"/>
                  </w14:solidFill>
                </w14:textFill>
              </w:rPr>
              <w:t>571</w:t>
            </w:r>
            <w:r>
              <w:rPr>
                <w:bCs/>
                <w:color w:val="000000" w:themeColor="text1"/>
                <w:spacing w:val="-6"/>
                <w:sz w:val="24"/>
                <w14:textFill>
                  <w14:solidFill>
                    <w14:schemeClr w14:val="tx1"/>
                  </w14:solidFill>
                </w14:textFill>
              </w:rPr>
              <w:t>t/a，VOCs：0.365t/a，氮氧化物：</w:t>
            </w:r>
            <w:r>
              <w:rPr>
                <w:rFonts w:hint="eastAsia"/>
                <w:bCs/>
                <w:color w:val="000000" w:themeColor="text1"/>
                <w:spacing w:val="-6"/>
                <w:sz w:val="24"/>
                <w14:textFill>
                  <w14:solidFill>
                    <w14:schemeClr w14:val="tx1"/>
                  </w14:solidFill>
                </w14:textFill>
              </w:rPr>
              <w:t>0.085</w:t>
            </w:r>
            <w:r>
              <w:rPr>
                <w:bCs/>
                <w:color w:val="000000" w:themeColor="text1"/>
                <w:spacing w:val="-6"/>
                <w:sz w:val="24"/>
                <w14:textFill>
                  <w14:solidFill>
                    <w14:schemeClr w14:val="tx1"/>
                  </w14:solidFill>
                </w14:textFill>
              </w:rPr>
              <w:t>t/a，二氧化硫：</w:t>
            </w:r>
            <w:r>
              <w:rPr>
                <w:rFonts w:hint="eastAsia"/>
                <w:bCs/>
                <w:color w:val="000000" w:themeColor="text1"/>
                <w:spacing w:val="-6"/>
                <w:sz w:val="24"/>
                <w14:textFill>
                  <w14:solidFill>
                    <w14:schemeClr w14:val="tx1"/>
                  </w14:solidFill>
                </w14:textFill>
              </w:rPr>
              <w:t>0.0012</w:t>
            </w:r>
            <w:r>
              <w:rPr>
                <w:bCs/>
                <w:color w:val="000000" w:themeColor="text1"/>
                <w:spacing w:val="-6"/>
                <w:sz w:val="24"/>
                <w14:textFill>
                  <w14:solidFill>
                    <w14:schemeClr w14:val="tx1"/>
                  </w14:solidFill>
                </w14:textFill>
              </w:rPr>
              <w:t>t/a</w:t>
            </w:r>
            <w:r>
              <w:rPr>
                <w:rFonts w:hint="eastAsia"/>
                <w:bCs/>
                <w:color w:val="000000" w:themeColor="text1"/>
                <w:spacing w:val="-6"/>
                <w:sz w:val="24"/>
                <w14:textFill>
                  <w14:solidFill>
                    <w14:schemeClr w14:val="tx1"/>
                  </w14:solidFill>
                </w14:textFill>
              </w:rPr>
              <w:t>。</w:t>
            </w:r>
          </w:p>
          <w:p w14:paraId="2B6A9539">
            <w:pPr>
              <w:widowControl w:val="0"/>
              <w:autoSpaceDE w:val="0"/>
              <w:autoSpaceDN w:val="0"/>
              <w:adjustRightInd w:val="0"/>
              <w:snapToGrid w:val="0"/>
              <w:spacing w:line="360" w:lineRule="auto"/>
              <w:ind w:firstLine="482" w:firstLineChars="200"/>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7、环境管理</w:t>
            </w:r>
          </w:p>
          <w:p w14:paraId="32EB737D">
            <w:pPr>
              <w:widowControl w:val="0"/>
              <w:autoSpaceDE w:val="0"/>
              <w:autoSpaceDN w:val="0"/>
              <w:adjustRightInd w:val="0"/>
              <w:snapToGrid w:val="0"/>
              <w:spacing w:line="360" w:lineRule="auto"/>
              <w:ind w:firstLine="480" w:firstLineChars="200"/>
              <w:rPr>
                <w:bCs/>
                <w:sz w:val="24"/>
                <w:szCs w:val="24"/>
              </w:rPr>
            </w:pPr>
            <w:r>
              <w:rPr>
                <w:rFonts w:hint="eastAsia"/>
                <w:bCs/>
                <w:sz w:val="24"/>
                <w:szCs w:val="24"/>
              </w:rPr>
              <w:t>（1）环境管理原则</w:t>
            </w:r>
          </w:p>
          <w:p w14:paraId="0DBA5CB4">
            <w:pPr>
              <w:widowControl w:val="0"/>
              <w:autoSpaceDE w:val="0"/>
              <w:autoSpaceDN w:val="0"/>
              <w:adjustRightInd w:val="0"/>
              <w:snapToGrid w:val="0"/>
              <w:spacing w:line="360" w:lineRule="auto"/>
              <w:ind w:firstLine="480" w:firstLineChars="200"/>
              <w:rPr>
                <w:bCs/>
                <w:sz w:val="24"/>
                <w:szCs w:val="24"/>
              </w:rPr>
            </w:pPr>
            <w:r>
              <w:rPr>
                <w:rFonts w:hint="eastAsia"/>
                <w:bCs/>
                <w:sz w:val="24"/>
                <w:szCs w:val="24"/>
              </w:rPr>
              <w:t>项目建成运营后，应将环境管理纳入日常管理中，根据环境保护的有关规定和企业自身特点，制定环境管理的具体内容。环境管理应遵循以下基本原则：</w:t>
            </w:r>
          </w:p>
          <w:p w14:paraId="41831425">
            <w:pPr>
              <w:widowControl w:val="0"/>
              <w:autoSpaceDE w:val="0"/>
              <w:autoSpaceDN w:val="0"/>
              <w:adjustRightInd w:val="0"/>
              <w:snapToGrid w:val="0"/>
              <w:spacing w:line="360" w:lineRule="auto"/>
              <w:ind w:firstLine="480" w:firstLineChars="200"/>
              <w:rPr>
                <w:bCs/>
                <w:sz w:val="24"/>
                <w:szCs w:val="24"/>
              </w:rPr>
            </w:pPr>
            <w:r>
              <w:rPr>
                <w:rFonts w:hint="eastAsia"/>
                <w:bCs/>
                <w:sz w:val="24"/>
                <w:szCs w:val="24"/>
              </w:rPr>
              <w:t>①严格执行国家和地方的各项政策、法律、法规。</w:t>
            </w:r>
          </w:p>
          <w:p w14:paraId="5CA8B677">
            <w:pPr>
              <w:pStyle w:val="24"/>
              <w:widowControl/>
              <w:spacing w:after="0" w:line="360" w:lineRule="auto"/>
              <w:ind w:left="0" w:leftChars="0" w:firstLine="480"/>
              <w:rPr>
                <w:bCs/>
                <w:sz w:val="24"/>
                <w:szCs w:val="24"/>
              </w:rPr>
            </w:pPr>
            <w:r>
              <w:rPr>
                <w:rFonts w:hint="eastAsia"/>
                <w:bCs/>
                <w:sz w:val="24"/>
                <w:szCs w:val="24"/>
              </w:rPr>
              <w:t>②正确处理发展生产和保护环境的关系，把经济效益和环境效益统一起来。</w:t>
            </w:r>
          </w:p>
          <w:p w14:paraId="4F6CEA11">
            <w:pPr>
              <w:pStyle w:val="24"/>
              <w:widowControl/>
              <w:spacing w:after="0" w:line="360" w:lineRule="auto"/>
              <w:ind w:left="0" w:leftChars="0" w:firstLine="480"/>
              <w:rPr>
                <w:bCs/>
                <w:sz w:val="24"/>
                <w:szCs w:val="24"/>
              </w:rPr>
            </w:pPr>
            <w:r>
              <w:rPr>
                <w:rFonts w:hint="eastAsia"/>
                <w:bCs/>
                <w:sz w:val="24"/>
                <w:szCs w:val="24"/>
              </w:rPr>
              <w:t>（2）环境管理内容</w:t>
            </w:r>
          </w:p>
          <w:p w14:paraId="205C6B2A">
            <w:pPr>
              <w:widowControl w:val="0"/>
              <w:autoSpaceDE w:val="0"/>
              <w:autoSpaceDN w:val="0"/>
              <w:adjustRightInd w:val="0"/>
              <w:snapToGrid w:val="0"/>
              <w:spacing w:line="360" w:lineRule="auto"/>
              <w:ind w:firstLine="480" w:firstLineChars="200"/>
              <w:rPr>
                <w:sz w:val="24"/>
                <w:szCs w:val="24"/>
              </w:rPr>
            </w:pPr>
            <w:r>
              <w:rPr>
                <w:rFonts w:hint="eastAsia"/>
                <w:bCs/>
                <w:sz w:val="24"/>
                <w:szCs w:val="24"/>
              </w:rPr>
              <w:fldChar w:fldCharType="begin"/>
            </w:r>
            <w:r>
              <w:rPr>
                <w:rFonts w:hint="eastAsia"/>
                <w:bCs/>
                <w:sz w:val="24"/>
                <w:szCs w:val="24"/>
              </w:rPr>
              <w:instrText xml:space="preserve"> = 1 \* GB3 \* MERGEFORMAT </w:instrText>
            </w:r>
            <w:r>
              <w:rPr>
                <w:rFonts w:hint="eastAsia"/>
                <w:bCs/>
                <w:sz w:val="24"/>
                <w:szCs w:val="24"/>
              </w:rPr>
              <w:fldChar w:fldCharType="separate"/>
            </w:r>
            <w:r>
              <w:t>①</w:t>
            </w:r>
            <w:r>
              <w:rPr>
                <w:rFonts w:hint="eastAsia"/>
                <w:bCs/>
                <w:sz w:val="24"/>
                <w:szCs w:val="24"/>
              </w:rPr>
              <w:fldChar w:fldCharType="end"/>
            </w:r>
            <w:r>
              <w:rPr>
                <w:sz w:val="24"/>
                <w:szCs w:val="24"/>
              </w:rPr>
              <w:t>加强环境管理，提高员工环保意识，设置专人负责环保，确保各项治理设施正常稳定运行。</w:t>
            </w:r>
          </w:p>
          <w:p w14:paraId="1487EDB2">
            <w:pPr>
              <w:widowControl w:val="0"/>
              <w:autoSpaceDE w:val="0"/>
              <w:autoSpaceDN w:val="0"/>
              <w:adjustRightInd w:val="0"/>
              <w:snapToGrid w:val="0"/>
              <w:spacing w:line="360" w:lineRule="auto"/>
              <w:ind w:firstLine="480" w:firstLineChars="200"/>
              <w:rPr>
                <w:sz w:val="24"/>
                <w:szCs w:val="24"/>
              </w:rPr>
            </w:pPr>
            <w:r>
              <w:rPr>
                <w:sz w:val="24"/>
                <w:szCs w:val="24"/>
              </w:rPr>
              <w:fldChar w:fldCharType="begin"/>
            </w:r>
            <w:r>
              <w:rPr>
                <w:sz w:val="24"/>
                <w:szCs w:val="24"/>
              </w:rPr>
              <w:instrText xml:space="preserve"> = 2 \* GB3 \* MERGEFORMAT </w:instrText>
            </w:r>
            <w:r>
              <w:rPr>
                <w:sz w:val="24"/>
                <w:szCs w:val="24"/>
              </w:rPr>
              <w:fldChar w:fldCharType="separate"/>
            </w:r>
            <w:r>
              <w:t>②</w:t>
            </w:r>
            <w:r>
              <w:rPr>
                <w:sz w:val="24"/>
                <w:szCs w:val="24"/>
              </w:rPr>
              <w:fldChar w:fldCharType="end"/>
            </w:r>
            <w:r>
              <w:rPr>
                <w:sz w:val="24"/>
                <w:szCs w:val="24"/>
              </w:rPr>
              <w:t>加强员工的培训工作及安全生产教育，做好宣传工作，避免意外事故发生。</w:t>
            </w:r>
          </w:p>
          <w:p w14:paraId="3DB68B6C">
            <w:pPr>
              <w:widowControl w:val="0"/>
              <w:autoSpaceDE w:val="0"/>
              <w:autoSpaceDN w:val="0"/>
              <w:adjustRightInd w:val="0"/>
              <w:snapToGrid w:val="0"/>
              <w:spacing w:line="360" w:lineRule="auto"/>
              <w:ind w:firstLine="480" w:firstLineChars="200"/>
              <w:rPr>
                <w:sz w:val="24"/>
                <w:szCs w:val="24"/>
              </w:rPr>
            </w:pPr>
            <w:r>
              <w:rPr>
                <w:sz w:val="24"/>
                <w:szCs w:val="24"/>
              </w:rPr>
              <w:fldChar w:fldCharType="begin"/>
            </w:r>
            <w:r>
              <w:rPr>
                <w:sz w:val="24"/>
                <w:szCs w:val="24"/>
              </w:rPr>
              <w:instrText xml:space="preserve"> = 3 \* GB3 \* MERGEFORMAT </w:instrText>
            </w:r>
            <w:r>
              <w:rPr>
                <w:sz w:val="24"/>
                <w:szCs w:val="24"/>
              </w:rPr>
              <w:fldChar w:fldCharType="separate"/>
            </w:r>
            <w:r>
              <w:t>③</w:t>
            </w:r>
            <w:r>
              <w:rPr>
                <w:sz w:val="24"/>
                <w:szCs w:val="24"/>
              </w:rPr>
              <w:fldChar w:fldCharType="end"/>
            </w:r>
            <w:r>
              <w:rPr>
                <w:sz w:val="24"/>
                <w:szCs w:val="24"/>
              </w:rPr>
              <w:t>做好厂区及周围的绿化工作，净化空气，美化环境。</w:t>
            </w:r>
          </w:p>
          <w:p w14:paraId="1F0F8C32">
            <w:pPr>
              <w:widowControl w:val="0"/>
              <w:autoSpaceDE w:val="0"/>
              <w:autoSpaceDN w:val="0"/>
              <w:adjustRightInd w:val="0"/>
              <w:snapToGrid w:val="0"/>
              <w:spacing w:line="360" w:lineRule="auto"/>
              <w:ind w:firstLine="480" w:firstLineChars="200"/>
              <w:rPr>
                <w:bCs/>
                <w:sz w:val="24"/>
                <w:szCs w:val="24"/>
              </w:rPr>
            </w:pPr>
            <w:r>
              <w:rPr>
                <w:bCs/>
                <w:sz w:val="24"/>
                <w:szCs w:val="24"/>
              </w:rPr>
              <w:fldChar w:fldCharType="begin"/>
            </w:r>
            <w:r>
              <w:rPr>
                <w:bCs/>
                <w:sz w:val="24"/>
                <w:szCs w:val="24"/>
              </w:rPr>
              <w:instrText xml:space="preserve"> = 4 \* GB3 \* MERGEFORMAT </w:instrText>
            </w:r>
            <w:r>
              <w:rPr>
                <w:bCs/>
                <w:sz w:val="24"/>
                <w:szCs w:val="24"/>
              </w:rPr>
              <w:fldChar w:fldCharType="separate"/>
            </w:r>
            <w:r>
              <w:t>④</w:t>
            </w:r>
            <w:r>
              <w:rPr>
                <w:bCs/>
                <w:sz w:val="24"/>
                <w:szCs w:val="24"/>
              </w:rPr>
              <w:fldChar w:fldCharType="end"/>
            </w:r>
            <w:r>
              <w:rPr>
                <w:bCs/>
                <w:sz w:val="24"/>
                <w:szCs w:val="24"/>
              </w:rPr>
              <w:t>落实环保资金，确保污染得到有效控制。</w:t>
            </w:r>
          </w:p>
          <w:p w14:paraId="32822B76">
            <w:pPr>
              <w:widowControl w:val="0"/>
              <w:autoSpaceDE w:val="0"/>
              <w:autoSpaceDN w:val="0"/>
              <w:adjustRightInd w:val="0"/>
              <w:snapToGrid w:val="0"/>
              <w:spacing w:line="360" w:lineRule="auto"/>
              <w:ind w:firstLine="480" w:firstLineChars="200"/>
              <w:rPr>
                <w:bCs/>
                <w:sz w:val="24"/>
                <w:szCs w:val="24"/>
              </w:rPr>
            </w:pPr>
            <w:r>
              <w:rPr>
                <w:sz w:val="24"/>
                <w:szCs w:val="24"/>
              </w:rPr>
              <w:fldChar w:fldCharType="begin"/>
            </w:r>
            <w:r>
              <w:rPr>
                <w:sz w:val="24"/>
                <w:szCs w:val="24"/>
              </w:rPr>
              <w:instrText xml:space="preserve"> = 5 \* GB3 \* MERGEFORMAT </w:instrText>
            </w:r>
            <w:r>
              <w:rPr>
                <w:sz w:val="24"/>
                <w:szCs w:val="24"/>
              </w:rPr>
              <w:fldChar w:fldCharType="separate"/>
            </w:r>
            <w:r>
              <w:t>⑤</w:t>
            </w:r>
            <w:r>
              <w:rPr>
                <w:sz w:val="24"/>
                <w:szCs w:val="24"/>
              </w:rPr>
              <w:fldChar w:fldCharType="end"/>
            </w:r>
            <w:r>
              <w:rPr>
                <w:sz w:val="24"/>
                <w:szCs w:val="24"/>
              </w:rPr>
              <w:t>应保持车间的通风环境，以便操作工人有良好的工作环境。</w:t>
            </w:r>
          </w:p>
          <w:p w14:paraId="46CA2AC7">
            <w:pPr>
              <w:widowControl w:val="0"/>
              <w:autoSpaceDE w:val="0"/>
              <w:autoSpaceDN w:val="0"/>
              <w:adjustRightInd w:val="0"/>
              <w:snapToGrid w:val="0"/>
              <w:spacing w:line="360" w:lineRule="auto"/>
              <w:ind w:firstLine="480" w:firstLineChars="200"/>
              <w:rPr>
                <w:sz w:val="24"/>
                <w:szCs w:val="24"/>
              </w:rPr>
            </w:pPr>
            <w:r>
              <w:rPr>
                <w:sz w:val="24"/>
                <w:szCs w:val="24"/>
              </w:rPr>
              <w:fldChar w:fldCharType="begin"/>
            </w:r>
            <w:r>
              <w:rPr>
                <w:sz w:val="24"/>
                <w:szCs w:val="24"/>
              </w:rPr>
              <w:instrText xml:space="preserve"> = 6 \* GB3 \* MERGEFORMAT </w:instrText>
            </w:r>
            <w:r>
              <w:rPr>
                <w:sz w:val="24"/>
                <w:szCs w:val="24"/>
              </w:rPr>
              <w:fldChar w:fldCharType="separate"/>
            </w:r>
            <w:r>
              <w:t>⑥</w:t>
            </w:r>
            <w:r>
              <w:rPr>
                <w:sz w:val="24"/>
                <w:szCs w:val="24"/>
              </w:rPr>
              <w:fldChar w:fldCharType="end"/>
            </w:r>
            <w:r>
              <w:rPr>
                <w:sz w:val="24"/>
                <w:szCs w:val="24"/>
              </w:rPr>
              <w:t>关心并积极听取可能受项目环境影响的附近人员、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54D7F71F">
            <w:pPr>
              <w:pStyle w:val="24"/>
              <w:widowControl/>
              <w:spacing w:after="0" w:line="360" w:lineRule="auto"/>
              <w:ind w:left="0" w:leftChars="0" w:firstLine="482"/>
              <w:rPr>
                <w:b/>
                <w:bCs/>
                <w:sz w:val="24"/>
                <w:szCs w:val="24"/>
              </w:rPr>
            </w:pPr>
            <w:r>
              <w:rPr>
                <w:rFonts w:hint="eastAsia"/>
                <w:b/>
                <w:bCs/>
                <w:sz w:val="24"/>
                <w:szCs w:val="24"/>
              </w:rPr>
              <w:t>环境影响评价总体结论：</w:t>
            </w:r>
          </w:p>
          <w:p w14:paraId="7C305080">
            <w:pPr>
              <w:widowControl w:val="0"/>
              <w:autoSpaceDE w:val="0"/>
              <w:autoSpaceDN w:val="0"/>
              <w:adjustRightInd w:val="0"/>
              <w:snapToGrid w:val="0"/>
              <w:spacing w:line="360" w:lineRule="auto"/>
              <w:ind w:firstLine="480" w:firstLineChars="200"/>
              <w:rPr>
                <w:b/>
                <w:sz w:val="24"/>
                <w:szCs w:val="24"/>
              </w:rPr>
            </w:pPr>
            <w:r>
              <w:rPr>
                <w:sz w:val="24"/>
              </w:rPr>
              <w:t>综上所述，</w:t>
            </w:r>
            <w:r>
              <w:rPr>
                <w:rFonts w:hint="eastAsia"/>
                <w:sz w:val="24"/>
              </w:rPr>
              <w:t>本项目</w:t>
            </w:r>
            <w:r>
              <w:rPr>
                <w:sz w:val="24"/>
              </w:rPr>
              <w:t>符合国家产业政策，</w:t>
            </w:r>
            <w:r>
              <w:rPr>
                <w:rFonts w:hint="eastAsia"/>
                <w:sz w:val="24"/>
              </w:rPr>
              <w:t>项目选址符合当地规划要求。项目所在区大气、地表水以及噪声环境质量现状良好</w:t>
            </w:r>
            <w:r>
              <w:rPr>
                <w:sz w:val="24"/>
              </w:rPr>
              <w:t>；在优化的污染防治措施实施后，本项目废水、废气和噪声可稳定达标排放，固废可得到妥善处置，本项目排放的各种污染物对环境的影响程度和范围均较小。因此，从环境</w:t>
            </w:r>
            <w:r>
              <w:rPr>
                <w:rFonts w:hint="eastAsia"/>
                <w:sz w:val="24"/>
              </w:rPr>
              <w:t>影响角度分析</w:t>
            </w:r>
            <w:r>
              <w:rPr>
                <w:sz w:val="24"/>
              </w:rPr>
              <w:t>，</w:t>
            </w:r>
            <w:r>
              <w:rPr>
                <w:rFonts w:hint="eastAsia"/>
                <w:sz w:val="24"/>
              </w:rPr>
              <w:t>本</w:t>
            </w:r>
            <w:r>
              <w:rPr>
                <w:sz w:val="24"/>
              </w:rPr>
              <w:t>项目的建设</w:t>
            </w:r>
            <w:r>
              <w:rPr>
                <w:rFonts w:hint="eastAsia"/>
                <w:sz w:val="24"/>
              </w:rPr>
              <w:t>是</w:t>
            </w:r>
            <w:r>
              <w:rPr>
                <w:sz w:val="24"/>
              </w:rPr>
              <w:t>可行</w:t>
            </w:r>
            <w:r>
              <w:rPr>
                <w:rFonts w:hint="eastAsia"/>
                <w:sz w:val="24"/>
              </w:rPr>
              <w:t>的</w:t>
            </w:r>
            <w:r>
              <w:rPr>
                <w:rFonts w:hint="eastAsia"/>
                <w:sz w:val="24"/>
                <w:szCs w:val="24"/>
              </w:rPr>
              <w:t>。</w:t>
            </w:r>
          </w:p>
          <w:p w14:paraId="648D4272">
            <w:pPr>
              <w:widowControl w:val="0"/>
              <w:snapToGrid w:val="0"/>
              <w:spacing w:line="360" w:lineRule="auto"/>
              <w:ind w:firstLine="482"/>
              <w:rPr>
                <w:b/>
                <w:bCs/>
                <w:sz w:val="24"/>
              </w:rPr>
            </w:pPr>
            <w:r>
              <w:rPr>
                <w:rFonts w:hint="eastAsia"/>
                <w:b/>
                <w:bCs/>
                <w:sz w:val="24"/>
              </w:rPr>
              <w:t>二、审批部门审批决定</w:t>
            </w:r>
          </w:p>
          <w:p w14:paraId="41CA8BA2">
            <w:pPr>
              <w:widowControl w:val="0"/>
              <w:snapToGrid w:val="0"/>
              <w:spacing w:line="360" w:lineRule="auto"/>
              <w:ind w:firstLine="482"/>
              <w:jc w:val="right"/>
              <w:rPr>
                <w:rFonts w:ascii="仿宋_GB2312" w:eastAsia="仿宋_GB2312"/>
                <w:sz w:val="28"/>
                <w:szCs w:val="28"/>
              </w:rPr>
            </w:pPr>
            <w:r>
              <w:rPr>
                <w:rFonts w:hint="eastAsia" w:ascii="仿宋_GB2312" w:eastAsia="仿宋_GB2312"/>
                <w:sz w:val="28"/>
                <w:szCs w:val="28"/>
              </w:rPr>
              <w:t>郎环函〔2024〕82号</w:t>
            </w:r>
          </w:p>
          <w:p w14:paraId="5D35BB90">
            <w:pPr>
              <w:widowControl w:val="0"/>
              <w:snapToGrid w:val="0"/>
              <w:spacing w:line="360" w:lineRule="auto"/>
              <w:ind w:firstLine="482"/>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关于宣城兴旺达精密科技有限公司年产400万件新能源汽车电池零部件项目环境影响报告表的批复</w:t>
            </w:r>
          </w:p>
          <w:p w14:paraId="71695F66">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宣城兴旺达精密科技有限公司：</w:t>
            </w:r>
          </w:p>
          <w:p w14:paraId="727DAEF5">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你公司报来的《宣城兴旺达精密科技有限公司年产400万件新能源汽车电池零部件项目环境影响报告表》及审批申请悉（以下简称《报告表》)。经专家技术审查及我局集体审议，现批复如下：</w:t>
            </w:r>
          </w:p>
          <w:p w14:paraId="5AADE437">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一、项目位于梅渚工业园，拟投资5000万元，购置生产设备、辅助设备及环保设备等进行新建项目，项目建成后年产400万件新能源汽车电池零部件。</w:t>
            </w:r>
          </w:p>
          <w:p w14:paraId="5C18EB85">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bCs/>
                <w:sz w:val="24"/>
                <w:szCs w:val="24"/>
              </w:rPr>
              <w:t>二、项目业经郎溪县发展和改革委员会发改备案〔2022〕118号文立项（项目代码2210-341821-04-05-263586），</w:t>
            </w:r>
            <w:r>
              <w:rPr>
                <w:rFonts w:hint="eastAsia" w:asciiTheme="minorEastAsia" w:hAnsiTheme="minorEastAsia" w:eastAsiaTheme="minorEastAsia"/>
                <w:sz w:val="24"/>
                <w:szCs w:val="24"/>
              </w:rPr>
              <w:t>需全面落实《报告表》中提出的污染防治对策和措施。</w:t>
            </w:r>
          </w:p>
          <w:p w14:paraId="4310297A">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我局原则同意《报告表》中环境影响评价总体结论和拟采取的生态环境保护措施。</w:t>
            </w:r>
          </w:p>
          <w:p w14:paraId="5E141731">
            <w:pPr>
              <w:widowControl w:val="0"/>
              <w:numPr>
                <w:ilvl w:val="0"/>
                <w:numId w:val="8"/>
              </w:num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你公司在项目实施过程中应重点做好以下工作：</w:t>
            </w:r>
          </w:p>
          <w:p w14:paraId="43CAA5E4">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一）按要求落实水污染防治措施。近期生活污水经过隔油池+化粪池预处理后用于厂区绿化，远期待梅渚镇污水处理厂管网建设好后，接管至梅渚镇污水处理厂处理。生产废水经过厂区自建的污水处理站处理后回用于生产，定期捞渣不排放。</w:t>
            </w:r>
          </w:p>
          <w:p w14:paraId="504AF5AB">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（二）按要求落实大气污染防治措施。不得使用高VOCs含量的物料，强化废气的收集处理和治理设施有效安全运行，确保各类废气稳定达标排放。</w:t>
            </w:r>
          </w:p>
          <w:p w14:paraId="66BF72CA">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焊接、砂修、抛丸废气收集经布袋除尘器处理,喷塑粉尘收集经旋风除尘器+布袋除尘器处理，固化废气、丙烷燃烧废气收集经过滤棉+二级活性炭吸附装置处理，调漆、喷漆、流平烘干、危废库、喷枪清洗废气、丙烷燃烧废气收集经喷淋塔+过滤棉+二级活性炭吸附装置处理。</w:t>
            </w:r>
          </w:p>
          <w:p w14:paraId="59A3AF22">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（三）按要求落实噪声污染防治措施。采取减振、消声、隔声降噪等措施，减少噪声对外界环境的影响，确保厂界噪声及周边声环境功能区达标。</w:t>
            </w:r>
          </w:p>
          <w:p w14:paraId="77829FF0">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（四）按要求落实固体废物污染防治措施。按分类收集、贮存，分质处置的原则，认真落实固体废物收集、贮存和处置工作。依法严格落实危险废物全过程规范化管理的各项要求。</w:t>
            </w:r>
          </w:p>
          <w:p w14:paraId="693EAC4D">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一般工业固废参照执行《一般工业固体废物贮存和填埋污染控制标准》（GB18599-2020）。危险废物执行《危险废物贮存污染控制标准》(GB18597-2023)。</w:t>
            </w:r>
          </w:p>
          <w:p w14:paraId="2464F864">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五）强化风险防范和应急措施。按要求加强运输、贮存、生产等环节风险防范措施，防范污染事件发生。你公司须建立有效的风险防范措施及预警体系，配备相应的应急设施和物资。依法编制突发环境事件应急预案并备案，定期开展应急培训和演练。风险防控工作纳入项目“三同时”管理。</w:t>
            </w:r>
          </w:p>
          <w:p w14:paraId="5099D5D1">
            <w:pPr>
              <w:widowControl w:val="0"/>
              <w:snapToGrid w:val="0"/>
              <w:spacing w:line="360" w:lineRule="auto"/>
              <w:ind w:firstLine="482"/>
              <w:rPr>
                <w:rFonts w:hint="eastAsia" w:asciiTheme="minorEastAsia" w:hAnsiTheme="minorEastAsia" w:eastAsiaTheme="minorEastAsia"/>
                <w:bCs/>
                <w:sz w:val="24"/>
                <w:szCs w:val="24"/>
              </w:rPr>
            </w:pPr>
            <w:r>
              <w:rPr>
                <w:rFonts w:hint="eastAsia" w:asciiTheme="minorEastAsia" w:hAnsiTheme="minorEastAsia" w:eastAsiaTheme="minorEastAsia"/>
                <w:bCs/>
                <w:sz w:val="24"/>
                <w:szCs w:val="24"/>
              </w:rPr>
              <w:t>（六）按要求做好分区防渗，规范设置排放口、应急事故池和固废（含危废）暂存场所。</w:t>
            </w:r>
          </w:p>
          <w:p w14:paraId="38AC8353">
            <w:pPr>
              <w:widowControl w:val="0"/>
              <w:snapToGrid w:val="0"/>
              <w:spacing w:line="360" w:lineRule="auto"/>
              <w:ind w:firstLine="482"/>
              <w:rPr>
                <w:rFonts w:hint="eastAsia" w:asciiTheme="minorEastAsia" w:hAnsiTheme="minorEastAsia" w:eastAsiaTheme="minorEastAsia"/>
                <w:bCs/>
                <w:sz w:val="24"/>
                <w:szCs w:val="24"/>
              </w:rPr>
            </w:pPr>
            <w:r>
              <w:rPr>
                <w:rFonts w:hint="eastAsia" w:asciiTheme="minorEastAsia" w:hAnsiTheme="minorEastAsia" w:eastAsiaTheme="minorEastAsia"/>
                <w:sz w:val="24"/>
                <w:szCs w:val="24"/>
              </w:rPr>
              <w:t>（七）</w:t>
            </w:r>
            <w:r>
              <w:rPr>
                <w:rFonts w:hint="eastAsia" w:asciiTheme="minorEastAsia" w:hAnsiTheme="minorEastAsia" w:eastAsiaTheme="minorEastAsia"/>
                <w:bCs/>
                <w:sz w:val="24"/>
                <w:szCs w:val="24"/>
              </w:rPr>
              <w:t>主要污染物排放指标不得超过核定的总量控制指标。总量控制指标完成情况纳入竣工环境保护验收内容。</w:t>
            </w:r>
          </w:p>
          <w:p w14:paraId="4D36DD2B">
            <w:pPr>
              <w:widowControl w:val="0"/>
              <w:snapToGrid w:val="0"/>
              <w:spacing w:line="360" w:lineRule="auto"/>
              <w:ind w:firstLine="482"/>
              <w:rPr>
                <w:rFonts w:hint="eastAsia" w:asciiTheme="minorEastAsia" w:hAnsiTheme="minorEastAsia" w:eastAsiaTheme="minorEastAsia"/>
                <w:bCs/>
                <w:sz w:val="24"/>
                <w:szCs w:val="24"/>
              </w:rPr>
            </w:pPr>
            <w:r>
              <w:rPr>
                <w:rFonts w:hint="eastAsia" w:asciiTheme="minorEastAsia" w:hAnsiTheme="minorEastAsia" w:eastAsiaTheme="minorEastAsia"/>
                <w:bCs/>
                <w:sz w:val="24"/>
                <w:szCs w:val="24"/>
              </w:rPr>
              <w:t>（八）项目在施工和运营过程中，应建立畅通的公众参与平台，满足公众合理的环境保护要求，定期发布企业环境信息，并主动接受社会监督。</w:t>
            </w:r>
          </w:p>
          <w:p w14:paraId="4CCFA88A">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四、</w:t>
            </w:r>
            <w:r>
              <w:rPr>
                <w:rFonts w:hint="eastAsia" w:asciiTheme="minorEastAsia" w:hAnsiTheme="minorEastAsia" w:eastAsiaTheme="minorEastAsia"/>
                <w:bCs/>
                <w:sz w:val="24"/>
                <w:szCs w:val="24"/>
              </w:rPr>
              <w:t>严格执行排污许可制度。</w:t>
            </w:r>
            <w:r>
              <w:rPr>
                <w:rFonts w:hint="eastAsia" w:asciiTheme="minorEastAsia" w:hAnsiTheme="minorEastAsia" w:eastAsiaTheme="minorEastAsia"/>
                <w:sz w:val="24"/>
                <w:szCs w:val="24"/>
              </w:rPr>
              <w:t>建设项目发生实际排污行为之前应申领排污许可证，建设项目无证排污或不按证排污的，根据环境保护设施验收条件有关规定，你单位不得出具环境保护设施验收合格意见。</w:t>
            </w:r>
          </w:p>
          <w:p w14:paraId="5581A1E1">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五、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 </w:t>
            </w:r>
          </w:p>
          <w:p w14:paraId="692C1638">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六、你公司应严格按照《报告表》进行项目建设，未经我局批准，不得擅自变更，若项目性质、规模、地点、采用的生产工艺或者污染防治措施发生重大变动，你公司应重新报批本项目的环评文件。   </w:t>
            </w:r>
          </w:p>
          <w:p w14:paraId="5B5D483F">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七、请宣城市生态环境保护综合行政执法支队郎溪县大队负责该项目“三同时”执行情况的监督及日常监管工作。</w:t>
            </w:r>
          </w:p>
          <w:p w14:paraId="24A973ED">
            <w:pPr>
              <w:widowControl w:val="0"/>
              <w:snapToGrid w:val="0"/>
              <w:spacing w:line="360"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w:t>
            </w:r>
          </w:p>
          <w:p w14:paraId="13D1192D">
            <w:pPr>
              <w:widowControl w:val="0"/>
              <w:snapToGrid w:val="0"/>
              <w:spacing w:line="360" w:lineRule="auto"/>
              <w:ind w:firstLine="482"/>
              <w:jc w:val="right"/>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2024年9月30日</w:t>
            </w:r>
          </w:p>
          <w:p w14:paraId="3E34CBDD">
            <w:pPr>
              <w:widowControl w:val="0"/>
              <w:autoSpaceDE w:val="0"/>
              <w:autoSpaceDN w:val="0"/>
              <w:adjustRightInd w:val="0"/>
              <w:snapToGrid w:val="0"/>
              <w:ind w:firstLine="482"/>
              <w:jc w:val="center"/>
              <w:rPr>
                <w:rFonts w:ascii="仿宋" w:hAnsi="仿宋" w:eastAsia="仿宋" w:cs="宋体"/>
                <w:kern w:val="0"/>
                <w:sz w:val="24"/>
                <w:szCs w:val="24"/>
              </w:rPr>
            </w:pPr>
          </w:p>
          <w:p w14:paraId="35D7F562">
            <w:pPr>
              <w:widowControl w:val="0"/>
              <w:autoSpaceDE w:val="0"/>
              <w:autoSpaceDN w:val="0"/>
              <w:adjustRightInd w:val="0"/>
              <w:snapToGrid w:val="0"/>
              <w:ind w:firstLine="482"/>
              <w:jc w:val="center"/>
              <w:rPr>
                <w:b/>
                <w:bCs/>
                <w:sz w:val="24"/>
              </w:rPr>
            </w:pPr>
            <w:r>
              <w:rPr>
                <w:rFonts w:hint="eastAsia"/>
                <w:b/>
                <w:bCs/>
                <w:sz w:val="24"/>
              </w:rPr>
              <w:t>表 4-1 环评批复要求与项目实际落实情况对比一览表</w:t>
            </w:r>
          </w:p>
          <w:tbl>
            <w:tblPr>
              <w:tblStyle w:val="26"/>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4854"/>
              <w:gridCol w:w="3710"/>
            </w:tblGrid>
            <w:tr w14:paraId="146F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38ED857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000000" w:themeColor="text1"/>
                      <w:szCs w:val="16"/>
                      <w14:textFill>
                        <w14:solidFill>
                          <w14:schemeClr w14:val="tx1"/>
                        </w14:solidFill>
                      </w14:textFill>
                    </w:rPr>
                  </w:pPr>
                  <w:r>
                    <w:rPr>
                      <w:rFonts w:hint="eastAsia"/>
                      <w:b/>
                      <w:bCs/>
                      <w:color w:val="000000" w:themeColor="text1"/>
                      <w:szCs w:val="16"/>
                      <w14:textFill>
                        <w14:solidFill>
                          <w14:schemeClr w14:val="tx1"/>
                        </w14:solidFill>
                      </w14:textFill>
                    </w:rPr>
                    <w:t>序号</w:t>
                  </w:r>
                </w:p>
              </w:tc>
              <w:tc>
                <w:tcPr>
                  <w:tcW w:w="4854" w:type="dxa"/>
                  <w:vAlign w:val="center"/>
                </w:tcPr>
                <w:p w14:paraId="0B272B43">
                  <w:pPr>
                    <w:keepNext w:val="0"/>
                    <w:keepLines w:val="0"/>
                    <w:pageBreakBefore w:val="0"/>
                    <w:widowControl w:val="0"/>
                    <w:kinsoku/>
                    <w:wordWrap/>
                    <w:overflowPunct/>
                    <w:topLinePunct w:val="0"/>
                    <w:bidi w:val="0"/>
                    <w:ind w:firstLine="0"/>
                    <w:jc w:val="center"/>
                    <w:textAlignment w:val="auto"/>
                    <w:rPr>
                      <w:b/>
                      <w:bCs/>
                      <w:color w:val="000000" w:themeColor="text1"/>
                      <w:szCs w:val="16"/>
                      <w14:textFill>
                        <w14:solidFill>
                          <w14:schemeClr w14:val="tx1"/>
                        </w14:solidFill>
                      </w14:textFill>
                    </w:rPr>
                  </w:pPr>
                  <w:r>
                    <w:rPr>
                      <w:rFonts w:hint="eastAsia"/>
                      <w:b/>
                      <w:bCs/>
                      <w:color w:val="000000" w:themeColor="text1"/>
                      <w:szCs w:val="16"/>
                      <w14:textFill>
                        <w14:solidFill>
                          <w14:schemeClr w14:val="tx1"/>
                        </w14:solidFill>
                      </w14:textFill>
                    </w:rPr>
                    <w:t>环评批文要求</w:t>
                  </w:r>
                </w:p>
              </w:tc>
              <w:tc>
                <w:tcPr>
                  <w:tcW w:w="3710" w:type="dxa"/>
                  <w:vAlign w:val="center"/>
                </w:tcPr>
                <w:p w14:paraId="78B35FC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000000" w:themeColor="text1"/>
                      <w:szCs w:val="16"/>
                      <w14:textFill>
                        <w14:solidFill>
                          <w14:schemeClr w14:val="tx1"/>
                        </w14:solidFill>
                      </w14:textFill>
                    </w:rPr>
                  </w:pPr>
                  <w:r>
                    <w:rPr>
                      <w:rFonts w:hint="eastAsia"/>
                      <w:b/>
                      <w:bCs/>
                      <w:color w:val="000000" w:themeColor="text1"/>
                      <w:szCs w:val="16"/>
                      <w14:textFill>
                        <w14:solidFill>
                          <w14:schemeClr w14:val="tx1"/>
                        </w14:solidFill>
                      </w14:textFill>
                    </w:rPr>
                    <w:t>落实情况</w:t>
                  </w:r>
                </w:p>
              </w:tc>
            </w:tr>
            <w:tr w14:paraId="3DD5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0" w:type="auto"/>
                  <w:vAlign w:val="center"/>
                </w:tcPr>
                <w:p w14:paraId="161E45C0">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1</w:t>
                  </w:r>
                </w:p>
              </w:tc>
              <w:tc>
                <w:tcPr>
                  <w:tcW w:w="4854" w:type="dxa"/>
                  <w:vAlign w:val="center"/>
                </w:tcPr>
                <w:p w14:paraId="549B7F06">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按要求落实水污染防治措施。近期生活污水经过隔油池+化粪池预处理后用于厂区绿化，远期待梅渚镇污水处理厂管网建设好后，接管至梅渚镇污水处理厂处理。生产废水经过厂区自建的污水处理站处理后回用于生产，定期捞渣不排放。</w:t>
                  </w:r>
                </w:p>
              </w:tc>
              <w:tc>
                <w:tcPr>
                  <w:tcW w:w="3710" w:type="dxa"/>
                  <w:vAlign w:val="center"/>
                </w:tcPr>
                <w:p w14:paraId="5569A6DE">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color w:val="000000" w:themeColor="text1"/>
                      <w:szCs w:val="16"/>
                      <w14:textFill>
                        <w14:solidFill>
                          <w14:schemeClr w14:val="tx1"/>
                        </w14:solidFill>
                      </w14:textFill>
                    </w:rPr>
                  </w:pPr>
                  <w:r>
                    <w:rPr>
                      <w:rFonts w:hint="eastAsia"/>
                      <w:b/>
                      <w:color w:val="000000" w:themeColor="text1"/>
                      <w:szCs w:val="16"/>
                      <w14:textFill>
                        <w14:solidFill>
                          <w14:schemeClr w14:val="tx1"/>
                        </w14:solidFill>
                      </w14:textFill>
                    </w:rPr>
                    <w:t>已落实</w:t>
                  </w:r>
                </w:p>
                <w:p w14:paraId="51337328">
                  <w:pPr>
                    <w:pStyle w:val="21"/>
                    <w:keepNext w:val="0"/>
                    <w:keepLines w:val="0"/>
                    <w:pageBreakBefore w:val="0"/>
                    <w:widowControl w:val="0"/>
                    <w:kinsoku/>
                    <w:wordWrap/>
                    <w:overflowPunct/>
                    <w:topLinePunct w:val="0"/>
                    <w:bidi w:val="0"/>
                    <w:spacing w:after="0" w:line="240" w:lineRule="auto"/>
                    <w:ind w:firstLine="0"/>
                    <w:textAlignment w:val="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生活污水经过隔油池+化粪池预处理用于厂区绿地灌溉；生产废水经过厂区自建的污水处理站（主要工艺为三级沉淀池）处理后回用于生产，定期捞渣不排放，漆渣作为危废处置</w:t>
                  </w:r>
                </w:p>
              </w:tc>
            </w:tr>
            <w:tr w14:paraId="018B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470AD44A">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2</w:t>
                  </w:r>
                </w:p>
              </w:tc>
              <w:tc>
                <w:tcPr>
                  <w:tcW w:w="4854" w:type="dxa"/>
                  <w:vAlign w:val="center"/>
                </w:tcPr>
                <w:p w14:paraId="6D43AFE9">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按要求落实大气污染防治措施。不得使用高VOCs含量的物料，强化废气的收集处理和治理设施有效安全运行，确保各类废气稳定达标排放。</w:t>
                  </w:r>
                </w:p>
                <w:p w14:paraId="070C89D2">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焊接、砂修、抛丸废气收集经布袋除尘器处理,喷塑粉尘收集经旋风除尘器+布袋除尘器处理，固化废气、丙烷燃烧废气收集经过滤棉+二级活性炭吸附装置处理，调漆、喷漆、流平烘干、危废库、喷枪清洗废气、丙烷燃烧废气收集经喷淋塔+过滤棉+二级活性炭吸附装置处理。</w:t>
                  </w:r>
                </w:p>
              </w:tc>
              <w:tc>
                <w:tcPr>
                  <w:tcW w:w="3710" w:type="dxa"/>
                  <w:vAlign w:val="center"/>
                </w:tcPr>
                <w:p w14:paraId="23F5A4C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color w:val="000000" w:themeColor="text1"/>
                      <w:szCs w:val="16"/>
                      <w14:textFill>
                        <w14:solidFill>
                          <w14:schemeClr w14:val="tx1"/>
                        </w14:solidFill>
                      </w14:textFill>
                    </w:rPr>
                  </w:pPr>
                  <w:r>
                    <w:rPr>
                      <w:rFonts w:hint="eastAsia"/>
                      <w:b/>
                      <w:color w:val="000000" w:themeColor="text1"/>
                      <w:szCs w:val="16"/>
                      <w14:textFill>
                        <w14:solidFill>
                          <w14:schemeClr w14:val="tx1"/>
                        </w14:solidFill>
                      </w14:textFill>
                    </w:rPr>
                    <w:t>已落实</w:t>
                  </w:r>
                </w:p>
                <w:p w14:paraId="7396F6E8">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rFonts w:hint="eastAsia" w:eastAsia="宋体"/>
                      <w:bCs/>
                      <w:color w:val="000000" w:themeColor="text1"/>
                      <w:szCs w:val="16"/>
                      <w:lang w:eastAsia="zh-CN"/>
                      <w14:textFill>
                        <w14:solidFill>
                          <w14:schemeClr w14:val="tx1"/>
                        </w14:solidFill>
                      </w14:textFill>
                    </w:rPr>
                  </w:pPr>
                  <w:r>
                    <w:rPr>
                      <w:bCs/>
                      <w:color w:val="000000" w:themeColor="text1"/>
                      <w:szCs w:val="16"/>
                      <w14:textFill>
                        <w14:solidFill>
                          <w14:schemeClr w14:val="tx1"/>
                        </w14:solidFill>
                      </w14:textFill>
                    </w:rPr>
                    <w:t>砂修废气经集气罩收集、抛丸粉尘经过密闭收集，收集后的焊接烟尘、砂修废气、抛丸粉尘合并通过1套布袋除尘器装置处理后，尾气通过一根15m高的排气筒排放（排气筒编号：DA001排气筒）</w:t>
                  </w:r>
                  <w:r>
                    <w:rPr>
                      <w:rFonts w:hint="eastAsia"/>
                      <w:bCs/>
                      <w:color w:val="000000" w:themeColor="text1"/>
                      <w:szCs w:val="16"/>
                      <w:lang w:eastAsia="zh-CN"/>
                      <w14:textFill>
                        <w14:solidFill>
                          <w14:schemeClr w14:val="tx1"/>
                        </w14:solidFill>
                      </w14:textFill>
                    </w:rPr>
                    <w:t>；</w:t>
                  </w:r>
                </w:p>
                <w:p w14:paraId="463BAB86">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bCs/>
                      <w:color w:val="000000" w:themeColor="text1"/>
                      <w:szCs w:val="16"/>
                      <w14:textFill>
                        <w14:solidFill>
                          <w14:schemeClr w14:val="tx1"/>
                        </w14:solidFill>
                      </w14:textFill>
                    </w:rPr>
                  </w:pPr>
                  <w:r>
                    <w:rPr>
                      <w:bCs/>
                      <w:color w:val="000000" w:themeColor="text1"/>
                      <w:szCs w:val="16"/>
                      <w14:textFill>
                        <w14:solidFill>
                          <w14:schemeClr w14:val="tx1"/>
                        </w14:solidFill>
                      </w14:textFill>
                    </w:rPr>
                    <w:t>喷塑粉尘经过密闭抽风收集后，通过1套旋风除尘器+</w:t>
                  </w:r>
                  <w:r>
                    <w:rPr>
                      <w:rFonts w:hint="eastAsia"/>
                      <w:bCs/>
                      <w:color w:val="000000" w:themeColor="text1"/>
                      <w:szCs w:val="16"/>
                      <w14:textFill>
                        <w14:solidFill>
                          <w14:schemeClr w14:val="tx1"/>
                        </w14:solidFill>
                      </w14:textFill>
                    </w:rPr>
                    <w:t>布袋</w:t>
                  </w:r>
                  <w:r>
                    <w:rPr>
                      <w:bCs/>
                      <w:color w:val="000000" w:themeColor="text1"/>
                      <w:szCs w:val="16"/>
                      <w14:textFill>
                        <w14:solidFill>
                          <w14:schemeClr w14:val="tx1"/>
                        </w14:solidFill>
                      </w14:textFill>
                    </w:rPr>
                    <w:t>除尘器处理后通过一根15m高排气筒排放（排气筒编号：DA002）；</w:t>
                  </w:r>
                </w:p>
                <w:p w14:paraId="6F06201E">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rFonts w:hint="eastAsia"/>
                      <w:bCs/>
                      <w:color w:val="000000" w:themeColor="text1"/>
                      <w:szCs w:val="16"/>
                      <w:lang w:eastAsia="zh-CN"/>
                      <w14:textFill>
                        <w14:solidFill>
                          <w14:schemeClr w14:val="tx1"/>
                        </w14:solidFill>
                      </w14:textFill>
                    </w:rPr>
                  </w:pPr>
                  <w:r>
                    <w:rPr>
                      <w:bCs/>
                      <w:color w:val="000000" w:themeColor="text1"/>
                      <w:szCs w:val="16"/>
                      <w14:textFill>
                        <w14:solidFill>
                          <w14:schemeClr w14:val="tx1"/>
                        </w14:solidFill>
                      </w14:textFill>
                    </w:rPr>
                    <w:t>固化废气、丙烷燃烧废气经过集气罩收集后通过1套</w:t>
                  </w:r>
                  <w:r>
                    <w:rPr>
                      <w:rFonts w:hint="eastAsia"/>
                      <w:bCs/>
                      <w:color w:val="000000" w:themeColor="text1"/>
                      <w:szCs w:val="16"/>
                      <w14:textFill>
                        <w14:solidFill>
                          <w14:schemeClr w14:val="tx1"/>
                        </w14:solidFill>
                      </w14:textFill>
                    </w:rPr>
                    <w:t>过滤棉+</w:t>
                  </w:r>
                  <w:r>
                    <w:rPr>
                      <w:bCs/>
                      <w:color w:val="000000" w:themeColor="text1"/>
                      <w:szCs w:val="16"/>
                      <w14:textFill>
                        <w14:solidFill>
                          <w14:schemeClr w14:val="tx1"/>
                        </w14:solidFill>
                      </w14:textFill>
                    </w:rPr>
                    <w:t>二级活性炭吸附装置处理通过一根15m高的排气筒排放（排气筒编号：DA004）</w:t>
                  </w:r>
                  <w:r>
                    <w:rPr>
                      <w:rFonts w:hint="eastAsia"/>
                      <w:bCs/>
                      <w:color w:val="000000" w:themeColor="text1"/>
                      <w:szCs w:val="16"/>
                      <w:lang w:eastAsia="zh-CN"/>
                      <w14:textFill>
                        <w14:solidFill>
                          <w14:schemeClr w14:val="tx1"/>
                        </w14:solidFill>
                      </w14:textFill>
                    </w:rPr>
                    <w:t>；</w:t>
                  </w:r>
                </w:p>
                <w:p w14:paraId="4756D9E7">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rFonts w:hint="eastAsia"/>
                      <w:bCs/>
                      <w:color w:val="000000" w:themeColor="text1"/>
                      <w:szCs w:val="16"/>
                      <w:lang w:eastAsia="zh-CN"/>
                      <w14:textFill>
                        <w14:solidFill>
                          <w14:schemeClr w14:val="tx1"/>
                        </w14:solidFill>
                      </w14:textFill>
                    </w:rPr>
                  </w:pPr>
                  <w:r>
                    <w:rPr>
                      <w:rFonts w:hint="eastAsia"/>
                      <w:bCs/>
                      <w:color w:val="000000" w:themeColor="text1"/>
                      <w:szCs w:val="16"/>
                      <w:lang w:eastAsia="zh-CN"/>
                      <w14:textFill>
                        <w14:solidFill>
                          <w14:schemeClr w14:val="tx1"/>
                        </w14:solidFill>
                      </w14:textFill>
                    </w:rPr>
                    <w:t>调漆废气、喷漆废气、烘干废气、喷枪清洗废气、丙烷燃烧废气经密闭抽风收集后通过一套喷淋塔+过滤棉+二级活性炭吸附装置处理后，尾气通过一根高15m的排气筒排放。（排气筒编号DA003）</w:t>
                  </w:r>
                </w:p>
              </w:tc>
            </w:tr>
            <w:tr w14:paraId="2D22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50A2CD3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3</w:t>
                  </w:r>
                </w:p>
              </w:tc>
              <w:tc>
                <w:tcPr>
                  <w:tcW w:w="4854" w:type="dxa"/>
                  <w:vAlign w:val="center"/>
                </w:tcPr>
                <w:p w14:paraId="2D79B792">
                  <w:pPr>
                    <w:pStyle w:val="24"/>
                    <w:keepNext w:val="0"/>
                    <w:keepLines w:val="0"/>
                    <w:pageBreakBefore w:val="0"/>
                    <w:widowControl w:val="0"/>
                    <w:kinsoku/>
                    <w:wordWrap/>
                    <w:overflowPunct/>
                    <w:topLinePunct w:val="0"/>
                    <w:bidi w:val="0"/>
                    <w:spacing w:after="0"/>
                    <w:ind w:left="0" w:leftChars="0" w:firstLine="0" w:firstLineChars="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按要求落实噪声污染防治措施。采取减振、消声、隔声降噪等措施，减少噪声对外界环境的影响，确保厂界噪声及周边声环境功能区达标。</w:t>
                  </w:r>
                </w:p>
              </w:tc>
              <w:tc>
                <w:tcPr>
                  <w:tcW w:w="3710" w:type="dxa"/>
                  <w:vAlign w:val="center"/>
                </w:tcPr>
                <w:p w14:paraId="7EB229E8">
                  <w:pPr>
                    <w:pStyle w:val="24"/>
                    <w:keepNext w:val="0"/>
                    <w:keepLines w:val="0"/>
                    <w:pageBreakBefore w:val="0"/>
                    <w:widowControl w:val="0"/>
                    <w:kinsoku/>
                    <w:wordWrap/>
                    <w:overflowPunct/>
                    <w:topLinePunct w:val="0"/>
                    <w:bidi w:val="0"/>
                    <w:spacing w:after="0"/>
                    <w:ind w:left="0" w:leftChars="0" w:firstLine="0" w:firstLineChars="0"/>
                    <w:jc w:val="center"/>
                    <w:textAlignment w:val="auto"/>
                    <w:rPr>
                      <w:b/>
                      <w:color w:val="000000" w:themeColor="text1"/>
                      <w:szCs w:val="16"/>
                      <w14:textFill>
                        <w14:solidFill>
                          <w14:schemeClr w14:val="tx1"/>
                        </w14:solidFill>
                      </w14:textFill>
                    </w:rPr>
                  </w:pPr>
                  <w:r>
                    <w:rPr>
                      <w:rFonts w:hint="eastAsia"/>
                      <w:b/>
                      <w:color w:val="000000" w:themeColor="text1"/>
                      <w:szCs w:val="16"/>
                      <w14:textFill>
                        <w14:solidFill>
                          <w14:schemeClr w14:val="tx1"/>
                        </w14:solidFill>
                      </w14:textFill>
                    </w:rPr>
                    <w:t>已落实</w:t>
                  </w:r>
                </w:p>
                <w:p w14:paraId="13FEB2ED">
                  <w:pPr>
                    <w:keepNext w:val="0"/>
                    <w:keepLines w:val="0"/>
                    <w:pageBreakBefore w:val="0"/>
                    <w:widowControl w:val="0"/>
                    <w:kinsoku/>
                    <w:wordWrap/>
                    <w:overflowPunct/>
                    <w:topLinePunct w:val="0"/>
                    <w:bidi w:val="0"/>
                    <w:ind w:firstLine="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项目采取隔音厂房措施，减少噪声对外界环境的影响，确保厂界噪声及周边声环境功能区达标。</w:t>
                  </w:r>
                </w:p>
              </w:tc>
            </w:tr>
            <w:tr w14:paraId="1AED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32172954">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FF0000"/>
                      <w:szCs w:val="16"/>
                    </w:rPr>
                  </w:pPr>
                  <w:r>
                    <w:rPr>
                      <w:rFonts w:hint="eastAsia"/>
                      <w:bCs/>
                      <w:color w:val="FF0000"/>
                      <w:szCs w:val="16"/>
                    </w:rPr>
                    <w:t>4</w:t>
                  </w:r>
                </w:p>
              </w:tc>
              <w:tc>
                <w:tcPr>
                  <w:tcW w:w="4854" w:type="dxa"/>
                  <w:vAlign w:val="center"/>
                </w:tcPr>
                <w:p w14:paraId="0E7247D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按要求落实固体废物污染防治措施。按分类收集、贮存，分质处置的原则，认真落实固体废物收集、贮存和处置工作。依法严格落实危险废物全过程规范化管理的各项要求。</w:t>
                  </w:r>
                </w:p>
                <w:p w14:paraId="505312B9">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一般工业固废参照执行《一般工业固体废物贮存和填埋污染控制标准》（GB18599-2020）。危险废物执行《危险废物贮存污染控制标准》(GB18597-2023)。</w:t>
                  </w:r>
                </w:p>
              </w:tc>
              <w:tc>
                <w:tcPr>
                  <w:tcW w:w="3710" w:type="dxa"/>
                  <w:vAlign w:val="center"/>
                </w:tcPr>
                <w:p w14:paraId="3BD3B262">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color w:val="000000" w:themeColor="text1"/>
                      <w:szCs w:val="16"/>
                      <w14:textFill>
                        <w14:solidFill>
                          <w14:schemeClr w14:val="tx1"/>
                        </w14:solidFill>
                      </w14:textFill>
                    </w:rPr>
                  </w:pPr>
                  <w:r>
                    <w:rPr>
                      <w:rFonts w:hint="eastAsia"/>
                      <w:b/>
                      <w:color w:val="000000" w:themeColor="text1"/>
                      <w:szCs w:val="16"/>
                      <w14:textFill>
                        <w14:solidFill>
                          <w14:schemeClr w14:val="tx1"/>
                        </w14:solidFill>
                      </w14:textFill>
                    </w:rPr>
                    <w:t>已落实</w:t>
                  </w:r>
                </w:p>
                <w:p w14:paraId="436F2BB9">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b/>
                      <w:color w:val="000000" w:themeColor="text1"/>
                      <w:szCs w:val="16"/>
                      <w14:textFill>
                        <w14:solidFill>
                          <w14:schemeClr w14:val="tx1"/>
                        </w14:solidFill>
                      </w14:textFill>
                    </w:rPr>
                  </w:pPr>
                </w:p>
              </w:tc>
            </w:tr>
            <w:tr w14:paraId="5BD6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1918C2DC">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5</w:t>
                  </w:r>
                </w:p>
              </w:tc>
              <w:tc>
                <w:tcPr>
                  <w:tcW w:w="4854" w:type="dxa"/>
                  <w:vAlign w:val="center"/>
                </w:tcPr>
                <w:p w14:paraId="65F83FEC">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bCs/>
                      <w:color w:val="000000" w:themeColor="text1"/>
                      <w:szCs w:val="16"/>
                      <w14:textFill>
                        <w14:solidFill>
                          <w14:schemeClr w14:val="tx1"/>
                        </w14:solidFill>
                      </w14:textFill>
                    </w:rPr>
                    <w:t>强化风险防范和应急措施。按要求加强运输、贮存、生产等环节风险防范措施，防范污染事件发生。你公司须建立有效的风险防范措施及预警体系，配备相应的应急设施和物资。依法编制突发环境事件应急预案并备案，定期开展应急培训和演练。风险防控工作纳入项目“三同时”管理。</w:t>
                  </w:r>
                </w:p>
              </w:tc>
              <w:tc>
                <w:tcPr>
                  <w:tcW w:w="3710" w:type="dxa"/>
                  <w:vAlign w:val="center"/>
                </w:tcPr>
                <w:p w14:paraId="7FB91DF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color w:val="000000" w:themeColor="text1"/>
                      <w:szCs w:val="16"/>
                      <w14:textFill>
                        <w14:solidFill>
                          <w14:schemeClr w14:val="tx1"/>
                        </w14:solidFill>
                      </w14:textFill>
                    </w:rPr>
                  </w:pPr>
                  <w:r>
                    <w:rPr>
                      <w:rFonts w:hint="eastAsia"/>
                      <w:b/>
                      <w:color w:val="000000" w:themeColor="text1"/>
                      <w:szCs w:val="16"/>
                      <w14:textFill>
                        <w14:solidFill>
                          <w14:schemeClr w14:val="tx1"/>
                        </w14:solidFill>
                      </w14:textFill>
                    </w:rPr>
                    <w:t>已落实</w:t>
                  </w:r>
                </w:p>
                <w:p w14:paraId="7BBEA540">
                  <w:pPr>
                    <w:keepNext w:val="0"/>
                    <w:keepLines w:val="0"/>
                    <w:pageBreakBefore w:val="0"/>
                    <w:widowControl w:val="0"/>
                    <w:kinsoku/>
                    <w:wordWrap/>
                    <w:overflowPunct/>
                    <w:topLinePunct w:val="0"/>
                    <w:autoSpaceDE w:val="0"/>
                    <w:autoSpaceDN w:val="0"/>
                    <w:bidi w:val="0"/>
                    <w:adjustRightInd w:val="0"/>
                    <w:snapToGrid w:val="0"/>
                    <w:ind w:firstLine="0"/>
                    <w:jc w:val="left"/>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已进行风险防范措施：采购应急物质、并编制应急预案</w:t>
                  </w:r>
                </w:p>
              </w:tc>
            </w:tr>
            <w:tr w14:paraId="549F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5123918A">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6</w:t>
                  </w:r>
                </w:p>
              </w:tc>
              <w:tc>
                <w:tcPr>
                  <w:tcW w:w="4854" w:type="dxa"/>
                  <w:vAlign w:val="center"/>
                </w:tcPr>
                <w:p w14:paraId="0AA20087">
                  <w:pPr>
                    <w:pStyle w:val="24"/>
                    <w:keepNext w:val="0"/>
                    <w:keepLines w:val="0"/>
                    <w:pageBreakBefore w:val="0"/>
                    <w:widowControl w:val="0"/>
                    <w:kinsoku/>
                    <w:wordWrap/>
                    <w:overflowPunct/>
                    <w:topLinePunct w:val="0"/>
                    <w:bidi w:val="0"/>
                    <w:spacing w:after="0"/>
                    <w:ind w:left="0" w:leftChars="0" w:firstLine="0" w:firstLineChars="0"/>
                    <w:jc w:val="center"/>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要求做好分区防渗，规范设置排放口、应急事故池和固废（含危废）暂存场所</w:t>
                  </w:r>
                </w:p>
              </w:tc>
              <w:tc>
                <w:tcPr>
                  <w:tcW w:w="3710" w:type="dxa"/>
                  <w:vAlign w:val="center"/>
                </w:tcPr>
                <w:p w14:paraId="19B3FFFB">
                  <w:pPr>
                    <w:pStyle w:val="24"/>
                    <w:keepNext w:val="0"/>
                    <w:keepLines w:val="0"/>
                    <w:pageBreakBefore w:val="0"/>
                    <w:widowControl w:val="0"/>
                    <w:kinsoku/>
                    <w:wordWrap/>
                    <w:overflowPunct/>
                    <w:topLinePunct w:val="0"/>
                    <w:bidi w:val="0"/>
                    <w:spacing w:after="0"/>
                    <w:ind w:left="0" w:leftChars="0" w:firstLine="0" w:firstLineChars="0"/>
                    <w:jc w:val="center"/>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已落实</w:t>
                  </w:r>
                </w:p>
                <w:p w14:paraId="296FFF20">
                  <w:pPr>
                    <w:pStyle w:val="24"/>
                    <w:keepNext w:val="0"/>
                    <w:keepLines w:val="0"/>
                    <w:pageBreakBefore w:val="0"/>
                    <w:widowControl w:val="0"/>
                    <w:kinsoku/>
                    <w:wordWrap/>
                    <w:overflowPunct/>
                    <w:topLinePunct w:val="0"/>
                    <w:bidi w:val="0"/>
                    <w:spacing w:after="0"/>
                    <w:ind w:left="0" w:leftChars="0" w:firstLine="0" w:firstLineChars="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危险固废：设置危废暂存间建筑面积约50m2，位于厂房南侧。</w:t>
                  </w:r>
                </w:p>
                <w:p w14:paraId="489B3848">
                  <w:pPr>
                    <w:pStyle w:val="24"/>
                    <w:keepNext w:val="0"/>
                    <w:keepLines w:val="0"/>
                    <w:pageBreakBefore w:val="0"/>
                    <w:widowControl w:val="0"/>
                    <w:kinsoku/>
                    <w:wordWrap/>
                    <w:overflowPunct/>
                    <w:topLinePunct w:val="0"/>
                    <w:bidi w:val="0"/>
                    <w:spacing w:after="0"/>
                    <w:ind w:left="0" w:leftChars="0" w:firstLine="0" w:firstLineChars="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一般工业固体废物：设置一般固废仓库，建筑面积约40m2，位于厂房南侧。</w:t>
                  </w:r>
                </w:p>
                <w:p w14:paraId="05CAEAD7">
                  <w:pPr>
                    <w:pStyle w:val="24"/>
                    <w:keepNext w:val="0"/>
                    <w:keepLines w:val="0"/>
                    <w:pageBreakBefore w:val="0"/>
                    <w:widowControl w:val="0"/>
                    <w:kinsoku/>
                    <w:wordWrap/>
                    <w:overflowPunct/>
                    <w:topLinePunct w:val="0"/>
                    <w:bidi w:val="0"/>
                    <w:spacing w:after="0"/>
                    <w:ind w:left="0" w:leftChars="0" w:firstLine="0" w:firstLineChars="0"/>
                    <w:jc w:val="left"/>
                    <w:textAlignment w:val="auto"/>
                    <w:rPr>
                      <w:bCs/>
                      <w:color w:val="000000" w:themeColor="text1"/>
                      <w:szCs w:val="16"/>
                      <w14:textFill>
                        <w14:solidFill>
                          <w14:schemeClr w14:val="tx1"/>
                        </w14:solidFill>
                      </w14:textFill>
                    </w:rPr>
                  </w:pPr>
                  <w:r>
                    <w:rPr>
                      <w:rFonts w:hint="eastAsia"/>
                      <w:color w:val="000000" w:themeColor="text1"/>
                      <w14:textFill>
                        <w14:solidFill>
                          <w14:schemeClr w14:val="tx1"/>
                        </w14:solidFill>
                      </w14:textFill>
                    </w:rPr>
                    <w:t>危废暂存于危废间中，定期交由有资质单位处置</w:t>
                  </w:r>
                </w:p>
              </w:tc>
            </w:tr>
            <w:tr w14:paraId="7726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1783F22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auto"/>
                      <w:szCs w:val="16"/>
                    </w:rPr>
                  </w:pPr>
                  <w:r>
                    <w:rPr>
                      <w:rFonts w:hint="eastAsia"/>
                      <w:bCs/>
                      <w:color w:val="auto"/>
                      <w:szCs w:val="16"/>
                    </w:rPr>
                    <w:t>7</w:t>
                  </w:r>
                </w:p>
              </w:tc>
              <w:tc>
                <w:tcPr>
                  <w:tcW w:w="4854" w:type="dxa"/>
                  <w:vAlign w:val="center"/>
                </w:tcPr>
                <w:p w14:paraId="7FEEFB61">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bCs/>
                      <w:color w:val="auto"/>
                      <w:szCs w:val="21"/>
                    </w:rPr>
                  </w:pPr>
                  <w:r>
                    <w:rPr>
                      <w:rFonts w:hint="eastAsia"/>
                      <w:bCs/>
                      <w:color w:val="auto"/>
                      <w:szCs w:val="21"/>
                    </w:rPr>
                    <w:t>主要污染物排放指标不得超过核定的总量控制指标。总量控制指标完成情况纳入竣工环境保护验收内容</w:t>
                  </w:r>
                </w:p>
              </w:tc>
              <w:tc>
                <w:tcPr>
                  <w:tcW w:w="3710" w:type="dxa"/>
                  <w:vAlign w:val="center"/>
                </w:tcPr>
                <w:p w14:paraId="0E2EAA82">
                  <w:pPr>
                    <w:pStyle w:val="24"/>
                    <w:keepNext w:val="0"/>
                    <w:keepLines w:val="0"/>
                    <w:pageBreakBefore w:val="0"/>
                    <w:widowControl w:val="0"/>
                    <w:kinsoku/>
                    <w:wordWrap/>
                    <w:overflowPunct/>
                    <w:topLinePunct w:val="0"/>
                    <w:bidi w:val="0"/>
                    <w:spacing w:after="0"/>
                    <w:ind w:left="0" w:leftChars="0" w:firstLine="0" w:firstLineChars="0"/>
                    <w:jc w:val="center"/>
                    <w:textAlignment w:val="auto"/>
                    <w:rPr>
                      <w:b/>
                      <w:color w:val="auto"/>
                      <w:szCs w:val="16"/>
                    </w:rPr>
                  </w:pPr>
                  <w:r>
                    <w:rPr>
                      <w:rFonts w:hint="eastAsia"/>
                      <w:b/>
                      <w:color w:val="auto"/>
                      <w:szCs w:val="16"/>
                    </w:rPr>
                    <w:t>已落实</w:t>
                  </w:r>
                </w:p>
                <w:p w14:paraId="31A17C8C">
                  <w:pPr>
                    <w:keepNext w:val="0"/>
                    <w:keepLines w:val="0"/>
                    <w:pageBreakBefore w:val="0"/>
                    <w:widowControl w:val="0"/>
                    <w:kinsoku/>
                    <w:wordWrap/>
                    <w:overflowPunct/>
                    <w:topLinePunct w:val="0"/>
                    <w:bidi w:val="0"/>
                    <w:ind w:firstLine="0"/>
                    <w:jc w:val="left"/>
                    <w:textAlignment w:val="auto"/>
                    <w:rPr>
                      <w:rFonts w:hint="eastAsia"/>
                      <w:color w:val="auto"/>
                    </w:rPr>
                  </w:pPr>
                  <w:r>
                    <w:rPr>
                      <w:rFonts w:hint="eastAsia"/>
                      <w:color w:val="auto"/>
                    </w:rPr>
                    <w:t>环评标注废水污染物指标：废水量：720t/a；COD：0.202t/a；氨氮：0.014t/a。废水污染物总量纳入梅渚镇污水处理厂总量范围内，不再单独申请总量，项目排入外环境的废水污染物指标：废水量：720t/a；COD：0.036t/a；氨氮：0.004t/a。</w:t>
                  </w:r>
                </w:p>
                <w:p w14:paraId="21EE06F0">
                  <w:pPr>
                    <w:keepNext w:val="0"/>
                    <w:keepLines w:val="0"/>
                    <w:pageBreakBefore w:val="0"/>
                    <w:widowControl w:val="0"/>
                    <w:kinsoku/>
                    <w:wordWrap/>
                    <w:overflowPunct/>
                    <w:topLinePunct w:val="0"/>
                    <w:bidi w:val="0"/>
                    <w:ind w:firstLine="0"/>
                    <w:jc w:val="left"/>
                    <w:textAlignment w:val="auto"/>
                    <w:rPr>
                      <w:color w:val="auto"/>
                    </w:rPr>
                  </w:pPr>
                  <w:r>
                    <w:rPr>
                      <w:rFonts w:hint="eastAsia"/>
                      <w:color w:val="auto"/>
                    </w:rPr>
                    <w:t>有组织大气污染物：烟（粉）尘：1.571t/a，VOCs：0.365t/a，氮氧化物：0.085t/a，二氧化硫：0.0012t/a。</w:t>
                  </w:r>
                </w:p>
                <w:p w14:paraId="28D7BACE">
                  <w:pPr>
                    <w:keepNext w:val="0"/>
                    <w:keepLines w:val="0"/>
                    <w:pageBreakBefore w:val="0"/>
                    <w:widowControl w:val="0"/>
                    <w:kinsoku/>
                    <w:wordWrap/>
                    <w:overflowPunct/>
                    <w:topLinePunct w:val="0"/>
                    <w:bidi w:val="0"/>
                    <w:ind w:firstLine="0"/>
                    <w:jc w:val="left"/>
                    <w:textAlignment w:val="auto"/>
                    <w:rPr>
                      <w:color w:val="auto"/>
                    </w:rPr>
                  </w:pPr>
                  <w:r>
                    <w:rPr>
                      <w:rFonts w:hint="eastAsia"/>
                      <w:color w:val="auto"/>
                    </w:rPr>
                    <w:t>项目验收阶段项目验收阶段颗粒物的排放量为0.364t/a；挥发性有机物（非甲烷总烃+二甲苯）的排放量为0.0299t/a；氮氧化物排放量为；0.0175t/a；二氧化硫排放量为：0.00755t/a</w:t>
                  </w:r>
                </w:p>
              </w:tc>
            </w:tr>
            <w:tr w14:paraId="0E6E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14:paraId="11BE2F86">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000000" w:themeColor="text1"/>
                      <w:szCs w:val="16"/>
                      <w14:textFill>
                        <w14:solidFill>
                          <w14:schemeClr w14:val="tx1"/>
                        </w14:solidFill>
                      </w14:textFill>
                    </w:rPr>
                  </w:pPr>
                  <w:r>
                    <w:rPr>
                      <w:rFonts w:hint="eastAsia"/>
                      <w:bCs/>
                      <w:color w:val="000000" w:themeColor="text1"/>
                      <w:szCs w:val="16"/>
                      <w14:textFill>
                        <w14:solidFill>
                          <w14:schemeClr w14:val="tx1"/>
                        </w14:solidFill>
                      </w14:textFill>
                    </w:rPr>
                    <w:t>8</w:t>
                  </w:r>
                </w:p>
              </w:tc>
              <w:tc>
                <w:tcPr>
                  <w:tcW w:w="4854" w:type="dxa"/>
                  <w:vAlign w:val="center"/>
                </w:tcPr>
                <w:p w14:paraId="4831EC8A">
                  <w:pPr>
                    <w:keepNext w:val="0"/>
                    <w:keepLines w:val="0"/>
                    <w:pageBreakBefore w:val="0"/>
                    <w:widowControl/>
                    <w:kinsoku/>
                    <w:wordWrap/>
                    <w:overflowPunct/>
                    <w:topLinePunct w:val="0"/>
                    <w:autoSpaceDE w:val="0"/>
                    <w:autoSpaceDN w:val="0"/>
                    <w:bidi w:val="0"/>
                    <w:adjustRightInd w:val="0"/>
                    <w:snapToGrid w:val="0"/>
                    <w:ind w:firstLine="0"/>
                    <w:jc w:val="center"/>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项目在施工和运营过程中，应建立畅通的公众参与平台，满足公众合理的环境保护要求，定期发布企业环境信息，并主动接受社会监督。</w:t>
                  </w:r>
                </w:p>
              </w:tc>
              <w:tc>
                <w:tcPr>
                  <w:tcW w:w="3710" w:type="dxa"/>
                  <w:vAlign w:val="center"/>
                </w:tcPr>
                <w:p w14:paraId="3E4C4133">
                  <w:pPr>
                    <w:pStyle w:val="24"/>
                    <w:keepNext w:val="0"/>
                    <w:keepLines w:val="0"/>
                    <w:pageBreakBefore w:val="0"/>
                    <w:widowControl w:val="0"/>
                    <w:kinsoku/>
                    <w:wordWrap/>
                    <w:overflowPunct/>
                    <w:topLinePunct w:val="0"/>
                    <w:bidi w:val="0"/>
                    <w:spacing w:after="0"/>
                    <w:ind w:left="0" w:leftChars="0" w:firstLine="0" w:firstLineChars="0"/>
                    <w:jc w:val="center"/>
                    <w:textAlignment w:val="auto"/>
                    <w:rPr>
                      <w:color w:val="000000" w:themeColor="text1"/>
                      <w14:textFill>
                        <w14:solidFill>
                          <w14:schemeClr w14:val="tx1"/>
                        </w14:solidFill>
                      </w14:textFill>
                    </w:rPr>
                  </w:pPr>
                  <w:r>
                    <w:rPr>
                      <w:rFonts w:hint="eastAsia"/>
                      <w:b/>
                      <w:color w:val="000000" w:themeColor="text1"/>
                      <w:szCs w:val="16"/>
                      <w14:textFill>
                        <w14:solidFill>
                          <w14:schemeClr w14:val="tx1"/>
                        </w14:solidFill>
                      </w14:textFill>
                    </w:rPr>
                    <w:t>已落实</w:t>
                  </w:r>
                </w:p>
              </w:tc>
            </w:tr>
          </w:tbl>
          <w:p w14:paraId="317E726D">
            <w:pPr>
              <w:widowControl w:val="0"/>
              <w:autoSpaceDE w:val="0"/>
              <w:autoSpaceDN w:val="0"/>
              <w:adjustRightInd w:val="0"/>
              <w:snapToGrid w:val="0"/>
              <w:spacing w:line="360" w:lineRule="auto"/>
              <w:ind w:firstLine="482" w:firstLineChars="200"/>
              <w:rPr>
                <w:b/>
                <w:bCs/>
                <w:sz w:val="24"/>
              </w:rPr>
            </w:pPr>
            <w:r>
              <w:rPr>
                <w:rFonts w:hint="eastAsia"/>
                <w:b/>
                <w:bCs/>
                <w:sz w:val="24"/>
              </w:rPr>
              <w:t>五</w:t>
            </w:r>
            <w:r>
              <w:rPr>
                <w:b/>
                <w:bCs/>
                <w:sz w:val="24"/>
              </w:rPr>
              <w:t>、公司环境管理体系、制度、机构建设情况</w:t>
            </w:r>
          </w:p>
          <w:p w14:paraId="5AF87FF6">
            <w:pPr>
              <w:widowControl w:val="0"/>
              <w:snapToGrid w:val="0"/>
              <w:spacing w:line="360" w:lineRule="auto"/>
              <w:ind w:firstLine="480" w:firstLineChars="200"/>
              <w:rPr>
                <w:sz w:val="24"/>
              </w:rPr>
            </w:pPr>
            <w:r>
              <w:rPr>
                <w:sz w:val="24"/>
              </w:rPr>
              <w:t>为认真执行国家环境保护法律法规与行政规章，做好环保工作，项目由企业主要负责人负责环境管理，包括对废水、废气和废弃物的管理，确保各项环保工作的正常开展；保管新建项目的所有设备、工艺及各项技术资料，方便日常使用和查询。建立相关环境管理制度。</w:t>
            </w:r>
          </w:p>
          <w:p w14:paraId="0A51DB55">
            <w:pPr>
              <w:widowControl w:val="0"/>
              <w:autoSpaceDE w:val="0"/>
              <w:autoSpaceDN w:val="0"/>
              <w:adjustRightInd w:val="0"/>
              <w:snapToGrid w:val="0"/>
              <w:spacing w:line="360" w:lineRule="auto"/>
              <w:ind w:firstLine="482" w:firstLineChars="200"/>
              <w:rPr>
                <w:b/>
                <w:bCs/>
                <w:sz w:val="24"/>
              </w:rPr>
            </w:pPr>
            <w:r>
              <w:rPr>
                <w:rFonts w:hint="eastAsia"/>
                <w:b/>
                <w:bCs/>
                <w:sz w:val="24"/>
              </w:rPr>
              <w:t>六</w:t>
            </w:r>
            <w:r>
              <w:rPr>
                <w:b/>
                <w:bCs/>
                <w:sz w:val="24"/>
              </w:rPr>
              <w:t>、环保设施建设管理及运行维护情况</w:t>
            </w:r>
          </w:p>
          <w:p w14:paraId="015812FD">
            <w:pPr>
              <w:widowControl w:val="0"/>
              <w:autoSpaceDE w:val="0"/>
              <w:autoSpaceDN w:val="0"/>
              <w:adjustRightInd w:val="0"/>
              <w:snapToGrid w:val="0"/>
              <w:spacing w:line="360" w:lineRule="auto"/>
              <w:ind w:firstLine="480" w:firstLineChars="200"/>
              <w:rPr>
                <w:sz w:val="24"/>
              </w:rPr>
            </w:pPr>
            <w:r>
              <w:rPr>
                <w:sz w:val="24"/>
              </w:rPr>
              <w:t>自投运至今，制定相关操作规程，所有环保设施均运行正常，缺少环保设施的运行记录。环境保护档案有专门的场所存放，有专人管理，基本做到归档及时，从立项、环评、到试运行期间，本项目与环境保护有关的文件、资料、图纸等基本齐全。</w:t>
            </w:r>
          </w:p>
          <w:p w14:paraId="2ADD35D9">
            <w:pPr>
              <w:widowControl w:val="0"/>
              <w:autoSpaceDE w:val="0"/>
              <w:autoSpaceDN w:val="0"/>
              <w:adjustRightInd w:val="0"/>
              <w:snapToGrid w:val="0"/>
              <w:spacing w:line="360" w:lineRule="auto"/>
              <w:ind w:firstLine="482" w:firstLineChars="200"/>
              <w:rPr>
                <w:b/>
                <w:bCs/>
                <w:sz w:val="24"/>
              </w:rPr>
            </w:pPr>
            <w:r>
              <w:rPr>
                <w:rFonts w:hint="eastAsia"/>
                <w:b/>
                <w:bCs/>
                <w:sz w:val="24"/>
              </w:rPr>
              <w:t>七、环境监测计划落实情况</w:t>
            </w:r>
          </w:p>
          <w:p w14:paraId="036799AF">
            <w:pPr>
              <w:widowControl w:val="0"/>
              <w:autoSpaceDE w:val="0"/>
              <w:autoSpaceDN w:val="0"/>
              <w:adjustRightInd w:val="0"/>
              <w:snapToGrid w:val="0"/>
              <w:spacing w:line="360" w:lineRule="auto"/>
              <w:ind w:firstLine="480" w:firstLineChars="200"/>
              <w:rPr>
                <w:sz w:val="24"/>
              </w:rPr>
            </w:pPr>
            <w:r>
              <w:rPr>
                <w:rFonts w:hint="eastAsia"/>
                <w:sz w:val="24"/>
              </w:rPr>
              <w:t>项目未设置专门环境监测实验室，目前委托第三方进行日常监测。</w:t>
            </w:r>
          </w:p>
          <w:p w14:paraId="387F7101">
            <w:pPr>
              <w:widowControl w:val="0"/>
              <w:autoSpaceDE w:val="0"/>
              <w:autoSpaceDN w:val="0"/>
              <w:adjustRightInd w:val="0"/>
              <w:snapToGrid w:val="0"/>
              <w:spacing w:line="360" w:lineRule="auto"/>
              <w:ind w:firstLine="480" w:firstLineChars="200"/>
              <w:rPr>
                <w:sz w:val="24"/>
              </w:rPr>
            </w:pPr>
          </w:p>
          <w:p w14:paraId="0C1F0BD2">
            <w:pPr>
              <w:widowControl w:val="0"/>
              <w:autoSpaceDE w:val="0"/>
              <w:autoSpaceDN w:val="0"/>
              <w:adjustRightInd w:val="0"/>
              <w:snapToGrid w:val="0"/>
              <w:spacing w:line="360" w:lineRule="auto"/>
              <w:ind w:firstLine="480" w:firstLineChars="200"/>
              <w:rPr>
                <w:sz w:val="24"/>
              </w:rPr>
            </w:pPr>
          </w:p>
          <w:p w14:paraId="1E1527FF">
            <w:pPr>
              <w:widowControl w:val="0"/>
              <w:autoSpaceDE w:val="0"/>
              <w:autoSpaceDN w:val="0"/>
              <w:adjustRightInd w:val="0"/>
              <w:snapToGrid w:val="0"/>
              <w:spacing w:line="360" w:lineRule="auto"/>
              <w:ind w:firstLine="480" w:firstLineChars="200"/>
              <w:rPr>
                <w:sz w:val="24"/>
              </w:rPr>
            </w:pPr>
          </w:p>
          <w:p w14:paraId="2CAC17A9">
            <w:pPr>
              <w:widowControl w:val="0"/>
              <w:autoSpaceDE w:val="0"/>
              <w:autoSpaceDN w:val="0"/>
              <w:adjustRightInd w:val="0"/>
              <w:snapToGrid w:val="0"/>
              <w:spacing w:line="360" w:lineRule="auto"/>
              <w:ind w:firstLine="480" w:firstLineChars="200"/>
              <w:rPr>
                <w:sz w:val="24"/>
              </w:rPr>
            </w:pPr>
          </w:p>
          <w:p w14:paraId="611486CF">
            <w:pPr>
              <w:widowControl w:val="0"/>
              <w:autoSpaceDE w:val="0"/>
              <w:autoSpaceDN w:val="0"/>
              <w:adjustRightInd w:val="0"/>
              <w:snapToGrid w:val="0"/>
              <w:spacing w:line="360" w:lineRule="auto"/>
              <w:ind w:firstLine="480" w:firstLineChars="200"/>
              <w:rPr>
                <w:sz w:val="24"/>
              </w:rPr>
            </w:pPr>
          </w:p>
          <w:p w14:paraId="6B8499EC">
            <w:pPr>
              <w:widowControl w:val="0"/>
              <w:autoSpaceDE w:val="0"/>
              <w:autoSpaceDN w:val="0"/>
              <w:adjustRightInd w:val="0"/>
              <w:snapToGrid w:val="0"/>
              <w:spacing w:line="360" w:lineRule="auto"/>
              <w:ind w:firstLine="480" w:firstLineChars="200"/>
              <w:rPr>
                <w:sz w:val="24"/>
              </w:rPr>
            </w:pPr>
          </w:p>
          <w:p w14:paraId="5911F40F">
            <w:pPr>
              <w:widowControl w:val="0"/>
              <w:autoSpaceDE w:val="0"/>
              <w:autoSpaceDN w:val="0"/>
              <w:adjustRightInd w:val="0"/>
              <w:snapToGrid w:val="0"/>
              <w:spacing w:line="360" w:lineRule="auto"/>
              <w:ind w:firstLine="480" w:firstLineChars="200"/>
              <w:rPr>
                <w:sz w:val="24"/>
              </w:rPr>
            </w:pPr>
          </w:p>
          <w:p w14:paraId="20CCD112">
            <w:pPr>
              <w:widowControl w:val="0"/>
              <w:autoSpaceDE w:val="0"/>
              <w:autoSpaceDN w:val="0"/>
              <w:adjustRightInd w:val="0"/>
              <w:snapToGrid w:val="0"/>
              <w:spacing w:line="360" w:lineRule="auto"/>
              <w:ind w:firstLine="480" w:firstLineChars="200"/>
              <w:rPr>
                <w:sz w:val="24"/>
              </w:rPr>
            </w:pPr>
          </w:p>
          <w:p w14:paraId="6C7D6F69">
            <w:pPr>
              <w:widowControl w:val="0"/>
              <w:autoSpaceDE w:val="0"/>
              <w:autoSpaceDN w:val="0"/>
              <w:adjustRightInd w:val="0"/>
              <w:snapToGrid w:val="0"/>
              <w:spacing w:line="360" w:lineRule="auto"/>
              <w:ind w:firstLine="480" w:firstLineChars="200"/>
              <w:rPr>
                <w:sz w:val="24"/>
              </w:rPr>
            </w:pPr>
          </w:p>
          <w:p w14:paraId="2328011D">
            <w:pPr>
              <w:widowControl w:val="0"/>
              <w:autoSpaceDE w:val="0"/>
              <w:autoSpaceDN w:val="0"/>
              <w:adjustRightInd w:val="0"/>
              <w:snapToGrid w:val="0"/>
              <w:spacing w:line="360" w:lineRule="auto"/>
              <w:ind w:firstLine="480" w:firstLineChars="200"/>
              <w:rPr>
                <w:sz w:val="24"/>
              </w:rPr>
            </w:pPr>
          </w:p>
          <w:p w14:paraId="50BF73A6">
            <w:pPr>
              <w:widowControl w:val="0"/>
              <w:autoSpaceDE w:val="0"/>
              <w:autoSpaceDN w:val="0"/>
              <w:adjustRightInd w:val="0"/>
              <w:snapToGrid w:val="0"/>
              <w:spacing w:line="360" w:lineRule="auto"/>
              <w:ind w:firstLine="480" w:firstLineChars="200"/>
              <w:rPr>
                <w:sz w:val="24"/>
              </w:rPr>
            </w:pPr>
          </w:p>
        </w:tc>
      </w:tr>
    </w:tbl>
    <w:p w14:paraId="1FF0F3B5">
      <w:pPr>
        <w:pStyle w:val="4"/>
        <w:ind w:right="-172" w:firstLine="562"/>
        <w:rPr>
          <w:sz w:val="28"/>
          <w:szCs w:val="13"/>
        </w:rPr>
      </w:pPr>
      <w:bookmarkStart w:id="12" w:name="_Toc30372"/>
      <w:r>
        <w:rPr>
          <w:rFonts w:hint="eastAsia"/>
          <w:sz w:val="28"/>
          <w:szCs w:val="13"/>
        </w:rPr>
        <w:t>表五</w:t>
      </w:r>
      <w:bookmarkEnd w:id="12"/>
    </w:p>
    <w:tbl>
      <w:tblPr>
        <w:tblStyle w:val="26"/>
        <w:tblpPr w:leftFromText="180" w:rightFromText="180" w:vertAnchor="text" w:tblpXSpec="center" w:tblpY="1"/>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06C2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2" w:hRule="atLeast"/>
        </w:trPr>
        <w:tc>
          <w:tcPr>
            <w:tcW w:w="9242" w:type="dxa"/>
          </w:tcPr>
          <w:p w14:paraId="79C21D7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b/>
                <w:bCs/>
                <w:sz w:val="24"/>
                <w:szCs w:val="22"/>
              </w:rPr>
            </w:pPr>
            <w:r>
              <w:rPr>
                <w:rFonts w:hint="eastAsia"/>
                <w:b/>
                <w:bCs/>
                <w:sz w:val="24"/>
                <w:szCs w:val="22"/>
              </w:rPr>
              <w:t>验收监测质量保证及质量控制：</w:t>
            </w:r>
          </w:p>
          <w:p w14:paraId="26F0B58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b/>
                <w:bCs/>
                <w:sz w:val="24"/>
                <w:szCs w:val="22"/>
              </w:rPr>
            </w:pPr>
            <w:r>
              <w:rPr>
                <w:rFonts w:hint="eastAsia"/>
                <w:b/>
                <w:bCs/>
                <w:sz w:val="24"/>
                <w:szCs w:val="22"/>
              </w:rPr>
              <w:t>1、监测分析方法</w:t>
            </w:r>
          </w:p>
          <w:p w14:paraId="7B717D91">
            <w:pPr>
              <w:keepNext w:val="0"/>
              <w:keepLines w:val="0"/>
              <w:pageBreakBefore w:val="0"/>
              <w:widowControl w:val="0"/>
              <w:kinsoku/>
              <w:wordWrap/>
              <w:overflowPunct/>
              <w:topLinePunct w:val="0"/>
              <w:bidi w:val="0"/>
              <w:spacing w:line="360" w:lineRule="auto"/>
              <w:ind w:right="0" w:firstLine="482" w:firstLineChars="200"/>
              <w:jc w:val="center"/>
              <w:textAlignment w:val="auto"/>
              <w:rPr>
                <w:b/>
                <w:bCs/>
                <w:sz w:val="24"/>
                <w:szCs w:val="22"/>
              </w:rPr>
            </w:pPr>
            <w:r>
              <w:rPr>
                <w:rFonts w:hint="eastAsia"/>
                <w:b/>
                <w:bCs/>
                <w:sz w:val="24"/>
                <w:szCs w:val="22"/>
              </w:rPr>
              <w:t>表 5-1 监测分析方法及依据</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3259"/>
              <w:gridCol w:w="1268"/>
              <w:gridCol w:w="1895"/>
              <w:gridCol w:w="1210"/>
            </w:tblGrid>
            <w:tr w14:paraId="6D22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65" w:type="pct"/>
                  <w:vAlign w:val="center"/>
                </w:tcPr>
                <w:p w14:paraId="4A1435C8">
                  <w:pPr>
                    <w:keepNext w:val="0"/>
                    <w:keepLines w:val="0"/>
                    <w:widowControl/>
                    <w:suppressLineNumbers w:val="0"/>
                    <w:spacing w:before="0" w:beforeAutospacing="0" w:after="0" w:afterAutospacing="0"/>
                    <w:ind w:left="0" w:leftChars="0" w:right="0"/>
                    <w:jc w:val="center"/>
                    <w:rPr>
                      <w:rFonts w:hint="default"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名称</w:t>
                  </w:r>
                </w:p>
              </w:tc>
              <w:tc>
                <w:tcPr>
                  <w:tcW w:w="1808" w:type="pct"/>
                  <w:vAlign w:val="center"/>
                </w:tcPr>
                <w:p w14:paraId="687891C0">
                  <w:pPr>
                    <w:keepNext w:val="0"/>
                    <w:keepLines w:val="0"/>
                    <w:widowControl/>
                    <w:suppressLineNumbers w:val="0"/>
                    <w:spacing w:before="0" w:beforeAutospacing="0" w:after="0" w:afterAutospacing="0"/>
                    <w:ind w:left="0" w:leftChars="0" w:right="0"/>
                    <w:jc w:val="center"/>
                    <w:rPr>
                      <w:rFonts w:hint="default"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废水检测依据</w:t>
                  </w:r>
                </w:p>
              </w:tc>
              <w:tc>
                <w:tcPr>
                  <w:tcW w:w="703" w:type="pct"/>
                  <w:vAlign w:val="center"/>
                </w:tcPr>
                <w:p w14:paraId="347854C6">
                  <w:pPr>
                    <w:keepNext w:val="0"/>
                    <w:keepLines w:val="0"/>
                    <w:widowControl/>
                    <w:suppressLineNumbers w:val="0"/>
                    <w:spacing w:before="0" w:beforeAutospacing="0" w:after="0" w:afterAutospacing="0"/>
                    <w:ind w:left="0" w:leftChars="0" w:right="0"/>
                    <w:jc w:val="center"/>
                    <w:rPr>
                      <w:rFonts w:hint="default"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检出限</w:t>
                  </w:r>
                </w:p>
              </w:tc>
              <w:tc>
                <w:tcPr>
                  <w:tcW w:w="1051" w:type="pct"/>
                  <w:vAlign w:val="center"/>
                </w:tcPr>
                <w:p w14:paraId="63C147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cs="宋体"/>
                      <w:b/>
                      <w:bCs/>
                      <w:sz w:val="21"/>
                      <w:szCs w:val="21"/>
                    </w:rPr>
                    <w:t>主要检测仪器</w:t>
                  </w:r>
                </w:p>
              </w:tc>
              <w:tc>
                <w:tcPr>
                  <w:tcW w:w="671" w:type="pct"/>
                  <w:vAlign w:val="center"/>
                </w:tcPr>
                <w:p w14:paraId="6E8A7861">
                  <w:pPr>
                    <w:keepNext w:val="0"/>
                    <w:keepLines w:val="0"/>
                    <w:widowControl/>
                    <w:suppressLineNumbers w:val="0"/>
                    <w:spacing w:before="0" w:beforeAutospacing="0" w:after="0" w:afterAutospacing="0"/>
                    <w:ind w:left="0" w:leftChars="0" w:right="0"/>
                    <w:jc w:val="center"/>
                    <w:rPr>
                      <w:rFonts w:hint="default" w:ascii="Times New Roman" w:hAnsi="Times New Roman" w:eastAsia="宋体" w:cs="宋体"/>
                      <w:spacing w:val="-5"/>
                      <w:sz w:val="21"/>
                      <w:szCs w:val="21"/>
                      <w:lang w:val="en-US" w:eastAsia="zh-CN" w:bidi="he-IL"/>
                    </w:rPr>
                  </w:pPr>
                  <w:r>
                    <w:rPr>
                      <w:rFonts w:hint="eastAsia" w:ascii="Times New Roman" w:hAnsi="Times New Roman" w:cs="宋体"/>
                      <w:b/>
                      <w:bCs/>
                      <w:sz w:val="21"/>
                      <w:szCs w:val="21"/>
                    </w:rPr>
                    <w:t>仪器编号</w:t>
                  </w:r>
                </w:p>
              </w:tc>
            </w:tr>
            <w:tr w14:paraId="3239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Align w:val="center"/>
                </w:tcPr>
                <w:p w14:paraId="7CC023AA">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pH值</w:t>
                  </w:r>
                </w:p>
              </w:tc>
              <w:tc>
                <w:tcPr>
                  <w:tcW w:w="1808" w:type="pct"/>
                  <w:vAlign w:val="center"/>
                </w:tcPr>
                <w:p w14:paraId="634E0B36">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1147-2020水质 pH值的测定 电极法</w:t>
                  </w:r>
                </w:p>
              </w:tc>
              <w:tc>
                <w:tcPr>
                  <w:tcW w:w="703" w:type="pct"/>
                  <w:vAlign w:val="center"/>
                </w:tcPr>
                <w:p w14:paraId="40E1FB57">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cs="Times New Roman"/>
                      <w:spacing w:val="-5"/>
                      <w:sz w:val="21"/>
                      <w:szCs w:val="21"/>
                      <w:lang w:val="en-US" w:eastAsia="zh-CN" w:bidi="he-IL"/>
                    </w:rPr>
                    <w:t>测定范围0~14</w:t>
                  </w:r>
                </w:p>
              </w:tc>
              <w:tc>
                <w:tcPr>
                  <w:tcW w:w="1051" w:type="pct"/>
                  <w:vAlign w:val="center"/>
                </w:tcPr>
                <w:p w14:paraId="6EACC45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 xml:space="preserve">PHBJ-260F        </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便携式pH计</w:t>
                  </w:r>
                </w:p>
              </w:tc>
              <w:tc>
                <w:tcPr>
                  <w:tcW w:w="671" w:type="pct"/>
                  <w:vAlign w:val="center"/>
                </w:tcPr>
                <w:p w14:paraId="317258EC">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SCDYQ028</w:t>
                  </w:r>
                </w:p>
              </w:tc>
            </w:tr>
            <w:tr w14:paraId="5174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Align w:val="center"/>
                </w:tcPr>
                <w:p w14:paraId="1414BE2C">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化学需氧量</w:t>
                  </w:r>
                </w:p>
              </w:tc>
              <w:tc>
                <w:tcPr>
                  <w:tcW w:w="1808" w:type="pct"/>
                  <w:vAlign w:val="center"/>
                </w:tcPr>
                <w:p w14:paraId="4A1D9395">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828-2017</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水质</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化学需氧量的测定</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重铬酸盐法</w:t>
                  </w:r>
                </w:p>
              </w:tc>
              <w:tc>
                <w:tcPr>
                  <w:tcW w:w="703" w:type="pct"/>
                  <w:vAlign w:val="center"/>
                </w:tcPr>
                <w:p w14:paraId="168CB9B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4mg/L</w:t>
                  </w:r>
                </w:p>
              </w:tc>
              <w:tc>
                <w:tcPr>
                  <w:tcW w:w="1051" w:type="pct"/>
                  <w:vAlign w:val="center"/>
                </w:tcPr>
                <w:p w14:paraId="1EC2321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ZDXJ-12A</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COD智能消解器</w:t>
                  </w:r>
                </w:p>
              </w:tc>
              <w:tc>
                <w:tcPr>
                  <w:tcW w:w="671" w:type="pct"/>
                  <w:vAlign w:val="center"/>
                </w:tcPr>
                <w:p w14:paraId="7822456B">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SCDYQ10</w:t>
                  </w:r>
                  <w:r>
                    <w:rPr>
                      <w:rFonts w:hint="eastAsia" w:ascii="Times New Roman" w:hAnsi="Times New Roman" w:cs="Times New Roman"/>
                      <w:spacing w:val="-5"/>
                      <w:sz w:val="21"/>
                      <w:szCs w:val="21"/>
                      <w:lang w:val="en-US" w:eastAsia="zh-CN" w:bidi="he-IL"/>
                    </w:rPr>
                    <w:t>7</w:t>
                  </w:r>
                  <w:r>
                    <w:rPr>
                      <w:rFonts w:hint="eastAsia" w:ascii="Times New Roman" w:hAnsi="Times New Roman" w:eastAsia="宋体" w:cs="Times New Roman"/>
                      <w:spacing w:val="-5"/>
                      <w:sz w:val="21"/>
                      <w:szCs w:val="21"/>
                      <w:lang w:val="en-US" w:eastAsia="zh-CN" w:bidi="he-IL"/>
                    </w:rPr>
                    <w:t>SCDYQ</w:t>
                  </w:r>
                  <w:r>
                    <w:rPr>
                      <w:rFonts w:hint="eastAsia" w:ascii="Times New Roman" w:hAnsi="Times New Roman" w:cs="Times New Roman"/>
                      <w:spacing w:val="-5"/>
                      <w:sz w:val="21"/>
                      <w:szCs w:val="21"/>
                      <w:lang w:val="en-US" w:eastAsia="zh-CN" w:bidi="he-IL"/>
                    </w:rPr>
                    <w:t>108</w:t>
                  </w:r>
                </w:p>
              </w:tc>
            </w:tr>
            <w:tr w14:paraId="6DA6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restart"/>
                  <w:vAlign w:val="center"/>
                </w:tcPr>
                <w:p w14:paraId="5D60AB6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悬浮物</w:t>
                  </w:r>
                </w:p>
              </w:tc>
              <w:tc>
                <w:tcPr>
                  <w:tcW w:w="1808" w:type="pct"/>
                  <w:vMerge w:val="restart"/>
                  <w:vAlign w:val="center"/>
                </w:tcPr>
                <w:p w14:paraId="1C93AE2B">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GB 11901-1989水质</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悬浮物的测定 重量法</w:t>
                  </w:r>
                  <w:r>
                    <w:rPr>
                      <w:rFonts w:hint="eastAsia" w:ascii="Times New Roman" w:hAnsi="Times New Roman" w:cs="Times New Roman"/>
                      <w:spacing w:val="-5"/>
                      <w:sz w:val="21"/>
                      <w:szCs w:val="21"/>
                      <w:lang w:val="en-US" w:eastAsia="zh-CN" w:bidi="he-IL"/>
                    </w:rPr>
                    <w:t xml:space="preserve"> </w:t>
                  </w:r>
                </w:p>
              </w:tc>
              <w:tc>
                <w:tcPr>
                  <w:tcW w:w="703" w:type="pct"/>
                  <w:vMerge w:val="restart"/>
                  <w:vAlign w:val="center"/>
                </w:tcPr>
                <w:p w14:paraId="444ABFA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cs="Times New Roman"/>
                      <w:spacing w:val="-5"/>
                      <w:sz w:val="21"/>
                      <w:szCs w:val="21"/>
                      <w:lang w:val="en-US" w:eastAsia="zh-CN" w:bidi="he-IL"/>
                    </w:rPr>
                    <w:t>4mg/L</w:t>
                  </w:r>
                </w:p>
              </w:tc>
              <w:tc>
                <w:tcPr>
                  <w:tcW w:w="1051" w:type="pct"/>
                  <w:vAlign w:val="center"/>
                </w:tcPr>
                <w:p w14:paraId="78F7EE4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 xml:space="preserve"> LC-FA2004</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电子天平</w:t>
                  </w:r>
                </w:p>
              </w:tc>
              <w:tc>
                <w:tcPr>
                  <w:tcW w:w="671" w:type="pct"/>
                  <w:vAlign w:val="center"/>
                </w:tcPr>
                <w:p w14:paraId="77EE96F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SCDYQ031</w:t>
                  </w:r>
                </w:p>
              </w:tc>
            </w:tr>
            <w:tr w14:paraId="7107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continue"/>
                  <w:vAlign w:val="center"/>
                </w:tcPr>
                <w:p w14:paraId="2A07879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continue"/>
                  <w:vAlign w:val="center"/>
                </w:tcPr>
                <w:p w14:paraId="034BB5AC">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p>
              </w:tc>
              <w:tc>
                <w:tcPr>
                  <w:tcW w:w="703" w:type="pct"/>
                  <w:vMerge w:val="continue"/>
                  <w:vAlign w:val="center"/>
                </w:tcPr>
                <w:p w14:paraId="7FDF368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051" w:type="pct"/>
                  <w:vAlign w:val="center"/>
                </w:tcPr>
                <w:p w14:paraId="6CABEDA5">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DHG-9070A</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电热鼓风干燥箱</w:t>
                  </w:r>
                </w:p>
              </w:tc>
              <w:tc>
                <w:tcPr>
                  <w:tcW w:w="671" w:type="pct"/>
                  <w:vAlign w:val="center"/>
                </w:tcPr>
                <w:p w14:paraId="67031038">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SCDYQ036</w:t>
                  </w:r>
                </w:p>
              </w:tc>
            </w:tr>
            <w:tr w14:paraId="431F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restart"/>
                  <w:vAlign w:val="center"/>
                </w:tcPr>
                <w:p w14:paraId="678A4A5E">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5"/>
                      <w:sz w:val="21"/>
                      <w:szCs w:val="21"/>
                      <w:lang w:val="en-US" w:eastAsia="zh-CN" w:bidi="he-IL"/>
                    </w:rPr>
                    <w:t>五日生化需氧量</w:t>
                  </w:r>
                </w:p>
              </w:tc>
              <w:tc>
                <w:tcPr>
                  <w:tcW w:w="1808" w:type="pct"/>
                  <w:vMerge w:val="restart"/>
                  <w:vAlign w:val="center"/>
                </w:tcPr>
                <w:p w14:paraId="618B212B">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0"/>
                      <w:sz w:val="21"/>
                      <w:szCs w:val="21"/>
                      <w:lang w:val="en-US" w:eastAsia="zh-CN" w:bidi="ar-SA"/>
                    </w:rPr>
                  </w:pPr>
                  <w:r>
                    <w:rPr>
                      <w:rFonts w:hint="default" w:ascii="Times New Roman" w:hAnsi="Times New Roman" w:cs="Times New Roman"/>
                      <w:spacing w:val="-5"/>
                      <w:sz w:val="21"/>
                      <w:szCs w:val="21"/>
                      <w:lang w:val="en-US" w:eastAsia="zh-CN" w:bidi="he-IL"/>
                    </w:rPr>
                    <w:t>HJ 505-2009</w:t>
                  </w:r>
                  <w:r>
                    <w:rPr>
                      <w:rFonts w:hint="eastAsia" w:ascii="Times New Roman" w:hAnsi="Times New Roman" w:cs="Times New Roman"/>
                      <w:spacing w:val="-5"/>
                      <w:sz w:val="21"/>
                      <w:szCs w:val="21"/>
                      <w:lang w:val="en-US" w:eastAsia="zh-CN" w:bidi="he-IL"/>
                    </w:rPr>
                    <w:t xml:space="preserve"> </w:t>
                  </w:r>
                  <w:r>
                    <w:rPr>
                      <w:rFonts w:hint="default" w:ascii="Times New Roman" w:hAnsi="Times New Roman" w:cs="Times New Roman"/>
                      <w:spacing w:val="-5"/>
                      <w:sz w:val="21"/>
                      <w:szCs w:val="21"/>
                      <w:lang w:val="en-US" w:eastAsia="zh-CN" w:bidi="he-IL"/>
                    </w:rPr>
                    <w:t>水质</w:t>
                  </w:r>
                  <w:r>
                    <w:rPr>
                      <w:rFonts w:hint="eastAsia" w:ascii="Times New Roman" w:hAnsi="Times New Roman" w:cs="Times New Roman"/>
                      <w:spacing w:val="-5"/>
                      <w:sz w:val="21"/>
                      <w:szCs w:val="21"/>
                      <w:lang w:val="en-US" w:eastAsia="zh-CN" w:bidi="he-IL"/>
                    </w:rPr>
                    <w:t xml:space="preserve"> </w:t>
                  </w:r>
                  <w:r>
                    <w:rPr>
                      <w:rFonts w:hint="default" w:ascii="Times New Roman" w:hAnsi="Times New Roman" w:cs="Times New Roman"/>
                      <w:spacing w:val="-5"/>
                      <w:sz w:val="21"/>
                      <w:szCs w:val="21"/>
                      <w:lang w:val="en-US" w:eastAsia="zh-CN" w:bidi="he-IL"/>
                    </w:rPr>
                    <w:t>五日生化需氧量（BOD₅</w:t>
                  </w:r>
                  <w:r>
                    <w:rPr>
                      <w:rFonts w:hint="eastAsia" w:ascii="Times New Roman" w:hAnsi="Times New Roman" w:cs="Times New Roman"/>
                      <w:spacing w:val="-5"/>
                      <w:sz w:val="21"/>
                      <w:szCs w:val="21"/>
                      <w:lang w:val="en-US" w:eastAsia="zh-CN" w:bidi="he-IL"/>
                    </w:rPr>
                    <w:t>）的测定 稀释与接种法</w:t>
                  </w:r>
                </w:p>
              </w:tc>
              <w:tc>
                <w:tcPr>
                  <w:tcW w:w="703" w:type="pct"/>
                  <w:vMerge w:val="restart"/>
                  <w:vAlign w:val="center"/>
                </w:tcPr>
                <w:p w14:paraId="1715EEF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0.5mg/L</w:t>
                  </w:r>
                </w:p>
              </w:tc>
              <w:tc>
                <w:tcPr>
                  <w:tcW w:w="1051" w:type="pct"/>
                  <w:vAlign w:val="center"/>
                </w:tcPr>
                <w:p w14:paraId="3A42B88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JPSJ-605F</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溶解氧测定仪</w:t>
                  </w:r>
                </w:p>
              </w:tc>
              <w:tc>
                <w:tcPr>
                  <w:tcW w:w="671" w:type="pct"/>
                  <w:vAlign w:val="center"/>
                </w:tcPr>
                <w:p w14:paraId="42CB7EF8">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SCDYQ111</w:t>
                  </w:r>
                </w:p>
              </w:tc>
            </w:tr>
            <w:tr w14:paraId="7E5F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continue"/>
                  <w:vAlign w:val="center"/>
                </w:tcPr>
                <w:p w14:paraId="68063DB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continue"/>
                  <w:vAlign w:val="center"/>
                </w:tcPr>
                <w:p w14:paraId="2FCBE860">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p>
              </w:tc>
              <w:tc>
                <w:tcPr>
                  <w:tcW w:w="703" w:type="pct"/>
                  <w:vMerge w:val="continue"/>
                  <w:vAlign w:val="center"/>
                </w:tcPr>
                <w:p w14:paraId="5E4D57E1">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051" w:type="pct"/>
                  <w:vAlign w:val="center"/>
                </w:tcPr>
                <w:p w14:paraId="4AAC6601">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 xml:space="preserve">LRH-250 </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生化培养箱</w:t>
                  </w:r>
                </w:p>
              </w:tc>
              <w:tc>
                <w:tcPr>
                  <w:tcW w:w="671" w:type="pct"/>
                  <w:vAlign w:val="center"/>
                </w:tcPr>
                <w:p w14:paraId="4BF80AB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SCDYQ043</w:t>
                  </w:r>
                </w:p>
              </w:tc>
            </w:tr>
            <w:tr w14:paraId="7B27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Align w:val="center"/>
                </w:tcPr>
                <w:p w14:paraId="6359A4D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氨氮</w:t>
                  </w:r>
                </w:p>
              </w:tc>
              <w:tc>
                <w:tcPr>
                  <w:tcW w:w="1808" w:type="pct"/>
                  <w:vAlign w:val="center"/>
                </w:tcPr>
                <w:p w14:paraId="6AB12BB6">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535-2009 水质 氨氮的测定 纳氏试剂分</w:t>
                  </w:r>
                  <w:r>
                    <w:rPr>
                      <w:rFonts w:hint="eastAsia" w:ascii="Times New Roman" w:hAnsi="Times New Roman" w:cs="Times New Roman"/>
                      <w:spacing w:val="-5"/>
                      <w:sz w:val="21"/>
                      <w:szCs w:val="21"/>
                      <w:lang w:val="en-US" w:eastAsia="zh-CN" w:bidi="he-IL"/>
                    </w:rPr>
                    <w:t>光光度法</w:t>
                  </w:r>
                </w:p>
              </w:tc>
              <w:tc>
                <w:tcPr>
                  <w:tcW w:w="703" w:type="pct"/>
                  <w:vAlign w:val="center"/>
                </w:tcPr>
                <w:p w14:paraId="077895A2">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0.025mg/L</w:t>
                  </w:r>
                </w:p>
              </w:tc>
              <w:tc>
                <w:tcPr>
                  <w:tcW w:w="1051" w:type="pct"/>
                  <w:vAlign w:val="center"/>
                </w:tcPr>
                <w:p w14:paraId="109F198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 xml:space="preserve">TU-1810 </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紫外分光光度计</w:t>
                  </w:r>
                </w:p>
              </w:tc>
              <w:tc>
                <w:tcPr>
                  <w:tcW w:w="671" w:type="pct"/>
                  <w:vAlign w:val="center"/>
                </w:tcPr>
                <w:p w14:paraId="4F2E424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SCDYQ024</w:t>
                  </w:r>
                </w:p>
              </w:tc>
            </w:tr>
            <w:tr w14:paraId="0361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Align w:val="center"/>
                </w:tcPr>
                <w:p w14:paraId="38D93491">
                  <w:pPr>
                    <w:keepNext w:val="0"/>
                    <w:keepLines w:val="0"/>
                    <w:widowControl/>
                    <w:suppressLineNumbers w:val="0"/>
                    <w:spacing w:before="0" w:beforeAutospacing="0" w:after="0" w:afterAutospacing="0"/>
                    <w:ind w:left="0" w:leftChars="0" w:right="0"/>
                    <w:jc w:val="center"/>
                    <w:rPr>
                      <w:rFonts w:hint="default" w:ascii="Times New Roman" w:hAnsi="Times New Roman" w:eastAsia="宋体" w:cs="宋体"/>
                      <w:spacing w:val="-5"/>
                      <w:sz w:val="21"/>
                      <w:szCs w:val="21"/>
                      <w:lang w:val="en-US" w:eastAsia="zh-CN" w:bidi="he-IL"/>
                    </w:rPr>
                  </w:pPr>
                  <w:r>
                    <w:rPr>
                      <w:rFonts w:hint="eastAsia" w:ascii="Times New Roman" w:hAnsi="Times New Roman" w:cs="Times New Roman"/>
                      <w:b w:val="0"/>
                      <w:bCs w:val="0"/>
                      <w:spacing w:val="0"/>
                      <w:sz w:val="21"/>
                      <w:szCs w:val="21"/>
                      <w:lang w:val="en-US" w:eastAsia="zh-CN" w:bidi="ar-SA"/>
                    </w:rPr>
                    <w:t>*动植物油类</w:t>
                  </w:r>
                </w:p>
              </w:tc>
              <w:tc>
                <w:tcPr>
                  <w:tcW w:w="1808" w:type="pct"/>
                  <w:vAlign w:val="center"/>
                </w:tcPr>
                <w:p w14:paraId="556F01D7">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宋体"/>
                      <w:sz w:val="21"/>
                      <w:szCs w:val="21"/>
                      <w:lang w:val="en-US" w:eastAsia="zh-CN" w:bidi="ar-SA"/>
                    </w:rPr>
                  </w:pPr>
                  <w:r>
                    <w:rPr>
                      <w:rFonts w:hint="default" w:ascii="Times New Roman" w:hAnsi="Times New Roman" w:eastAsia="宋体" w:cs="Times New Roman"/>
                      <w:b w:val="0"/>
                      <w:bCs w:val="0"/>
                      <w:spacing w:val="0"/>
                      <w:sz w:val="21"/>
                      <w:szCs w:val="21"/>
                      <w:lang w:val="en-US" w:eastAsia="zh-CN" w:bidi="ar-SA"/>
                    </w:rPr>
                    <w:t>HJ 637-2018</w:t>
                  </w:r>
                  <w:r>
                    <w:rPr>
                      <w:rFonts w:hint="eastAsia" w:ascii="Times New Roman" w:hAnsi="Times New Roman" w:eastAsia="宋体" w:cs="Times New Roman"/>
                      <w:b w:val="0"/>
                      <w:bCs w:val="0"/>
                      <w:spacing w:val="0"/>
                      <w:sz w:val="21"/>
                      <w:szCs w:val="21"/>
                      <w:lang w:val="en-US" w:eastAsia="zh-CN" w:bidi="ar-SA"/>
                    </w:rPr>
                    <w:t xml:space="preserve"> </w:t>
                  </w:r>
                  <w:r>
                    <w:rPr>
                      <w:rFonts w:hint="default" w:ascii="Times New Roman" w:hAnsi="Times New Roman" w:eastAsia="宋体" w:cs="Times New Roman"/>
                      <w:b w:val="0"/>
                      <w:bCs w:val="0"/>
                      <w:spacing w:val="0"/>
                      <w:sz w:val="21"/>
                      <w:szCs w:val="21"/>
                      <w:lang w:val="en-US" w:eastAsia="zh-CN" w:bidi="ar-SA"/>
                    </w:rPr>
                    <w:t>水质 石油类和动植物油类的测定 红外分光光度法</w:t>
                  </w:r>
                </w:p>
              </w:tc>
              <w:tc>
                <w:tcPr>
                  <w:tcW w:w="703" w:type="pct"/>
                  <w:vAlign w:val="center"/>
                </w:tcPr>
                <w:p w14:paraId="74FA6A8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5"/>
                      <w:sz w:val="21"/>
                      <w:szCs w:val="21"/>
                      <w:lang w:val="en-US" w:eastAsia="zh-CN" w:bidi="he-IL"/>
                    </w:rPr>
                  </w:pPr>
                  <w:r>
                    <w:rPr>
                      <w:rFonts w:hint="default" w:ascii="Times New Roman" w:hAnsi="Times New Roman" w:cs="Times New Roman"/>
                      <w:sz w:val="21"/>
                      <w:szCs w:val="21"/>
                      <w:lang w:val="en-US" w:eastAsia="zh-CN"/>
                    </w:rPr>
                    <w:t>0.06mg/L</w:t>
                  </w:r>
                </w:p>
              </w:tc>
              <w:tc>
                <w:tcPr>
                  <w:tcW w:w="1051" w:type="pct"/>
                  <w:vAlign w:val="center"/>
                </w:tcPr>
                <w:p w14:paraId="2077972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OIL460型红外分光测油仪</w:t>
                  </w:r>
                </w:p>
              </w:tc>
              <w:tc>
                <w:tcPr>
                  <w:tcW w:w="671" w:type="pct"/>
                  <w:vAlign w:val="center"/>
                </w:tcPr>
                <w:p w14:paraId="64CF96A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cs="Times New Roman"/>
                      <w:spacing w:val="-5"/>
                      <w:sz w:val="21"/>
                      <w:szCs w:val="21"/>
                      <w:lang w:val="en-US" w:eastAsia="zh-CN" w:bidi="he-IL"/>
                    </w:rPr>
                    <w:t>—</w:t>
                  </w:r>
                </w:p>
              </w:tc>
            </w:tr>
            <w:tr w14:paraId="743C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Align w:val="center"/>
                </w:tcPr>
                <w:p w14:paraId="171F5A82">
                  <w:pPr>
                    <w:keepNext w:val="0"/>
                    <w:keepLines w:val="0"/>
                    <w:widowControl/>
                    <w:suppressLineNumbers w:val="0"/>
                    <w:spacing w:before="0" w:beforeAutospacing="0" w:after="0" w:afterAutospacing="0"/>
                    <w:ind w:left="0" w:leftChars="0" w:right="0"/>
                    <w:jc w:val="center"/>
                    <w:rPr>
                      <w:rFonts w:hint="eastAsia" w:ascii="Times New Roman" w:hAnsi="Times New Roman" w:eastAsia="宋体" w:cs="Times New Roman"/>
                      <w:b/>
                      <w:spacing w:val="-5"/>
                      <w:sz w:val="21"/>
                      <w:szCs w:val="21"/>
                      <w:lang w:val="en-US" w:eastAsia="zh-CN" w:bidi="he-IL"/>
                    </w:rPr>
                  </w:pPr>
                  <w:r>
                    <w:rPr>
                      <w:rFonts w:hint="eastAsia" w:ascii="Times New Roman" w:hAnsi="Times New Roman" w:cs="宋体"/>
                      <w:b/>
                      <w:bCs/>
                      <w:sz w:val="21"/>
                      <w:szCs w:val="21"/>
                    </w:rPr>
                    <w:t>名称</w:t>
                  </w:r>
                </w:p>
              </w:tc>
              <w:tc>
                <w:tcPr>
                  <w:tcW w:w="1808" w:type="pct"/>
                  <w:vAlign w:val="center"/>
                </w:tcPr>
                <w:p w14:paraId="50564B00">
                  <w:pPr>
                    <w:keepNext w:val="0"/>
                    <w:keepLines w:val="0"/>
                    <w:widowControl/>
                    <w:suppressLineNumbers w:val="0"/>
                    <w:spacing w:before="0" w:beforeAutospacing="0" w:after="0" w:afterAutospacing="0"/>
                    <w:ind w:left="0" w:leftChars="0" w:right="0"/>
                    <w:jc w:val="center"/>
                    <w:rPr>
                      <w:rFonts w:hint="eastAsia"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废气检测依据</w:t>
                  </w:r>
                </w:p>
              </w:tc>
              <w:tc>
                <w:tcPr>
                  <w:tcW w:w="703" w:type="pct"/>
                  <w:vAlign w:val="center"/>
                </w:tcPr>
                <w:p w14:paraId="75D0A973">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检出限</w:t>
                  </w:r>
                </w:p>
              </w:tc>
              <w:tc>
                <w:tcPr>
                  <w:tcW w:w="1051" w:type="pct"/>
                  <w:vAlign w:val="center"/>
                </w:tcPr>
                <w:p w14:paraId="04D66230">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spacing w:val="-5"/>
                      <w:sz w:val="21"/>
                      <w:szCs w:val="21"/>
                      <w:lang w:val="en-US" w:eastAsia="zh-CN" w:bidi="he-IL"/>
                    </w:rPr>
                  </w:pPr>
                  <w:r>
                    <w:rPr>
                      <w:rFonts w:hint="eastAsia" w:ascii="Times New Roman" w:hAnsi="Times New Roman" w:cs="宋体"/>
                      <w:b/>
                      <w:bCs/>
                      <w:sz w:val="21"/>
                      <w:szCs w:val="21"/>
                    </w:rPr>
                    <w:t>主要检测仪器</w:t>
                  </w:r>
                </w:p>
              </w:tc>
              <w:tc>
                <w:tcPr>
                  <w:tcW w:w="671" w:type="pct"/>
                  <w:vAlign w:val="center"/>
                </w:tcPr>
                <w:p w14:paraId="668FA27E">
                  <w:pPr>
                    <w:keepNext w:val="0"/>
                    <w:keepLines w:val="0"/>
                    <w:widowControl/>
                    <w:suppressLineNumbers w:val="0"/>
                    <w:spacing w:before="0" w:beforeAutospacing="0" w:after="0" w:afterAutospacing="0"/>
                    <w:ind w:left="0" w:leftChars="0" w:right="0"/>
                    <w:jc w:val="center"/>
                    <w:rPr>
                      <w:rFonts w:hint="eastAsia" w:ascii="Times New Roman" w:hAnsi="Times New Roman" w:eastAsia="宋体" w:cs="Times New Roman"/>
                      <w:b/>
                      <w:spacing w:val="-5"/>
                      <w:sz w:val="21"/>
                      <w:szCs w:val="21"/>
                      <w:lang w:val="en-US" w:eastAsia="zh-CN" w:bidi="he-IL"/>
                    </w:rPr>
                  </w:pPr>
                  <w:r>
                    <w:rPr>
                      <w:rFonts w:hint="eastAsia" w:ascii="Times New Roman" w:hAnsi="Times New Roman" w:cs="宋体"/>
                      <w:b/>
                      <w:bCs/>
                      <w:sz w:val="21"/>
                      <w:szCs w:val="21"/>
                    </w:rPr>
                    <w:t>仪器编号</w:t>
                  </w:r>
                </w:p>
              </w:tc>
            </w:tr>
            <w:tr w14:paraId="5065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restart"/>
                  <w:vAlign w:val="center"/>
                </w:tcPr>
                <w:p w14:paraId="547E5CF4">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总悬浮颗粒物</w:t>
                  </w:r>
                </w:p>
              </w:tc>
              <w:tc>
                <w:tcPr>
                  <w:tcW w:w="1808" w:type="pct"/>
                  <w:vMerge w:val="restart"/>
                  <w:vAlign w:val="center"/>
                </w:tcPr>
                <w:p w14:paraId="2F362802">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1263-2022</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环境空气</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总悬浮颗粒物的测定</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重量法</w:t>
                  </w:r>
                </w:p>
              </w:tc>
              <w:tc>
                <w:tcPr>
                  <w:tcW w:w="703" w:type="pct"/>
                  <w:vMerge w:val="restart"/>
                  <w:vAlign w:val="center"/>
                </w:tcPr>
                <w:p w14:paraId="5A13990E">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7μg/m³</w:t>
                  </w:r>
                </w:p>
              </w:tc>
              <w:tc>
                <w:tcPr>
                  <w:tcW w:w="1051" w:type="pct"/>
                  <w:vAlign w:val="center"/>
                </w:tcPr>
                <w:p w14:paraId="11EA6B3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ZDHC-6000</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恒温恒湿箱</w:t>
                  </w:r>
                </w:p>
              </w:tc>
              <w:tc>
                <w:tcPr>
                  <w:tcW w:w="671" w:type="pct"/>
                  <w:vAlign w:val="center"/>
                </w:tcPr>
                <w:p w14:paraId="1C2158F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SCDYQ041</w:t>
                  </w:r>
                </w:p>
              </w:tc>
            </w:tr>
            <w:tr w14:paraId="5075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pct"/>
                  <w:vMerge w:val="continue"/>
                  <w:vAlign w:val="center"/>
                </w:tcPr>
                <w:p w14:paraId="6BA14B9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continue"/>
                  <w:vAlign w:val="center"/>
                </w:tcPr>
                <w:p w14:paraId="4FF2E973">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p>
              </w:tc>
              <w:tc>
                <w:tcPr>
                  <w:tcW w:w="703" w:type="pct"/>
                  <w:vMerge w:val="continue"/>
                  <w:vAlign w:val="center"/>
                </w:tcPr>
                <w:p w14:paraId="27CE053A">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p>
              </w:tc>
              <w:tc>
                <w:tcPr>
                  <w:tcW w:w="1051" w:type="pct"/>
                  <w:vAlign w:val="center"/>
                </w:tcPr>
                <w:p w14:paraId="5B94AE4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ES1055A</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电子天平</w:t>
                  </w:r>
                </w:p>
              </w:tc>
              <w:tc>
                <w:tcPr>
                  <w:tcW w:w="671" w:type="pct"/>
                  <w:vAlign w:val="center"/>
                </w:tcPr>
                <w:p w14:paraId="16817AF8">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SCDYQ042</w:t>
                  </w:r>
                </w:p>
              </w:tc>
            </w:tr>
            <w:tr w14:paraId="62DF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restart"/>
                  <w:vAlign w:val="center"/>
                </w:tcPr>
                <w:p w14:paraId="33232679">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颗粒物</w:t>
                  </w:r>
                </w:p>
              </w:tc>
              <w:tc>
                <w:tcPr>
                  <w:tcW w:w="1808" w:type="pct"/>
                  <w:vMerge w:val="restart"/>
                  <w:vAlign w:val="center"/>
                </w:tcPr>
                <w:p w14:paraId="698D334D">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GB/T 16157-1996及修改单 固定污染源</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排气中颗粒物测定与气态污染物</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采样方法</w:t>
                  </w:r>
                </w:p>
              </w:tc>
              <w:tc>
                <w:tcPr>
                  <w:tcW w:w="703" w:type="pct"/>
                  <w:vMerge w:val="restart"/>
                  <w:vAlign w:val="center"/>
                </w:tcPr>
                <w:p w14:paraId="4543C756">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cs="Times New Roman"/>
                      <w:spacing w:val="-5"/>
                      <w:sz w:val="21"/>
                      <w:szCs w:val="21"/>
                      <w:lang w:val="en-US" w:eastAsia="zh-CN" w:bidi="he-IL"/>
                    </w:rPr>
                    <w:t>20mg/m</w:t>
                  </w:r>
                  <w:r>
                    <w:rPr>
                      <w:rFonts w:hint="eastAsia" w:ascii="Times New Roman" w:hAnsi="Times New Roman" w:cs="Times New Roman"/>
                      <w:spacing w:val="-5"/>
                      <w:sz w:val="21"/>
                      <w:szCs w:val="21"/>
                      <w:vertAlign w:val="superscript"/>
                      <w:lang w:val="en-US" w:eastAsia="zh-CN" w:bidi="he-IL"/>
                    </w:rPr>
                    <w:t>3</w:t>
                  </w:r>
                </w:p>
              </w:tc>
              <w:tc>
                <w:tcPr>
                  <w:tcW w:w="1051" w:type="pct"/>
                  <w:vAlign w:val="center"/>
                </w:tcPr>
                <w:p w14:paraId="7F9C3CD2">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ZDHC-6000</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恒温恒湿箱</w:t>
                  </w:r>
                </w:p>
              </w:tc>
              <w:tc>
                <w:tcPr>
                  <w:tcW w:w="671" w:type="pct"/>
                  <w:vAlign w:val="center"/>
                </w:tcPr>
                <w:p w14:paraId="1E05DDF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SCDYQ041</w:t>
                  </w:r>
                </w:p>
              </w:tc>
            </w:tr>
            <w:tr w14:paraId="1568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65" w:type="pct"/>
                  <w:vMerge w:val="continue"/>
                  <w:vAlign w:val="center"/>
                </w:tcPr>
                <w:p w14:paraId="650072B9">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continue"/>
                  <w:vAlign w:val="center"/>
                </w:tcPr>
                <w:p w14:paraId="3323FB5C">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p>
              </w:tc>
              <w:tc>
                <w:tcPr>
                  <w:tcW w:w="703" w:type="pct"/>
                  <w:vMerge w:val="continue"/>
                  <w:vAlign w:val="center"/>
                </w:tcPr>
                <w:p w14:paraId="6582652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cs="Times New Roman"/>
                      <w:spacing w:val="-5"/>
                      <w:sz w:val="21"/>
                      <w:szCs w:val="21"/>
                      <w:lang w:val="en-US" w:eastAsia="zh-CN" w:bidi="he-IL"/>
                    </w:rPr>
                  </w:pPr>
                </w:p>
              </w:tc>
              <w:tc>
                <w:tcPr>
                  <w:tcW w:w="1051" w:type="pct"/>
                  <w:vAlign w:val="center"/>
                </w:tcPr>
                <w:p w14:paraId="28B07E6E">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ES1055A</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电子天平</w:t>
                  </w:r>
                </w:p>
              </w:tc>
              <w:tc>
                <w:tcPr>
                  <w:tcW w:w="671" w:type="pct"/>
                  <w:vAlign w:val="center"/>
                </w:tcPr>
                <w:p w14:paraId="6F342AE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SCDYQ042</w:t>
                  </w:r>
                </w:p>
              </w:tc>
            </w:tr>
            <w:tr w14:paraId="14FE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65" w:type="pct"/>
                  <w:vMerge w:val="continue"/>
                  <w:vAlign w:val="center"/>
                </w:tcPr>
                <w:p w14:paraId="6A9659A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restart"/>
                  <w:vAlign w:val="center"/>
                </w:tcPr>
                <w:p w14:paraId="3E6401DA">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836-2017 固定污染源废气</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低浓度颗粒物的测定 重量法</w:t>
                  </w:r>
                </w:p>
              </w:tc>
              <w:tc>
                <w:tcPr>
                  <w:tcW w:w="703" w:type="pct"/>
                  <w:vMerge w:val="restart"/>
                  <w:vAlign w:val="center"/>
                </w:tcPr>
                <w:p w14:paraId="2A9E129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1.0</w:t>
                  </w:r>
                  <w:r>
                    <w:rPr>
                      <w:rFonts w:hint="eastAsia" w:ascii="Times New Roman" w:hAnsi="Times New Roman" w:cs="Times New Roman"/>
                      <w:spacing w:val="-5"/>
                      <w:sz w:val="21"/>
                      <w:szCs w:val="21"/>
                      <w:lang w:val="en-US" w:eastAsia="zh-CN" w:bidi="he-IL"/>
                    </w:rPr>
                    <w:t>mg/m</w:t>
                  </w:r>
                  <w:r>
                    <w:rPr>
                      <w:rFonts w:hint="eastAsia" w:ascii="Times New Roman" w:hAnsi="Times New Roman" w:cs="Times New Roman"/>
                      <w:spacing w:val="-5"/>
                      <w:sz w:val="21"/>
                      <w:szCs w:val="21"/>
                      <w:vertAlign w:val="superscript"/>
                      <w:lang w:val="en-US" w:eastAsia="zh-CN" w:bidi="he-IL"/>
                    </w:rPr>
                    <w:t>3</w:t>
                  </w:r>
                </w:p>
              </w:tc>
              <w:tc>
                <w:tcPr>
                  <w:tcW w:w="1051" w:type="pct"/>
                  <w:vAlign w:val="center"/>
                </w:tcPr>
                <w:p w14:paraId="7C0399C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ZDHC-6000</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恒温恒湿箱</w:t>
                  </w:r>
                </w:p>
              </w:tc>
              <w:tc>
                <w:tcPr>
                  <w:tcW w:w="671" w:type="pct"/>
                  <w:vAlign w:val="center"/>
                </w:tcPr>
                <w:p w14:paraId="6BDD1C54">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SCDYQ041</w:t>
                  </w:r>
                </w:p>
              </w:tc>
            </w:tr>
            <w:tr w14:paraId="04B7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pct"/>
                  <w:vMerge w:val="continue"/>
                  <w:vAlign w:val="center"/>
                </w:tcPr>
                <w:p w14:paraId="6CD761C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808" w:type="pct"/>
                  <w:vMerge w:val="continue"/>
                  <w:vAlign w:val="center"/>
                </w:tcPr>
                <w:p w14:paraId="31FAEF39">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p>
              </w:tc>
              <w:tc>
                <w:tcPr>
                  <w:tcW w:w="703" w:type="pct"/>
                  <w:vMerge w:val="continue"/>
                  <w:vAlign w:val="center"/>
                </w:tcPr>
                <w:p w14:paraId="1D2175B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p>
              </w:tc>
              <w:tc>
                <w:tcPr>
                  <w:tcW w:w="1051" w:type="pct"/>
                  <w:vAlign w:val="center"/>
                </w:tcPr>
                <w:p w14:paraId="3B4790E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ES1055A</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电子天平</w:t>
                  </w:r>
                </w:p>
              </w:tc>
              <w:tc>
                <w:tcPr>
                  <w:tcW w:w="671" w:type="pct"/>
                  <w:vAlign w:val="center"/>
                </w:tcPr>
                <w:p w14:paraId="6AC62F7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SCDYQ042</w:t>
                  </w:r>
                </w:p>
              </w:tc>
            </w:tr>
            <w:tr w14:paraId="234A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Merge w:val="restart"/>
                  <w:vAlign w:val="center"/>
                </w:tcPr>
                <w:p w14:paraId="243DE429">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非甲烷总烃</w:t>
                  </w:r>
                </w:p>
              </w:tc>
              <w:tc>
                <w:tcPr>
                  <w:tcW w:w="1808" w:type="pct"/>
                  <w:vAlign w:val="center"/>
                </w:tcPr>
                <w:p w14:paraId="0627201E">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604-2017 环境空气</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总烃、甲烷和非甲烷总烃的测定 直接进样-气相色谱法</w:t>
                  </w:r>
                </w:p>
              </w:tc>
              <w:tc>
                <w:tcPr>
                  <w:tcW w:w="703" w:type="pct"/>
                  <w:vAlign w:val="center"/>
                </w:tcPr>
                <w:p w14:paraId="397543D9">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无组织0.07mg/m</w:t>
                  </w:r>
                  <w:r>
                    <w:rPr>
                      <w:rFonts w:hint="eastAsia" w:ascii="Times New Roman" w:hAnsi="Times New Roman" w:eastAsia="宋体" w:cs="Times New Roman"/>
                      <w:spacing w:val="-5"/>
                      <w:sz w:val="21"/>
                      <w:szCs w:val="21"/>
                      <w:vertAlign w:val="superscript"/>
                      <w:lang w:val="en-US" w:eastAsia="zh-CN" w:bidi="he-IL"/>
                    </w:rPr>
                    <w:t>3</w:t>
                  </w:r>
                </w:p>
              </w:tc>
              <w:tc>
                <w:tcPr>
                  <w:tcW w:w="1051" w:type="pct"/>
                  <w:vAlign w:val="center"/>
                </w:tcPr>
                <w:p w14:paraId="4E957F4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GC9790II</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气相色谱仪</w:t>
                  </w:r>
                </w:p>
              </w:tc>
              <w:tc>
                <w:tcPr>
                  <w:tcW w:w="671" w:type="pct"/>
                  <w:vAlign w:val="center"/>
                </w:tcPr>
                <w:p w14:paraId="5292615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SCDYQ035</w:t>
                  </w:r>
                </w:p>
              </w:tc>
            </w:tr>
            <w:tr w14:paraId="0DB3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Merge w:val="continue"/>
                  <w:vAlign w:val="center"/>
                </w:tcPr>
                <w:p w14:paraId="706602D7">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p>
              </w:tc>
              <w:tc>
                <w:tcPr>
                  <w:tcW w:w="1808" w:type="pct"/>
                  <w:vAlign w:val="center"/>
                </w:tcPr>
                <w:p w14:paraId="73CAE0CE">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38-2017 固定污染源废气</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总烃、甲烷和非甲烷总烃的测定</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气相色谱法</w:t>
                  </w:r>
                </w:p>
              </w:tc>
              <w:tc>
                <w:tcPr>
                  <w:tcW w:w="703" w:type="pct"/>
                  <w:vAlign w:val="center"/>
                </w:tcPr>
                <w:p w14:paraId="22E55BDD">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有组织</w:t>
                  </w:r>
                  <w:r>
                    <w:rPr>
                      <w:rFonts w:hint="eastAsia" w:ascii="Times New Roman" w:hAnsi="Times New Roman" w:cs="Times New Roman"/>
                      <w:spacing w:val="-5"/>
                      <w:sz w:val="21"/>
                      <w:szCs w:val="21"/>
                      <w:lang w:val="en-US" w:eastAsia="zh-CN" w:bidi="he-IL"/>
                    </w:rPr>
                    <w:t>0.07mg/m</w:t>
                  </w:r>
                  <w:r>
                    <w:rPr>
                      <w:rFonts w:hint="eastAsia" w:ascii="Times New Roman" w:hAnsi="Times New Roman" w:cs="Times New Roman"/>
                      <w:spacing w:val="-5"/>
                      <w:sz w:val="21"/>
                      <w:szCs w:val="21"/>
                      <w:vertAlign w:val="superscript"/>
                      <w:lang w:val="en-US" w:eastAsia="zh-CN" w:bidi="he-IL"/>
                    </w:rPr>
                    <w:t>3</w:t>
                  </w:r>
                </w:p>
              </w:tc>
              <w:tc>
                <w:tcPr>
                  <w:tcW w:w="1051" w:type="pct"/>
                  <w:vAlign w:val="center"/>
                </w:tcPr>
                <w:p w14:paraId="54605F59">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GC9790II</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气相色谱仪</w:t>
                  </w:r>
                </w:p>
              </w:tc>
              <w:tc>
                <w:tcPr>
                  <w:tcW w:w="671" w:type="pct"/>
                  <w:vAlign w:val="center"/>
                </w:tcPr>
                <w:p w14:paraId="7E9BA04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SCDYQ035</w:t>
                  </w:r>
                </w:p>
              </w:tc>
            </w:tr>
            <w:tr w14:paraId="1421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Align w:val="center"/>
                </w:tcPr>
                <w:p w14:paraId="4B8108D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cs="Times New Roman"/>
                      <w:spacing w:val="-5"/>
                      <w:sz w:val="21"/>
                      <w:szCs w:val="21"/>
                      <w:lang w:val="en-US" w:eastAsia="zh-CN" w:bidi="he-IL"/>
                    </w:rPr>
                    <w:t>二甲苯</w:t>
                  </w:r>
                </w:p>
              </w:tc>
              <w:tc>
                <w:tcPr>
                  <w:tcW w:w="1808" w:type="pct"/>
                  <w:vAlign w:val="center"/>
                </w:tcPr>
                <w:p w14:paraId="1A2ED866">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584-2010</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环境空气</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苯系物的测定</w:t>
                  </w:r>
                  <w:r>
                    <w:rPr>
                      <w:rFonts w:hint="eastAsia" w:ascii="Times New Roman" w:hAnsi="Times New Roman" w:cs="Times New Roman"/>
                      <w:spacing w:val="-5"/>
                      <w:sz w:val="21"/>
                      <w:szCs w:val="21"/>
                      <w:lang w:val="en-US" w:eastAsia="zh-CN" w:bidi="he-IL"/>
                    </w:rPr>
                    <w:t xml:space="preserve"> </w:t>
                  </w:r>
                  <w:r>
                    <w:rPr>
                      <w:rFonts w:hint="eastAsia" w:ascii="Times New Roman" w:hAnsi="Times New Roman" w:eastAsia="宋体" w:cs="Times New Roman"/>
                      <w:spacing w:val="-5"/>
                      <w:sz w:val="21"/>
                      <w:szCs w:val="21"/>
                      <w:lang w:val="en-US" w:eastAsia="zh-CN" w:bidi="he-IL"/>
                    </w:rPr>
                    <w:t>活性炭吸附/二硫化碳解吸-气相色谱法</w:t>
                  </w:r>
                </w:p>
              </w:tc>
              <w:tc>
                <w:tcPr>
                  <w:tcW w:w="703" w:type="pct"/>
                  <w:vAlign w:val="center"/>
                </w:tcPr>
                <w:p w14:paraId="2B7044E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cs="Times New Roman"/>
                      <w:spacing w:val="-5"/>
                      <w:sz w:val="21"/>
                      <w:szCs w:val="21"/>
                      <w:lang w:val="en-US" w:eastAsia="zh-CN" w:bidi="he-IL"/>
                    </w:rPr>
                    <w:t>1.5x10</w:t>
                  </w:r>
                  <w:r>
                    <w:rPr>
                      <w:rFonts w:hint="eastAsia" w:ascii="Times New Roman" w:hAnsi="Times New Roman" w:cs="Times New Roman"/>
                      <w:spacing w:val="-5"/>
                      <w:sz w:val="21"/>
                      <w:szCs w:val="21"/>
                      <w:vertAlign w:val="superscript"/>
                      <w:lang w:val="en-US" w:eastAsia="zh-CN" w:bidi="he-IL"/>
                    </w:rPr>
                    <w:t>-3</w:t>
                  </w:r>
                  <w:r>
                    <w:rPr>
                      <w:rFonts w:hint="default" w:ascii="Times New Roman" w:hAnsi="Times New Roman" w:cs="Times New Roman"/>
                      <w:spacing w:val="-5"/>
                      <w:sz w:val="21"/>
                      <w:szCs w:val="21"/>
                      <w:lang w:val="en-US" w:eastAsia="zh-CN" w:bidi="he-IL"/>
                    </w:rPr>
                    <w:t>mg/m</w:t>
                  </w:r>
                  <w:r>
                    <w:rPr>
                      <w:rFonts w:hint="default" w:ascii="Times New Roman" w:hAnsi="Times New Roman" w:cs="Times New Roman"/>
                      <w:spacing w:val="-5"/>
                      <w:sz w:val="21"/>
                      <w:szCs w:val="21"/>
                      <w:vertAlign w:val="superscript"/>
                      <w:lang w:val="en-US" w:eastAsia="zh-CN" w:bidi="he-IL"/>
                    </w:rPr>
                    <w:t>3</w:t>
                  </w:r>
                </w:p>
              </w:tc>
              <w:tc>
                <w:tcPr>
                  <w:tcW w:w="1051" w:type="pct"/>
                  <w:vAlign w:val="center"/>
                </w:tcPr>
                <w:p w14:paraId="29713CBC">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GC9790Plus</w:t>
                  </w:r>
                  <w:r>
                    <w:rPr>
                      <w:rFonts w:hint="eastAsia" w:ascii="Times New Roman" w:hAnsi="Times New Roman" w:cs="Times New Roman"/>
                      <w:spacing w:val="-5"/>
                      <w:sz w:val="21"/>
                      <w:szCs w:val="21"/>
                      <w:lang w:val="en-US" w:eastAsia="zh-CN" w:bidi="he-IL"/>
                    </w:rPr>
                    <w:t xml:space="preserve">      气相色谱仪</w:t>
                  </w:r>
                </w:p>
              </w:tc>
              <w:tc>
                <w:tcPr>
                  <w:tcW w:w="671" w:type="pct"/>
                  <w:vAlign w:val="center"/>
                </w:tcPr>
                <w:p w14:paraId="0AD39998">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SCDYQ03</w:t>
                  </w:r>
                  <w:r>
                    <w:rPr>
                      <w:rFonts w:hint="eastAsia" w:ascii="Times New Roman" w:hAnsi="Times New Roman" w:cs="Times New Roman"/>
                      <w:spacing w:val="-5"/>
                      <w:sz w:val="21"/>
                      <w:szCs w:val="21"/>
                      <w:lang w:val="en-US" w:eastAsia="zh-CN" w:bidi="he-IL"/>
                    </w:rPr>
                    <w:t>4</w:t>
                  </w:r>
                </w:p>
              </w:tc>
            </w:tr>
            <w:tr w14:paraId="7532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shd w:val="clear" w:color="auto" w:fill="auto"/>
                  <w:vAlign w:val="center"/>
                </w:tcPr>
                <w:p w14:paraId="6F565B6D">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氮氧化物</w:t>
                  </w:r>
                </w:p>
              </w:tc>
              <w:tc>
                <w:tcPr>
                  <w:tcW w:w="1808" w:type="pct"/>
                  <w:shd w:val="clear" w:color="auto" w:fill="auto"/>
                  <w:vAlign w:val="center"/>
                </w:tcPr>
                <w:p w14:paraId="57A9A63C">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693-2014 固定污染源废气 氮氧化物的测定 定电位电解法</w:t>
                  </w:r>
                </w:p>
              </w:tc>
              <w:tc>
                <w:tcPr>
                  <w:tcW w:w="703" w:type="pct"/>
                  <w:shd w:val="clear" w:color="auto" w:fill="auto"/>
                  <w:vAlign w:val="center"/>
                </w:tcPr>
                <w:p w14:paraId="45BA09A5">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3mg/m³</w:t>
                  </w:r>
                </w:p>
              </w:tc>
              <w:tc>
                <w:tcPr>
                  <w:tcW w:w="1051" w:type="pct"/>
                  <w:shd w:val="clear" w:color="auto" w:fill="auto"/>
                  <w:vAlign w:val="center"/>
                </w:tcPr>
                <w:p w14:paraId="33A3E88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崂应3012H-D型自动烟尘测试仪</w:t>
                  </w:r>
                </w:p>
              </w:tc>
              <w:tc>
                <w:tcPr>
                  <w:tcW w:w="671" w:type="pct"/>
                  <w:shd w:val="clear" w:color="auto" w:fill="auto"/>
                  <w:vAlign w:val="center"/>
                </w:tcPr>
                <w:p w14:paraId="608CC69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SCDYQ01</w:t>
                  </w:r>
                  <w:r>
                    <w:rPr>
                      <w:rFonts w:hint="eastAsia" w:ascii="Times New Roman" w:hAnsi="Times New Roman" w:cs="Times New Roman"/>
                      <w:spacing w:val="-5"/>
                      <w:sz w:val="21"/>
                      <w:szCs w:val="21"/>
                      <w:lang w:val="en-US" w:eastAsia="zh-CN" w:bidi="he-IL"/>
                    </w:rPr>
                    <w:t>2</w:t>
                  </w:r>
                </w:p>
              </w:tc>
            </w:tr>
            <w:tr w14:paraId="38BD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Align w:val="center"/>
                </w:tcPr>
                <w:p w14:paraId="5D3E9DE1">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二氧化硫</w:t>
                  </w:r>
                </w:p>
              </w:tc>
              <w:tc>
                <w:tcPr>
                  <w:tcW w:w="1808" w:type="pct"/>
                  <w:vAlign w:val="center"/>
                </w:tcPr>
                <w:p w14:paraId="5B895939">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HJ 57-2017 固定污染源废气 二氧化硫的测定 定电位电解法</w:t>
                  </w:r>
                </w:p>
              </w:tc>
              <w:tc>
                <w:tcPr>
                  <w:tcW w:w="703" w:type="pct"/>
                  <w:vAlign w:val="center"/>
                </w:tcPr>
                <w:p w14:paraId="420427F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3mg/m³</w:t>
                  </w:r>
                </w:p>
              </w:tc>
              <w:tc>
                <w:tcPr>
                  <w:tcW w:w="1051" w:type="pct"/>
                  <w:vAlign w:val="center"/>
                </w:tcPr>
                <w:p w14:paraId="2DEA18F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崂应3012H-D型自动烟尘测试仪</w:t>
                  </w:r>
                </w:p>
              </w:tc>
              <w:tc>
                <w:tcPr>
                  <w:tcW w:w="671" w:type="pct"/>
                  <w:vAlign w:val="center"/>
                </w:tcPr>
                <w:p w14:paraId="1ECC397B">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SCDYQ01</w:t>
                  </w:r>
                  <w:r>
                    <w:rPr>
                      <w:rFonts w:hint="eastAsia" w:ascii="Times New Roman" w:hAnsi="Times New Roman" w:cs="Times New Roman"/>
                      <w:spacing w:val="-5"/>
                      <w:sz w:val="21"/>
                      <w:szCs w:val="21"/>
                      <w:lang w:val="en-US" w:eastAsia="zh-CN" w:bidi="he-IL"/>
                    </w:rPr>
                    <w:t>2</w:t>
                  </w:r>
                </w:p>
              </w:tc>
            </w:tr>
            <w:tr w14:paraId="6ED6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Align w:val="center"/>
                </w:tcPr>
                <w:p w14:paraId="015962C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宋体"/>
                      <w:b/>
                      <w:bCs/>
                      <w:sz w:val="21"/>
                      <w:szCs w:val="21"/>
                    </w:rPr>
                    <w:t>名称</w:t>
                  </w:r>
                </w:p>
              </w:tc>
              <w:tc>
                <w:tcPr>
                  <w:tcW w:w="1808" w:type="pct"/>
                  <w:vAlign w:val="center"/>
                </w:tcPr>
                <w:p w14:paraId="208E5E9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宋体"/>
                      <w:b/>
                      <w:bCs/>
                      <w:sz w:val="21"/>
                      <w:szCs w:val="21"/>
                    </w:rPr>
                    <w:t>噪声检测依据</w:t>
                  </w:r>
                </w:p>
              </w:tc>
              <w:tc>
                <w:tcPr>
                  <w:tcW w:w="703" w:type="pct"/>
                  <w:vAlign w:val="center"/>
                </w:tcPr>
                <w:p w14:paraId="03999E4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b/>
                      <w:sz w:val="21"/>
                      <w:szCs w:val="21"/>
                      <w:lang w:val="en-US" w:eastAsia="zh-CN"/>
                    </w:rPr>
                    <w:t>检出限</w:t>
                  </w:r>
                </w:p>
              </w:tc>
              <w:tc>
                <w:tcPr>
                  <w:tcW w:w="1051" w:type="pct"/>
                  <w:vAlign w:val="center"/>
                </w:tcPr>
                <w:p w14:paraId="74A8861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宋体"/>
                      <w:b/>
                      <w:bCs/>
                      <w:sz w:val="21"/>
                      <w:szCs w:val="21"/>
                    </w:rPr>
                    <w:t>主要检测仪器</w:t>
                  </w:r>
                </w:p>
              </w:tc>
              <w:tc>
                <w:tcPr>
                  <w:tcW w:w="671" w:type="pct"/>
                  <w:vAlign w:val="center"/>
                </w:tcPr>
                <w:p w14:paraId="02FE095D">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宋体"/>
                      <w:b/>
                      <w:bCs/>
                      <w:sz w:val="21"/>
                      <w:szCs w:val="21"/>
                    </w:rPr>
                    <w:t>仪器编号</w:t>
                  </w:r>
                </w:p>
              </w:tc>
            </w:tr>
            <w:tr w14:paraId="57DF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Merge w:val="restart"/>
                  <w:vAlign w:val="center"/>
                </w:tcPr>
                <w:p w14:paraId="3C1B35A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工业企业</w:t>
                  </w:r>
                </w:p>
                <w:p w14:paraId="18BA4C18">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厂界噪声</w:t>
                  </w:r>
                </w:p>
              </w:tc>
              <w:tc>
                <w:tcPr>
                  <w:tcW w:w="1808" w:type="pct"/>
                  <w:vMerge w:val="restart"/>
                  <w:vAlign w:val="center"/>
                </w:tcPr>
                <w:p w14:paraId="5BE7890F">
                  <w:pPr>
                    <w:keepNext w:val="0"/>
                    <w:keepLines w:val="0"/>
                    <w:widowControl/>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 xml:space="preserve">GB 12348-2008 工业企业厂界环境噪声排放标准 </w:t>
                  </w:r>
                </w:p>
              </w:tc>
              <w:tc>
                <w:tcPr>
                  <w:tcW w:w="703" w:type="pct"/>
                  <w:vMerge w:val="restart"/>
                  <w:vAlign w:val="center"/>
                </w:tcPr>
                <w:p w14:paraId="6402938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8"/>
                      <w:szCs w:val="28"/>
                      <w:lang w:val="en-US" w:eastAsia="zh-CN" w:bidi="he-IL"/>
                    </w:rPr>
                    <w:t>—</w:t>
                  </w:r>
                </w:p>
              </w:tc>
              <w:tc>
                <w:tcPr>
                  <w:tcW w:w="1051" w:type="pct"/>
                  <w:vAlign w:val="center"/>
                </w:tcPr>
                <w:p w14:paraId="3D9FEC0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HS5660C型精密噪声频谱分析仪</w:t>
                  </w:r>
                </w:p>
              </w:tc>
              <w:tc>
                <w:tcPr>
                  <w:tcW w:w="671" w:type="pct"/>
                  <w:vAlign w:val="center"/>
                </w:tcPr>
                <w:p w14:paraId="677013E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w:t>
                  </w:r>
                  <w:r>
                    <w:rPr>
                      <w:rFonts w:hint="eastAsia" w:ascii="Times New Roman" w:hAnsi="Times New Roman" w:cs="Times New Roman"/>
                      <w:spacing w:val="-5"/>
                      <w:sz w:val="21"/>
                      <w:szCs w:val="21"/>
                      <w:lang w:val="en-US" w:eastAsia="zh-CN" w:bidi="he-IL"/>
                    </w:rPr>
                    <w:t>016</w:t>
                  </w:r>
                </w:p>
              </w:tc>
            </w:tr>
            <w:tr w14:paraId="475C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Merge w:val="continue"/>
                  <w:vAlign w:val="center"/>
                </w:tcPr>
                <w:p w14:paraId="178EFBAC">
                  <w:pPr>
                    <w:keepNext w:val="0"/>
                    <w:keepLines w:val="0"/>
                    <w:widowControl/>
                    <w:suppressLineNumbers w:val="0"/>
                    <w:spacing w:before="0" w:beforeAutospacing="0" w:after="0" w:afterAutospacing="0"/>
                    <w:ind w:left="0" w:leftChars="0" w:right="0"/>
                    <w:jc w:val="center"/>
                    <w:rPr>
                      <w:rFonts w:hint="eastAsia" w:ascii="Times New Roman" w:hAnsi="Times New Roman" w:eastAsia="宋体" w:cs="宋体"/>
                      <w:b/>
                      <w:bCs/>
                      <w:sz w:val="21"/>
                      <w:szCs w:val="21"/>
                    </w:rPr>
                  </w:pPr>
                </w:p>
              </w:tc>
              <w:tc>
                <w:tcPr>
                  <w:tcW w:w="1808" w:type="pct"/>
                  <w:vMerge w:val="continue"/>
                  <w:vAlign w:val="center"/>
                </w:tcPr>
                <w:p w14:paraId="1A7268E9">
                  <w:pPr>
                    <w:keepNext w:val="0"/>
                    <w:keepLines w:val="0"/>
                    <w:widowControl/>
                    <w:suppressLineNumbers w:val="0"/>
                    <w:spacing w:before="0" w:beforeAutospacing="0" w:after="0" w:afterAutospacing="0"/>
                    <w:ind w:left="0" w:leftChars="0" w:right="0"/>
                    <w:jc w:val="center"/>
                    <w:rPr>
                      <w:rFonts w:hint="eastAsia" w:ascii="Times New Roman" w:hAnsi="Times New Roman" w:eastAsia="宋体" w:cs="宋体"/>
                      <w:b/>
                      <w:bCs/>
                      <w:sz w:val="21"/>
                      <w:szCs w:val="21"/>
                    </w:rPr>
                  </w:pPr>
                </w:p>
              </w:tc>
              <w:tc>
                <w:tcPr>
                  <w:tcW w:w="703" w:type="pct"/>
                  <w:vMerge w:val="continue"/>
                  <w:vAlign w:val="center"/>
                </w:tcPr>
                <w:p w14:paraId="7C1786C1">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sz w:val="21"/>
                      <w:szCs w:val="21"/>
                    </w:rPr>
                  </w:pPr>
                </w:p>
              </w:tc>
              <w:tc>
                <w:tcPr>
                  <w:tcW w:w="1051" w:type="pct"/>
                  <w:vAlign w:val="center"/>
                </w:tcPr>
                <w:p w14:paraId="7F614EA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lang w:val="en-US" w:eastAsia="zh-CN"/>
                    </w:rPr>
                    <w:t>HS6020A型噪声校准仪</w:t>
                  </w:r>
                </w:p>
              </w:tc>
              <w:tc>
                <w:tcPr>
                  <w:tcW w:w="671" w:type="pct"/>
                  <w:vAlign w:val="center"/>
                </w:tcPr>
                <w:p w14:paraId="694D6AC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5"/>
                      <w:sz w:val="21"/>
                      <w:szCs w:val="21"/>
                      <w:lang w:val="en-US" w:eastAsia="zh-CN" w:bidi="he-IL"/>
                    </w:rPr>
                  </w:pPr>
                  <w:r>
                    <w:rPr>
                      <w:rFonts w:hint="eastAsia" w:ascii="Times New Roman" w:hAnsi="Times New Roman" w:eastAsia="宋体" w:cs="Times New Roman"/>
                      <w:spacing w:val="-5"/>
                      <w:sz w:val="21"/>
                      <w:szCs w:val="21"/>
                      <w:lang w:val="en-US" w:eastAsia="zh-CN" w:bidi="he-IL"/>
                    </w:rPr>
                    <w:t>SCDYQ</w:t>
                  </w:r>
                  <w:r>
                    <w:rPr>
                      <w:rFonts w:hint="eastAsia" w:ascii="Times New Roman" w:hAnsi="Times New Roman" w:cs="Times New Roman"/>
                      <w:spacing w:val="-5"/>
                      <w:sz w:val="21"/>
                      <w:szCs w:val="21"/>
                      <w:lang w:val="en-US" w:eastAsia="zh-CN" w:bidi="he-IL"/>
                    </w:rPr>
                    <w:t xml:space="preserve">017 </w:t>
                  </w:r>
                </w:p>
              </w:tc>
            </w:tr>
            <w:tr w14:paraId="10B3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5" w:type="pct"/>
                  <w:vAlign w:val="center"/>
                </w:tcPr>
                <w:p w14:paraId="07670139">
                  <w:pPr>
                    <w:keepNext w:val="0"/>
                    <w:keepLines w:val="0"/>
                    <w:widowControl w:val="0"/>
                    <w:suppressLineNumbers w:val="0"/>
                    <w:tabs>
                      <w:tab w:val="right" w:pos="8906"/>
                    </w:tabs>
                    <w:spacing w:before="0" w:beforeAutospacing="0" w:after="0" w:afterAutospacing="0"/>
                    <w:ind w:left="0" w:leftChars="0" w:right="0" w:rightChars="0"/>
                    <w:jc w:val="center"/>
                    <w:rPr>
                      <w:rFonts w:hint="default" w:ascii="Times New Roman" w:hAnsi="Times New Roman" w:eastAsia="宋体" w:cs="Times New Roman"/>
                      <w:b/>
                      <w:bCs/>
                      <w:spacing w:val="-5"/>
                      <w:sz w:val="21"/>
                      <w:szCs w:val="21"/>
                      <w:lang w:val="en-US" w:eastAsia="zh-CN" w:bidi="he-IL"/>
                    </w:rPr>
                  </w:pPr>
                  <w:r>
                    <w:rPr>
                      <w:rFonts w:hint="eastAsia" w:ascii="Times New Roman" w:hAnsi="Times New Roman" w:eastAsia="宋体" w:cs="Times New Roman"/>
                      <w:b/>
                      <w:sz w:val="21"/>
                      <w:szCs w:val="21"/>
                    </w:rPr>
                    <w:t>备注</w:t>
                  </w:r>
                </w:p>
              </w:tc>
              <w:tc>
                <w:tcPr>
                  <w:tcW w:w="4234" w:type="pct"/>
                  <w:gridSpan w:val="4"/>
                  <w:vAlign w:val="center"/>
                </w:tcPr>
                <w:p w14:paraId="51D3B7CF">
                  <w:pPr>
                    <w:keepNext w:val="0"/>
                    <w:keepLines w:val="0"/>
                    <w:widowControl/>
                    <w:suppressLineNumbers w:val="0"/>
                    <w:spacing w:before="0" w:beforeAutospacing="0" w:after="0" w:afterAutospacing="0"/>
                    <w:ind w:left="0" w:leftChars="0" w:right="0" w:rightChars="0" w:firstLine="0" w:firstLineChars="0"/>
                    <w:jc w:val="both"/>
                    <w:rPr>
                      <w:rFonts w:hint="eastAsia" w:ascii="Times New Roman" w:hAnsi="Times New Roman" w:eastAsia="宋体" w:cs="Times New Roman"/>
                      <w:spacing w:val="-5"/>
                      <w:sz w:val="21"/>
                      <w:szCs w:val="21"/>
                      <w:lang w:val="en-US" w:eastAsia="zh-CN" w:bidi="he-IL"/>
                    </w:rPr>
                  </w:pPr>
                  <w:r>
                    <w:rPr>
                      <w:rFonts w:hint="eastAsia" w:ascii="Times New Roman" w:hAnsi="Times New Roman" w:eastAsia="宋体" w:cs="Times New Roman"/>
                      <w:b/>
                      <w:sz w:val="21"/>
                      <w:szCs w:val="21"/>
                      <w:lang w:eastAsia="zh-CN"/>
                    </w:rPr>
                    <w:t>本次检测中，</w:t>
                  </w:r>
                  <w:r>
                    <w:rPr>
                      <w:rFonts w:hint="eastAsia" w:ascii="Times New Roman" w:hAnsi="Times New Roman" w:eastAsia="宋体" w:cs="Times New Roman"/>
                      <w:b/>
                      <w:sz w:val="21"/>
                      <w:szCs w:val="21"/>
                      <w:lang w:val="en-US" w:eastAsia="zh-CN"/>
                    </w:rPr>
                    <w:t>*动植物油类</w:t>
                  </w:r>
                  <w:r>
                    <w:rPr>
                      <w:rFonts w:hint="eastAsia" w:ascii="Times New Roman" w:hAnsi="Times New Roman" w:eastAsia="宋体" w:cs="Times New Roman"/>
                      <w:b/>
                      <w:sz w:val="21"/>
                      <w:szCs w:val="21"/>
                      <w:lang w:eastAsia="zh-CN"/>
                    </w:rPr>
                    <w:t>为分包数据，</w:t>
                  </w:r>
                  <w:r>
                    <w:rPr>
                      <w:rFonts w:hint="eastAsia" w:ascii="Times New Roman" w:hAnsi="Times New Roman" w:eastAsia="宋体" w:cs="Times New Roman"/>
                      <w:b/>
                      <w:sz w:val="21"/>
                      <w:szCs w:val="21"/>
                      <w:lang w:val="en-US" w:eastAsia="zh-CN"/>
                    </w:rPr>
                    <w:t>*动植物油类</w:t>
                  </w:r>
                  <w:r>
                    <w:rPr>
                      <w:rFonts w:hint="eastAsia" w:ascii="Times New Roman" w:hAnsi="Times New Roman" w:eastAsia="宋体" w:cs="Times New Roman"/>
                      <w:b/>
                      <w:sz w:val="21"/>
                      <w:szCs w:val="21"/>
                      <w:lang w:eastAsia="zh-CN"/>
                    </w:rPr>
                    <w:t>数据来自于</w:t>
                  </w:r>
                  <w:r>
                    <w:rPr>
                      <w:rFonts w:hint="eastAsia" w:ascii="Times New Roman" w:hAnsi="Times New Roman" w:eastAsia="宋体" w:cs="Times New Roman"/>
                      <w:b/>
                      <w:sz w:val="21"/>
                      <w:szCs w:val="21"/>
                      <w:lang w:val="en-US" w:eastAsia="zh-CN"/>
                    </w:rPr>
                    <w:t>安徽顺诚达环境检测有限公司</w:t>
                  </w:r>
                  <w:r>
                    <w:rPr>
                      <w:rFonts w:hint="eastAsia" w:ascii="Times New Roman" w:hAnsi="Times New Roman" w:eastAsia="宋体" w:cs="Times New Roman"/>
                      <w:b/>
                      <w:sz w:val="21"/>
                      <w:szCs w:val="21"/>
                      <w:lang w:eastAsia="zh-CN"/>
                    </w:rPr>
                    <w:t>，计量认证证书编号为：</w:t>
                  </w:r>
                  <w:r>
                    <w:rPr>
                      <w:rFonts w:hint="eastAsia" w:ascii="Times New Roman" w:hAnsi="Times New Roman" w:eastAsia="宋体" w:cs="Times New Roman"/>
                      <w:b/>
                      <w:sz w:val="21"/>
                      <w:szCs w:val="21"/>
                      <w:lang w:val="en-US" w:eastAsia="zh-CN"/>
                    </w:rPr>
                    <w:t>231212050704</w:t>
                  </w:r>
                  <w:r>
                    <w:rPr>
                      <w:rFonts w:hint="eastAsia" w:ascii="Times New Roman" w:hAnsi="Times New Roman" w:eastAsia="宋体" w:cs="Times New Roman"/>
                      <w:b/>
                      <w:sz w:val="21"/>
                      <w:szCs w:val="21"/>
                      <w:lang w:eastAsia="zh-CN"/>
                    </w:rPr>
                    <w:t>，分包报告编号为：</w:t>
                  </w:r>
                  <w:r>
                    <w:rPr>
                      <w:rFonts w:hint="eastAsia" w:ascii="Times New Roman" w:hAnsi="Times New Roman" w:cs="Times New Roman"/>
                      <w:b/>
                      <w:sz w:val="21"/>
                      <w:szCs w:val="21"/>
                      <w:lang w:eastAsia="zh-CN"/>
                    </w:rPr>
                    <w:t>SCD20241012096</w:t>
                  </w:r>
                  <w:r>
                    <w:rPr>
                      <w:rFonts w:hint="eastAsia" w:ascii="Times New Roman" w:hAnsi="Times New Roman" w:eastAsia="宋体" w:cs="Times New Roman"/>
                      <w:b/>
                      <w:sz w:val="21"/>
                      <w:szCs w:val="21"/>
                      <w:lang w:eastAsia="zh-CN"/>
                    </w:rPr>
                    <w:t>。</w:t>
                  </w:r>
                </w:p>
              </w:tc>
            </w:tr>
          </w:tbl>
          <w:p w14:paraId="27C731D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b/>
                <w:bCs/>
                <w:sz w:val="24"/>
              </w:rPr>
            </w:pPr>
            <w:r>
              <w:rPr>
                <w:rFonts w:hint="eastAsia"/>
                <w:b/>
                <w:bCs/>
                <w:sz w:val="24"/>
              </w:rPr>
              <w:t>2、气体监测分析过程中质量保证和质量控制</w:t>
            </w:r>
          </w:p>
          <w:p w14:paraId="1FCF023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rPr>
            </w:pPr>
            <w:r>
              <w:rPr>
                <w:sz w:val="24"/>
              </w:rPr>
              <w:t>本次有组织废气监测仪器均符合国家有关标准或技术要求，监测前按监测因子分别用标准气体和流量计对其进行校核（标定），在测定时保证其采样流量的准确，排放的污染物浓度在监测仪器量程的有效范围内。无组织排放监测部分严格按照《大气污染物无组织排放监测技术导则》《HJ/T55-2000》进行样品采集、运输、分析，采样仪器及试验室仪器均经计量部门检定合格且在有效期内使用。采样人员采样时间同时记录气象参数和周围的环境情况；采样结束后及时送交试验室，检查样品并做好交接记录</w:t>
            </w:r>
            <w:r>
              <w:rPr>
                <w:rFonts w:hint="eastAsia"/>
                <w:sz w:val="24"/>
              </w:rPr>
              <w:t>。</w:t>
            </w:r>
          </w:p>
          <w:p w14:paraId="63947894">
            <w:pPr>
              <w:widowControl w:val="0"/>
              <w:ind w:right="-172" w:firstLine="482"/>
              <w:jc w:val="center"/>
              <w:rPr>
                <w:rFonts w:hint="eastAsia" w:ascii="宋体" w:hAnsi="宋体"/>
                <w:b/>
                <w:bCs/>
                <w:sz w:val="24"/>
              </w:rPr>
            </w:pPr>
            <w:r>
              <w:rPr>
                <w:rFonts w:hint="eastAsia" w:ascii="宋体" w:hAnsi="宋体"/>
                <w:b/>
                <w:bCs/>
                <w:sz w:val="24"/>
              </w:rPr>
              <w:t xml:space="preserve">表 </w:t>
            </w:r>
            <w:r>
              <w:rPr>
                <w:b/>
                <w:bCs/>
                <w:sz w:val="24"/>
              </w:rPr>
              <w:t>5-2</w:t>
            </w:r>
            <w:r>
              <w:rPr>
                <w:rFonts w:hint="eastAsia" w:ascii="宋体" w:hAnsi="宋体"/>
                <w:b/>
                <w:bCs/>
                <w:sz w:val="24"/>
              </w:rPr>
              <w:t xml:space="preserve"> 废气监测措施一览表</w:t>
            </w:r>
          </w:p>
          <w:tbl>
            <w:tblPr>
              <w:tblStyle w:val="26"/>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286"/>
              <w:gridCol w:w="1288"/>
              <w:gridCol w:w="1288"/>
              <w:gridCol w:w="1288"/>
              <w:gridCol w:w="1288"/>
              <w:gridCol w:w="1288"/>
            </w:tblGrid>
            <w:tr w14:paraId="2365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3" w:type="pct"/>
                  <w:vAlign w:val="center"/>
                </w:tcPr>
                <w:p w14:paraId="51E2B0FD">
                  <w:pPr>
                    <w:pStyle w:val="33"/>
                    <w:keepNext w:val="0"/>
                    <w:keepLines w:val="0"/>
                    <w:pageBreakBefore w:val="0"/>
                    <w:widowControl w:val="0"/>
                    <w:kinsoku/>
                    <w:wordWrap/>
                    <w:overflowPunct/>
                    <w:topLinePunct w:val="0"/>
                    <w:bidi w:val="0"/>
                    <w:adjustRightInd/>
                    <w:snapToGrid/>
                    <w:ind w:left="0" w:right="0" w:firstLine="0"/>
                    <w:textAlignment w:val="auto"/>
                    <w:rPr>
                      <w:rFonts w:ascii="Times New Roman" w:hAnsi="Times New Roman" w:cs="Times New Roman"/>
                      <w:b/>
                      <w:sz w:val="21"/>
                    </w:rPr>
                  </w:pPr>
                  <w:r>
                    <w:rPr>
                      <w:rFonts w:ascii="Times New Roman" w:hAnsi="Times New Roman" w:cs="Times New Roman"/>
                      <w:b/>
                      <w:sz w:val="21"/>
                    </w:rPr>
                    <w:t>仪器名称、型号、编号</w:t>
                  </w:r>
                </w:p>
              </w:tc>
              <w:tc>
                <w:tcPr>
                  <w:tcW w:w="713" w:type="pct"/>
                  <w:vAlign w:val="center"/>
                </w:tcPr>
                <w:p w14:paraId="00ACB0FB">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rPr>
                    <w:t>项目</w:t>
                  </w:r>
                </w:p>
              </w:tc>
              <w:tc>
                <w:tcPr>
                  <w:tcW w:w="714" w:type="pct"/>
                  <w:vAlign w:val="center"/>
                </w:tcPr>
                <w:p w14:paraId="7C0E4334">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bCs/>
                      <w:szCs w:val="24"/>
                    </w:rPr>
                    <w:t>设定情况</w:t>
                  </w:r>
                </w:p>
              </w:tc>
              <w:tc>
                <w:tcPr>
                  <w:tcW w:w="714" w:type="pct"/>
                  <w:vAlign w:val="center"/>
                </w:tcPr>
                <w:p w14:paraId="4A3520AC">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bCs/>
                      <w:szCs w:val="24"/>
                    </w:rPr>
                    <w:t>显示情况</w:t>
                  </w:r>
                </w:p>
              </w:tc>
              <w:tc>
                <w:tcPr>
                  <w:tcW w:w="714" w:type="pct"/>
                  <w:vAlign w:val="center"/>
                </w:tcPr>
                <w:p w14:paraId="73333262">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bCs/>
                      <w:szCs w:val="24"/>
                    </w:rPr>
                    <w:t>误差（%）</w:t>
                  </w:r>
                </w:p>
              </w:tc>
              <w:tc>
                <w:tcPr>
                  <w:tcW w:w="714" w:type="pct"/>
                  <w:vAlign w:val="center"/>
                </w:tcPr>
                <w:p w14:paraId="0E20D9E2">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bCs/>
                      <w:szCs w:val="24"/>
                    </w:rPr>
                    <w:t>允许误差(10%)</w:t>
                  </w:r>
                </w:p>
              </w:tc>
              <w:tc>
                <w:tcPr>
                  <w:tcW w:w="714" w:type="pct"/>
                  <w:vAlign w:val="center"/>
                </w:tcPr>
                <w:p w14:paraId="1D536562">
                  <w:pPr>
                    <w:keepNext w:val="0"/>
                    <w:keepLines w:val="0"/>
                    <w:pageBreakBefore w:val="0"/>
                    <w:widowControl w:val="0"/>
                    <w:kinsoku/>
                    <w:wordWrap/>
                    <w:overflowPunct/>
                    <w:topLinePunct w:val="0"/>
                    <w:bidi w:val="0"/>
                    <w:adjustRightInd/>
                    <w:snapToGrid/>
                    <w:ind w:left="0" w:right="0" w:firstLine="0"/>
                    <w:jc w:val="center"/>
                    <w:textAlignment w:val="auto"/>
                    <w:rPr>
                      <w:b/>
                    </w:rPr>
                  </w:pPr>
                  <w:r>
                    <w:rPr>
                      <w:b/>
                      <w:bCs/>
                      <w:szCs w:val="24"/>
                    </w:rPr>
                    <w:t>是否符合要求</w:t>
                  </w:r>
                </w:p>
              </w:tc>
            </w:tr>
            <w:tr w14:paraId="125E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pct"/>
                  <w:vMerge w:val="restart"/>
                  <w:vAlign w:val="center"/>
                </w:tcPr>
                <w:p w14:paraId="7710BCD3">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ZDHC-6000      恒温恒湿箱</w:t>
                  </w:r>
                </w:p>
              </w:tc>
              <w:tc>
                <w:tcPr>
                  <w:tcW w:w="713" w:type="pct"/>
                  <w:vMerge w:val="restart"/>
                  <w:vAlign w:val="center"/>
                </w:tcPr>
                <w:p w14:paraId="5828D93F">
                  <w:pPr>
                    <w:keepNext w:val="0"/>
                    <w:keepLines w:val="0"/>
                    <w:pageBreakBefore w:val="0"/>
                    <w:widowControl w:val="0"/>
                    <w:kinsoku/>
                    <w:wordWrap/>
                    <w:overflowPunct/>
                    <w:topLinePunct w:val="0"/>
                    <w:bidi w:val="0"/>
                    <w:adjustRightInd/>
                    <w:snapToGrid/>
                    <w:ind w:left="0" w:right="0" w:firstLine="0"/>
                    <w:jc w:val="center"/>
                    <w:textAlignment w:val="auto"/>
                    <w:rPr>
                      <w:bCs/>
                    </w:rPr>
                  </w:pPr>
                  <w:r>
                    <w:rPr>
                      <w:rFonts w:hint="eastAsia"/>
                      <w:bCs/>
                    </w:rPr>
                    <w:t>流量</w:t>
                  </w:r>
                </w:p>
              </w:tc>
              <w:tc>
                <w:tcPr>
                  <w:tcW w:w="714" w:type="pct"/>
                  <w:vAlign w:val="center"/>
                </w:tcPr>
                <w:p w14:paraId="322323A0">
                  <w:pPr>
                    <w:keepNext w:val="0"/>
                    <w:keepLines w:val="0"/>
                    <w:pageBreakBefore w:val="0"/>
                    <w:widowControl w:val="0"/>
                    <w:kinsoku/>
                    <w:wordWrap/>
                    <w:overflowPunct/>
                    <w:topLinePunct w:val="0"/>
                    <w:bidi w:val="0"/>
                    <w:adjustRightInd/>
                    <w:snapToGrid/>
                    <w:ind w:left="0" w:right="0" w:firstLine="0"/>
                    <w:jc w:val="center"/>
                    <w:textAlignment w:val="auto"/>
                    <w:rPr>
                      <w:b/>
                      <w:bCs/>
                    </w:rPr>
                  </w:pPr>
                  <w:r>
                    <w:t>1</w:t>
                  </w:r>
                  <w:r>
                    <w:rPr>
                      <w:rFonts w:hint="eastAsia"/>
                    </w:rPr>
                    <w:t>1</w:t>
                  </w:r>
                  <w:r>
                    <w:t>0</w:t>
                  </w:r>
                  <w:r>
                    <w:rPr>
                      <w:szCs w:val="24"/>
                    </w:rPr>
                    <w:t>L/min</w:t>
                  </w:r>
                </w:p>
              </w:tc>
              <w:tc>
                <w:tcPr>
                  <w:tcW w:w="714" w:type="pct"/>
                  <w:vAlign w:val="center"/>
                </w:tcPr>
                <w:p w14:paraId="091A6D85">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r>
                    <w:rPr>
                      <w:rFonts w:hint="eastAsia"/>
                    </w:rPr>
                    <w:t>4</w:t>
                  </w:r>
                  <w:r>
                    <w:t>.2</w:t>
                  </w:r>
                  <w:r>
                    <w:rPr>
                      <w:szCs w:val="24"/>
                    </w:rPr>
                    <w:t>L/min</w:t>
                  </w:r>
                </w:p>
              </w:tc>
              <w:tc>
                <w:tcPr>
                  <w:tcW w:w="714" w:type="pct"/>
                  <w:vAlign w:val="center"/>
                </w:tcPr>
                <w:p w14:paraId="55E84A3A">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3.8</w:t>
                  </w:r>
                </w:p>
              </w:tc>
              <w:tc>
                <w:tcPr>
                  <w:tcW w:w="714" w:type="pct"/>
                  <w:vAlign w:val="center"/>
                </w:tcPr>
                <w:p w14:paraId="4B7474C7">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p>
              </w:tc>
              <w:tc>
                <w:tcPr>
                  <w:tcW w:w="714" w:type="pct"/>
                  <w:vAlign w:val="center"/>
                </w:tcPr>
                <w:p w14:paraId="4DB0CABD">
                  <w:pPr>
                    <w:keepNext w:val="0"/>
                    <w:keepLines w:val="0"/>
                    <w:pageBreakBefore w:val="0"/>
                    <w:widowControl w:val="0"/>
                    <w:kinsoku/>
                    <w:wordWrap/>
                    <w:overflowPunct/>
                    <w:topLinePunct w:val="0"/>
                    <w:bidi w:val="0"/>
                    <w:adjustRightInd/>
                    <w:snapToGrid/>
                    <w:ind w:left="0" w:right="0" w:firstLine="0"/>
                    <w:jc w:val="center"/>
                    <w:textAlignment w:val="auto"/>
                  </w:pPr>
                  <w:r>
                    <w:rPr>
                      <w:szCs w:val="24"/>
                    </w:rPr>
                    <w:t>是</w:t>
                  </w:r>
                </w:p>
              </w:tc>
            </w:tr>
            <w:tr w14:paraId="202C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pct"/>
                  <w:vMerge w:val="continue"/>
                  <w:vAlign w:val="center"/>
                </w:tcPr>
                <w:p w14:paraId="4EE14971">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3" w:type="pct"/>
                  <w:vMerge w:val="continue"/>
                  <w:vAlign w:val="center"/>
                </w:tcPr>
                <w:p w14:paraId="33CB4DAB">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4" w:type="pct"/>
                  <w:vAlign w:val="center"/>
                </w:tcPr>
                <w:p w14:paraId="196F55E4">
                  <w:pPr>
                    <w:keepNext w:val="0"/>
                    <w:keepLines w:val="0"/>
                    <w:pageBreakBefore w:val="0"/>
                    <w:widowControl w:val="0"/>
                    <w:kinsoku/>
                    <w:wordWrap/>
                    <w:overflowPunct/>
                    <w:topLinePunct w:val="0"/>
                    <w:bidi w:val="0"/>
                    <w:adjustRightInd/>
                    <w:snapToGrid/>
                    <w:ind w:left="0" w:right="0" w:firstLine="0"/>
                    <w:jc w:val="center"/>
                    <w:textAlignment w:val="auto"/>
                    <w:rPr>
                      <w:b/>
                      <w:bCs/>
                    </w:rPr>
                  </w:pPr>
                  <w:r>
                    <w:t>2</w:t>
                  </w:r>
                  <w:r>
                    <w:rPr>
                      <w:rFonts w:hint="eastAsia"/>
                    </w:rPr>
                    <w:t>2</w:t>
                  </w:r>
                  <w:r>
                    <w:t>0</w:t>
                  </w:r>
                  <w:r>
                    <w:rPr>
                      <w:szCs w:val="24"/>
                    </w:rPr>
                    <w:t>ml/min</w:t>
                  </w:r>
                </w:p>
              </w:tc>
              <w:tc>
                <w:tcPr>
                  <w:tcW w:w="714" w:type="pct"/>
                  <w:vAlign w:val="center"/>
                </w:tcPr>
                <w:p w14:paraId="5F3ECB37">
                  <w:pPr>
                    <w:keepNext w:val="0"/>
                    <w:keepLines w:val="0"/>
                    <w:pageBreakBefore w:val="0"/>
                    <w:widowControl w:val="0"/>
                    <w:kinsoku/>
                    <w:wordWrap/>
                    <w:overflowPunct/>
                    <w:topLinePunct w:val="0"/>
                    <w:bidi w:val="0"/>
                    <w:adjustRightInd/>
                    <w:snapToGrid/>
                    <w:ind w:left="0" w:right="0" w:firstLine="0"/>
                    <w:jc w:val="center"/>
                    <w:textAlignment w:val="auto"/>
                    <w:rPr>
                      <w:b/>
                      <w:bCs/>
                    </w:rPr>
                  </w:pPr>
                  <w:r>
                    <w:t>21</w:t>
                  </w:r>
                  <w:r>
                    <w:rPr>
                      <w:rFonts w:hint="eastAsia"/>
                    </w:rPr>
                    <w:t>5</w:t>
                  </w:r>
                  <w:r>
                    <w:t>.6</w:t>
                  </w:r>
                  <w:r>
                    <w:rPr>
                      <w:szCs w:val="24"/>
                    </w:rPr>
                    <w:t>ml/min</w:t>
                  </w:r>
                </w:p>
              </w:tc>
              <w:tc>
                <w:tcPr>
                  <w:tcW w:w="714" w:type="pct"/>
                  <w:vAlign w:val="center"/>
                </w:tcPr>
                <w:p w14:paraId="0706F073">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2</w:t>
                  </w:r>
                </w:p>
              </w:tc>
              <w:tc>
                <w:tcPr>
                  <w:tcW w:w="714" w:type="pct"/>
                  <w:vAlign w:val="center"/>
                </w:tcPr>
                <w:p w14:paraId="30431BBC">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p>
              </w:tc>
              <w:tc>
                <w:tcPr>
                  <w:tcW w:w="714" w:type="pct"/>
                  <w:vAlign w:val="center"/>
                </w:tcPr>
                <w:p w14:paraId="198BB85E">
                  <w:pPr>
                    <w:keepNext w:val="0"/>
                    <w:keepLines w:val="0"/>
                    <w:pageBreakBefore w:val="0"/>
                    <w:widowControl w:val="0"/>
                    <w:kinsoku/>
                    <w:wordWrap/>
                    <w:overflowPunct/>
                    <w:topLinePunct w:val="0"/>
                    <w:bidi w:val="0"/>
                    <w:adjustRightInd/>
                    <w:snapToGrid/>
                    <w:ind w:left="0" w:right="0" w:firstLine="0"/>
                    <w:jc w:val="center"/>
                    <w:textAlignment w:val="auto"/>
                  </w:pPr>
                  <w:r>
                    <w:rPr>
                      <w:szCs w:val="24"/>
                    </w:rPr>
                    <w:t>是</w:t>
                  </w:r>
                </w:p>
              </w:tc>
            </w:tr>
            <w:tr w14:paraId="38A1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pct"/>
                  <w:vMerge w:val="continue"/>
                  <w:vAlign w:val="center"/>
                </w:tcPr>
                <w:p w14:paraId="6B77E656">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3" w:type="pct"/>
                  <w:vMerge w:val="continue"/>
                  <w:vAlign w:val="center"/>
                </w:tcPr>
                <w:p w14:paraId="71CC6F6B">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4" w:type="pct"/>
                  <w:vAlign w:val="center"/>
                </w:tcPr>
                <w:p w14:paraId="4ADB5794">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700</w:t>
                  </w:r>
                  <w:r>
                    <w:rPr>
                      <w:szCs w:val="24"/>
                    </w:rPr>
                    <w:t>ml/min</w:t>
                  </w:r>
                </w:p>
              </w:tc>
              <w:tc>
                <w:tcPr>
                  <w:tcW w:w="714" w:type="pct"/>
                  <w:vAlign w:val="center"/>
                </w:tcPr>
                <w:p w14:paraId="5BBB9E68">
                  <w:pPr>
                    <w:keepNext w:val="0"/>
                    <w:keepLines w:val="0"/>
                    <w:pageBreakBefore w:val="0"/>
                    <w:widowControl w:val="0"/>
                    <w:kinsoku/>
                    <w:wordWrap/>
                    <w:overflowPunct/>
                    <w:topLinePunct w:val="0"/>
                    <w:bidi w:val="0"/>
                    <w:adjustRightInd/>
                    <w:snapToGrid/>
                    <w:ind w:left="0" w:right="0" w:firstLine="0"/>
                    <w:jc w:val="center"/>
                    <w:textAlignment w:val="auto"/>
                    <w:rPr>
                      <w:b/>
                      <w:bCs/>
                    </w:rPr>
                  </w:pPr>
                  <w:r>
                    <w:t>6</w:t>
                  </w:r>
                  <w:r>
                    <w:rPr>
                      <w:rFonts w:hint="eastAsia"/>
                    </w:rPr>
                    <w:t>50</w:t>
                  </w:r>
                  <w:r>
                    <w:t>.9</w:t>
                  </w:r>
                  <w:r>
                    <w:rPr>
                      <w:szCs w:val="24"/>
                    </w:rPr>
                    <w:t>ml/min</w:t>
                  </w:r>
                </w:p>
              </w:tc>
              <w:tc>
                <w:tcPr>
                  <w:tcW w:w="714" w:type="pct"/>
                  <w:vAlign w:val="center"/>
                </w:tcPr>
                <w:p w14:paraId="47B8ED39">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7</w:t>
                  </w:r>
                </w:p>
              </w:tc>
              <w:tc>
                <w:tcPr>
                  <w:tcW w:w="714" w:type="pct"/>
                  <w:vAlign w:val="center"/>
                </w:tcPr>
                <w:p w14:paraId="1C717DB3">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p>
              </w:tc>
              <w:tc>
                <w:tcPr>
                  <w:tcW w:w="714" w:type="pct"/>
                  <w:vAlign w:val="center"/>
                </w:tcPr>
                <w:p w14:paraId="48EFF546">
                  <w:pPr>
                    <w:keepNext w:val="0"/>
                    <w:keepLines w:val="0"/>
                    <w:pageBreakBefore w:val="0"/>
                    <w:widowControl w:val="0"/>
                    <w:kinsoku/>
                    <w:wordWrap/>
                    <w:overflowPunct/>
                    <w:topLinePunct w:val="0"/>
                    <w:bidi w:val="0"/>
                    <w:adjustRightInd/>
                    <w:snapToGrid/>
                    <w:ind w:left="0" w:right="0" w:firstLine="0"/>
                    <w:jc w:val="center"/>
                    <w:textAlignment w:val="auto"/>
                  </w:pPr>
                  <w:r>
                    <w:rPr>
                      <w:szCs w:val="24"/>
                    </w:rPr>
                    <w:t>是</w:t>
                  </w:r>
                </w:p>
              </w:tc>
            </w:tr>
            <w:tr w14:paraId="3234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pct"/>
                  <w:vMerge w:val="continue"/>
                  <w:vAlign w:val="center"/>
                </w:tcPr>
                <w:p w14:paraId="1F76AFBE">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3" w:type="pct"/>
                  <w:vMerge w:val="continue"/>
                  <w:vAlign w:val="center"/>
                </w:tcPr>
                <w:p w14:paraId="2740D0BC">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4" w:type="pct"/>
                  <w:vAlign w:val="center"/>
                </w:tcPr>
                <w:p w14:paraId="7C94856C">
                  <w:pPr>
                    <w:keepNext w:val="0"/>
                    <w:keepLines w:val="0"/>
                    <w:pageBreakBefore w:val="0"/>
                    <w:widowControl w:val="0"/>
                    <w:kinsoku/>
                    <w:wordWrap/>
                    <w:overflowPunct/>
                    <w:topLinePunct w:val="0"/>
                    <w:bidi w:val="0"/>
                    <w:adjustRightInd/>
                    <w:snapToGrid/>
                    <w:ind w:left="0" w:right="0" w:firstLine="0"/>
                    <w:jc w:val="center"/>
                    <w:textAlignment w:val="auto"/>
                    <w:rPr>
                      <w:b/>
                      <w:bCs/>
                    </w:rPr>
                  </w:pPr>
                  <w:r>
                    <w:t>2</w:t>
                  </w:r>
                  <w:r>
                    <w:rPr>
                      <w:rFonts w:hint="eastAsia"/>
                    </w:rPr>
                    <w:t>2</w:t>
                  </w:r>
                  <w:r>
                    <w:t>0</w:t>
                  </w:r>
                  <w:r>
                    <w:rPr>
                      <w:szCs w:val="24"/>
                    </w:rPr>
                    <w:t>ml/min</w:t>
                  </w:r>
                </w:p>
              </w:tc>
              <w:tc>
                <w:tcPr>
                  <w:tcW w:w="714" w:type="pct"/>
                  <w:vAlign w:val="center"/>
                </w:tcPr>
                <w:p w14:paraId="68CF8B39">
                  <w:pPr>
                    <w:keepNext w:val="0"/>
                    <w:keepLines w:val="0"/>
                    <w:pageBreakBefore w:val="0"/>
                    <w:widowControl w:val="0"/>
                    <w:kinsoku/>
                    <w:wordWrap/>
                    <w:overflowPunct/>
                    <w:topLinePunct w:val="0"/>
                    <w:bidi w:val="0"/>
                    <w:adjustRightInd/>
                    <w:snapToGrid/>
                    <w:ind w:left="0" w:right="0" w:firstLine="0"/>
                    <w:jc w:val="center"/>
                    <w:textAlignment w:val="auto"/>
                    <w:rPr>
                      <w:b/>
                      <w:bCs/>
                    </w:rPr>
                  </w:pPr>
                  <w:r>
                    <w:t>2</w:t>
                  </w:r>
                  <w:r>
                    <w:rPr>
                      <w:rFonts w:hint="eastAsia"/>
                    </w:rPr>
                    <w:t>09</w:t>
                  </w:r>
                  <w:r>
                    <w:t>.4</w:t>
                  </w:r>
                  <w:r>
                    <w:rPr>
                      <w:szCs w:val="24"/>
                    </w:rPr>
                    <w:t>ml/min</w:t>
                  </w:r>
                </w:p>
              </w:tc>
              <w:tc>
                <w:tcPr>
                  <w:tcW w:w="714" w:type="pct"/>
                  <w:vAlign w:val="center"/>
                </w:tcPr>
                <w:p w14:paraId="7D1D07CF">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4.8</w:t>
                  </w:r>
                </w:p>
              </w:tc>
              <w:tc>
                <w:tcPr>
                  <w:tcW w:w="714" w:type="pct"/>
                  <w:vAlign w:val="center"/>
                </w:tcPr>
                <w:p w14:paraId="5DC184F0">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p>
              </w:tc>
              <w:tc>
                <w:tcPr>
                  <w:tcW w:w="714" w:type="pct"/>
                  <w:vAlign w:val="center"/>
                </w:tcPr>
                <w:p w14:paraId="6415C506">
                  <w:pPr>
                    <w:keepNext w:val="0"/>
                    <w:keepLines w:val="0"/>
                    <w:pageBreakBefore w:val="0"/>
                    <w:widowControl w:val="0"/>
                    <w:kinsoku/>
                    <w:wordWrap/>
                    <w:overflowPunct/>
                    <w:topLinePunct w:val="0"/>
                    <w:bidi w:val="0"/>
                    <w:adjustRightInd/>
                    <w:snapToGrid/>
                    <w:ind w:left="0" w:right="0" w:firstLine="0"/>
                    <w:jc w:val="center"/>
                    <w:textAlignment w:val="auto"/>
                  </w:pPr>
                  <w:r>
                    <w:rPr>
                      <w:szCs w:val="24"/>
                    </w:rPr>
                    <w:t>是</w:t>
                  </w:r>
                </w:p>
              </w:tc>
            </w:tr>
            <w:tr w14:paraId="4548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3" w:type="pct"/>
                  <w:vMerge w:val="continue"/>
                  <w:vAlign w:val="center"/>
                </w:tcPr>
                <w:p w14:paraId="209B6A5F">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3" w:type="pct"/>
                  <w:vMerge w:val="continue"/>
                  <w:vAlign w:val="center"/>
                </w:tcPr>
                <w:p w14:paraId="054C8CBE">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714" w:type="pct"/>
                  <w:vAlign w:val="center"/>
                </w:tcPr>
                <w:p w14:paraId="64BFFA69">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70</w:t>
                  </w:r>
                  <w:r>
                    <w:t>0</w:t>
                  </w:r>
                  <w:r>
                    <w:rPr>
                      <w:szCs w:val="24"/>
                    </w:rPr>
                    <w:t>ml/min</w:t>
                  </w:r>
                </w:p>
              </w:tc>
              <w:tc>
                <w:tcPr>
                  <w:tcW w:w="714" w:type="pct"/>
                  <w:vAlign w:val="center"/>
                </w:tcPr>
                <w:p w14:paraId="33F6807C">
                  <w:pPr>
                    <w:keepNext w:val="0"/>
                    <w:keepLines w:val="0"/>
                    <w:pageBreakBefore w:val="0"/>
                    <w:widowControl w:val="0"/>
                    <w:kinsoku/>
                    <w:wordWrap/>
                    <w:overflowPunct/>
                    <w:topLinePunct w:val="0"/>
                    <w:bidi w:val="0"/>
                    <w:adjustRightInd/>
                    <w:snapToGrid/>
                    <w:ind w:left="0" w:right="0" w:firstLine="0"/>
                    <w:jc w:val="center"/>
                    <w:textAlignment w:val="auto"/>
                    <w:rPr>
                      <w:b/>
                      <w:bCs/>
                    </w:rPr>
                  </w:pPr>
                  <w:r>
                    <w:t>6</w:t>
                  </w:r>
                  <w:r>
                    <w:rPr>
                      <w:rFonts w:hint="eastAsia"/>
                    </w:rPr>
                    <w:t>96</w:t>
                  </w:r>
                  <w:r>
                    <w:t>.1</w:t>
                  </w:r>
                  <w:r>
                    <w:rPr>
                      <w:szCs w:val="24"/>
                    </w:rPr>
                    <w:t>ml/min</w:t>
                  </w:r>
                </w:p>
              </w:tc>
              <w:tc>
                <w:tcPr>
                  <w:tcW w:w="714" w:type="pct"/>
                  <w:vAlign w:val="center"/>
                </w:tcPr>
                <w:p w14:paraId="12ABF5EF">
                  <w:pPr>
                    <w:keepNext w:val="0"/>
                    <w:keepLines w:val="0"/>
                    <w:pageBreakBefore w:val="0"/>
                    <w:widowControl w:val="0"/>
                    <w:kinsoku/>
                    <w:wordWrap/>
                    <w:overflowPunct/>
                    <w:topLinePunct w:val="0"/>
                    <w:bidi w:val="0"/>
                    <w:adjustRightInd/>
                    <w:snapToGrid/>
                    <w:ind w:left="0" w:right="0" w:firstLine="0"/>
                    <w:jc w:val="center"/>
                    <w:textAlignment w:val="auto"/>
                    <w:rPr>
                      <w:b/>
                      <w:bCs/>
                    </w:rPr>
                  </w:pPr>
                  <w:r>
                    <w:rPr>
                      <w:rFonts w:hint="eastAsia"/>
                    </w:rPr>
                    <w:t>0.6</w:t>
                  </w:r>
                </w:p>
              </w:tc>
              <w:tc>
                <w:tcPr>
                  <w:tcW w:w="714" w:type="pct"/>
                  <w:vAlign w:val="center"/>
                </w:tcPr>
                <w:p w14:paraId="6A067FFA">
                  <w:pPr>
                    <w:keepNext w:val="0"/>
                    <w:keepLines w:val="0"/>
                    <w:pageBreakBefore w:val="0"/>
                    <w:widowControl w:val="0"/>
                    <w:kinsoku/>
                    <w:wordWrap/>
                    <w:overflowPunct/>
                    <w:topLinePunct w:val="0"/>
                    <w:bidi w:val="0"/>
                    <w:adjustRightInd/>
                    <w:snapToGrid/>
                    <w:ind w:left="0" w:right="0" w:firstLine="0"/>
                    <w:jc w:val="center"/>
                    <w:textAlignment w:val="auto"/>
                    <w:rPr>
                      <w:b/>
                      <w:bCs/>
                    </w:rPr>
                  </w:pPr>
                  <w:r>
                    <w:t>±10</w:t>
                  </w:r>
                </w:p>
              </w:tc>
              <w:tc>
                <w:tcPr>
                  <w:tcW w:w="714" w:type="pct"/>
                  <w:vAlign w:val="center"/>
                </w:tcPr>
                <w:p w14:paraId="166895D4">
                  <w:pPr>
                    <w:keepNext w:val="0"/>
                    <w:keepLines w:val="0"/>
                    <w:pageBreakBefore w:val="0"/>
                    <w:widowControl w:val="0"/>
                    <w:kinsoku/>
                    <w:wordWrap/>
                    <w:overflowPunct/>
                    <w:topLinePunct w:val="0"/>
                    <w:bidi w:val="0"/>
                    <w:adjustRightInd/>
                    <w:snapToGrid/>
                    <w:ind w:left="0" w:right="0" w:firstLine="0"/>
                    <w:jc w:val="center"/>
                    <w:textAlignment w:val="auto"/>
                  </w:pPr>
                  <w:r>
                    <w:rPr>
                      <w:szCs w:val="24"/>
                    </w:rPr>
                    <w:t>是</w:t>
                  </w:r>
                </w:p>
              </w:tc>
            </w:tr>
          </w:tbl>
          <w:p w14:paraId="10BEBFB6">
            <w:pPr>
              <w:keepNext w:val="0"/>
              <w:keepLines w:val="0"/>
              <w:pageBreakBefore w:val="0"/>
              <w:widowControl w:val="0"/>
              <w:kinsoku/>
              <w:wordWrap/>
              <w:overflowPunct/>
              <w:topLinePunct w:val="0"/>
              <w:bidi w:val="0"/>
              <w:spacing w:line="360" w:lineRule="auto"/>
              <w:ind w:right="0" w:firstLine="482" w:firstLineChars="200"/>
              <w:textAlignment w:val="auto"/>
              <w:rPr>
                <w:b/>
                <w:bCs/>
                <w:sz w:val="24"/>
              </w:rPr>
            </w:pPr>
            <w:r>
              <w:rPr>
                <w:b/>
                <w:bCs/>
                <w:sz w:val="24"/>
              </w:rPr>
              <w:t>3、噪声监测质量控制</w:t>
            </w:r>
          </w:p>
          <w:p w14:paraId="00CD625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b/>
                <w:bCs/>
                <w:sz w:val="24"/>
              </w:rPr>
            </w:pPr>
            <w:r>
              <w:rPr>
                <w:rFonts w:hint="eastAsia"/>
                <w:sz w:val="24"/>
              </w:rPr>
              <w:t>噪声测量仪器为HS6020A型噪声校准仪、HS5660C型精密噪声频谱分析仪。测量方法及环境气象条件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若大于0.5dB(A)测试数据无效。</w:t>
            </w:r>
          </w:p>
          <w:p w14:paraId="62435AEE">
            <w:pPr>
              <w:widowControl w:val="0"/>
              <w:ind w:right="-172" w:firstLine="482"/>
              <w:jc w:val="center"/>
              <w:rPr>
                <w:rFonts w:hint="eastAsia" w:ascii="宋体" w:hAnsi="宋体"/>
                <w:b/>
                <w:bCs/>
                <w:sz w:val="24"/>
              </w:rPr>
            </w:pPr>
            <w:r>
              <w:rPr>
                <w:rFonts w:hint="eastAsia" w:ascii="宋体" w:hAnsi="宋体"/>
                <w:b/>
                <w:bCs/>
                <w:sz w:val="24"/>
              </w:rPr>
              <w:t xml:space="preserve">表 </w:t>
            </w:r>
            <w:r>
              <w:rPr>
                <w:b/>
                <w:bCs/>
                <w:sz w:val="24"/>
              </w:rPr>
              <w:t>5-3</w:t>
            </w:r>
            <w:r>
              <w:rPr>
                <w:rFonts w:hint="eastAsia" w:ascii="宋体" w:hAnsi="宋体"/>
                <w:b/>
                <w:bCs/>
                <w:sz w:val="24"/>
              </w:rPr>
              <w:t xml:space="preserve"> 噪声监测措施一览表</w:t>
            </w:r>
          </w:p>
          <w:tbl>
            <w:tblPr>
              <w:tblStyle w:val="26"/>
              <w:tblpPr w:leftFromText="180" w:rightFromText="180" w:vertAnchor="text" w:tblpY="1"/>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296"/>
              <w:gridCol w:w="1296"/>
              <w:gridCol w:w="1295"/>
              <w:gridCol w:w="1295"/>
              <w:gridCol w:w="1296"/>
              <w:gridCol w:w="1296"/>
            </w:tblGrid>
            <w:tr w14:paraId="68D5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6" w:type="dxa"/>
                  <w:vAlign w:val="center"/>
                </w:tcPr>
                <w:p w14:paraId="4D0451CD">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rPr>
                    <w:t>项目</w:t>
                  </w:r>
                </w:p>
              </w:tc>
              <w:tc>
                <w:tcPr>
                  <w:tcW w:w="1296" w:type="dxa"/>
                  <w:vAlign w:val="center"/>
                </w:tcPr>
                <w:p w14:paraId="39C2F5A6">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rPr>
                    <w:t>日期</w:t>
                  </w:r>
                </w:p>
              </w:tc>
              <w:tc>
                <w:tcPr>
                  <w:tcW w:w="1296" w:type="dxa"/>
                  <w:vAlign w:val="center"/>
                </w:tcPr>
                <w:p w14:paraId="0756A26C">
                  <w:pPr>
                    <w:pStyle w:val="33"/>
                    <w:keepNext w:val="0"/>
                    <w:keepLines w:val="0"/>
                    <w:pageBreakBefore w:val="0"/>
                    <w:widowControl w:val="0"/>
                    <w:kinsoku/>
                    <w:wordWrap/>
                    <w:overflowPunct/>
                    <w:topLinePunct w:val="0"/>
                    <w:bidi w:val="0"/>
                    <w:adjustRightInd/>
                    <w:snapToGrid/>
                    <w:ind w:left="0" w:right="0" w:firstLine="0"/>
                    <w:textAlignment w:val="auto"/>
                    <w:rPr>
                      <w:rFonts w:ascii="Times New Roman" w:hAnsi="Times New Roman" w:cs="Times New Roman"/>
                      <w:b/>
                      <w:sz w:val="21"/>
                      <w:lang w:val="en-US"/>
                    </w:rPr>
                  </w:pPr>
                  <w:r>
                    <w:rPr>
                      <w:rFonts w:ascii="Times New Roman" w:hAnsi="Times New Roman" w:cs="Times New Roman"/>
                      <w:b/>
                      <w:sz w:val="21"/>
                    </w:rPr>
                    <w:t>测量前校准值</w:t>
                  </w:r>
                </w:p>
              </w:tc>
              <w:tc>
                <w:tcPr>
                  <w:tcW w:w="1295" w:type="dxa"/>
                  <w:vAlign w:val="center"/>
                </w:tcPr>
                <w:p w14:paraId="21A1B6CB">
                  <w:pPr>
                    <w:pStyle w:val="33"/>
                    <w:keepNext w:val="0"/>
                    <w:keepLines w:val="0"/>
                    <w:pageBreakBefore w:val="0"/>
                    <w:widowControl w:val="0"/>
                    <w:kinsoku/>
                    <w:wordWrap/>
                    <w:overflowPunct/>
                    <w:topLinePunct w:val="0"/>
                    <w:bidi w:val="0"/>
                    <w:adjustRightInd/>
                    <w:snapToGrid/>
                    <w:ind w:left="0" w:right="0" w:firstLine="0"/>
                    <w:textAlignment w:val="auto"/>
                    <w:rPr>
                      <w:rFonts w:ascii="Times New Roman" w:hAnsi="Times New Roman" w:cs="Times New Roman"/>
                      <w:b/>
                      <w:sz w:val="21"/>
                      <w:lang w:val="en-US"/>
                    </w:rPr>
                  </w:pPr>
                  <w:r>
                    <w:rPr>
                      <w:rFonts w:ascii="Times New Roman" w:hAnsi="Times New Roman" w:cs="Times New Roman"/>
                      <w:b/>
                      <w:sz w:val="21"/>
                    </w:rPr>
                    <w:t>测量后</w:t>
                  </w:r>
                </w:p>
                <w:p w14:paraId="53EE4E01">
                  <w:pPr>
                    <w:pStyle w:val="33"/>
                    <w:keepNext w:val="0"/>
                    <w:keepLines w:val="0"/>
                    <w:pageBreakBefore w:val="0"/>
                    <w:widowControl w:val="0"/>
                    <w:kinsoku/>
                    <w:wordWrap/>
                    <w:overflowPunct/>
                    <w:topLinePunct w:val="0"/>
                    <w:bidi w:val="0"/>
                    <w:adjustRightInd/>
                    <w:snapToGrid/>
                    <w:ind w:left="0" w:right="0" w:firstLine="0"/>
                    <w:textAlignment w:val="auto"/>
                    <w:rPr>
                      <w:rFonts w:ascii="Times New Roman" w:hAnsi="Times New Roman" w:cs="Times New Roman"/>
                      <w:b/>
                      <w:sz w:val="21"/>
                      <w:lang w:val="en-US"/>
                    </w:rPr>
                  </w:pPr>
                  <w:r>
                    <w:rPr>
                      <w:rFonts w:ascii="Times New Roman" w:hAnsi="Times New Roman" w:cs="Times New Roman"/>
                      <w:b/>
                      <w:sz w:val="21"/>
                    </w:rPr>
                    <w:t>校准值</w:t>
                  </w:r>
                </w:p>
              </w:tc>
              <w:tc>
                <w:tcPr>
                  <w:tcW w:w="1295" w:type="dxa"/>
                  <w:vAlign w:val="center"/>
                </w:tcPr>
                <w:p w14:paraId="78336868">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rPr>
                    <w:t>示值偏差</w:t>
                  </w:r>
                </w:p>
              </w:tc>
              <w:tc>
                <w:tcPr>
                  <w:tcW w:w="1296" w:type="dxa"/>
                  <w:vAlign w:val="center"/>
                </w:tcPr>
                <w:p w14:paraId="67395B22">
                  <w:pPr>
                    <w:keepNext w:val="0"/>
                    <w:keepLines w:val="0"/>
                    <w:pageBreakBefore w:val="0"/>
                    <w:widowControl w:val="0"/>
                    <w:kinsoku/>
                    <w:wordWrap/>
                    <w:overflowPunct/>
                    <w:topLinePunct w:val="0"/>
                    <w:bidi w:val="0"/>
                    <w:adjustRightInd/>
                    <w:snapToGrid/>
                    <w:ind w:left="0" w:right="0" w:firstLine="0"/>
                    <w:jc w:val="center"/>
                    <w:textAlignment w:val="auto"/>
                    <w:rPr>
                      <w:b/>
                      <w:bCs/>
                    </w:rPr>
                  </w:pPr>
                  <w:r>
                    <w:rPr>
                      <w:b/>
                    </w:rPr>
                    <w:t>标准值</w:t>
                  </w:r>
                </w:p>
              </w:tc>
              <w:tc>
                <w:tcPr>
                  <w:tcW w:w="1296" w:type="dxa"/>
                  <w:vAlign w:val="center"/>
                </w:tcPr>
                <w:p w14:paraId="1E6A2336">
                  <w:pPr>
                    <w:pStyle w:val="33"/>
                    <w:keepNext w:val="0"/>
                    <w:keepLines w:val="0"/>
                    <w:pageBreakBefore w:val="0"/>
                    <w:widowControl w:val="0"/>
                    <w:kinsoku/>
                    <w:wordWrap/>
                    <w:overflowPunct/>
                    <w:topLinePunct w:val="0"/>
                    <w:bidi w:val="0"/>
                    <w:adjustRightInd/>
                    <w:snapToGrid/>
                    <w:ind w:left="0" w:right="0" w:firstLine="0"/>
                    <w:textAlignment w:val="auto"/>
                    <w:rPr>
                      <w:rFonts w:ascii="Times New Roman" w:hAnsi="Times New Roman" w:cs="Times New Roman"/>
                      <w:b/>
                      <w:sz w:val="21"/>
                      <w:lang w:val="en-US"/>
                    </w:rPr>
                  </w:pPr>
                  <w:r>
                    <w:rPr>
                      <w:rFonts w:ascii="Times New Roman" w:hAnsi="Times New Roman" w:cs="Times New Roman"/>
                      <w:b/>
                      <w:sz w:val="21"/>
                    </w:rPr>
                    <w:t>是否符合要求</w:t>
                  </w:r>
                </w:p>
              </w:tc>
            </w:tr>
            <w:tr w14:paraId="3667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6" w:type="dxa"/>
                  <w:vMerge w:val="restart"/>
                  <w:vAlign w:val="center"/>
                </w:tcPr>
                <w:p w14:paraId="635F73B5">
                  <w:pPr>
                    <w:keepNext w:val="0"/>
                    <w:keepLines w:val="0"/>
                    <w:pageBreakBefore w:val="0"/>
                    <w:widowControl w:val="0"/>
                    <w:kinsoku/>
                    <w:wordWrap/>
                    <w:overflowPunct/>
                    <w:topLinePunct w:val="0"/>
                    <w:bidi w:val="0"/>
                    <w:adjustRightInd/>
                    <w:snapToGrid/>
                    <w:ind w:left="0" w:right="0" w:firstLine="0"/>
                    <w:jc w:val="center"/>
                    <w:textAlignment w:val="auto"/>
                    <w:rPr>
                      <w:b/>
                      <w:bCs/>
                    </w:rPr>
                  </w:pPr>
                  <w:r>
                    <w:t>噪声</w:t>
                  </w:r>
                </w:p>
              </w:tc>
              <w:tc>
                <w:tcPr>
                  <w:tcW w:w="1296" w:type="dxa"/>
                  <w:vAlign w:val="center"/>
                </w:tcPr>
                <w:p w14:paraId="5FE6C59D">
                  <w:pPr>
                    <w:keepNext w:val="0"/>
                    <w:keepLines w:val="0"/>
                    <w:pageBreakBefore w:val="0"/>
                    <w:widowControl w:val="0"/>
                    <w:kinsoku/>
                    <w:wordWrap/>
                    <w:overflowPunct/>
                    <w:topLinePunct w:val="0"/>
                    <w:bidi w:val="0"/>
                    <w:adjustRightInd/>
                    <w:snapToGrid/>
                    <w:ind w:left="0" w:right="0" w:firstLine="0"/>
                    <w:jc w:val="center"/>
                    <w:textAlignment w:val="auto"/>
                    <w:rPr>
                      <w:b/>
                      <w:bCs/>
                    </w:rPr>
                  </w:pPr>
                  <w:r>
                    <w:t>20</w:t>
                  </w:r>
                  <w:r>
                    <w:rPr>
                      <w:rFonts w:hint="eastAsia"/>
                    </w:rPr>
                    <w:t>22.4.9</w:t>
                  </w:r>
                </w:p>
              </w:tc>
              <w:tc>
                <w:tcPr>
                  <w:tcW w:w="1296" w:type="dxa"/>
                  <w:vAlign w:val="center"/>
                </w:tcPr>
                <w:p w14:paraId="3337F03A">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94.0dB(A)</w:t>
                  </w:r>
                </w:p>
              </w:tc>
              <w:tc>
                <w:tcPr>
                  <w:tcW w:w="1295" w:type="dxa"/>
                  <w:vAlign w:val="center"/>
                </w:tcPr>
                <w:p w14:paraId="0407B2E5">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93.8dB(A)</w:t>
                  </w:r>
                </w:p>
              </w:tc>
              <w:tc>
                <w:tcPr>
                  <w:tcW w:w="1295" w:type="dxa"/>
                  <w:vAlign w:val="center"/>
                </w:tcPr>
                <w:p w14:paraId="3666BC28">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0.2dB(A)</w:t>
                  </w:r>
                </w:p>
              </w:tc>
              <w:tc>
                <w:tcPr>
                  <w:tcW w:w="1296" w:type="dxa"/>
                  <w:vMerge w:val="restart"/>
                  <w:vAlign w:val="center"/>
                </w:tcPr>
                <w:p w14:paraId="1E4D1084">
                  <w:pPr>
                    <w:keepNext w:val="0"/>
                    <w:keepLines w:val="0"/>
                    <w:pageBreakBefore w:val="0"/>
                    <w:widowControl w:val="0"/>
                    <w:kinsoku/>
                    <w:wordWrap/>
                    <w:overflowPunct/>
                    <w:topLinePunct w:val="0"/>
                    <w:bidi w:val="0"/>
                    <w:adjustRightInd/>
                    <w:snapToGrid/>
                    <w:ind w:left="0" w:right="0" w:firstLine="0"/>
                    <w:jc w:val="center"/>
                    <w:textAlignment w:val="auto"/>
                    <w:rPr>
                      <w:szCs w:val="24"/>
                    </w:rPr>
                  </w:pPr>
                  <w:r>
                    <w:rPr>
                      <w:szCs w:val="24"/>
                    </w:rPr>
                    <w:t>±0.5</w:t>
                  </w:r>
                </w:p>
                <w:p w14:paraId="0D7F6475">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dB(A)</w:t>
                  </w:r>
                </w:p>
              </w:tc>
              <w:tc>
                <w:tcPr>
                  <w:tcW w:w="1296" w:type="dxa"/>
                  <w:vAlign w:val="center"/>
                </w:tcPr>
                <w:p w14:paraId="6B3DA170">
                  <w:pPr>
                    <w:keepNext w:val="0"/>
                    <w:keepLines w:val="0"/>
                    <w:pageBreakBefore w:val="0"/>
                    <w:widowControl w:val="0"/>
                    <w:kinsoku/>
                    <w:wordWrap/>
                    <w:overflowPunct/>
                    <w:topLinePunct w:val="0"/>
                    <w:bidi w:val="0"/>
                    <w:adjustRightInd/>
                    <w:snapToGrid/>
                    <w:ind w:left="0" w:right="0" w:firstLine="0"/>
                    <w:jc w:val="center"/>
                    <w:textAlignment w:val="auto"/>
                    <w:rPr>
                      <w:bCs/>
                    </w:rPr>
                  </w:pPr>
                  <w:r>
                    <w:rPr>
                      <w:szCs w:val="24"/>
                    </w:rPr>
                    <w:t>是</w:t>
                  </w:r>
                </w:p>
              </w:tc>
            </w:tr>
            <w:tr w14:paraId="1FBD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6" w:type="dxa"/>
                  <w:vMerge w:val="continue"/>
                  <w:vAlign w:val="center"/>
                </w:tcPr>
                <w:p w14:paraId="2DD2488D">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1296" w:type="dxa"/>
                  <w:vAlign w:val="center"/>
                </w:tcPr>
                <w:p w14:paraId="7736029D">
                  <w:pPr>
                    <w:keepNext w:val="0"/>
                    <w:keepLines w:val="0"/>
                    <w:pageBreakBefore w:val="0"/>
                    <w:widowControl w:val="0"/>
                    <w:kinsoku/>
                    <w:wordWrap/>
                    <w:overflowPunct/>
                    <w:topLinePunct w:val="0"/>
                    <w:bidi w:val="0"/>
                    <w:adjustRightInd/>
                    <w:snapToGrid/>
                    <w:ind w:left="0" w:right="0" w:firstLine="0"/>
                    <w:jc w:val="center"/>
                    <w:textAlignment w:val="auto"/>
                    <w:rPr>
                      <w:b/>
                      <w:bCs/>
                    </w:rPr>
                  </w:pPr>
                  <w:r>
                    <w:t>20</w:t>
                  </w:r>
                  <w:r>
                    <w:rPr>
                      <w:rFonts w:hint="eastAsia"/>
                    </w:rPr>
                    <w:t>24</w:t>
                  </w:r>
                  <w:r>
                    <w:t>.</w:t>
                  </w:r>
                  <w:r>
                    <w:rPr>
                      <w:rFonts w:hint="eastAsia"/>
                    </w:rPr>
                    <w:t>4.9</w:t>
                  </w:r>
                </w:p>
              </w:tc>
              <w:tc>
                <w:tcPr>
                  <w:tcW w:w="1296" w:type="dxa"/>
                  <w:vAlign w:val="center"/>
                </w:tcPr>
                <w:p w14:paraId="6E0F467B">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94.0dB(A)</w:t>
                  </w:r>
                </w:p>
              </w:tc>
              <w:tc>
                <w:tcPr>
                  <w:tcW w:w="1295" w:type="dxa"/>
                  <w:vAlign w:val="center"/>
                </w:tcPr>
                <w:p w14:paraId="5B0FC9DA">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93.8dB(A)</w:t>
                  </w:r>
                </w:p>
              </w:tc>
              <w:tc>
                <w:tcPr>
                  <w:tcW w:w="1295" w:type="dxa"/>
                  <w:vAlign w:val="center"/>
                </w:tcPr>
                <w:p w14:paraId="07BFA310">
                  <w:pPr>
                    <w:keepNext w:val="0"/>
                    <w:keepLines w:val="0"/>
                    <w:pageBreakBefore w:val="0"/>
                    <w:widowControl w:val="0"/>
                    <w:kinsoku/>
                    <w:wordWrap/>
                    <w:overflowPunct/>
                    <w:topLinePunct w:val="0"/>
                    <w:bidi w:val="0"/>
                    <w:adjustRightInd/>
                    <w:snapToGrid/>
                    <w:ind w:left="0" w:right="0" w:firstLine="0"/>
                    <w:jc w:val="center"/>
                    <w:textAlignment w:val="auto"/>
                    <w:rPr>
                      <w:b/>
                      <w:bCs/>
                    </w:rPr>
                  </w:pPr>
                  <w:r>
                    <w:rPr>
                      <w:szCs w:val="24"/>
                    </w:rPr>
                    <w:t>0.2dB(A)</w:t>
                  </w:r>
                </w:p>
              </w:tc>
              <w:tc>
                <w:tcPr>
                  <w:tcW w:w="1296" w:type="dxa"/>
                  <w:vMerge w:val="continue"/>
                  <w:vAlign w:val="center"/>
                </w:tcPr>
                <w:p w14:paraId="5DDF61BF">
                  <w:pPr>
                    <w:keepNext w:val="0"/>
                    <w:keepLines w:val="0"/>
                    <w:pageBreakBefore w:val="0"/>
                    <w:widowControl w:val="0"/>
                    <w:kinsoku/>
                    <w:wordWrap/>
                    <w:overflowPunct/>
                    <w:topLinePunct w:val="0"/>
                    <w:bidi w:val="0"/>
                    <w:adjustRightInd/>
                    <w:snapToGrid/>
                    <w:ind w:left="0" w:right="0" w:firstLine="0"/>
                    <w:jc w:val="center"/>
                    <w:textAlignment w:val="auto"/>
                    <w:rPr>
                      <w:b/>
                      <w:bCs/>
                    </w:rPr>
                  </w:pPr>
                </w:p>
              </w:tc>
              <w:tc>
                <w:tcPr>
                  <w:tcW w:w="1296" w:type="dxa"/>
                  <w:vAlign w:val="center"/>
                </w:tcPr>
                <w:p w14:paraId="5DB5BA6C">
                  <w:pPr>
                    <w:keepNext w:val="0"/>
                    <w:keepLines w:val="0"/>
                    <w:pageBreakBefore w:val="0"/>
                    <w:widowControl w:val="0"/>
                    <w:kinsoku/>
                    <w:wordWrap/>
                    <w:overflowPunct/>
                    <w:topLinePunct w:val="0"/>
                    <w:bidi w:val="0"/>
                    <w:adjustRightInd/>
                    <w:snapToGrid/>
                    <w:ind w:left="0" w:right="0" w:firstLine="0"/>
                    <w:jc w:val="center"/>
                    <w:textAlignment w:val="auto"/>
                    <w:rPr>
                      <w:bCs/>
                    </w:rPr>
                  </w:pPr>
                  <w:r>
                    <w:rPr>
                      <w:szCs w:val="24"/>
                    </w:rPr>
                    <w:t>是</w:t>
                  </w:r>
                </w:p>
              </w:tc>
            </w:tr>
          </w:tbl>
          <w:p w14:paraId="4396A617">
            <w:pPr>
              <w:keepNext w:val="0"/>
              <w:keepLines w:val="0"/>
              <w:pageBreakBefore w:val="0"/>
              <w:widowControl w:val="0"/>
              <w:kinsoku/>
              <w:wordWrap/>
              <w:overflowPunct/>
              <w:topLinePunct w:val="0"/>
              <w:bidi w:val="0"/>
              <w:spacing w:line="360" w:lineRule="auto"/>
              <w:ind w:right="0" w:firstLine="482" w:firstLineChars="200"/>
              <w:jc w:val="left"/>
              <w:textAlignment w:val="auto"/>
              <w:rPr>
                <w:b/>
                <w:bCs/>
                <w:sz w:val="24"/>
              </w:rPr>
            </w:pPr>
            <w:r>
              <w:rPr>
                <w:b/>
                <w:bCs/>
                <w:sz w:val="24"/>
              </w:rPr>
              <w:t>4、水质监测分析过程中质量保证和质量控制</w:t>
            </w:r>
          </w:p>
          <w:p w14:paraId="295DA7C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本次验收监测中水样的采集、运输、保存、实验室分析和数据计算的全过程均按《环境监测技术规范（水和废水部分）》《环境水质监测质量保证手册》的要求进行。采样过程中采集一定比列的采样平行样和平行样；试验室分析过程采取自控平行、空白加标和标准物质的测定，并对质控数据分析。</w:t>
            </w:r>
          </w:p>
          <w:p w14:paraId="16367F3D">
            <w:pPr>
              <w:widowControl w:val="0"/>
              <w:ind w:right="-172" w:firstLine="482" w:firstLineChars="200"/>
              <w:jc w:val="center"/>
              <w:rPr>
                <w:rFonts w:hint="eastAsia"/>
                <w:color w:val="000000" w:themeColor="text1"/>
                <w:sz w:val="24"/>
                <w:szCs w:val="22"/>
                <w14:textFill>
                  <w14:solidFill>
                    <w14:schemeClr w14:val="tx1"/>
                  </w14:solidFill>
                </w14:textFill>
              </w:rPr>
            </w:pPr>
            <w:r>
              <w:rPr>
                <w:b/>
                <w:bCs/>
                <w:sz w:val="24"/>
              </w:rPr>
              <w:t>表 5-4 水质监测措施一览表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072"/>
              <w:gridCol w:w="1341"/>
              <w:gridCol w:w="1427"/>
              <w:gridCol w:w="1133"/>
              <w:gridCol w:w="1133"/>
              <w:gridCol w:w="846"/>
              <w:gridCol w:w="1043"/>
            </w:tblGrid>
            <w:tr w14:paraId="1AD0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pct"/>
                  <w:vAlign w:val="center"/>
                </w:tcPr>
                <w:p w14:paraId="53B69353">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594" w:type="pct"/>
                  <w:vAlign w:val="center"/>
                </w:tcPr>
                <w:p w14:paraId="77500BCC">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样品数量</w:t>
                  </w:r>
                </w:p>
              </w:tc>
              <w:tc>
                <w:tcPr>
                  <w:tcW w:w="743" w:type="pct"/>
                  <w:vAlign w:val="center"/>
                </w:tcPr>
                <w:p w14:paraId="6F06FCBE">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采样平行样</w:t>
                  </w:r>
                </w:p>
              </w:tc>
              <w:tc>
                <w:tcPr>
                  <w:tcW w:w="791" w:type="pct"/>
                  <w:vAlign w:val="center"/>
                </w:tcPr>
                <w:p w14:paraId="1C013AC1">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全程序空白</w:t>
                  </w:r>
                </w:p>
              </w:tc>
              <w:tc>
                <w:tcPr>
                  <w:tcW w:w="628" w:type="pct"/>
                  <w:vAlign w:val="center"/>
                </w:tcPr>
                <w:p w14:paraId="4ED11360">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实验室</w:t>
                  </w:r>
                  <w:r>
                    <w:rPr>
                      <w:b/>
                      <w:bCs/>
                      <w:color w:val="000000" w:themeColor="text1"/>
                      <w:szCs w:val="21"/>
                      <w14:textFill>
                        <w14:solidFill>
                          <w14:schemeClr w14:val="tx1"/>
                        </w14:solidFill>
                      </w14:textFill>
                    </w:rPr>
                    <w:t>平行</w:t>
                  </w:r>
                </w:p>
              </w:tc>
              <w:tc>
                <w:tcPr>
                  <w:tcW w:w="628" w:type="pct"/>
                  <w:vAlign w:val="center"/>
                </w:tcPr>
                <w:p w14:paraId="04E9CBEB">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空白加样</w:t>
                  </w:r>
                </w:p>
              </w:tc>
              <w:tc>
                <w:tcPr>
                  <w:tcW w:w="469" w:type="pct"/>
                  <w:vAlign w:val="center"/>
                </w:tcPr>
                <w:p w14:paraId="7C8D4526">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质控样</w:t>
                  </w:r>
                </w:p>
              </w:tc>
              <w:tc>
                <w:tcPr>
                  <w:tcW w:w="578" w:type="pct"/>
                  <w:vAlign w:val="center"/>
                </w:tcPr>
                <w:p w14:paraId="03E911F4">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质控率</w:t>
                  </w:r>
                </w:p>
                <w:p w14:paraId="739573BA">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r>
            <w:tr w14:paraId="3625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pct"/>
                  <w:vAlign w:val="center"/>
                </w:tcPr>
                <w:p w14:paraId="55A7D84B">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594" w:type="pct"/>
                  <w:vAlign w:val="center"/>
                </w:tcPr>
                <w:p w14:paraId="3EF2FA83">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43" w:type="pct"/>
                  <w:vAlign w:val="center"/>
                </w:tcPr>
                <w:p w14:paraId="585ADBA5">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91" w:type="pct"/>
                  <w:vAlign w:val="center"/>
                </w:tcPr>
                <w:p w14:paraId="0A9A43F4">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28" w:type="pct"/>
                  <w:vAlign w:val="center"/>
                </w:tcPr>
                <w:p w14:paraId="631D5BC0">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28" w:type="pct"/>
                  <w:vAlign w:val="center"/>
                </w:tcPr>
                <w:p w14:paraId="46AC9029">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69" w:type="pct"/>
                  <w:vAlign w:val="center"/>
                </w:tcPr>
                <w:p w14:paraId="68F2BCCE">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78" w:type="pct"/>
                  <w:vAlign w:val="center"/>
                </w:tcPr>
                <w:p w14:paraId="2F41455C">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r>
            <w:tr w14:paraId="7A00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pct"/>
                  <w:vAlign w:val="center"/>
                </w:tcPr>
                <w:p w14:paraId="24AD0AF0">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594" w:type="pct"/>
                  <w:vAlign w:val="center"/>
                </w:tcPr>
                <w:p w14:paraId="3A799771">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43" w:type="pct"/>
                  <w:vAlign w:val="center"/>
                </w:tcPr>
                <w:p w14:paraId="486C7030">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91" w:type="pct"/>
                  <w:vAlign w:val="center"/>
                </w:tcPr>
                <w:p w14:paraId="46509475">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28" w:type="pct"/>
                  <w:vAlign w:val="center"/>
                </w:tcPr>
                <w:p w14:paraId="576A4880">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28" w:type="pct"/>
                  <w:vAlign w:val="center"/>
                </w:tcPr>
                <w:p w14:paraId="0B72E140">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69" w:type="pct"/>
                  <w:vAlign w:val="center"/>
                </w:tcPr>
                <w:p w14:paraId="0F2A3FD8">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78" w:type="pct"/>
                  <w:vAlign w:val="center"/>
                </w:tcPr>
                <w:p w14:paraId="057F36DE">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3FD7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pct"/>
                  <w:vAlign w:val="center"/>
                </w:tcPr>
                <w:p w14:paraId="59170C5C">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c>
                <w:tcPr>
                  <w:tcW w:w="594" w:type="pct"/>
                  <w:vAlign w:val="center"/>
                </w:tcPr>
                <w:p w14:paraId="650901AA">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43" w:type="pct"/>
                  <w:vAlign w:val="center"/>
                </w:tcPr>
                <w:p w14:paraId="65787940">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91" w:type="pct"/>
                  <w:vAlign w:val="center"/>
                </w:tcPr>
                <w:p w14:paraId="33993636">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28" w:type="pct"/>
                  <w:vAlign w:val="center"/>
                </w:tcPr>
                <w:p w14:paraId="0B02C19B">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28" w:type="pct"/>
                  <w:vAlign w:val="center"/>
                </w:tcPr>
                <w:p w14:paraId="22004763">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69" w:type="pct"/>
                  <w:vAlign w:val="center"/>
                </w:tcPr>
                <w:p w14:paraId="02CBCFD1">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78" w:type="pct"/>
                  <w:vAlign w:val="center"/>
                </w:tcPr>
                <w:p w14:paraId="6CC101AC">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1EDE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pct"/>
                  <w:vAlign w:val="center"/>
                </w:tcPr>
                <w:p w14:paraId="3D66D0E1">
                  <w:pPr>
                    <w:keepNext w:val="0"/>
                    <w:keepLines w:val="0"/>
                    <w:pageBreakBefore w:val="0"/>
                    <w:widowControl w:val="0"/>
                    <w:kinsoku/>
                    <w:wordWrap/>
                    <w:overflowPunct/>
                    <w:topLinePunct w:val="0"/>
                    <w:autoSpaceDE/>
                    <w:autoSpaceDN/>
                    <w:bidi w:val="0"/>
                    <w:adjustRightInd/>
                    <w:snapToGrid/>
                    <w:ind w:right="0" w:firstLine="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BOD5</w:t>
                  </w:r>
                </w:p>
              </w:tc>
              <w:tc>
                <w:tcPr>
                  <w:tcW w:w="594" w:type="pct"/>
                  <w:vAlign w:val="center"/>
                </w:tcPr>
                <w:p w14:paraId="17D8B9E6">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43" w:type="pct"/>
                  <w:vAlign w:val="center"/>
                </w:tcPr>
                <w:p w14:paraId="46B24297">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91" w:type="pct"/>
                  <w:vAlign w:val="center"/>
                </w:tcPr>
                <w:p w14:paraId="22FD86F7">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28" w:type="pct"/>
                  <w:vAlign w:val="center"/>
                </w:tcPr>
                <w:p w14:paraId="26FB5323">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28" w:type="pct"/>
                  <w:vAlign w:val="center"/>
                </w:tcPr>
                <w:p w14:paraId="2B2758C9">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69" w:type="pct"/>
                  <w:vAlign w:val="center"/>
                </w:tcPr>
                <w:p w14:paraId="6C23BA99">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78" w:type="pct"/>
                  <w:vAlign w:val="center"/>
                </w:tcPr>
                <w:p w14:paraId="26658297">
                  <w:pPr>
                    <w:keepNext w:val="0"/>
                    <w:keepLines w:val="0"/>
                    <w:pageBreakBefore w:val="0"/>
                    <w:widowControl w:val="0"/>
                    <w:kinsoku/>
                    <w:wordWrap/>
                    <w:overflowPunct/>
                    <w:topLinePunct w:val="0"/>
                    <w:autoSpaceDE/>
                    <w:autoSpaceDN/>
                    <w:bidi w:val="0"/>
                    <w:adjustRightInd/>
                    <w:snapToGrid/>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r>
          </w:tbl>
          <w:p w14:paraId="15415766">
            <w:pPr>
              <w:widowControl w:val="0"/>
              <w:autoSpaceDE w:val="0"/>
              <w:autoSpaceDN w:val="0"/>
              <w:adjustRightInd w:val="0"/>
              <w:snapToGrid w:val="0"/>
              <w:spacing w:line="360" w:lineRule="auto"/>
              <w:ind w:right="-172" w:firstLine="482" w:firstLineChars="200"/>
              <w:rPr>
                <w:b/>
                <w:bCs/>
                <w:sz w:val="24"/>
              </w:rPr>
            </w:pPr>
          </w:p>
        </w:tc>
      </w:tr>
    </w:tbl>
    <w:p w14:paraId="1F5F4510">
      <w:pPr>
        <w:ind w:right="-172" w:firstLine="420"/>
        <w:sectPr>
          <w:footerReference r:id="rId7" w:type="default"/>
          <w:pgSz w:w="12240" w:h="15840"/>
          <w:pgMar w:top="1418" w:right="1418" w:bottom="1418" w:left="1418" w:header="720" w:footer="720" w:gutter="0"/>
          <w:cols w:space="720" w:num="1"/>
          <w:docGrid w:type="lines" w:linePitch="312" w:charSpace="0"/>
        </w:sectPr>
      </w:pPr>
    </w:p>
    <w:p w14:paraId="61246B1D">
      <w:pPr>
        <w:pStyle w:val="4"/>
        <w:ind w:right="-172" w:firstLine="562"/>
        <w:rPr>
          <w:sz w:val="28"/>
          <w:szCs w:val="13"/>
        </w:rPr>
      </w:pPr>
      <w:bookmarkStart w:id="13" w:name="_Toc3842"/>
      <w:r>
        <w:rPr>
          <w:rFonts w:hint="eastAsia"/>
          <w:sz w:val="28"/>
          <w:szCs w:val="13"/>
        </w:rPr>
        <w:t>表六</w:t>
      </w:r>
      <w:bookmarkEnd w:id="13"/>
    </w:p>
    <w:tbl>
      <w:tblPr>
        <w:tblStyle w:val="26"/>
        <w:tblpPr w:leftFromText="180" w:rightFromText="180" w:vertAnchor="text" w:tblpXSpec="center" w:tblpY="1"/>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772D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4" w:hRule="atLeast"/>
        </w:trPr>
        <w:tc>
          <w:tcPr>
            <w:tcW w:w="9242" w:type="dxa"/>
          </w:tcPr>
          <w:p w14:paraId="28E12849">
            <w:pPr>
              <w:keepNext w:val="0"/>
              <w:keepLines w:val="0"/>
              <w:pageBreakBefore w:val="0"/>
              <w:widowControl w:val="0"/>
              <w:kinsoku/>
              <w:wordWrap/>
              <w:overflowPunct/>
              <w:topLinePunct w:val="0"/>
              <w:autoSpaceDE w:val="0"/>
              <w:autoSpaceDN w:val="0"/>
              <w:bidi w:val="0"/>
              <w:spacing w:line="360" w:lineRule="auto"/>
              <w:ind w:right="0" w:firstLine="482" w:firstLineChars="200"/>
              <w:textAlignment w:val="auto"/>
              <w:rPr>
                <w:rFonts w:hint="eastAsia"/>
                <w:b/>
                <w:bCs/>
                <w:kern w:val="0"/>
                <w:sz w:val="24"/>
              </w:rPr>
            </w:pPr>
            <w:r>
              <w:rPr>
                <w:rFonts w:hint="eastAsia"/>
                <w:b/>
                <w:bCs/>
                <w:kern w:val="0"/>
                <w:sz w:val="24"/>
              </w:rPr>
              <w:t>验收监测内容：</w:t>
            </w:r>
          </w:p>
          <w:p w14:paraId="09624035">
            <w:pPr>
              <w:keepNext w:val="0"/>
              <w:keepLines w:val="0"/>
              <w:pageBreakBefore w:val="0"/>
              <w:widowControl w:val="0"/>
              <w:kinsoku/>
              <w:wordWrap/>
              <w:overflowPunct/>
              <w:topLinePunct w:val="0"/>
              <w:autoSpaceDE w:val="0"/>
              <w:autoSpaceDN w:val="0"/>
              <w:bidi w:val="0"/>
              <w:spacing w:line="360" w:lineRule="auto"/>
              <w:ind w:right="0" w:firstLine="482" w:firstLineChars="200"/>
              <w:textAlignment w:val="auto"/>
              <w:rPr>
                <w:rFonts w:hint="eastAsia"/>
                <w:b/>
                <w:bCs/>
                <w:kern w:val="0"/>
                <w:sz w:val="24"/>
              </w:rPr>
            </w:pPr>
            <w:r>
              <w:rPr>
                <w:rFonts w:hint="eastAsia"/>
                <w:b/>
                <w:bCs/>
                <w:kern w:val="0"/>
                <w:sz w:val="24"/>
              </w:rPr>
              <w:t>1、废水监测</w:t>
            </w:r>
          </w:p>
          <w:p w14:paraId="483598A5">
            <w:pPr>
              <w:pStyle w:val="11"/>
              <w:adjustRightInd w:val="0"/>
              <w:snapToGrid w:val="0"/>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本项目废水监测点位、项目、频次见表6-1。</w:t>
            </w:r>
          </w:p>
          <w:p w14:paraId="35908505">
            <w:pPr>
              <w:widowControl w:val="0"/>
              <w:tabs>
                <w:tab w:val="left" w:pos="751"/>
              </w:tabs>
              <w:jc w:val="center"/>
              <w:rPr>
                <w:rFonts w:hint="eastAsia"/>
                <w:b/>
                <w:sz w:val="24"/>
                <w:szCs w:val="24"/>
              </w:rPr>
            </w:pPr>
            <w:r>
              <w:rPr>
                <w:rFonts w:hint="eastAsia"/>
                <w:b/>
                <w:sz w:val="24"/>
                <w:szCs w:val="24"/>
              </w:rPr>
              <w:t>表 6-1 废水监测点位、项目、频次一览表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347"/>
              <w:gridCol w:w="1268"/>
              <w:gridCol w:w="2387"/>
              <w:gridCol w:w="1091"/>
              <w:gridCol w:w="2357"/>
            </w:tblGrid>
            <w:tr w14:paraId="66CF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Align w:val="center"/>
                </w:tcPr>
                <w:p w14:paraId="10EB37D5">
                  <w:pPr>
                    <w:autoSpaceDE w:val="0"/>
                    <w:autoSpaceDN w:val="0"/>
                    <w:adjustRightInd w:val="0"/>
                    <w:snapToGrid w:val="0"/>
                    <w:jc w:val="center"/>
                    <w:rPr>
                      <w:b/>
                      <w:szCs w:val="36"/>
                    </w:rPr>
                  </w:pPr>
                  <w:r>
                    <w:rPr>
                      <w:b/>
                      <w:szCs w:val="32"/>
                    </w:rPr>
                    <w:t>序号</w:t>
                  </w:r>
                </w:p>
              </w:tc>
              <w:tc>
                <w:tcPr>
                  <w:tcW w:w="747" w:type="pct"/>
                  <w:vAlign w:val="center"/>
                </w:tcPr>
                <w:p w14:paraId="646F54E5">
                  <w:pPr>
                    <w:jc w:val="center"/>
                    <w:rPr>
                      <w:b/>
                      <w:szCs w:val="32"/>
                    </w:rPr>
                  </w:pPr>
                  <w:r>
                    <w:rPr>
                      <w:rFonts w:hint="eastAsia"/>
                      <w:b/>
                      <w:bCs/>
                      <w:szCs w:val="36"/>
                    </w:rPr>
                    <w:t>废水排放口</w:t>
                  </w:r>
                </w:p>
              </w:tc>
              <w:tc>
                <w:tcPr>
                  <w:tcW w:w="703" w:type="pct"/>
                  <w:vAlign w:val="center"/>
                </w:tcPr>
                <w:p w14:paraId="7BFD9822">
                  <w:pPr>
                    <w:autoSpaceDE w:val="0"/>
                    <w:autoSpaceDN w:val="0"/>
                    <w:adjustRightInd w:val="0"/>
                    <w:snapToGrid w:val="0"/>
                    <w:jc w:val="center"/>
                    <w:rPr>
                      <w:b/>
                      <w:szCs w:val="36"/>
                    </w:rPr>
                  </w:pPr>
                  <w:r>
                    <w:rPr>
                      <w:b/>
                      <w:szCs w:val="32"/>
                    </w:rPr>
                    <w:t>点位</w:t>
                  </w:r>
                </w:p>
              </w:tc>
              <w:tc>
                <w:tcPr>
                  <w:tcW w:w="1324" w:type="pct"/>
                  <w:vAlign w:val="center"/>
                </w:tcPr>
                <w:p w14:paraId="7CF1B263">
                  <w:pPr>
                    <w:autoSpaceDE w:val="0"/>
                    <w:autoSpaceDN w:val="0"/>
                    <w:adjustRightInd w:val="0"/>
                    <w:snapToGrid w:val="0"/>
                    <w:jc w:val="center"/>
                    <w:rPr>
                      <w:b/>
                      <w:szCs w:val="36"/>
                    </w:rPr>
                  </w:pPr>
                  <w:r>
                    <w:rPr>
                      <w:b/>
                      <w:szCs w:val="32"/>
                    </w:rPr>
                    <w:t>监测项目</w:t>
                  </w:r>
                </w:p>
              </w:tc>
              <w:tc>
                <w:tcPr>
                  <w:tcW w:w="605" w:type="pct"/>
                  <w:vAlign w:val="center"/>
                </w:tcPr>
                <w:p w14:paraId="6CAF6686">
                  <w:pPr>
                    <w:autoSpaceDE w:val="0"/>
                    <w:autoSpaceDN w:val="0"/>
                    <w:adjustRightInd w:val="0"/>
                    <w:snapToGrid w:val="0"/>
                    <w:jc w:val="center"/>
                    <w:rPr>
                      <w:b/>
                      <w:szCs w:val="36"/>
                    </w:rPr>
                  </w:pPr>
                  <w:r>
                    <w:rPr>
                      <w:b/>
                      <w:szCs w:val="32"/>
                    </w:rPr>
                    <w:t>监测频次</w:t>
                  </w:r>
                </w:p>
              </w:tc>
              <w:tc>
                <w:tcPr>
                  <w:tcW w:w="1307" w:type="pct"/>
                  <w:vAlign w:val="center"/>
                </w:tcPr>
                <w:p w14:paraId="2D289C74">
                  <w:pPr>
                    <w:autoSpaceDE w:val="0"/>
                    <w:autoSpaceDN w:val="0"/>
                    <w:adjustRightInd w:val="0"/>
                    <w:snapToGrid w:val="0"/>
                    <w:jc w:val="center"/>
                    <w:rPr>
                      <w:b/>
                      <w:szCs w:val="32"/>
                    </w:rPr>
                  </w:pPr>
                  <w:r>
                    <w:rPr>
                      <w:b/>
                      <w:szCs w:val="32"/>
                    </w:rPr>
                    <w:t>执行标准</w:t>
                  </w:r>
                </w:p>
              </w:tc>
            </w:tr>
            <w:tr w14:paraId="5108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vAlign w:val="center"/>
                </w:tcPr>
                <w:p w14:paraId="7EEA2FC0">
                  <w:pPr>
                    <w:autoSpaceDE w:val="0"/>
                    <w:autoSpaceDN w:val="0"/>
                    <w:adjustRightInd w:val="0"/>
                    <w:snapToGrid w:val="0"/>
                    <w:jc w:val="center"/>
                    <w:rPr>
                      <w:szCs w:val="32"/>
                    </w:rPr>
                  </w:pPr>
                  <w:r>
                    <w:rPr>
                      <w:rFonts w:hint="eastAsia"/>
                      <w:szCs w:val="32"/>
                    </w:rPr>
                    <w:t>1</w:t>
                  </w:r>
                </w:p>
              </w:tc>
              <w:tc>
                <w:tcPr>
                  <w:tcW w:w="747" w:type="pct"/>
                  <w:vAlign w:val="center"/>
                </w:tcPr>
                <w:p w14:paraId="49DDE9BD">
                  <w:pPr>
                    <w:jc w:val="center"/>
                    <w:rPr>
                      <w:szCs w:val="44"/>
                    </w:rPr>
                  </w:pPr>
                  <w:r>
                    <w:rPr>
                      <w:rFonts w:hint="eastAsia"/>
                      <w:szCs w:val="44"/>
                      <w:lang w:val="en-US" w:eastAsia="zh-CN"/>
                    </w:rPr>
                    <w:t>生活污水排口1★</w:t>
                  </w:r>
                </w:p>
              </w:tc>
              <w:tc>
                <w:tcPr>
                  <w:tcW w:w="703" w:type="pct"/>
                  <w:vAlign w:val="center"/>
                </w:tcPr>
                <w:p w14:paraId="03E10F8B">
                  <w:pPr>
                    <w:autoSpaceDE w:val="0"/>
                    <w:autoSpaceDN w:val="0"/>
                    <w:adjustRightInd w:val="0"/>
                    <w:snapToGrid w:val="0"/>
                    <w:jc w:val="center"/>
                    <w:rPr>
                      <w:szCs w:val="44"/>
                    </w:rPr>
                  </w:pPr>
                  <w:r>
                    <w:rPr>
                      <w:rFonts w:hint="eastAsia"/>
                      <w:szCs w:val="44"/>
                      <w:lang w:val="en-US" w:eastAsia="zh-CN"/>
                    </w:rPr>
                    <w:t>/</w:t>
                  </w:r>
                </w:p>
              </w:tc>
              <w:tc>
                <w:tcPr>
                  <w:tcW w:w="1324" w:type="pct"/>
                  <w:vAlign w:val="center"/>
                </w:tcPr>
                <w:p w14:paraId="6136F66E">
                  <w:pPr>
                    <w:autoSpaceDE w:val="0"/>
                    <w:autoSpaceDN w:val="0"/>
                    <w:adjustRightInd w:val="0"/>
                    <w:snapToGrid w:val="0"/>
                    <w:jc w:val="center"/>
                    <w:rPr>
                      <w:szCs w:val="32"/>
                    </w:rPr>
                  </w:pPr>
                  <w:r>
                    <w:rPr>
                      <w:rFonts w:hint="eastAsia"/>
                      <w:szCs w:val="32"/>
                      <w:lang w:val="en-US" w:eastAsia="zh-CN"/>
                    </w:rPr>
                    <w:t>pH、悬浮物、化学需氧量、动植物油（外包）、五日生化需氧量、氨氮</w:t>
                  </w:r>
                </w:p>
              </w:tc>
              <w:tc>
                <w:tcPr>
                  <w:tcW w:w="605" w:type="pct"/>
                  <w:vAlign w:val="center"/>
                </w:tcPr>
                <w:p w14:paraId="3D51C833">
                  <w:pPr>
                    <w:autoSpaceDE w:val="0"/>
                    <w:autoSpaceDN w:val="0"/>
                    <w:adjustRightInd w:val="0"/>
                    <w:snapToGrid w:val="0"/>
                    <w:jc w:val="center"/>
                    <w:rPr>
                      <w:szCs w:val="32"/>
                    </w:rPr>
                  </w:pPr>
                  <w:r>
                    <w:rPr>
                      <w:rFonts w:hint="eastAsia"/>
                      <w:szCs w:val="32"/>
                    </w:rPr>
                    <w:t>4批/天，监测2天</w:t>
                  </w:r>
                </w:p>
              </w:tc>
              <w:tc>
                <w:tcPr>
                  <w:tcW w:w="1307" w:type="pct"/>
                  <w:vAlign w:val="center"/>
                </w:tcPr>
                <w:p w14:paraId="439FEE61">
                  <w:pPr>
                    <w:autoSpaceDE w:val="0"/>
                    <w:autoSpaceDN w:val="0"/>
                    <w:adjustRightInd w:val="0"/>
                    <w:snapToGrid w:val="0"/>
                    <w:jc w:val="center"/>
                    <w:rPr>
                      <w:rFonts w:hint="default"/>
                      <w:szCs w:val="32"/>
                      <w:lang w:val="en-US"/>
                    </w:rPr>
                  </w:pPr>
                  <w:r>
                    <w:rPr>
                      <w:rFonts w:hint="eastAsia"/>
                      <w:szCs w:val="32"/>
                      <w:lang w:val="en-US" w:eastAsia="zh-CN"/>
                    </w:rPr>
                    <w:t>/</w:t>
                  </w:r>
                </w:p>
              </w:tc>
            </w:tr>
          </w:tbl>
          <w:p w14:paraId="472AD36F">
            <w:pPr>
              <w:keepNext w:val="0"/>
              <w:keepLines w:val="0"/>
              <w:pageBreakBefore w:val="0"/>
              <w:widowControl w:val="0"/>
              <w:kinsoku/>
              <w:wordWrap/>
              <w:overflowPunct/>
              <w:topLinePunct w:val="0"/>
              <w:autoSpaceDE w:val="0"/>
              <w:autoSpaceDN w:val="0"/>
              <w:bidi w:val="0"/>
              <w:spacing w:line="360" w:lineRule="auto"/>
              <w:ind w:right="0" w:firstLine="482" w:firstLineChars="200"/>
              <w:textAlignment w:val="auto"/>
              <w:rPr>
                <w:b/>
                <w:bCs/>
                <w:kern w:val="0"/>
                <w:sz w:val="24"/>
              </w:rPr>
            </w:pPr>
            <w:r>
              <w:rPr>
                <w:b/>
                <w:bCs/>
                <w:kern w:val="0"/>
                <w:sz w:val="24"/>
              </w:rPr>
              <w:t>2、废</w:t>
            </w:r>
            <w:r>
              <w:rPr>
                <w:rFonts w:hint="eastAsia"/>
                <w:b/>
                <w:bCs/>
                <w:kern w:val="0"/>
                <w:sz w:val="24"/>
              </w:rPr>
              <w:t>气</w:t>
            </w:r>
            <w:r>
              <w:rPr>
                <w:b/>
                <w:bCs/>
                <w:kern w:val="0"/>
                <w:sz w:val="24"/>
              </w:rPr>
              <w:t>监测</w:t>
            </w:r>
          </w:p>
          <w:p w14:paraId="50FE340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rPr>
            </w:pPr>
            <w:r>
              <w:rPr>
                <w:rFonts w:hint="eastAsia"/>
                <w:sz w:val="24"/>
              </w:rPr>
              <w:t>(1</w:t>
            </w:r>
            <w:r>
              <w:rPr>
                <w:sz w:val="24"/>
              </w:rPr>
              <w:t>)</w:t>
            </w:r>
            <w:r>
              <w:rPr>
                <w:rFonts w:hint="eastAsia"/>
                <w:sz w:val="24"/>
              </w:rPr>
              <w:t>有组织废气监测</w:t>
            </w:r>
          </w:p>
          <w:p w14:paraId="431E96D5">
            <w:pPr>
              <w:widowControl w:val="0"/>
              <w:tabs>
                <w:tab w:val="left" w:pos="753"/>
              </w:tabs>
              <w:spacing w:line="360" w:lineRule="auto"/>
              <w:ind w:right="-172" w:firstLine="482"/>
              <w:jc w:val="center"/>
              <w:rPr>
                <w:b/>
                <w:sz w:val="24"/>
              </w:rPr>
            </w:pPr>
            <w:r>
              <w:rPr>
                <w:b/>
                <w:sz w:val="24"/>
              </w:rPr>
              <w:t>表 6-2 废气有组织排放监测项目、点位、频次一览表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501"/>
              <w:gridCol w:w="871"/>
              <w:gridCol w:w="1647"/>
              <w:gridCol w:w="1028"/>
              <w:gridCol w:w="3076"/>
            </w:tblGrid>
            <w:tr w14:paraId="336A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078D3C41">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1"/>
                      <w14:textFill>
                        <w14:solidFill>
                          <w14:schemeClr w14:val="tx1"/>
                        </w14:solidFill>
                      </w14:textFill>
                    </w:rPr>
                  </w:pPr>
                  <w:r>
                    <w:rPr>
                      <w:b/>
                      <w:color w:val="000000" w:themeColor="text1"/>
                      <w:szCs w:val="28"/>
                      <w14:textFill>
                        <w14:solidFill>
                          <w14:schemeClr w14:val="tx1"/>
                        </w14:solidFill>
                      </w14:textFill>
                    </w:rPr>
                    <w:t>监测点编号</w:t>
                  </w:r>
                </w:p>
              </w:tc>
              <w:tc>
                <w:tcPr>
                  <w:tcW w:w="1315" w:type="pct"/>
                  <w:gridSpan w:val="2"/>
                  <w:vAlign w:val="center"/>
                </w:tcPr>
                <w:p w14:paraId="504D390B">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1"/>
                      <w14:textFill>
                        <w14:solidFill>
                          <w14:schemeClr w14:val="tx1"/>
                        </w14:solidFill>
                      </w14:textFill>
                    </w:rPr>
                  </w:pPr>
                  <w:r>
                    <w:rPr>
                      <w:b/>
                      <w:color w:val="000000" w:themeColor="text1"/>
                      <w:szCs w:val="28"/>
                      <w14:textFill>
                        <w14:solidFill>
                          <w14:schemeClr w14:val="tx1"/>
                        </w14:solidFill>
                      </w14:textFill>
                    </w:rPr>
                    <w:t>监测点位置</w:t>
                  </w:r>
                </w:p>
              </w:tc>
              <w:tc>
                <w:tcPr>
                  <w:tcW w:w="913" w:type="pct"/>
                  <w:vAlign w:val="center"/>
                </w:tcPr>
                <w:p w14:paraId="3D923403">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1"/>
                      <w14:textFill>
                        <w14:solidFill>
                          <w14:schemeClr w14:val="tx1"/>
                        </w14:solidFill>
                      </w14:textFill>
                    </w:rPr>
                  </w:pPr>
                  <w:r>
                    <w:rPr>
                      <w:b/>
                      <w:color w:val="000000" w:themeColor="text1"/>
                      <w:szCs w:val="28"/>
                      <w14:textFill>
                        <w14:solidFill>
                          <w14:schemeClr w14:val="tx1"/>
                        </w14:solidFill>
                      </w14:textFill>
                    </w:rPr>
                    <w:t>监测因子</w:t>
                  </w:r>
                </w:p>
              </w:tc>
              <w:tc>
                <w:tcPr>
                  <w:tcW w:w="570" w:type="pct"/>
                  <w:vAlign w:val="center"/>
                </w:tcPr>
                <w:p w14:paraId="2CE228D7">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监测</w:t>
                  </w:r>
                  <w:r>
                    <w:rPr>
                      <w:b/>
                      <w:color w:val="000000" w:themeColor="text1"/>
                      <w:szCs w:val="28"/>
                      <w14:textFill>
                        <w14:solidFill>
                          <w14:schemeClr w14:val="tx1"/>
                        </w14:solidFill>
                      </w14:textFill>
                    </w:rPr>
                    <w:t>频次</w:t>
                  </w:r>
                </w:p>
              </w:tc>
              <w:tc>
                <w:tcPr>
                  <w:tcW w:w="1705" w:type="pct"/>
                  <w:vAlign w:val="center"/>
                </w:tcPr>
                <w:p w14:paraId="7B457A19">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执行标准</w:t>
                  </w:r>
                </w:p>
              </w:tc>
            </w:tr>
            <w:tr w14:paraId="0AB4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vAlign w:val="center"/>
                </w:tcPr>
                <w:p w14:paraId="04CA4A6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color w:val="000000" w:themeColor="text1"/>
                      <w:szCs w:val="28"/>
                      <w14:textFill>
                        <w14:solidFill>
                          <w14:schemeClr w14:val="tx1"/>
                        </w14:solidFill>
                      </w14:textFill>
                    </w:rPr>
                    <w:t>1</w:t>
                  </w:r>
                </w:p>
              </w:tc>
              <w:tc>
                <w:tcPr>
                  <w:tcW w:w="832" w:type="pct"/>
                  <w:vMerge w:val="restart"/>
                  <w:vAlign w:val="center"/>
                </w:tcPr>
                <w:p w14:paraId="5F96070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rPr>
                    <w:t>DA001焊接烟尘、砂修废气、抛丸废气</w:t>
                  </w:r>
                </w:p>
              </w:tc>
              <w:tc>
                <w:tcPr>
                  <w:tcW w:w="483" w:type="pct"/>
                  <w:vAlign w:val="center"/>
                </w:tcPr>
                <w:p w14:paraId="19983957">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进口</w:t>
                  </w:r>
                </w:p>
              </w:tc>
              <w:tc>
                <w:tcPr>
                  <w:tcW w:w="913" w:type="pct"/>
                  <w:vAlign w:val="center"/>
                </w:tcPr>
                <w:p w14:paraId="7FDC6F0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8"/>
                      <w14:textFill>
                        <w14:solidFill>
                          <w14:schemeClr w14:val="tx1"/>
                        </w14:solidFill>
                      </w14:textFill>
                    </w:rPr>
                    <w:t>颗粒物</w:t>
                  </w:r>
                </w:p>
              </w:tc>
              <w:tc>
                <w:tcPr>
                  <w:tcW w:w="570" w:type="pct"/>
                  <w:vMerge w:val="restart"/>
                  <w:vAlign w:val="center"/>
                </w:tcPr>
                <w:p w14:paraId="469B869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color w:val="000000" w:themeColor="text1"/>
                      <w:szCs w:val="28"/>
                      <w14:textFill>
                        <w14:solidFill>
                          <w14:schemeClr w14:val="tx1"/>
                        </w14:solidFill>
                      </w14:textFill>
                    </w:rPr>
                    <w:t>3次/天，共2天</w:t>
                  </w:r>
                </w:p>
              </w:tc>
              <w:tc>
                <w:tcPr>
                  <w:tcW w:w="1705" w:type="pct"/>
                  <w:vAlign w:val="center"/>
                </w:tcPr>
                <w:p w14:paraId="5787AAE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8"/>
                      <w14:textFill>
                        <w14:solidFill>
                          <w14:schemeClr w14:val="tx1"/>
                        </w14:solidFill>
                      </w14:textFill>
                    </w:rPr>
                    <w:t>/</w:t>
                  </w:r>
                </w:p>
              </w:tc>
            </w:tr>
            <w:tr w14:paraId="1EF3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58D7D09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6A6A977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Align w:val="center"/>
                </w:tcPr>
                <w:p w14:paraId="16424D56">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vAlign w:val="center"/>
                </w:tcPr>
                <w:p w14:paraId="089D953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570" w:type="pct"/>
                  <w:vMerge w:val="continue"/>
                  <w:vAlign w:val="center"/>
                </w:tcPr>
                <w:p w14:paraId="20712E1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vAlign w:val="center"/>
                </w:tcPr>
                <w:p w14:paraId="31016E5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w:t>
                  </w:r>
                </w:p>
              </w:tc>
            </w:tr>
            <w:tr w14:paraId="6DD9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vAlign w:val="center"/>
                </w:tcPr>
                <w:p w14:paraId="04A715D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32" w:type="pct"/>
                  <w:vMerge w:val="restart"/>
                  <w:vAlign w:val="center"/>
                </w:tcPr>
                <w:p w14:paraId="18FE368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DA002喷塑粉尘</w:t>
                  </w:r>
                </w:p>
              </w:tc>
              <w:tc>
                <w:tcPr>
                  <w:tcW w:w="483" w:type="pct"/>
                  <w:shd w:val="clear" w:color="auto" w:fill="auto"/>
                  <w:vAlign w:val="center"/>
                </w:tcPr>
                <w:p w14:paraId="6B7E5C7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进口</w:t>
                  </w:r>
                </w:p>
              </w:tc>
              <w:tc>
                <w:tcPr>
                  <w:tcW w:w="913" w:type="pct"/>
                  <w:shd w:val="clear" w:color="auto" w:fill="auto"/>
                  <w:vAlign w:val="center"/>
                </w:tcPr>
                <w:p w14:paraId="69AF0EE2">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8"/>
                      <w14:textFill>
                        <w14:solidFill>
                          <w14:schemeClr w14:val="tx1"/>
                        </w14:solidFill>
                      </w14:textFill>
                    </w:rPr>
                    <w:t>颗粒物</w:t>
                  </w:r>
                </w:p>
              </w:tc>
              <w:tc>
                <w:tcPr>
                  <w:tcW w:w="570" w:type="pct"/>
                  <w:vMerge w:val="restart"/>
                  <w:vAlign w:val="center"/>
                </w:tcPr>
                <w:p w14:paraId="7BDAEE7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3批/天，2天</w:t>
                  </w:r>
                </w:p>
              </w:tc>
              <w:tc>
                <w:tcPr>
                  <w:tcW w:w="1705" w:type="pct"/>
                  <w:vAlign w:val="center"/>
                </w:tcPr>
                <w:p w14:paraId="18FAF019">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p>
              </w:tc>
            </w:tr>
            <w:tr w14:paraId="64C4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535A814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521F85B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shd w:val="clear" w:color="auto" w:fill="auto"/>
                  <w:vAlign w:val="center"/>
                </w:tcPr>
                <w:p w14:paraId="1E5AC642">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shd w:val="clear" w:color="auto" w:fill="auto"/>
                  <w:vAlign w:val="center"/>
                </w:tcPr>
                <w:p w14:paraId="1B748B99">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570" w:type="pct"/>
                  <w:vMerge w:val="continue"/>
                  <w:vAlign w:val="center"/>
                </w:tcPr>
                <w:p w14:paraId="611C3A3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vAlign w:val="center"/>
                </w:tcPr>
                <w:p w14:paraId="12F1E3F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喷塑工序产生的颗粒物执行《合成树脂工业污染物排放标准》（GB31572-2015）</w:t>
                  </w:r>
                </w:p>
              </w:tc>
            </w:tr>
            <w:tr w14:paraId="3BE5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vAlign w:val="center"/>
                </w:tcPr>
                <w:p w14:paraId="564A1CC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32" w:type="pct"/>
                  <w:vMerge w:val="restart"/>
                  <w:vAlign w:val="center"/>
                </w:tcPr>
                <w:p w14:paraId="743F8810">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DA003调漆、喷漆废气</w:t>
                  </w:r>
                </w:p>
              </w:tc>
              <w:tc>
                <w:tcPr>
                  <w:tcW w:w="483" w:type="pct"/>
                  <w:shd w:val="clear" w:color="auto" w:fill="auto"/>
                  <w:vAlign w:val="center"/>
                </w:tcPr>
                <w:p w14:paraId="4453B25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进口</w:t>
                  </w:r>
                </w:p>
              </w:tc>
              <w:tc>
                <w:tcPr>
                  <w:tcW w:w="913" w:type="pct"/>
                  <w:vAlign w:val="center"/>
                </w:tcPr>
                <w:p w14:paraId="59EE90F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颗粒物、非甲烷总烃</w:t>
                  </w:r>
                </w:p>
              </w:tc>
              <w:tc>
                <w:tcPr>
                  <w:tcW w:w="570" w:type="pct"/>
                  <w:vMerge w:val="restart"/>
                  <w:vAlign w:val="center"/>
                </w:tcPr>
                <w:p w14:paraId="303D601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3批/天，2天</w:t>
                  </w:r>
                </w:p>
              </w:tc>
              <w:tc>
                <w:tcPr>
                  <w:tcW w:w="1705" w:type="pct"/>
                  <w:vAlign w:val="center"/>
                </w:tcPr>
                <w:p w14:paraId="3D9C9AA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p>
              </w:tc>
            </w:tr>
            <w:tr w14:paraId="32AF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95" w:type="pct"/>
                  <w:vMerge w:val="continue"/>
                  <w:vAlign w:val="center"/>
                </w:tcPr>
                <w:p w14:paraId="66CFDCF8">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6F53FAB7">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restart"/>
                  <w:shd w:val="clear" w:color="auto" w:fill="auto"/>
                  <w:vAlign w:val="center"/>
                </w:tcPr>
                <w:p w14:paraId="142F251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shd w:val="clear" w:color="auto" w:fill="auto"/>
                  <w:vAlign w:val="center"/>
                </w:tcPr>
                <w:p w14:paraId="5E0A076A">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570" w:type="pct"/>
                  <w:vMerge w:val="continue"/>
                  <w:vAlign w:val="center"/>
                </w:tcPr>
                <w:p w14:paraId="5346ACF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132EA609">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8"/>
                      <w:lang w:val="en-US" w:eastAsia="zh-CN"/>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24D1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95" w:type="pct"/>
                  <w:vMerge w:val="continue"/>
                  <w:vAlign w:val="center"/>
                </w:tcPr>
                <w:p w14:paraId="1B26857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4F5CF37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3BF48F6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913" w:type="pct"/>
                  <w:shd w:val="clear" w:color="auto" w:fill="auto"/>
                  <w:vAlign w:val="center"/>
                </w:tcPr>
                <w:p w14:paraId="302ED363">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570" w:type="pct"/>
                  <w:vMerge w:val="continue"/>
                  <w:vAlign w:val="center"/>
                </w:tcPr>
                <w:p w14:paraId="0F705CC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64A4E429">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8"/>
                      <w:lang w:val="en-US" w:eastAsia="zh-CN" w:bidi="ar-SA"/>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538C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95" w:type="pct"/>
                  <w:vMerge w:val="continue"/>
                  <w:vAlign w:val="center"/>
                </w:tcPr>
                <w:p w14:paraId="22D2EDD9">
                  <w:pPr>
                    <w:keepNext w:val="0"/>
                    <w:keepLines w:val="0"/>
                    <w:pageBreakBefore w:val="0"/>
                    <w:widowControl/>
                    <w:kinsoku/>
                    <w:wordWrap/>
                    <w:overflowPunct/>
                    <w:topLinePunct w:val="0"/>
                    <w:autoSpaceDE/>
                    <w:autoSpaceDN/>
                    <w:bidi w:val="0"/>
                    <w:adjustRightInd w:val="0"/>
                    <w:snapToGrid w:val="0"/>
                    <w:ind w:right="0" w:firstLine="0"/>
                    <w:jc w:val="center"/>
                    <w:textAlignment w:val="auto"/>
                  </w:pPr>
                </w:p>
              </w:tc>
              <w:tc>
                <w:tcPr>
                  <w:tcW w:w="832" w:type="pct"/>
                  <w:vMerge w:val="continue"/>
                  <w:vAlign w:val="center"/>
                </w:tcPr>
                <w:p w14:paraId="10FB5C66">
                  <w:pPr>
                    <w:keepNext w:val="0"/>
                    <w:keepLines w:val="0"/>
                    <w:pageBreakBefore w:val="0"/>
                    <w:widowControl/>
                    <w:kinsoku/>
                    <w:wordWrap/>
                    <w:overflowPunct/>
                    <w:topLinePunct w:val="0"/>
                    <w:autoSpaceDE/>
                    <w:autoSpaceDN/>
                    <w:bidi w:val="0"/>
                    <w:adjustRightInd w:val="0"/>
                    <w:snapToGrid w:val="0"/>
                    <w:ind w:right="0" w:firstLine="0"/>
                    <w:jc w:val="center"/>
                    <w:textAlignment w:val="auto"/>
                  </w:pPr>
                </w:p>
              </w:tc>
              <w:tc>
                <w:tcPr>
                  <w:tcW w:w="483" w:type="pct"/>
                  <w:vMerge w:val="continue"/>
                  <w:shd w:val="clear" w:color="auto" w:fill="auto"/>
                  <w:vAlign w:val="center"/>
                </w:tcPr>
                <w:p w14:paraId="1614823C">
                  <w:pPr>
                    <w:keepNext w:val="0"/>
                    <w:keepLines w:val="0"/>
                    <w:pageBreakBefore w:val="0"/>
                    <w:widowControl/>
                    <w:kinsoku/>
                    <w:wordWrap/>
                    <w:overflowPunct/>
                    <w:topLinePunct w:val="0"/>
                    <w:autoSpaceDE/>
                    <w:autoSpaceDN/>
                    <w:bidi w:val="0"/>
                    <w:adjustRightInd w:val="0"/>
                    <w:snapToGrid w:val="0"/>
                    <w:ind w:right="0" w:firstLine="0"/>
                    <w:jc w:val="center"/>
                    <w:textAlignment w:val="auto"/>
                  </w:pPr>
                </w:p>
              </w:tc>
              <w:tc>
                <w:tcPr>
                  <w:tcW w:w="913" w:type="pct"/>
                  <w:shd w:val="clear" w:color="auto" w:fill="auto"/>
                  <w:vAlign w:val="center"/>
                </w:tcPr>
                <w:p w14:paraId="2BD4EEB9">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570" w:type="pct"/>
                  <w:vMerge w:val="continue"/>
                  <w:vAlign w:val="center"/>
                </w:tcPr>
                <w:p w14:paraId="22D6E828">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2994FBCF">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color w:val="000000" w:themeColor="text1"/>
                      <w:szCs w:val="21"/>
                      <w14:textFill>
                        <w14:solidFill>
                          <w14:schemeClr w14:val="tx1"/>
                        </w14:solidFill>
                      </w14:textFill>
                    </w:rPr>
                    <w:t>大气污染物综合排放标准》（GB16297-1996)</w:t>
                  </w:r>
                </w:p>
              </w:tc>
            </w:tr>
            <w:tr w14:paraId="5253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95" w:type="pct"/>
                  <w:vMerge w:val="restart"/>
                  <w:vAlign w:val="center"/>
                </w:tcPr>
                <w:p w14:paraId="60783FD2">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32" w:type="pct"/>
                  <w:vMerge w:val="restart"/>
                  <w:vAlign w:val="center"/>
                </w:tcPr>
                <w:p w14:paraId="00353283">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DA004</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固化、丙烷燃烧废气</w:t>
                  </w:r>
                </w:p>
              </w:tc>
              <w:tc>
                <w:tcPr>
                  <w:tcW w:w="483" w:type="pct"/>
                  <w:shd w:val="clear" w:color="auto" w:fill="auto"/>
                  <w:vAlign w:val="center"/>
                </w:tcPr>
                <w:p w14:paraId="13DF693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进口</w:t>
                  </w:r>
                </w:p>
              </w:tc>
              <w:tc>
                <w:tcPr>
                  <w:tcW w:w="913" w:type="pct"/>
                  <w:vAlign w:val="center"/>
                </w:tcPr>
                <w:p w14:paraId="7CD3269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二甲苯</w:t>
                  </w:r>
                </w:p>
              </w:tc>
              <w:tc>
                <w:tcPr>
                  <w:tcW w:w="570" w:type="pct"/>
                  <w:vMerge w:val="restart"/>
                  <w:vAlign w:val="center"/>
                </w:tcPr>
                <w:p w14:paraId="4B7D248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3批/天，2天</w:t>
                  </w:r>
                </w:p>
              </w:tc>
              <w:tc>
                <w:tcPr>
                  <w:tcW w:w="1705" w:type="pct"/>
                  <w:vAlign w:val="center"/>
                </w:tcPr>
                <w:p w14:paraId="1AEEB2F3">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p>
              </w:tc>
            </w:tr>
            <w:tr w14:paraId="528D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7279706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19BE4487">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restart"/>
                  <w:shd w:val="clear" w:color="auto" w:fill="auto"/>
                  <w:vAlign w:val="center"/>
                </w:tcPr>
                <w:p w14:paraId="13F4F608">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shd w:val="clear" w:color="auto" w:fill="auto"/>
                  <w:vAlign w:val="center"/>
                </w:tcPr>
                <w:p w14:paraId="37A2522A">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570" w:type="pct"/>
                  <w:vMerge w:val="continue"/>
                  <w:vAlign w:val="center"/>
                </w:tcPr>
                <w:p w14:paraId="270EC3F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2BA1F399">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329F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95" w:type="pct"/>
                  <w:vMerge w:val="continue"/>
                  <w:vAlign w:val="center"/>
                </w:tcPr>
                <w:p w14:paraId="00D6372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6BE67E18">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5C7769A9">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6B0DAEF7">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570" w:type="pct"/>
                  <w:vMerge w:val="continue"/>
                  <w:vAlign w:val="center"/>
                </w:tcPr>
                <w:p w14:paraId="271A85E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548061CF">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2CAE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6B0FFA23">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49EA918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729E0E2B">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3587A285">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氮氧化物</w:t>
                  </w:r>
                </w:p>
              </w:tc>
              <w:tc>
                <w:tcPr>
                  <w:tcW w:w="570" w:type="pct"/>
                  <w:vMerge w:val="continue"/>
                  <w:vAlign w:val="center"/>
                </w:tcPr>
                <w:p w14:paraId="2015694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0BBDC43F">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szCs w:val="28"/>
                      <w:lang w:val="en-US" w:eastAsia="zh-CN"/>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《工业炉窑大气污染综合治理方案》（环大气〔2019〕56号）</w:t>
                  </w:r>
                </w:p>
              </w:tc>
            </w:tr>
            <w:tr w14:paraId="7F9B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0004B180">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37DA78D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535B6E8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913" w:type="pct"/>
                  <w:shd w:val="clear" w:color="auto" w:fill="auto"/>
                  <w:vAlign w:val="center"/>
                </w:tcPr>
                <w:p w14:paraId="75AD273B">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二氧化硫</w:t>
                  </w:r>
                </w:p>
              </w:tc>
              <w:tc>
                <w:tcPr>
                  <w:tcW w:w="570" w:type="pct"/>
                  <w:vMerge w:val="continue"/>
                  <w:vAlign w:val="center"/>
                </w:tcPr>
                <w:p w14:paraId="0EC706F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0463B177">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szCs w:val="28"/>
                      <w:lang w:val="en-US" w:eastAsia="zh-CN"/>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《工业炉窑大气污染综合治理方案》（环大气〔2019〕56号）</w:t>
                  </w:r>
                </w:p>
              </w:tc>
            </w:tr>
            <w:tr w14:paraId="71AB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18093670">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347A267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4D21F9B8">
                  <w:pPr>
                    <w:keepNext w:val="0"/>
                    <w:keepLines w:val="0"/>
                    <w:pageBreakBefore w:val="0"/>
                    <w:widowControl/>
                    <w:kinsoku/>
                    <w:wordWrap/>
                    <w:overflowPunct/>
                    <w:topLinePunct w:val="0"/>
                    <w:autoSpaceDE/>
                    <w:autoSpaceDN/>
                    <w:bidi w:val="0"/>
                    <w:adjustRightInd w:val="0"/>
                    <w:snapToGrid w:val="0"/>
                    <w:ind w:right="0" w:firstLine="0"/>
                    <w:jc w:val="center"/>
                    <w:textAlignment w:val="auto"/>
                    <w:rPr>
                      <w:b/>
                      <w:color w:val="000000" w:themeColor="text1"/>
                      <w:szCs w:val="28"/>
                      <w14:textFill>
                        <w14:solidFill>
                          <w14:schemeClr w14:val="tx1"/>
                        </w14:solidFill>
                      </w14:textFill>
                    </w:rPr>
                  </w:pPr>
                </w:p>
              </w:tc>
              <w:tc>
                <w:tcPr>
                  <w:tcW w:w="913" w:type="pct"/>
                  <w:shd w:val="clear" w:color="auto" w:fill="auto"/>
                  <w:vAlign w:val="center"/>
                </w:tcPr>
                <w:p w14:paraId="2B75EFEC">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570" w:type="pct"/>
                  <w:vMerge w:val="continue"/>
                  <w:vAlign w:val="center"/>
                </w:tcPr>
                <w:p w14:paraId="6681EFA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21D48981">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大气污染物综合排放标准》（GB16297-1996)</w:t>
                  </w:r>
                </w:p>
              </w:tc>
            </w:tr>
            <w:tr w14:paraId="0EA0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6A1ECFA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32" w:type="pct"/>
                  <w:vAlign w:val="center"/>
                </w:tcPr>
                <w:p w14:paraId="3B12105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DA005</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检验补喷废气</w:t>
                  </w:r>
                </w:p>
              </w:tc>
              <w:tc>
                <w:tcPr>
                  <w:tcW w:w="483" w:type="pct"/>
                  <w:shd w:val="clear" w:color="auto" w:fill="auto"/>
                  <w:vAlign w:val="center"/>
                </w:tcPr>
                <w:p w14:paraId="3F08BF8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vAlign w:val="center"/>
                </w:tcPr>
                <w:p w14:paraId="4DA9730B">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570" w:type="pct"/>
                  <w:vAlign w:val="center"/>
                </w:tcPr>
                <w:p w14:paraId="78AF394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3批/天，2天</w:t>
                  </w:r>
                </w:p>
              </w:tc>
              <w:tc>
                <w:tcPr>
                  <w:tcW w:w="1705" w:type="pct"/>
                  <w:vAlign w:val="center"/>
                </w:tcPr>
                <w:p w14:paraId="753508D2">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color w:val="000000" w:themeColor="text1"/>
                      <w:szCs w:val="28"/>
                      <w14:textFill>
                        <w14:solidFill>
                          <w14:schemeClr w14:val="tx1"/>
                        </w14:solidFill>
                      </w14:textFill>
                    </w:rPr>
                  </w:pPr>
                  <w:r>
                    <w:rPr>
                      <w:color w:val="000000" w:themeColor="text1"/>
                      <w:szCs w:val="21"/>
                      <w14:textFill>
                        <w14:solidFill>
                          <w14:schemeClr w14:val="tx1"/>
                        </w14:solidFill>
                      </w14:textFill>
                    </w:rPr>
                    <w:t>大气污染物综合排放标准》（GB16297-1996)</w:t>
                  </w:r>
                </w:p>
              </w:tc>
            </w:tr>
            <w:tr w14:paraId="1ADA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vAlign w:val="center"/>
                </w:tcPr>
                <w:p w14:paraId="2F432352">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832" w:type="pct"/>
                  <w:vMerge w:val="restart"/>
                  <w:vAlign w:val="center"/>
                </w:tcPr>
                <w:p w14:paraId="3DAED60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DA006</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烘干、丙烷燃烧废气</w:t>
                  </w:r>
                </w:p>
              </w:tc>
              <w:tc>
                <w:tcPr>
                  <w:tcW w:w="483" w:type="pct"/>
                  <w:shd w:val="clear" w:color="auto" w:fill="auto"/>
                  <w:vAlign w:val="center"/>
                </w:tcPr>
                <w:p w14:paraId="7756CC0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进口</w:t>
                  </w:r>
                </w:p>
              </w:tc>
              <w:tc>
                <w:tcPr>
                  <w:tcW w:w="913" w:type="pct"/>
                  <w:vAlign w:val="center"/>
                </w:tcPr>
                <w:p w14:paraId="57DED6F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二甲苯</w:t>
                  </w:r>
                </w:p>
              </w:tc>
              <w:tc>
                <w:tcPr>
                  <w:tcW w:w="570" w:type="pct"/>
                  <w:vMerge w:val="restart"/>
                  <w:vAlign w:val="center"/>
                </w:tcPr>
                <w:p w14:paraId="1AE92C6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3批/天，2天</w:t>
                  </w:r>
                </w:p>
              </w:tc>
              <w:tc>
                <w:tcPr>
                  <w:tcW w:w="1705" w:type="pct"/>
                  <w:shd w:val="clear" w:color="auto" w:fill="auto"/>
                  <w:vAlign w:val="center"/>
                </w:tcPr>
                <w:p w14:paraId="7E5841A1">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p>
              </w:tc>
            </w:tr>
            <w:tr w14:paraId="0243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513C689F">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1586772D">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restart"/>
                  <w:shd w:val="clear" w:color="auto" w:fill="auto"/>
                  <w:vAlign w:val="center"/>
                </w:tcPr>
                <w:p w14:paraId="6296C3E6">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r>
                    <w:rPr>
                      <w:rFonts w:hint="eastAsia"/>
                      <w:b/>
                      <w:color w:val="000000" w:themeColor="text1"/>
                      <w:szCs w:val="28"/>
                      <w14:textFill>
                        <w14:solidFill>
                          <w14:schemeClr w14:val="tx1"/>
                        </w14:solidFill>
                      </w14:textFill>
                    </w:rPr>
                    <w:t>出口</w:t>
                  </w:r>
                </w:p>
              </w:tc>
              <w:tc>
                <w:tcPr>
                  <w:tcW w:w="913" w:type="pct"/>
                  <w:shd w:val="clear" w:color="auto" w:fill="auto"/>
                  <w:vAlign w:val="center"/>
                </w:tcPr>
                <w:p w14:paraId="4CE6447E">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570" w:type="pct"/>
                  <w:vMerge w:val="continue"/>
                  <w:vAlign w:val="center"/>
                </w:tcPr>
                <w:p w14:paraId="38DE6BD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47DCF22C">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2691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16BDB8F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169A98B0">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0159388E">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7AFE9E24">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570" w:type="pct"/>
                  <w:vMerge w:val="continue"/>
                  <w:vAlign w:val="center"/>
                </w:tcPr>
                <w:p w14:paraId="7625B276">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17122CDA">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3D9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5C40935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0FCC73A9">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62BCA8E7">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7DB896D1">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氮氧化物</w:t>
                  </w:r>
                </w:p>
              </w:tc>
              <w:tc>
                <w:tcPr>
                  <w:tcW w:w="570" w:type="pct"/>
                  <w:vMerge w:val="continue"/>
                  <w:vAlign w:val="center"/>
                </w:tcPr>
                <w:p w14:paraId="40ADBF04">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7A844F69">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8"/>
                      <w:lang w:val="en-US" w:eastAsia="zh-CN" w:bidi="ar-SA"/>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《工业炉窑大气污染综合治理方案》（环大气〔2019〕56号）</w:t>
                  </w:r>
                </w:p>
              </w:tc>
            </w:tr>
            <w:tr w14:paraId="4C0C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70EAD36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36E1D0CE">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75B80DEB">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38D11F18">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二氧化硫</w:t>
                  </w:r>
                </w:p>
              </w:tc>
              <w:tc>
                <w:tcPr>
                  <w:tcW w:w="570" w:type="pct"/>
                  <w:vMerge w:val="continue"/>
                  <w:vAlign w:val="center"/>
                </w:tcPr>
                <w:p w14:paraId="268E952A">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41A1A6D7">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8"/>
                      <w:lang w:val="en-US" w:eastAsia="zh-CN" w:bidi="ar-SA"/>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《工业炉窑大气污染综合治理方案》（环大气〔2019〕56号）</w:t>
                  </w:r>
                </w:p>
              </w:tc>
            </w:tr>
            <w:tr w14:paraId="4F72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vAlign w:val="center"/>
                </w:tcPr>
                <w:p w14:paraId="2CA9CB57">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832" w:type="pct"/>
                  <w:vMerge w:val="continue"/>
                  <w:vAlign w:val="center"/>
                </w:tcPr>
                <w:p w14:paraId="4AFCAD35">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483" w:type="pct"/>
                  <w:vMerge w:val="continue"/>
                  <w:shd w:val="clear" w:color="auto" w:fill="auto"/>
                  <w:vAlign w:val="center"/>
                </w:tcPr>
                <w:p w14:paraId="2879D6D1">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b/>
                      <w:color w:val="000000" w:themeColor="text1"/>
                      <w:szCs w:val="28"/>
                      <w14:textFill>
                        <w14:solidFill>
                          <w14:schemeClr w14:val="tx1"/>
                        </w14:solidFill>
                      </w14:textFill>
                    </w:rPr>
                  </w:pPr>
                </w:p>
              </w:tc>
              <w:tc>
                <w:tcPr>
                  <w:tcW w:w="913" w:type="pct"/>
                  <w:shd w:val="clear" w:color="auto" w:fill="auto"/>
                  <w:vAlign w:val="center"/>
                </w:tcPr>
                <w:p w14:paraId="35AAC7A0">
                  <w:pPr>
                    <w:keepNext w:val="0"/>
                    <w:keepLines w:val="0"/>
                    <w:pageBreakBefore w:val="0"/>
                    <w:widowControl/>
                    <w:kinsoku/>
                    <w:wordWrap/>
                    <w:overflowPunct/>
                    <w:topLinePunct w:val="0"/>
                    <w:autoSpaceDE/>
                    <w:autoSpaceDN/>
                    <w:bidi w:val="0"/>
                    <w:adjustRightInd w:val="0"/>
                    <w:snapToGrid w:val="0"/>
                    <w:ind w:right="0" w:firstLine="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570" w:type="pct"/>
                  <w:vMerge w:val="continue"/>
                  <w:vAlign w:val="center"/>
                </w:tcPr>
                <w:p w14:paraId="06818CEC">
                  <w:pPr>
                    <w:keepNext w:val="0"/>
                    <w:keepLines w:val="0"/>
                    <w:pageBreakBefore w:val="0"/>
                    <w:widowControl/>
                    <w:kinsoku/>
                    <w:wordWrap/>
                    <w:overflowPunct/>
                    <w:topLinePunct w:val="0"/>
                    <w:autoSpaceDE/>
                    <w:autoSpaceDN/>
                    <w:bidi w:val="0"/>
                    <w:adjustRightInd w:val="0"/>
                    <w:snapToGrid w:val="0"/>
                    <w:ind w:right="0" w:firstLine="0"/>
                    <w:jc w:val="center"/>
                    <w:textAlignment w:val="auto"/>
                    <w:rPr>
                      <w:color w:val="000000" w:themeColor="text1"/>
                      <w:szCs w:val="21"/>
                      <w14:textFill>
                        <w14:solidFill>
                          <w14:schemeClr w14:val="tx1"/>
                        </w14:solidFill>
                      </w14:textFill>
                    </w:rPr>
                  </w:pPr>
                </w:p>
              </w:tc>
              <w:tc>
                <w:tcPr>
                  <w:tcW w:w="1705" w:type="pct"/>
                  <w:shd w:val="clear" w:color="auto" w:fill="auto"/>
                  <w:vAlign w:val="center"/>
                </w:tcPr>
                <w:p w14:paraId="6318FC9B">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大气污染物综合排放标准》（GB16297-1996)</w:t>
                  </w:r>
                </w:p>
              </w:tc>
            </w:tr>
          </w:tbl>
          <w:p w14:paraId="053C939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rPr>
            </w:pPr>
            <w:r>
              <w:rPr>
                <w:rFonts w:hint="eastAsia"/>
                <w:sz w:val="24"/>
              </w:rPr>
              <w:t>(</w:t>
            </w:r>
            <w:r>
              <w:rPr>
                <w:sz w:val="24"/>
              </w:rPr>
              <w:t>2)</w:t>
            </w:r>
            <w:r>
              <w:rPr>
                <w:rFonts w:hint="eastAsia"/>
                <w:sz w:val="24"/>
              </w:rPr>
              <w:t>无组织废气监测</w:t>
            </w:r>
          </w:p>
          <w:p w14:paraId="7FF78855">
            <w:pPr>
              <w:widowControl w:val="0"/>
              <w:tabs>
                <w:tab w:val="left" w:pos="753"/>
              </w:tabs>
              <w:ind w:right="-172" w:firstLine="482"/>
              <w:jc w:val="center"/>
              <w:rPr>
                <w:b/>
                <w:sz w:val="24"/>
              </w:rPr>
            </w:pPr>
            <w:r>
              <w:rPr>
                <w:b/>
                <w:sz w:val="24"/>
              </w:rPr>
              <w:t>表</w:t>
            </w:r>
            <w:r>
              <w:rPr>
                <w:b/>
                <w:spacing w:val="-52"/>
                <w:sz w:val="24"/>
              </w:rPr>
              <w:t xml:space="preserve"> </w:t>
            </w:r>
            <w:r>
              <w:rPr>
                <w:b/>
                <w:sz w:val="24"/>
              </w:rPr>
              <w:t xml:space="preserve"> 6-3 无组织废气排放源监测点位、频次及监测因子一览表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752"/>
              <w:gridCol w:w="1759"/>
              <w:gridCol w:w="1254"/>
              <w:gridCol w:w="2824"/>
            </w:tblGrid>
            <w:tr w14:paraId="74D2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6361BB7">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废气检测</w:t>
                  </w:r>
                </w:p>
              </w:tc>
            </w:tr>
            <w:tr w14:paraId="6616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3B0736C5">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序号</w:t>
                  </w:r>
                </w:p>
              </w:tc>
              <w:tc>
                <w:tcPr>
                  <w:tcW w:w="2752" w:type="dxa"/>
                  <w:tcBorders>
                    <w:top w:val="single" w:color="auto" w:sz="4" w:space="0"/>
                    <w:left w:val="single" w:color="auto" w:sz="4" w:space="0"/>
                    <w:bottom w:val="single" w:color="auto" w:sz="4" w:space="0"/>
                    <w:right w:val="single" w:color="auto" w:sz="4" w:space="0"/>
                  </w:tcBorders>
                  <w:shd w:val="clear" w:color="auto" w:fill="auto"/>
                  <w:vAlign w:val="center"/>
                </w:tcPr>
                <w:p w14:paraId="1ECD0799">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检测点布置</w:t>
                  </w: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3AA93EDE">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检测项目</w:t>
                  </w:r>
                </w:p>
              </w:tc>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14:paraId="09DD8CAA">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检测时间</w:t>
                  </w:r>
                </w:p>
              </w:tc>
              <w:tc>
                <w:tcPr>
                  <w:tcW w:w="2824" w:type="dxa"/>
                  <w:tcBorders>
                    <w:top w:val="single" w:color="auto" w:sz="4" w:space="0"/>
                    <w:left w:val="single" w:color="auto" w:sz="4" w:space="0"/>
                    <w:bottom w:val="single" w:color="auto" w:sz="4" w:space="0"/>
                    <w:right w:val="single" w:color="auto" w:sz="4" w:space="0"/>
                  </w:tcBorders>
                  <w:shd w:val="clear" w:color="auto" w:fill="auto"/>
                  <w:vAlign w:val="center"/>
                </w:tcPr>
                <w:p w14:paraId="136A0A36">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
                      <w:szCs w:val="21"/>
                    </w:rPr>
                  </w:pPr>
                  <w:r>
                    <w:rPr>
                      <w:rFonts w:hint="eastAsia"/>
                      <w:b/>
                      <w:szCs w:val="21"/>
                    </w:rPr>
                    <w:t>执行标准</w:t>
                  </w:r>
                </w:p>
              </w:tc>
            </w:tr>
            <w:tr w14:paraId="5218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14:paraId="063E7991">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Cs/>
                      <w:szCs w:val="21"/>
                    </w:rPr>
                  </w:pPr>
                  <w:r>
                    <w:rPr>
                      <w:bCs/>
                      <w:szCs w:val="21"/>
                    </w:rPr>
                    <w:t>1</w:t>
                  </w:r>
                </w:p>
              </w:tc>
              <w:tc>
                <w:tcPr>
                  <w:tcW w:w="2752" w:type="dxa"/>
                  <w:vMerge w:val="restart"/>
                  <w:tcBorders>
                    <w:top w:val="single" w:color="auto" w:sz="4" w:space="0"/>
                    <w:left w:val="single" w:color="auto" w:sz="4" w:space="0"/>
                    <w:right w:val="single" w:color="auto" w:sz="4" w:space="0"/>
                  </w:tcBorders>
                  <w:shd w:val="clear" w:color="auto" w:fill="auto"/>
                  <w:vAlign w:val="center"/>
                </w:tcPr>
                <w:p w14:paraId="25CA5C69">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cs="宋体"/>
                      <w:szCs w:val="21"/>
                    </w:rPr>
                  </w:pPr>
                  <w:r>
                    <w:rPr>
                      <w:rFonts w:hint="eastAsia" w:ascii="宋体" w:hAnsi="宋体" w:cs="宋体"/>
                      <w:spacing w:val="-5"/>
                      <w:kern w:val="0"/>
                      <w:szCs w:val="21"/>
                      <w:lang w:bidi="ar"/>
                    </w:rPr>
                    <w:t>厂区东侧</w:t>
                  </w:r>
                  <w:r>
                    <w:rPr>
                      <w:spacing w:val="-5"/>
                      <w:kern w:val="0"/>
                      <w:szCs w:val="21"/>
                      <w:lang w:bidi="ar"/>
                    </w:rPr>
                    <w:t>1</w:t>
                  </w:r>
                  <w:r>
                    <w:rPr>
                      <w:rFonts w:hint="eastAsia" w:ascii="宋体" w:hAnsi="宋体" w:cs="宋体"/>
                      <w:spacing w:val="-5"/>
                      <w:kern w:val="0"/>
                      <w:szCs w:val="21"/>
                      <w:lang w:bidi="ar"/>
                    </w:rPr>
                    <w:t>○、厂区南侧</w:t>
                  </w:r>
                  <w:r>
                    <w:rPr>
                      <w:spacing w:val="-5"/>
                      <w:kern w:val="0"/>
                      <w:szCs w:val="21"/>
                      <w:lang w:bidi="ar"/>
                    </w:rPr>
                    <w:t>2</w:t>
                  </w:r>
                  <w:r>
                    <w:rPr>
                      <w:rFonts w:hint="eastAsia" w:ascii="宋体" w:hAnsi="宋体" w:cs="宋体"/>
                      <w:spacing w:val="-5"/>
                      <w:kern w:val="0"/>
                      <w:szCs w:val="21"/>
                      <w:lang w:bidi="ar"/>
                    </w:rPr>
                    <w:t>○、</w:t>
                  </w:r>
                </w:p>
                <w:p w14:paraId="5F47EC7A">
                  <w:pPr>
                    <w:keepNext w:val="0"/>
                    <w:keepLines w:val="0"/>
                    <w:pageBreakBefore w:val="0"/>
                    <w:widowControl w:val="0"/>
                    <w:kinsoku/>
                    <w:wordWrap/>
                    <w:overflowPunct/>
                    <w:topLinePunct w:val="0"/>
                    <w:autoSpaceDE/>
                    <w:autoSpaceDN/>
                    <w:bidi w:val="0"/>
                    <w:adjustRightInd/>
                    <w:snapToGrid/>
                    <w:ind w:right="0" w:firstLine="0"/>
                    <w:jc w:val="center"/>
                    <w:textAlignment w:val="auto"/>
                    <w:rPr>
                      <w:bCs/>
                      <w:szCs w:val="21"/>
                    </w:rPr>
                  </w:pPr>
                  <w:r>
                    <w:rPr>
                      <w:rFonts w:hint="eastAsia" w:ascii="宋体" w:hAnsi="宋体" w:cs="宋体"/>
                      <w:spacing w:val="-5"/>
                      <w:kern w:val="0"/>
                      <w:szCs w:val="21"/>
                      <w:lang w:bidi="ar"/>
                    </w:rPr>
                    <w:t>厂区西侧</w:t>
                  </w:r>
                  <w:r>
                    <w:rPr>
                      <w:spacing w:val="-5"/>
                      <w:kern w:val="0"/>
                      <w:szCs w:val="21"/>
                      <w:lang w:bidi="ar"/>
                    </w:rPr>
                    <w:t>3</w:t>
                  </w:r>
                  <w:r>
                    <w:rPr>
                      <w:rFonts w:hint="eastAsia" w:ascii="宋体" w:hAnsi="宋体" w:cs="宋体"/>
                      <w:spacing w:val="-5"/>
                      <w:kern w:val="0"/>
                      <w:szCs w:val="21"/>
                      <w:lang w:bidi="ar"/>
                    </w:rPr>
                    <w:t>○、厂区北侧</w:t>
                  </w:r>
                  <w:r>
                    <w:rPr>
                      <w:spacing w:val="-5"/>
                      <w:kern w:val="0"/>
                      <w:szCs w:val="21"/>
                      <w:lang w:bidi="ar"/>
                    </w:rPr>
                    <w:t>4</w:t>
                  </w:r>
                  <w:r>
                    <w:rPr>
                      <w:rFonts w:hint="eastAsia" w:ascii="宋体" w:hAnsi="宋体" w:cs="宋体"/>
                      <w:spacing w:val="-5"/>
                      <w:kern w:val="0"/>
                      <w:szCs w:val="21"/>
                      <w:lang w:bidi="ar"/>
                    </w:rPr>
                    <w:t>○</w:t>
                  </w:r>
                </w:p>
              </w:tc>
              <w:tc>
                <w:tcPr>
                  <w:tcW w:w="1759" w:type="dxa"/>
                  <w:tcBorders>
                    <w:top w:val="single" w:color="auto" w:sz="4" w:space="0"/>
                    <w:left w:val="single" w:color="auto" w:sz="4" w:space="0"/>
                    <w:right w:val="single" w:color="auto" w:sz="4" w:space="0"/>
                  </w:tcBorders>
                  <w:shd w:val="clear" w:color="auto" w:fill="auto"/>
                  <w:vAlign w:val="center"/>
                </w:tcPr>
                <w:p w14:paraId="6547F755">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eastAsia="宋体" w:cs="宋体"/>
                      <w:spacing w:val="-5"/>
                      <w:kern w:val="0"/>
                      <w:szCs w:val="21"/>
                      <w:lang w:val="en-US" w:eastAsia="zh-CN" w:bidi="ar"/>
                    </w:rPr>
                  </w:pPr>
                  <w:r>
                    <w:rPr>
                      <w:rFonts w:hint="eastAsia" w:ascii="宋体" w:hAnsi="宋体" w:eastAsia="宋体" w:cs="宋体"/>
                      <w:spacing w:val="-5"/>
                      <w:kern w:val="0"/>
                      <w:szCs w:val="21"/>
                      <w:lang w:bidi="ar"/>
                    </w:rPr>
                    <w:t>颗粒物</w:t>
                  </w:r>
                </w:p>
              </w:tc>
              <w:tc>
                <w:tcPr>
                  <w:tcW w:w="1254" w:type="dxa"/>
                  <w:vMerge w:val="restart"/>
                  <w:tcBorders>
                    <w:top w:val="single" w:color="auto" w:sz="4" w:space="0"/>
                    <w:left w:val="single" w:color="auto" w:sz="4" w:space="0"/>
                    <w:right w:val="single" w:color="auto" w:sz="4" w:space="0"/>
                  </w:tcBorders>
                  <w:shd w:val="clear" w:color="auto" w:fill="auto"/>
                  <w:vAlign w:val="center"/>
                </w:tcPr>
                <w:p w14:paraId="14E8711E">
                  <w:pPr>
                    <w:keepNext w:val="0"/>
                    <w:keepLines w:val="0"/>
                    <w:pageBreakBefore w:val="0"/>
                    <w:widowControl w:val="0"/>
                    <w:kinsoku/>
                    <w:wordWrap/>
                    <w:overflowPunct/>
                    <w:topLinePunct w:val="0"/>
                    <w:autoSpaceDE/>
                    <w:autoSpaceDN/>
                    <w:bidi w:val="0"/>
                    <w:adjustRightInd/>
                    <w:snapToGrid/>
                    <w:ind w:right="0" w:firstLine="0"/>
                    <w:jc w:val="center"/>
                    <w:textAlignment w:val="auto"/>
                    <w:rPr>
                      <w:bCs/>
                      <w:szCs w:val="21"/>
                    </w:rPr>
                  </w:pPr>
                  <w:r>
                    <w:rPr>
                      <w:spacing w:val="-5"/>
                      <w:kern w:val="0"/>
                      <w:szCs w:val="21"/>
                      <w:lang w:bidi="ar"/>
                    </w:rPr>
                    <w:t>4</w:t>
                  </w:r>
                  <w:r>
                    <w:rPr>
                      <w:rFonts w:hint="eastAsia" w:cs="宋体"/>
                      <w:spacing w:val="-5"/>
                      <w:kern w:val="0"/>
                      <w:szCs w:val="21"/>
                      <w:lang w:bidi="ar"/>
                    </w:rPr>
                    <w:t>批</w:t>
                  </w:r>
                  <w:r>
                    <w:rPr>
                      <w:spacing w:val="-5"/>
                      <w:kern w:val="0"/>
                      <w:szCs w:val="21"/>
                      <w:lang w:bidi="ar"/>
                    </w:rPr>
                    <w:t>/</w:t>
                  </w:r>
                  <w:r>
                    <w:rPr>
                      <w:rFonts w:hint="eastAsia" w:cs="宋体"/>
                      <w:spacing w:val="-5"/>
                      <w:kern w:val="0"/>
                      <w:szCs w:val="21"/>
                      <w:lang w:bidi="ar"/>
                    </w:rPr>
                    <w:t>天，连续监测</w:t>
                  </w:r>
                  <w:r>
                    <w:rPr>
                      <w:spacing w:val="-5"/>
                      <w:kern w:val="0"/>
                      <w:szCs w:val="21"/>
                      <w:lang w:bidi="ar"/>
                    </w:rPr>
                    <w:t>2</w:t>
                  </w:r>
                  <w:r>
                    <w:rPr>
                      <w:rFonts w:hint="eastAsia" w:cs="宋体"/>
                      <w:spacing w:val="-5"/>
                      <w:kern w:val="0"/>
                      <w:szCs w:val="21"/>
                      <w:lang w:bidi="ar"/>
                    </w:rPr>
                    <w:t>天</w:t>
                  </w:r>
                </w:p>
              </w:tc>
              <w:tc>
                <w:tcPr>
                  <w:tcW w:w="2824" w:type="dxa"/>
                  <w:tcBorders>
                    <w:top w:val="single" w:color="auto" w:sz="4" w:space="0"/>
                    <w:left w:val="single" w:color="auto" w:sz="4" w:space="0"/>
                    <w:bottom w:val="single" w:color="auto" w:sz="4" w:space="0"/>
                    <w:right w:val="single" w:color="auto" w:sz="4" w:space="0"/>
                  </w:tcBorders>
                  <w:shd w:val="clear" w:color="auto" w:fill="auto"/>
                  <w:vAlign w:val="center"/>
                </w:tcPr>
                <w:p w14:paraId="34483B54">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2A1D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27" w:type="dxa"/>
                  <w:vMerge w:val="continue"/>
                  <w:tcBorders>
                    <w:left w:val="single" w:color="auto" w:sz="4" w:space="0"/>
                    <w:right w:val="single" w:color="auto" w:sz="4" w:space="0"/>
                  </w:tcBorders>
                  <w:shd w:val="clear" w:color="auto" w:fill="auto"/>
                  <w:vAlign w:val="center"/>
                </w:tcPr>
                <w:p w14:paraId="1F1DD928">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Cs/>
                      <w:szCs w:val="21"/>
                    </w:rPr>
                  </w:pPr>
                </w:p>
              </w:tc>
              <w:tc>
                <w:tcPr>
                  <w:tcW w:w="2752" w:type="dxa"/>
                  <w:vMerge w:val="continue"/>
                  <w:tcBorders>
                    <w:left w:val="single" w:color="auto" w:sz="4" w:space="0"/>
                    <w:right w:val="single" w:color="auto" w:sz="4" w:space="0"/>
                  </w:tcBorders>
                  <w:shd w:val="clear" w:color="auto" w:fill="auto"/>
                  <w:vAlign w:val="center"/>
                </w:tcPr>
                <w:p w14:paraId="57208D86">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cs="宋体"/>
                      <w:spacing w:val="-5"/>
                      <w:kern w:val="0"/>
                      <w:szCs w:val="21"/>
                      <w:lang w:bidi="ar"/>
                    </w:rPr>
                  </w:pPr>
                </w:p>
              </w:tc>
              <w:tc>
                <w:tcPr>
                  <w:tcW w:w="1759" w:type="dxa"/>
                  <w:tcBorders>
                    <w:left w:val="single" w:color="auto" w:sz="4" w:space="0"/>
                    <w:bottom w:val="single" w:color="auto" w:sz="4" w:space="0"/>
                    <w:right w:val="single" w:color="auto" w:sz="4" w:space="0"/>
                  </w:tcBorders>
                  <w:shd w:val="clear" w:color="auto" w:fill="auto"/>
                  <w:vAlign w:val="center"/>
                </w:tcPr>
                <w:p w14:paraId="16E23E26">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eastAsia="宋体" w:cs="宋体"/>
                      <w:spacing w:val="-5"/>
                      <w:kern w:val="0"/>
                      <w:szCs w:val="21"/>
                      <w:lang w:val="en-US" w:eastAsia="zh-CN" w:bidi="ar"/>
                    </w:rPr>
                  </w:pPr>
                  <w:r>
                    <w:rPr>
                      <w:rFonts w:hint="eastAsia" w:ascii="宋体" w:hAnsi="宋体" w:eastAsia="宋体" w:cs="宋体"/>
                      <w:spacing w:val="-5"/>
                      <w:kern w:val="0"/>
                      <w:szCs w:val="21"/>
                      <w:lang w:val="en-US" w:eastAsia="zh-CN" w:bidi="ar"/>
                    </w:rPr>
                    <w:t>非甲烷总烃</w:t>
                  </w:r>
                </w:p>
              </w:tc>
              <w:tc>
                <w:tcPr>
                  <w:tcW w:w="1254" w:type="dxa"/>
                  <w:vMerge w:val="continue"/>
                  <w:tcBorders>
                    <w:left w:val="single" w:color="auto" w:sz="4" w:space="0"/>
                    <w:right w:val="single" w:color="auto" w:sz="4" w:space="0"/>
                  </w:tcBorders>
                  <w:shd w:val="clear" w:color="auto" w:fill="auto"/>
                  <w:vAlign w:val="center"/>
                </w:tcPr>
                <w:p w14:paraId="007703F0">
                  <w:pPr>
                    <w:keepNext w:val="0"/>
                    <w:keepLines w:val="0"/>
                    <w:pageBreakBefore w:val="0"/>
                    <w:widowControl w:val="0"/>
                    <w:kinsoku/>
                    <w:wordWrap/>
                    <w:overflowPunct/>
                    <w:topLinePunct w:val="0"/>
                    <w:autoSpaceDE/>
                    <w:autoSpaceDN/>
                    <w:bidi w:val="0"/>
                    <w:adjustRightInd/>
                    <w:snapToGrid/>
                    <w:ind w:right="0" w:firstLine="0"/>
                    <w:jc w:val="center"/>
                    <w:textAlignment w:val="auto"/>
                    <w:rPr>
                      <w:spacing w:val="-5"/>
                      <w:kern w:val="0"/>
                      <w:szCs w:val="21"/>
                      <w:lang w:bidi="ar"/>
                    </w:rPr>
                  </w:pPr>
                </w:p>
              </w:tc>
              <w:tc>
                <w:tcPr>
                  <w:tcW w:w="2824" w:type="dxa"/>
                  <w:tcBorders>
                    <w:top w:val="single" w:color="auto" w:sz="4" w:space="0"/>
                    <w:left w:val="single" w:color="auto" w:sz="4" w:space="0"/>
                    <w:bottom w:val="single" w:color="auto" w:sz="4" w:space="0"/>
                    <w:right w:val="single" w:color="auto" w:sz="4" w:space="0"/>
                  </w:tcBorders>
                  <w:shd w:val="clear" w:color="auto" w:fill="auto"/>
                  <w:vAlign w:val="center"/>
                </w:tcPr>
                <w:p w14:paraId="70DEB047">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r w14:paraId="7049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vMerge w:val="continue"/>
                  <w:tcBorders>
                    <w:left w:val="single" w:color="auto" w:sz="4" w:space="0"/>
                    <w:right w:val="single" w:color="auto" w:sz="4" w:space="0"/>
                  </w:tcBorders>
                  <w:shd w:val="clear" w:color="auto" w:fill="auto"/>
                  <w:vAlign w:val="center"/>
                </w:tcPr>
                <w:p w14:paraId="49BB3241">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Cs/>
                      <w:szCs w:val="21"/>
                    </w:rPr>
                  </w:pPr>
                </w:p>
              </w:tc>
              <w:tc>
                <w:tcPr>
                  <w:tcW w:w="2752" w:type="dxa"/>
                  <w:vMerge w:val="continue"/>
                  <w:tcBorders>
                    <w:left w:val="single" w:color="auto" w:sz="4" w:space="0"/>
                    <w:bottom w:val="single" w:color="auto" w:sz="4" w:space="0"/>
                    <w:right w:val="single" w:color="auto" w:sz="4" w:space="0"/>
                  </w:tcBorders>
                  <w:shd w:val="clear" w:color="auto" w:fill="auto"/>
                  <w:vAlign w:val="center"/>
                </w:tcPr>
                <w:p w14:paraId="2D83D0F7">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cs="宋体"/>
                      <w:spacing w:val="-5"/>
                      <w:kern w:val="0"/>
                      <w:szCs w:val="21"/>
                      <w:lang w:bidi="ar"/>
                    </w:rPr>
                  </w:pP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34F4560B">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eastAsia="宋体" w:cs="宋体"/>
                      <w:spacing w:val="-5"/>
                      <w:kern w:val="0"/>
                      <w:szCs w:val="21"/>
                      <w:lang w:val="en-US" w:eastAsia="zh-CN" w:bidi="ar"/>
                    </w:rPr>
                  </w:pPr>
                  <w:r>
                    <w:rPr>
                      <w:rFonts w:hint="default" w:ascii="宋体" w:hAnsi="宋体" w:eastAsia="宋体" w:cs="宋体"/>
                      <w:spacing w:val="-5"/>
                      <w:kern w:val="0"/>
                      <w:szCs w:val="21"/>
                      <w:lang w:val="en-US" w:eastAsia="zh-CN" w:bidi="ar"/>
                    </w:rPr>
                    <w:t>二甲苯</w:t>
                  </w:r>
                </w:p>
              </w:tc>
              <w:tc>
                <w:tcPr>
                  <w:tcW w:w="1254" w:type="dxa"/>
                  <w:vMerge w:val="continue"/>
                  <w:tcBorders>
                    <w:left w:val="single" w:color="auto" w:sz="4" w:space="0"/>
                    <w:right w:val="single" w:color="auto" w:sz="4" w:space="0"/>
                  </w:tcBorders>
                  <w:shd w:val="clear" w:color="auto" w:fill="auto"/>
                  <w:vAlign w:val="center"/>
                </w:tcPr>
                <w:p w14:paraId="1C95B452">
                  <w:pPr>
                    <w:keepNext w:val="0"/>
                    <w:keepLines w:val="0"/>
                    <w:pageBreakBefore w:val="0"/>
                    <w:widowControl w:val="0"/>
                    <w:kinsoku/>
                    <w:wordWrap/>
                    <w:overflowPunct/>
                    <w:topLinePunct w:val="0"/>
                    <w:autoSpaceDE/>
                    <w:autoSpaceDN/>
                    <w:bidi w:val="0"/>
                    <w:adjustRightInd/>
                    <w:snapToGrid/>
                    <w:ind w:right="0" w:firstLine="0"/>
                    <w:jc w:val="center"/>
                    <w:textAlignment w:val="auto"/>
                    <w:rPr>
                      <w:spacing w:val="-5"/>
                      <w:kern w:val="0"/>
                      <w:szCs w:val="21"/>
                      <w:lang w:bidi="ar"/>
                    </w:rPr>
                  </w:pPr>
                </w:p>
              </w:tc>
              <w:tc>
                <w:tcPr>
                  <w:tcW w:w="2824" w:type="dxa"/>
                  <w:tcBorders>
                    <w:top w:val="single" w:color="auto" w:sz="4" w:space="0"/>
                    <w:left w:val="single" w:color="auto" w:sz="4" w:space="0"/>
                    <w:bottom w:val="single" w:color="auto" w:sz="4" w:space="0"/>
                    <w:right w:val="single" w:color="auto" w:sz="4" w:space="0"/>
                  </w:tcBorders>
                  <w:shd w:val="clear" w:color="auto" w:fill="auto"/>
                  <w:vAlign w:val="center"/>
                </w:tcPr>
                <w:p w14:paraId="36337CD7">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大气污染物综合排放标准》（GB16297-1996)</w:t>
                  </w:r>
                </w:p>
              </w:tc>
            </w:tr>
            <w:tr w14:paraId="1A54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tcBorders>
                    <w:left w:val="single" w:color="auto" w:sz="4" w:space="0"/>
                    <w:right w:val="single" w:color="auto" w:sz="4" w:space="0"/>
                  </w:tcBorders>
                  <w:shd w:val="clear" w:color="auto" w:fill="auto"/>
                  <w:vAlign w:val="center"/>
                </w:tcPr>
                <w:p w14:paraId="3DEF5707">
                  <w:pPr>
                    <w:keepNext w:val="0"/>
                    <w:keepLines w:val="0"/>
                    <w:pageBreakBefore w:val="0"/>
                    <w:widowControl w:val="0"/>
                    <w:tabs>
                      <w:tab w:val="left" w:pos="753"/>
                    </w:tabs>
                    <w:kinsoku/>
                    <w:wordWrap/>
                    <w:overflowPunct/>
                    <w:topLinePunct w:val="0"/>
                    <w:autoSpaceDE/>
                    <w:autoSpaceDN/>
                    <w:bidi w:val="0"/>
                    <w:adjustRightInd/>
                    <w:snapToGrid/>
                    <w:ind w:right="0" w:firstLine="0"/>
                    <w:jc w:val="center"/>
                    <w:textAlignment w:val="auto"/>
                    <w:rPr>
                      <w:bCs/>
                      <w:szCs w:val="21"/>
                    </w:rPr>
                  </w:pPr>
                  <w:r>
                    <w:rPr>
                      <w:rFonts w:hint="eastAsia"/>
                      <w:bCs/>
                      <w:szCs w:val="21"/>
                    </w:rPr>
                    <w:t>2</w:t>
                  </w:r>
                </w:p>
              </w:tc>
              <w:tc>
                <w:tcPr>
                  <w:tcW w:w="2752" w:type="dxa"/>
                  <w:tcBorders>
                    <w:top w:val="single" w:color="auto" w:sz="4" w:space="0"/>
                    <w:left w:val="single" w:color="auto" w:sz="4" w:space="0"/>
                    <w:right w:val="single" w:color="auto" w:sz="4" w:space="0"/>
                  </w:tcBorders>
                  <w:shd w:val="clear" w:color="auto" w:fill="auto"/>
                  <w:vAlign w:val="center"/>
                </w:tcPr>
                <w:p w14:paraId="21EA8CA0">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hint="eastAsia" w:ascii="宋体" w:hAnsi="宋体" w:cs="宋体"/>
                      <w:spacing w:val="-5"/>
                      <w:kern w:val="0"/>
                      <w:szCs w:val="21"/>
                      <w:lang w:bidi="ar"/>
                    </w:rPr>
                  </w:pPr>
                  <w:r>
                    <w:rPr>
                      <w:rFonts w:hint="eastAsia" w:ascii="宋体" w:hAnsi="宋体" w:cs="宋体"/>
                      <w:spacing w:val="-5"/>
                      <w:kern w:val="0"/>
                      <w:szCs w:val="21"/>
                      <w:lang w:bidi="ar"/>
                    </w:rPr>
                    <w:t>厂区内</w:t>
                  </w:r>
                  <w:r>
                    <w:rPr>
                      <w:rFonts w:hint="eastAsia"/>
                      <w:spacing w:val="-5"/>
                      <w:kern w:val="0"/>
                      <w:szCs w:val="21"/>
                      <w:lang w:bidi="ar"/>
                    </w:rPr>
                    <w:t>5</w:t>
                  </w:r>
                  <w:r>
                    <w:rPr>
                      <w:rFonts w:hint="eastAsia" w:ascii="宋体" w:hAnsi="宋体" w:cs="宋体"/>
                      <w:spacing w:val="-5"/>
                      <w:kern w:val="0"/>
                      <w:szCs w:val="21"/>
                      <w:lang w:bidi="ar"/>
                    </w:rPr>
                    <w:t>○</w:t>
                  </w: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3E218AE0">
                  <w:pPr>
                    <w:keepNext w:val="0"/>
                    <w:keepLines w:val="0"/>
                    <w:pageBreakBefore w:val="0"/>
                    <w:widowControl w:val="0"/>
                    <w:kinsoku/>
                    <w:wordWrap/>
                    <w:overflowPunct/>
                    <w:topLinePunct w:val="0"/>
                    <w:autoSpaceDE/>
                    <w:autoSpaceDN/>
                    <w:bidi w:val="0"/>
                    <w:adjustRightInd/>
                    <w:snapToGrid/>
                    <w:ind w:right="0" w:firstLine="0"/>
                    <w:jc w:val="center"/>
                    <w:textAlignment w:val="auto"/>
                    <w:rPr>
                      <w:rFonts w:cs="宋体"/>
                      <w:spacing w:val="-5"/>
                      <w:kern w:val="0"/>
                      <w:szCs w:val="21"/>
                      <w:lang w:bidi="ar"/>
                    </w:rPr>
                  </w:pPr>
                  <w:r>
                    <w:rPr>
                      <w:rFonts w:hint="eastAsia" w:cs="宋体"/>
                      <w:spacing w:val="-5"/>
                      <w:kern w:val="0"/>
                      <w:szCs w:val="21"/>
                      <w:lang w:val="en-US" w:eastAsia="zh-CN" w:bidi="ar"/>
                    </w:rPr>
                    <w:t>非甲烷总烃</w:t>
                  </w:r>
                </w:p>
              </w:tc>
              <w:tc>
                <w:tcPr>
                  <w:tcW w:w="1254" w:type="dxa"/>
                  <w:tcBorders>
                    <w:left w:val="single" w:color="auto" w:sz="4" w:space="0"/>
                    <w:right w:val="single" w:color="auto" w:sz="4" w:space="0"/>
                  </w:tcBorders>
                  <w:shd w:val="clear" w:color="auto" w:fill="auto"/>
                  <w:vAlign w:val="center"/>
                </w:tcPr>
                <w:p w14:paraId="27D9886C">
                  <w:pPr>
                    <w:keepNext w:val="0"/>
                    <w:keepLines w:val="0"/>
                    <w:pageBreakBefore w:val="0"/>
                    <w:widowControl w:val="0"/>
                    <w:kinsoku/>
                    <w:wordWrap/>
                    <w:overflowPunct/>
                    <w:topLinePunct w:val="0"/>
                    <w:autoSpaceDE/>
                    <w:autoSpaceDN/>
                    <w:bidi w:val="0"/>
                    <w:adjustRightInd/>
                    <w:snapToGrid/>
                    <w:ind w:right="0" w:firstLine="0"/>
                    <w:jc w:val="center"/>
                    <w:textAlignment w:val="auto"/>
                    <w:rPr>
                      <w:spacing w:val="-5"/>
                      <w:kern w:val="0"/>
                      <w:szCs w:val="21"/>
                      <w:lang w:bidi="ar"/>
                    </w:rPr>
                  </w:pPr>
                  <w:r>
                    <w:rPr>
                      <w:spacing w:val="-5"/>
                      <w:kern w:val="0"/>
                      <w:szCs w:val="21"/>
                      <w:lang w:bidi="ar"/>
                    </w:rPr>
                    <w:t>4</w:t>
                  </w:r>
                  <w:r>
                    <w:rPr>
                      <w:rFonts w:hint="eastAsia"/>
                      <w:spacing w:val="-5"/>
                      <w:kern w:val="0"/>
                      <w:szCs w:val="21"/>
                      <w:lang w:bidi="ar"/>
                    </w:rPr>
                    <w:t>批</w:t>
                  </w:r>
                  <w:r>
                    <w:rPr>
                      <w:spacing w:val="-5"/>
                      <w:kern w:val="0"/>
                      <w:szCs w:val="21"/>
                      <w:lang w:bidi="ar"/>
                    </w:rPr>
                    <w:t>/</w:t>
                  </w:r>
                  <w:r>
                    <w:rPr>
                      <w:rFonts w:hint="eastAsia"/>
                      <w:spacing w:val="-5"/>
                      <w:kern w:val="0"/>
                      <w:szCs w:val="21"/>
                      <w:lang w:bidi="ar"/>
                    </w:rPr>
                    <w:t>天，连续监测</w:t>
                  </w:r>
                  <w:r>
                    <w:rPr>
                      <w:spacing w:val="-5"/>
                      <w:kern w:val="0"/>
                      <w:szCs w:val="21"/>
                      <w:lang w:bidi="ar"/>
                    </w:rPr>
                    <w:t>2</w:t>
                  </w:r>
                  <w:r>
                    <w:rPr>
                      <w:rFonts w:hint="eastAsia"/>
                      <w:spacing w:val="-5"/>
                      <w:kern w:val="0"/>
                      <w:szCs w:val="21"/>
                      <w:lang w:bidi="ar"/>
                    </w:rPr>
                    <w:t>天</w:t>
                  </w:r>
                </w:p>
              </w:tc>
              <w:tc>
                <w:tcPr>
                  <w:tcW w:w="2824" w:type="dxa"/>
                  <w:tcBorders>
                    <w:top w:val="single" w:color="auto" w:sz="4" w:space="0"/>
                    <w:left w:val="single" w:color="auto" w:sz="4" w:space="0"/>
                    <w:bottom w:val="single" w:color="auto" w:sz="4" w:space="0"/>
                    <w:right w:val="single" w:color="auto" w:sz="4" w:space="0"/>
                  </w:tcBorders>
                  <w:shd w:val="clear" w:color="auto" w:fill="auto"/>
                  <w:vAlign w:val="center"/>
                </w:tcPr>
                <w:p w14:paraId="5F5350ED">
                  <w:pPr>
                    <w:keepNext w:val="0"/>
                    <w:keepLines w:val="0"/>
                    <w:pageBreakBefore w:val="0"/>
                    <w:widowControl/>
                    <w:kinsoku/>
                    <w:wordWrap/>
                    <w:overflowPunct/>
                    <w:topLinePunct w:val="0"/>
                    <w:autoSpaceDE/>
                    <w:autoSpaceDN/>
                    <w:bidi w:val="0"/>
                    <w:adjustRightInd w:val="0"/>
                    <w:snapToGrid w:val="0"/>
                    <w:ind w:right="0" w:rightChars="0" w:firstLine="0" w:firstLineChars="0"/>
                    <w:jc w:val="center"/>
                    <w:textAlignment w:val="auto"/>
                    <w:rPr>
                      <w:spacing w:val="-5"/>
                      <w:kern w:val="0"/>
                      <w:szCs w:val="21"/>
                      <w:lang w:bidi="ar"/>
                    </w:rPr>
                  </w:pPr>
                  <w:r>
                    <w:rPr>
                      <w:rFonts w:hint="eastAsia" w:ascii="Times New Roman" w:hAnsi="Times New Roman" w:eastAsia="宋体" w:cs="Times New Roman"/>
                      <w:color w:val="000000" w:themeColor="text1"/>
                      <w:szCs w:val="28"/>
                      <w14:textFill>
                        <w14:solidFill>
                          <w14:schemeClr w14:val="tx1"/>
                        </w14:solidFill>
                      </w14:textFill>
                    </w:rPr>
                    <w:t>《固定源挥发性有机物综合排放标准 第6部分：其他行业》（DB34 4812.6-2024)</w:t>
                  </w:r>
                </w:p>
              </w:tc>
            </w:tr>
          </w:tbl>
          <w:p w14:paraId="18737283">
            <w:pPr>
              <w:widowControl w:val="0"/>
              <w:autoSpaceDE w:val="0"/>
              <w:autoSpaceDN w:val="0"/>
              <w:spacing w:line="360" w:lineRule="auto"/>
              <w:ind w:right="-172" w:firstLine="482" w:firstLineChars="200"/>
              <w:rPr>
                <w:b/>
                <w:bCs/>
                <w:kern w:val="0"/>
                <w:sz w:val="24"/>
              </w:rPr>
            </w:pPr>
            <w:r>
              <w:rPr>
                <w:b/>
                <w:bCs/>
                <w:kern w:val="0"/>
                <w:sz w:val="24"/>
              </w:rPr>
              <w:t>3、</w:t>
            </w:r>
            <w:r>
              <w:rPr>
                <w:rFonts w:hint="eastAsia"/>
                <w:b/>
                <w:bCs/>
                <w:kern w:val="0"/>
                <w:sz w:val="24"/>
              </w:rPr>
              <w:t>噪声</w:t>
            </w:r>
            <w:r>
              <w:rPr>
                <w:b/>
                <w:bCs/>
                <w:kern w:val="0"/>
                <w:sz w:val="24"/>
              </w:rPr>
              <w:t>监测</w:t>
            </w:r>
          </w:p>
          <w:p w14:paraId="1FFCD9BE">
            <w:pPr>
              <w:pStyle w:val="11"/>
              <w:adjustRightInd w:val="0"/>
              <w:snapToGrid w:val="0"/>
              <w:spacing w:line="360" w:lineRule="auto"/>
              <w:ind w:right="-172" w:firstLine="480" w:firstLineChars="200"/>
              <w:jc w:val="both"/>
              <w:rPr>
                <w:rFonts w:ascii="Times New Roman" w:hAnsi="Times New Roman" w:cs="Times New Roman"/>
              </w:rPr>
            </w:pPr>
            <w:r>
              <w:rPr>
                <w:rFonts w:ascii="Times New Roman" w:hAnsi="Times New Roman" w:cs="Times New Roman"/>
              </w:rPr>
              <w:t>本项目厂界噪声监测点位、项目、频次见表6-4。</w:t>
            </w:r>
          </w:p>
          <w:p w14:paraId="423A12CF">
            <w:pPr>
              <w:widowControl w:val="0"/>
              <w:ind w:right="-172" w:firstLine="482"/>
              <w:jc w:val="center"/>
              <w:rPr>
                <w:sz w:val="24"/>
              </w:rPr>
            </w:pPr>
            <w:r>
              <w:rPr>
                <w:b/>
                <w:sz w:val="24"/>
              </w:rPr>
              <w:t>表</w:t>
            </w:r>
            <w:r>
              <w:rPr>
                <w:b/>
                <w:spacing w:val="-52"/>
                <w:sz w:val="24"/>
              </w:rPr>
              <w:t xml:space="preserve"> </w:t>
            </w:r>
            <w:r>
              <w:rPr>
                <w:b/>
                <w:sz w:val="24"/>
              </w:rPr>
              <w:t xml:space="preserve"> 6-4 厂界噪声监测点位、项目、频次一览</w:t>
            </w:r>
            <w:r>
              <w:rPr>
                <w:rFonts w:hint="eastAsia"/>
                <w:b/>
                <w:sz w:val="24"/>
              </w:rPr>
              <w:t>表</w:t>
            </w:r>
          </w:p>
          <w:tbl>
            <w:tblPr>
              <w:tblStyle w:val="26"/>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31"/>
              <w:gridCol w:w="1093"/>
              <w:gridCol w:w="3375"/>
              <w:gridCol w:w="2259"/>
            </w:tblGrid>
            <w:tr w14:paraId="4884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8F05F4C">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 w:val="24"/>
                    </w:rPr>
                  </w:pPr>
                  <w:r>
                    <w:rPr>
                      <w:rFonts w:hint="eastAsia"/>
                      <w:b/>
                      <w:bCs/>
                      <w:szCs w:val="21"/>
                    </w:rPr>
                    <w:t>噪声检测</w:t>
                  </w:r>
                </w:p>
              </w:tc>
            </w:tr>
            <w:tr w14:paraId="7563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D7A1F1">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Cs w:val="21"/>
                    </w:rPr>
                  </w:pPr>
                  <w:r>
                    <w:rPr>
                      <w:rFonts w:hint="eastAsia"/>
                      <w:b/>
                      <w:bCs/>
                      <w:szCs w:val="21"/>
                    </w:rPr>
                    <w:t>序号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36C5E6F">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Cs w:val="21"/>
                    </w:rPr>
                  </w:pPr>
                  <w:r>
                    <w:rPr>
                      <w:rFonts w:hint="eastAsia"/>
                      <w:b/>
                      <w:bCs/>
                      <w:szCs w:val="21"/>
                    </w:rPr>
                    <w:t>地点</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6FB7E5">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Cs w:val="21"/>
                    </w:rPr>
                  </w:pPr>
                  <w:r>
                    <w:rPr>
                      <w:rFonts w:hint="eastAsia"/>
                      <w:b/>
                      <w:bCs/>
                      <w:szCs w:val="21"/>
                    </w:rPr>
                    <w:t>噪声类别</w:t>
                  </w:r>
                </w:p>
              </w:tc>
              <w:tc>
                <w:tcPr>
                  <w:tcW w:w="3272" w:type="dxa"/>
                  <w:tcBorders>
                    <w:top w:val="single" w:color="auto" w:sz="4" w:space="0"/>
                    <w:left w:val="single" w:color="auto" w:sz="4" w:space="0"/>
                    <w:bottom w:val="single" w:color="auto" w:sz="4" w:space="0"/>
                    <w:right w:val="single" w:color="auto" w:sz="4" w:space="0"/>
                  </w:tcBorders>
                  <w:shd w:val="clear" w:color="auto" w:fill="auto"/>
                  <w:vAlign w:val="center"/>
                </w:tcPr>
                <w:p w14:paraId="1BEE9181">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Cs w:val="21"/>
                    </w:rPr>
                  </w:pPr>
                  <w:r>
                    <w:rPr>
                      <w:rFonts w:hint="eastAsia"/>
                      <w:b/>
                      <w:bCs/>
                      <w:szCs w:val="21"/>
                    </w:rPr>
                    <w:t>频次</w:t>
                  </w:r>
                </w:p>
              </w:tc>
              <w:tc>
                <w:tcPr>
                  <w:tcW w:w="2190" w:type="dxa"/>
                  <w:tcBorders>
                    <w:top w:val="single" w:color="auto" w:sz="4" w:space="0"/>
                    <w:left w:val="single" w:color="auto" w:sz="4" w:space="0"/>
                    <w:bottom w:val="single" w:color="auto" w:sz="4" w:space="0"/>
                    <w:right w:val="single" w:color="auto" w:sz="4" w:space="0"/>
                  </w:tcBorders>
                  <w:shd w:val="clear" w:color="auto" w:fill="auto"/>
                  <w:vAlign w:val="center"/>
                </w:tcPr>
                <w:p w14:paraId="2A50B604">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b/>
                      <w:bCs/>
                      <w:szCs w:val="21"/>
                    </w:rPr>
                  </w:pPr>
                  <w:r>
                    <w:rPr>
                      <w:rFonts w:hint="eastAsia"/>
                      <w:b/>
                      <w:bCs/>
                      <w:szCs w:val="21"/>
                    </w:rPr>
                    <w:t>执行标准</w:t>
                  </w:r>
                </w:p>
              </w:tc>
            </w:tr>
            <w:tr w14:paraId="05D3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476E234">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D09046">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项目区东侧</w:t>
                  </w:r>
                  <w:r>
                    <w:rPr>
                      <w:szCs w:val="21"/>
                    </w:rPr>
                    <w:t>1</w:t>
                  </w:r>
                  <w:r>
                    <w:rPr>
                      <w:rFonts w:hint="eastAsia"/>
                      <w:szCs w:val="21"/>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3BADC9">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厂界噪声</w:t>
                  </w:r>
                </w:p>
              </w:tc>
              <w:tc>
                <w:tcPr>
                  <w:tcW w:w="3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86E87D">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昼夜各一次，</w:t>
                  </w:r>
                  <w:r>
                    <w:rPr>
                      <w:szCs w:val="21"/>
                    </w:rPr>
                    <w:t>1</w:t>
                  </w:r>
                  <w:r>
                    <w:rPr>
                      <w:rFonts w:hint="eastAsia"/>
                      <w:szCs w:val="21"/>
                    </w:rPr>
                    <w:t>次</w:t>
                  </w:r>
                  <w:r>
                    <w:rPr>
                      <w:szCs w:val="21"/>
                    </w:rPr>
                    <w:t>/</w:t>
                  </w:r>
                  <w:r>
                    <w:rPr>
                      <w:rFonts w:hint="eastAsia"/>
                      <w:szCs w:val="21"/>
                    </w:rPr>
                    <w:t>天，连续监测</w:t>
                  </w:r>
                  <w:r>
                    <w:rPr>
                      <w:szCs w:val="21"/>
                    </w:rPr>
                    <w:t>2</w:t>
                  </w:r>
                  <w:r>
                    <w:rPr>
                      <w:rFonts w:hint="eastAsia"/>
                      <w:szCs w:val="21"/>
                    </w:rPr>
                    <w:t>天</w:t>
                  </w:r>
                </w:p>
              </w:tc>
              <w:tc>
                <w:tcPr>
                  <w:tcW w:w="2190" w:type="dxa"/>
                  <w:vMerge w:val="restart"/>
                  <w:tcBorders>
                    <w:top w:val="single" w:color="auto" w:sz="4" w:space="0"/>
                    <w:left w:val="single" w:color="auto" w:sz="4" w:space="0"/>
                    <w:right w:val="single" w:color="auto" w:sz="4" w:space="0"/>
                  </w:tcBorders>
                  <w:shd w:val="clear" w:color="auto" w:fill="auto"/>
                  <w:vAlign w:val="center"/>
                </w:tcPr>
                <w:p w14:paraId="4591CF8A">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《工业企业厂界环境噪声排放标准》（GB12348-2008）</w:t>
                  </w:r>
                </w:p>
              </w:tc>
            </w:tr>
            <w:tr w14:paraId="49F9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41DD222">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71338BF">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项目区南侧</w:t>
                  </w:r>
                  <w:r>
                    <w:rPr>
                      <w:szCs w:val="21"/>
                    </w:rPr>
                    <w:t>2</w:t>
                  </w:r>
                  <w:r>
                    <w:rPr>
                      <w:rFonts w:hint="eastAsia"/>
                      <w:szCs w:val="21"/>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774BB6C">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厂界噪声</w:t>
                  </w:r>
                </w:p>
              </w:tc>
              <w:tc>
                <w:tcPr>
                  <w:tcW w:w="3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46F560">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c>
                <w:tcPr>
                  <w:tcW w:w="2190" w:type="dxa"/>
                  <w:vMerge w:val="continue"/>
                  <w:tcBorders>
                    <w:left w:val="single" w:color="auto" w:sz="4" w:space="0"/>
                    <w:right w:val="single" w:color="auto" w:sz="4" w:space="0"/>
                  </w:tcBorders>
                  <w:shd w:val="clear" w:color="auto" w:fill="auto"/>
                  <w:vAlign w:val="center"/>
                </w:tcPr>
                <w:p w14:paraId="7140473A">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r>
            <w:tr w14:paraId="655E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4CA4C0">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15911CC">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项目区西侧</w:t>
                  </w:r>
                  <w:r>
                    <w:rPr>
                      <w:szCs w:val="21"/>
                    </w:rPr>
                    <w:t>3</w:t>
                  </w:r>
                  <w:r>
                    <w:rPr>
                      <w:rFonts w:hint="eastAsia"/>
                      <w:szCs w:val="21"/>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10C93DB">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厂界噪声</w:t>
                  </w:r>
                </w:p>
              </w:tc>
              <w:tc>
                <w:tcPr>
                  <w:tcW w:w="3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9113BF">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c>
                <w:tcPr>
                  <w:tcW w:w="2190" w:type="dxa"/>
                  <w:vMerge w:val="continue"/>
                  <w:tcBorders>
                    <w:left w:val="single" w:color="auto" w:sz="4" w:space="0"/>
                    <w:right w:val="single" w:color="auto" w:sz="4" w:space="0"/>
                  </w:tcBorders>
                  <w:shd w:val="clear" w:color="auto" w:fill="auto"/>
                  <w:vAlign w:val="center"/>
                </w:tcPr>
                <w:p w14:paraId="6AAF6265">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r>
            <w:tr w14:paraId="241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ED1EB3D">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63A829D">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项目区北侧</w:t>
                  </w:r>
                  <w:r>
                    <w:rPr>
                      <w:szCs w:val="21"/>
                    </w:rPr>
                    <w:t>4</w:t>
                  </w:r>
                  <w:r>
                    <w:rPr>
                      <w:rFonts w:hint="eastAsia"/>
                      <w:szCs w:val="21"/>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DB199D4">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Cs w:val="21"/>
                    </w:rPr>
                  </w:pPr>
                  <w:r>
                    <w:rPr>
                      <w:rFonts w:hint="eastAsia"/>
                      <w:szCs w:val="21"/>
                    </w:rPr>
                    <w:t>厂界噪声</w:t>
                  </w:r>
                </w:p>
              </w:tc>
              <w:tc>
                <w:tcPr>
                  <w:tcW w:w="3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6716DC">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c>
                <w:tcPr>
                  <w:tcW w:w="2190" w:type="dxa"/>
                  <w:vMerge w:val="continue"/>
                  <w:tcBorders>
                    <w:left w:val="single" w:color="auto" w:sz="4" w:space="0"/>
                    <w:bottom w:val="single" w:color="auto" w:sz="4" w:space="0"/>
                    <w:right w:val="single" w:color="auto" w:sz="4" w:space="0"/>
                  </w:tcBorders>
                  <w:shd w:val="clear" w:color="auto" w:fill="auto"/>
                  <w:vAlign w:val="center"/>
                </w:tcPr>
                <w:p w14:paraId="2AE4BC48">
                  <w:pPr>
                    <w:keepNext w:val="0"/>
                    <w:keepLines w:val="0"/>
                    <w:pageBreakBefore w:val="0"/>
                    <w:widowControl w:val="0"/>
                    <w:kinsoku/>
                    <w:wordWrap/>
                    <w:overflowPunct/>
                    <w:topLinePunct w:val="0"/>
                    <w:autoSpaceDE w:val="0"/>
                    <w:autoSpaceDN w:val="0"/>
                    <w:bidi w:val="0"/>
                    <w:adjustRightInd w:val="0"/>
                    <w:snapToGrid w:val="0"/>
                    <w:ind w:right="0" w:firstLine="0"/>
                    <w:jc w:val="center"/>
                    <w:textAlignment w:val="auto"/>
                    <w:rPr>
                      <w:sz w:val="24"/>
                    </w:rPr>
                  </w:pPr>
                </w:p>
              </w:tc>
            </w:tr>
          </w:tbl>
          <w:p w14:paraId="42D81868">
            <w:pPr>
              <w:widowControl w:val="0"/>
              <w:autoSpaceDE w:val="0"/>
              <w:autoSpaceDN w:val="0"/>
              <w:adjustRightInd w:val="0"/>
              <w:snapToGrid w:val="0"/>
              <w:ind w:right="-172" w:firstLine="480"/>
              <w:rPr>
                <w:sz w:val="24"/>
              </w:rPr>
            </w:pPr>
          </w:p>
        </w:tc>
      </w:tr>
    </w:tbl>
    <w:p w14:paraId="43B96F0F">
      <w:pPr>
        <w:bidi w:val="0"/>
        <w:rPr>
          <w:rFonts w:hint="eastAsia"/>
        </w:rPr>
      </w:pPr>
      <w:bookmarkStart w:id="14" w:name="_Toc7332"/>
    </w:p>
    <w:p w14:paraId="362DF6D7">
      <w:pPr>
        <w:pStyle w:val="2"/>
        <w:rPr>
          <w:rFonts w:hint="eastAsia"/>
        </w:rPr>
      </w:pPr>
    </w:p>
    <w:p w14:paraId="7CFE088F">
      <w:pPr>
        <w:pStyle w:val="3"/>
        <w:rPr>
          <w:rFonts w:hint="eastAsia"/>
        </w:rPr>
      </w:pPr>
    </w:p>
    <w:p w14:paraId="5F0112C9">
      <w:pPr>
        <w:rPr>
          <w:rFonts w:hint="eastAsia"/>
        </w:rPr>
      </w:pPr>
    </w:p>
    <w:p w14:paraId="2E69CD19">
      <w:pPr>
        <w:pStyle w:val="2"/>
        <w:rPr>
          <w:rFonts w:hint="eastAsia"/>
        </w:rPr>
      </w:pPr>
    </w:p>
    <w:p w14:paraId="3905237F">
      <w:pPr>
        <w:pStyle w:val="3"/>
        <w:rPr>
          <w:rFonts w:hint="eastAsia"/>
        </w:rPr>
      </w:pPr>
    </w:p>
    <w:p w14:paraId="36542BB8">
      <w:pPr>
        <w:rPr>
          <w:rFonts w:hint="eastAsia"/>
        </w:rPr>
      </w:pPr>
    </w:p>
    <w:p w14:paraId="628FE461">
      <w:pPr>
        <w:pStyle w:val="2"/>
        <w:rPr>
          <w:rFonts w:hint="eastAsia"/>
        </w:rPr>
      </w:pPr>
    </w:p>
    <w:p w14:paraId="1206F3E9">
      <w:pPr>
        <w:pStyle w:val="3"/>
        <w:rPr>
          <w:rFonts w:hint="eastAsia"/>
        </w:rPr>
      </w:pPr>
    </w:p>
    <w:p w14:paraId="3641EE67">
      <w:pPr>
        <w:rPr>
          <w:rFonts w:hint="eastAsia"/>
        </w:rPr>
      </w:pPr>
    </w:p>
    <w:p w14:paraId="75E06AA5">
      <w:pPr>
        <w:pStyle w:val="2"/>
        <w:rPr>
          <w:rFonts w:hint="eastAsia"/>
        </w:rPr>
      </w:pPr>
    </w:p>
    <w:p w14:paraId="0053B017">
      <w:pPr>
        <w:pStyle w:val="3"/>
        <w:rPr>
          <w:rFonts w:hint="eastAsia"/>
        </w:rPr>
      </w:pPr>
    </w:p>
    <w:p w14:paraId="550E630D">
      <w:pPr>
        <w:rPr>
          <w:rFonts w:hint="eastAsia"/>
        </w:rPr>
      </w:pPr>
    </w:p>
    <w:p w14:paraId="349C862B">
      <w:pPr>
        <w:pStyle w:val="2"/>
        <w:rPr>
          <w:rFonts w:hint="eastAsia"/>
        </w:rPr>
      </w:pPr>
    </w:p>
    <w:p w14:paraId="0DD1ECD2">
      <w:pPr>
        <w:pStyle w:val="3"/>
        <w:rPr>
          <w:rFonts w:hint="eastAsia"/>
        </w:rPr>
      </w:pPr>
    </w:p>
    <w:p w14:paraId="2F5FF6C4">
      <w:pPr>
        <w:rPr>
          <w:rFonts w:hint="eastAsia"/>
        </w:rPr>
      </w:pPr>
    </w:p>
    <w:p w14:paraId="2C810DC8">
      <w:pPr>
        <w:pStyle w:val="2"/>
        <w:rPr>
          <w:rFonts w:hint="eastAsia"/>
        </w:rPr>
      </w:pPr>
    </w:p>
    <w:p w14:paraId="5913922D">
      <w:pPr>
        <w:pStyle w:val="3"/>
        <w:rPr>
          <w:rFonts w:hint="eastAsia"/>
        </w:rPr>
      </w:pPr>
    </w:p>
    <w:p w14:paraId="05EDB905">
      <w:pPr>
        <w:rPr>
          <w:rFonts w:hint="eastAsia"/>
        </w:rPr>
      </w:pPr>
    </w:p>
    <w:p w14:paraId="172B13BC">
      <w:pPr>
        <w:pStyle w:val="2"/>
        <w:rPr>
          <w:rFonts w:hint="eastAsia"/>
        </w:rPr>
      </w:pPr>
    </w:p>
    <w:p w14:paraId="605EC021">
      <w:pPr>
        <w:pStyle w:val="3"/>
        <w:rPr>
          <w:rFonts w:hint="eastAsia"/>
        </w:rPr>
      </w:pPr>
    </w:p>
    <w:p w14:paraId="70D378A9">
      <w:pPr>
        <w:rPr>
          <w:rFonts w:hint="eastAsia"/>
        </w:rPr>
      </w:pPr>
    </w:p>
    <w:p w14:paraId="5C0AD087">
      <w:pPr>
        <w:pStyle w:val="2"/>
        <w:rPr>
          <w:rFonts w:hint="eastAsia"/>
        </w:rPr>
      </w:pPr>
    </w:p>
    <w:p w14:paraId="25683E57">
      <w:pPr>
        <w:pStyle w:val="3"/>
        <w:rPr>
          <w:rFonts w:hint="eastAsia"/>
        </w:rPr>
      </w:pPr>
    </w:p>
    <w:p w14:paraId="39107834">
      <w:pPr>
        <w:rPr>
          <w:rFonts w:hint="eastAsia"/>
        </w:rPr>
      </w:pPr>
    </w:p>
    <w:p w14:paraId="1B3EA5F6">
      <w:pPr>
        <w:pStyle w:val="4"/>
        <w:ind w:right="-172" w:firstLine="562"/>
        <w:rPr>
          <w:sz w:val="28"/>
          <w:szCs w:val="13"/>
        </w:rPr>
      </w:pPr>
      <w:r>
        <w:rPr>
          <w:rFonts w:hint="eastAsia"/>
          <w:sz w:val="28"/>
          <w:szCs w:val="13"/>
        </w:rPr>
        <w:t>表七</w:t>
      </w:r>
      <w:bookmarkEnd w:id="14"/>
    </w:p>
    <w:tbl>
      <w:tblPr>
        <w:tblStyle w:val="26"/>
        <w:tblpPr w:leftFromText="180" w:rightFromText="180" w:vertAnchor="text" w:tblpXSpec="center" w:tblpY="1"/>
        <w:tblOverlap w:val="never"/>
        <w:tblW w:w="9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6"/>
      </w:tblGrid>
      <w:tr w14:paraId="5425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96" w:type="dxa"/>
          </w:tcPr>
          <w:p w14:paraId="4D718CEF">
            <w:pPr>
              <w:pStyle w:val="11"/>
              <w:keepNext w:val="0"/>
              <w:keepLines w:val="0"/>
              <w:pageBreakBefore w:val="0"/>
              <w:kinsoku/>
              <w:wordWrap/>
              <w:overflowPunct/>
              <w:topLinePunct w:val="0"/>
              <w:bidi w:val="0"/>
              <w:adjustRightInd w:val="0"/>
              <w:snapToGrid w:val="0"/>
              <w:spacing w:line="360" w:lineRule="auto"/>
              <w:ind w:right="0" w:firstLine="482"/>
              <w:jc w:val="both"/>
              <w:textAlignment w:val="auto"/>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验收监测期间生产工况记录</w:t>
            </w:r>
          </w:p>
          <w:p w14:paraId="18387A01">
            <w:pPr>
              <w:keepNext w:val="0"/>
              <w:keepLines w:val="0"/>
              <w:pageBreakBefore w:val="0"/>
              <w:widowControl w:val="0"/>
              <w:kinsoku/>
              <w:wordWrap/>
              <w:overflowPunct/>
              <w:topLinePunct w:val="0"/>
              <w:bidi w:val="0"/>
              <w:spacing w:line="360" w:lineRule="auto"/>
              <w:ind w:right="0"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验收监测期间生产工况：宣城兴旺达精密科技有限公司</w:t>
            </w:r>
            <w:r>
              <w:rPr>
                <w:rFonts w:hint="eastAsia"/>
                <w:color w:val="000000" w:themeColor="text1"/>
                <w:sz w:val="24"/>
                <w:szCs w:val="24"/>
                <w:lang w:eastAsia="zh-CN"/>
                <w14:textFill>
                  <w14:solidFill>
                    <w14:schemeClr w14:val="tx1"/>
                  </w14:solidFill>
                </w14:textFill>
              </w:rPr>
              <w:t>年产400万件新能源汽车电池零部件项目</w:t>
            </w:r>
            <w:r>
              <w:rPr>
                <w:rFonts w:hint="eastAsia"/>
                <w:color w:val="000000" w:themeColor="text1"/>
                <w:sz w:val="24"/>
                <w:szCs w:val="24"/>
                <w14:textFill>
                  <w14:solidFill>
                    <w14:schemeClr w14:val="tx1"/>
                  </w14:solidFill>
                </w14:textFill>
              </w:rPr>
              <w:t>环境保护验收现场监测工作于2024年</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日-</w:t>
            </w:r>
            <w:r>
              <w:rPr>
                <w:rFonts w:hint="eastAsia"/>
                <w:color w:val="000000" w:themeColor="text1"/>
                <w:sz w:val="24"/>
                <w:szCs w:val="24"/>
                <w:lang w:val="en-US" w:eastAsia="zh-CN"/>
                <w14:textFill>
                  <w14:solidFill>
                    <w14:schemeClr w14:val="tx1"/>
                  </w14:solidFill>
                </w14:textFill>
              </w:rPr>
              <w:t>11</w:t>
            </w:r>
            <w:r>
              <w:rPr>
                <w:rFonts w:hint="eastAsia"/>
                <w:color w:val="000000" w:themeColor="text1"/>
                <w:sz w:val="24"/>
                <w:szCs w:val="24"/>
                <w14:textFill>
                  <w14:solidFill>
                    <w14:schemeClr w14:val="tx1"/>
                  </w14:solidFill>
                </w14:textFill>
              </w:rPr>
              <w:t>日进行。根据有关规定，为保证监测结果能正确反映企业正常生产时污染物实际排放状况，监测期间对企业的生产负荷进行现场核查，核查结果工况稳定，环保设施运行正常，满足环保验收监测要求。</w:t>
            </w:r>
          </w:p>
          <w:p w14:paraId="49AD2F49">
            <w:pPr>
              <w:keepNext w:val="0"/>
              <w:keepLines w:val="0"/>
              <w:pageBreakBefore w:val="0"/>
              <w:widowControl w:val="0"/>
              <w:kinsoku/>
              <w:wordWrap/>
              <w:overflowPunct/>
              <w:topLinePunct w:val="0"/>
              <w:bidi w:val="0"/>
              <w:ind w:right="0" w:firstLine="482"/>
              <w:jc w:val="center"/>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 7</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生产工况一览表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1558"/>
              <w:gridCol w:w="1413"/>
              <w:gridCol w:w="1454"/>
              <w:gridCol w:w="1262"/>
              <w:gridCol w:w="1262"/>
            </w:tblGrid>
            <w:tr w14:paraId="3AF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vMerge w:val="restart"/>
                  <w:vAlign w:val="center"/>
                </w:tcPr>
                <w:p w14:paraId="13FBE2D5">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产品名称</w:t>
                  </w:r>
                </w:p>
              </w:tc>
              <w:tc>
                <w:tcPr>
                  <w:tcW w:w="859" w:type="pct"/>
                  <w:vMerge w:val="restart"/>
                  <w:vAlign w:val="center"/>
                </w:tcPr>
                <w:p w14:paraId="4139BAA7">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设计生产能力</w:t>
                  </w:r>
                </w:p>
              </w:tc>
              <w:tc>
                <w:tcPr>
                  <w:tcW w:w="779" w:type="pct"/>
                  <w:vMerge w:val="restart"/>
                  <w:vAlign w:val="center"/>
                </w:tcPr>
                <w:p w14:paraId="5EBA7820">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年运行时间</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天）</w:t>
                  </w:r>
                </w:p>
              </w:tc>
              <w:tc>
                <w:tcPr>
                  <w:tcW w:w="801" w:type="pct"/>
                  <w:vMerge w:val="restart"/>
                  <w:vAlign w:val="center"/>
                </w:tcPr>
                <w:p w14:paraId="329F4D33">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环评设计日生产能力（</w:t>
                  </w:r>
                  <w:r>
                    <w:rPr>
                      <w:rFonts w:hint="eastAsia"/>
                      <w:b/>
                      <w:bCs/>
                      <w:color w:val="000000" w:themeColor="text1"/>
                      <w:lang w:val="en-US" w:eastAsia="zh-CN"/>
                      <w14:textFill>
                        <w14:solidFill>
                          <w14:schemeClr w14:val="tx1"/>
                        </w14:solidFill>
                      </w14:textFill>
                    </w:rPr>
                    <w:t>万件</w:t>
                  </w:r>
                  <w:r>
                    <w:rPr>
                      <w:rFonts w:hint="eastAsia"/>
                      <w:b/>
                      <w:bCs/>
                      <w:color w:val="000000" w:themeColor="text1"/>
                      <w14:textFill>
                        <w14:solidFill>
                          <w14:schemeClr w14:val="tx1"/>
                        </w14:solidFill>
                      </w14:textFill>
                    </w:rPr>
                    <w:t>/天）</w:t>
                  </w:r>
                </w:p>
              </w:tc>
              <w:tc>
                <w:tcPr>
                  <w:tcW w:w="1392" w:type="pct"/>
                  <w:gridSpan w:val="2"/>
                  <w:vAlign w:val="center"/>
                </w:tcPr>
                <w:p w14:paraId="60BD75BB">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验收监测期间工况（吨/天）</w:t>
                  </w:r>
                </w:p>
              </w:tc>
            </w:tr>
            <w:tr w14:paraId="0628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vMerge w:val="continue"/>
                </w:tcPr>
                <w:p w14:paraId="2CFD3182">
                  <w:pPr>
                    <w:pStyle w:val="24"/>
                    <w:keepNext w:val="0"/>
                    <w:keepLines w:val="0"/>
                    <w:pageBreakBefore w:val="0"/>
                    <w:widowControl/>
                    <w:kinsoku/>
                    <w:wordWrap/>
                    <w:overflowPunct/>
                    <w:topLinePunct w:val="0"/>
                    <w:autoSpaceDE/>
                    <w:autoSpaceDN/>
                    <w:bidi w:val="0"/>
                    <w:spacing w:after="0"/>
                    <w:ind w:left="0" w:leftChars="0" w:right="0" w:firstLine="0" w:firstLineChars="0"/>
                    <w:textAlignment w:val="auto"/>
                    <w:rPr>
                      <w:color w:val="000000" w:themeColor="text1"/>
                      <w14:textFill>
                        <w14:solidFill>
                          <w14:schemeClr w14:val="tx1"/>
                        </w14:solidFill>
                      </w14:textFill>
                    </w:rPr>
                  </w:pPr>
                </w:p>
              </w:tc>
              <w:tc>
                <w:tcPr>
                  <w:tcW w:w="859" w:type="pct"/>
                  <w:vMerge w:val="continue"/>
                </w:tcPr>
                <w:p w14:paraId="08610958">
                  <w:pPr>
                    <w:pStyle w:val="24"/>
                    <w:keepNext w:val="0"/>
                    <w:keepLines w:val="0"/>
                    <w:pageBreakBefore w:val="0"/>
                    <w:widowControl/>
                    <w:kinsoku/>
                    <w:wordWrap/>
                    <w:overflowPunct/>
                    <w:topLinePunct w:val="0"/>
                    <w:autoSpaceDE/>
                    <w:autoSpaceDN/>
                    <w:bidi w:val="0"/>
                    <w:spacing w:after="0"/>
                    <w:ind w:left="0" w:leftChars="0" w:right="0" w:firstLine="0" w:firstLineChars="0"/>
                    <w:textAlignment w:val="auto"/>
                    <w:rPr>
                      <w:color w:val="000000" w:themeColor="text1"/>
                      <w14:textFill>
                        <w14:solidFill>
                          <w14:schemeClr w14:val="tx1"/>
                        </w14:solidFill>
                      </w14:textFill>
                    </w:rPr>
                  </w:pPr>
                </w:p>
              </w:tc>
              <w:tc>
                <w:tcPr>
                  <w:tcW w:w="779" w:type="pct"/>
                  <w:vMerge w:val="continue"/>
                </w:tcPr>
                <w:p w14:paraId="0DB02287">
                  <w:pPr>
                    <w:pStyle w:val="24"/>
                    <w:keepNext w:val="0"/>
                    <w:keepLines w:val="0"/>
                    <w:pageBreakBefore w:val="0"/>
                    <w:widowControl/>
                    <w:kinsoku/>
                    <w:wordWrap/>
                    <w:overflowPunct/>
                    <w:topLinePunct w:val="0"/>
                    <w:autoSpaceDE/>
                    <w:autoSpaceDN/>
                    <w:bidi w:val="0"/>
                    <w:spacing w:after="0"/>
                    <w:ind w:left="0" w:leftChars="0" w:right="0" w:firstLine="0" w:firstLineChars="0"/>
                    <w:textAlignment w:val="auto"/>
                    <w:rPr>
                      <w:color w:val="000000" w:themeColor="text1"/>
                      <w14:textFill>
                        <w14:solidFill>
                          <w14:schemeClr w14:val="tx1"/>
                        </w14:solidFill>
                      </w14:textFill>
                    </w:rPr>
                  </w:pPr>
                </w:p>
              </w:tc>
              <w:tc>
                <w:tcPr>
                  <w:tcW w:w="801" w:type="pct"/>
                  <w:vMerge w:val="continue"/>
                </w:tcPr>
                <w:p w14:paraId="3929594E">
                  <w:pPr>
                    <w:pStyle w:val="24"/>
                    <w:keepNext w:val="0"/>
                    <w:keepLines w:val="0"/>
                    <w:pageBreakBefore w:val="0"/>
                    <w:widowControl/>
                    <w:kinsoku/>
                    <w:wordWrap/>
                    <w:overflowPunct/>
                    <w:topLinePunct w:val="0"/>
                    <w:autoSpaceDE/>
                    <w:autoSpaceDN/>
                    <w:bidi w:val="0"/>
                    <w:spacing w:after="0"/>
                    <w:ind w:left="0" w:leftChars="0" w:right="0" w:firstLine="0" w:firstLineChars="0"/>
                    <w:textAlignment w:val="auto"/>
                    <w:rPr>
                      <w:color w:val="000000" w:themeColor="text1"/>
                      <w14:textFill>
                        <w14:solidFill>
                          <w14:schemeClr w14:val="tx1"/>
                        </w14:solidFill>
                      </w14:textFill>
                    </w:rPr>
                  </w:pPr>
                </w:p>
              </w:tc>
              <w:tc>
                <w:tcPr>
                  <w:tcW w:w="696" w:type="pct"/>
                  <w:vAlign w:val="center"/>
                </w:tcPr>
                <w:p w14:paraId="0253CB06">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2024.</w:t>
                  </w:r>
                  <w:r>
                    <w:rPr>
                      <w:rFonts w:hint="eastAsia"/>
                      <w:color w:val="000000" w:themeColor="text1"/>
                      <w:lang w:val="en-US" w:eastAsia="zh-CN"/>
                      <w14:textFill>
                        <w14:solidFill>
                          <w14:schemeClr w14:val="tx1"/>
                        </w14:solidFill>
                      </w14:textFill>
                    </w:rPr>
                    <w:t>10.10</w:t>
                  </w:r>
                </w:p>
              </w:tc>
              <w:tc>
                <w:tcPr>
                  <w:tcW w:w="696" w:type="pct"/>
                  <w:vAlign w:val="center"/>
                </w:tcPr>
                <w:p w14:paraId="63A055CE">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2024.</w:t>
                  </w:r>
                  <w:r>
                    <w:rPr>
                      <w:rFonts w:hint="eastAsia"/>
                      <w:color w:val="000000" w:themeColor="text1"/>
                      <w:lang w:val="en-US" w:eastAsia="zh-CN"/>
                      <w14:textFill>
                        <w14:solidFill>
                          <w14:schemeClr w14:val="tx1"/>
                        </w14:solidFill>
                      </w14:textFill>
                    </w:rPr>
                    <w:t>10.11</w:t>
                  </w:r>
                </w:p>
              </w:tc>
            </w:tr>
            <w:tr w14:paraId="3DD1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shd w:val="clear" w:color="auto" w:fill="auto"/>
                  <w:vAlign w:val="center"/>
                </w:tcPr>
                <w:p w14:paraId="65794C57">
                  <w:pPr>
                    <w:pStyle w:val="14"/>
                    <w:widowControl w:val="0"/>
                    <w:adjustRightInd w:val="0"/>
                    <w:snapToGrid w:val="0"/>
                    <w:spacing w:after="0" w:line="240" w:lineRule="auto"/>
                    <w:ind w:left="0" w:leftChars="0"/>
                    <w:jc w:val="center"/>
                    <w:rPr>
                      <w:rFonts w:hint="default" w:ascii="Times New Roman" w:hAnsi="Times New Roman" w:eastAsia="宋体" w:cs="Times New Roman"/>
                      <w:bCs/>
                      <w:kern w:val="2"/>
                      <w:sz w:val="21"/>
                      <w:lang w:val="en-US" w:eastAsia="zh-CN" w:bidi="ar-SA"/>
                    </w:rPr>
                  </w:pPr>
                  <w:r>
                    <w:rPr>
                      <w:rFonts w:ascii="Times New Roman" w:hAnsi="Times New Roman" w:cs="Times New Roman"/>
                    </w:rPr>
                    <w:t>背板</w:t>
                  </w:r>
                </w:p>
              </w:tc>
              <w:tc>
                <w:tcPr>
                  <w:tcW w:w="859" w:type="pct"/>
                  <w:shd w:val="clear" w:color="auto" w:fill="auto"/>
                  <w:vAlign w:val="center"/>
                </w:tcPr>
                <w:p w14:paraId="79728835">
                  <w:pPr>
                    <w:pStyle w:val="14"/>
                    <w:widowControl w:val="0"/>
                    <w:adjustRightInd w:val="0"/>
                    <w:snapToGrid w:val="0"/>
                    <w:spacing w:after="0" w:line="240" w:lineRule="auto"/>
                    <w:ind w:left="0" w:leftChars="0"/>
                    <w:jc w:val="center"/>
                    <w:rPr>
                      <w:rFonts w:hint="default" w:ascii="Times New Roman" w:hAnsi="Times New Roman" w:eastAsia="宋体" w:cs="Times New Roman"/>
                      <w:bCs/>
                      <w:kern w:val="2"/>
                      <w:sz w:val="21"/>
                      <w:lang w:val="en-US" w:eastAsia="zh-CN" w:bidi="ar-SA"/>
                    </w:rPr>
                  </w:pPr>
                  <w:r>
                    <w:rPr>
                      <w:rFonts w:ascii="Times New Roman" w:hAnsi="Times New Roman" w:cs="Times New Roman"/>
                      <w:bCs/>
                    </w:rPr>
                    <w:t>100万件/年</w:t>
                  </w:r>
                </w:p>
              </w:tc>
              <w:tc>
                <w:tcPr>
                  <w:tcW w:w="779" w:type="pct"/>
                  <w:shd w:val="clear" w:color="auto" w:fill="auto"/>
                  <w:vAlign w:val="center"/>
                </w:tcPr>
                <w:p w14:paraId="39E05AF5">
                  <w:pPr>
                    <w:pStyle w:val="55"/>
                    <w:keepNext w:val="0"/>
                    <w:keepLines w:val="0"/>
                    <w:pageBreakBefore w:val="0"/>
                    <w:widowControl w:val="0"/>
                    <w:kinsoku/>
                    <w:wordWrap/>
                    <w:overflowPunct/>
                    <w:topLinePunct w:val="0"/>
                    <w:autoSpaceDE/>
                    <w:autoSpaceDN/>
                    <w:bidi w:val="0"/>
                    <w:ind w:right="0" w:firstLine="0"/>
                    <w:textAlignment w:val="auto"/>
                    <w:rPr>
                      <w:rFonts w:hint="default" w:eastAsia="宋体"/>
                      <w:lang w:val="en-US" w:eastAsia="zh-CN"/>
                    </w:rPr>
                  </w:pPr>
                  <w:r>
                    <w:rPr>
                      <w:rFonts w:hint="eastAsia"/>
                      <w:lang w:val="en-US" w:eastAsia="zh-CN"/>
                    </w:rPr>
                    <w:t>300</w:t>
                  </w:r>
                </w:p>
              </w:tc>
              <w:tc>
                <w:tcPr>
                  <w:tcW w:w="801" w:type="pct"/>
                  <w:shd w:val="clear" w:color="auto" w:fill="auto"/>
                  <w:vAlign w:val="center"/>
                </w:tcPr>
                <w:p w14:paraId="6F0E2CA9">
                  <w:pPr>
                    <w:pStyle w:val="55"/>
                    <w:keepNext w:val="0"/>
                    <w:keepLines w:val="0"/>
                    <w:pageBreakBefore w:val="0"/>
                    <w:widowControl w:val="0"/>
                    <w:kinsoku/>
                    <w:wordWrap/>
                    <w:overflowPunct/>
                    <w:topLinePunct w:val="0"/>
                    <w:autoSpaceDE/>
                    <w:autoSpaceDN/>
                    <w:bidi w:val="0"/>
                    <w:ind w:right="0" w:firstLine="0"/>
                    <w:textAlignment w:val="auto"/>
                    <w:rPr>
                      <w:rFonts w:hint="default" w:eastAsia="宋体"/>
                      <w:lang w:val="en-US" w:eastAsia="zh-CN"/>
                    </w:rPr>
                  </w:pPr>
                  <w:r>
                    <w:rPr>
                      <w:lang w:val="en-US"/>
                    </w:rPr>
                    <w:t>0</w:t>
                  </w:r>
                  <w:r>
                    <w:rPr>
                      <w:rFonts w:hint="eastAsia"/>
                      <w:lang w:val="en-US" w:eastAsia="zh-CN"/>
                    </w:rPr>
                    <w:t>.33</w:t>
                  </w:r>
                </w:p>
              </w:tc>
              <w:tc>
                <w:tcPr>
                  <w:tcW w:w="696" w:type="pct"/>
                  <w:vAlign w:val="center"/>
                </w:tcPr>
                <w:p w14:paraId="0DD4506D">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0.30</w:t>
                  </w:r>
                </w:p>
              </w:tc>
              <w:tc>
                <w:tcPr>
                  <w:tcW w:w="696" w:type="pct"/>
                  <w:shd w:val="clear" w:color="auto" w:fill="auto"/>
                  <w:vAlign w:val="center"/>
                </w:tcPr>
                <w:p w14:paraId="251E10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4308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shd w:val="clear" w:color="auto" w:fill="auto"/>
                  <w:vAlign w:val="center"/>
                </w:tcPr>
                <w:p w14:paraId="3202905C">
                  <w:pPr>
                    <w:pStyle w:val="14"/>
                    <w:widowControl w:val="0"/>
                    <w:adjustRightInd w:val="0"/>
                    <w:snapToGrid w:val="0"/>
                    <w:spacing w:after="0" w:line="240" w:lineRule="auto"/>
                    <w:ind w:left="0" w:leftChars="0"/>
                    <w:jc w:val="center"/>
                    <w:rPr>
                      <w:rFonts w:hint="default" w:ascii="Times New Roman" w:hAnsi="Times New Roman" w:eastAsia="宋体" w:cs="Times New Roman"/>
                      <w:bCs/>
                      <w:kern w:val="2"/>
                      <w:sz w:val="21"/>
                      <w:lang w:val="en-US" w:eastAsia="zh-CN" w:bidi="ar-SA"/>
                    </w:rPr>
                  </w:pPr>
                  <w:r>
                    <w:rPr>
                      <w:rFonts w:ascii="Times New Roman" w:hAnsi="Times New Roman" w:cs="Times New Roman"/>
                    </w:rPr>
                    <w:t>连杆</w:t>
                  </w:r>
                </w:p>
              </w:tc>
              <w:tc>
                <w:tcPr>
                  <w:tcW w:w="859" w:type="pct"/>
                  <w:shd w:val="clear" w:color="auto" w:fill="auto"/>
                  <w:vAlign w:val="center"/>
                </w:tcPr>
                <w:p w14:paraId="2768E5B3">
                  <w:pPr>
                    <w:widowControl w:val="0"/>
                    <w:adjustRightInd w:val="0"/>
                    <w:snapToGrid w:val="0"/>
                    <w:jc w:val="center"/>
                    <w:rPr>
                      <w:rFonts w:hint="default" w:ascii="Times New Roman" w:hAnsi="Times New Roman" w:eastAsia="宋体" w:cs="Times New Roman"/>
                      <w:kern w:val="2"/>
                      <w:sz w:val="21"/>
                      <w:lang w:val="en-US" w:eastAsia="zh-CN" w:bidi="ar-SA"/>
                    </w:rPr>
                  </w:pPr>
                  <w:r>
                    <w:rPr>
                      <w:rFonts w:ascii="Times New Roman" w:hAnsi="Times New Roman" w:cs="Times New Roman"/>
                      <w:bCs/>
                    </w:rPr>
                    <w:t>100万件/年</w:t>
                  </w:r>
                </w:p>
              </w:tc>
              <w:tc>
                <w:tcPr>
                  <w:tcW w:w="779" w:type="pct"/>
                  <w:shd w:val="clear" w:color="auto" w:fill="auto"/>
                  <w:vAlign w:val="center"/>
                </w:tcPr>
                <w:p w14:paraId="7E40DA6B">
                  <w:pPr>
                    <w:pStyle w:val="55"/>
                    <w:keepNext w:val="0"/>
                    <w:keepLines w:val="0"/>
                    <w:pageBreakBefore w:val="0"/>
                    <w:widowControl w:val="0"/>
                    <w:kinsoku/>
                    <w:wordWrap/>
                    <w:overflowPunct/>
                    <w:topLinePunct w:val="0"/>
                    <w:autoSpaceDE/>
                    <w:autoSpaceDN/>
                    <w:bidi w:val="0"/>
                    <w:ind w:right="0" w:firstLine="0"/>
                    <w:textAlignment w:val="auto"/>
                    <w:rPr>
                      <w:rFonts w:hint="default" w:eastAsia="宋体"/>
                      <w:lang w:val="en-US" w:eastAsia="zh-CN"/>
                    </w:rPr>
                  </w:pPr>
                  <w:r>
                    <w:rPr>
                      <w:rFonts w:hint="eastAsia"/>
                      <w:lang w:val="en-US" w:eastAsia="zh-CN"/>
                    </w:rPr>
                    <w:t>300</w:t>
                  </w:r>
                </w:p>
              </w:tc>
              <w:tc>
                <w:tcPr>
                  <w:tcW w:w="801" w:type="pct"/>
                  <w:shd w:val="clear" w:color="auto" w:fill="auto"/>
                  <w:vAlign w:val="center"/>
                </w:tcPr>
                <w:p w14:paraId="19082546">
                  <w:pPr>
                    <w:pStyle w:val="55"/>
                    <w:keepNext w:val="0"/>
                    <w:keepLines w:val="0"/>
                    <w:pageBreakBefore w:val="0"/>
                    <w:widowControl w:val="0"/>
                    <w:kinsoku/>
                    <w:wordWrap/>
                    <w:overflowPunct/>
                    <w:topLinePunct w:val="0"/>
                    <w:autoSpaceDE/>
                    <w:autoSpaceDN/>
                    <w:bidi w:val="0"/>
                    <w:ind w:right="0" w:firstLine="0"/>
                    <w:textAlignment w:val="auto"/>
                    <w:rPr>
                      <w:rFonts w:hint="default"/>
                      <w:lang w:val="en-US"/>
                    </w:rPr>
                  </w:pPr>
                  <w:r>
                    <w:rPr>
                      <w:lang w:val="en-US"/>
                    </w:rPr>
                    <w:t>0</w:t>
                  </w:r>
                  <w:r>
                    <w:rPr>
                      <w:rFonts w:hint="eastAsia"/>
                      <w:lang w:val="en-US" w:eastAsia="zh-CN"/>
                    </w:rPr>
                    <w:t>.33</w:t>
                  </w:r>
                </w:p>
              </w:tc>
              <w:tc>
                <w:tcPr>
                  <w:tcW w:w="696" w:type="pct"/>
                  <w:vAlign w:val="center"/>
                </w:tcPr>
                <w:p w14:paraId="688A9F35">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696" w:type="pct"/>
                  <w:shd w:val="clear" w:color="auto" w:fill="auto"/>
                  <w:vAlign w:val="center"/>
                </w:tcPr>
                <w:p w14:paraId="290A97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r>
            <w:tr w14:paraId="40AB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shd w:val="clear" w:color="auto" w:fill="auto"/>
                  <w:vAlign w:val="center"/>
                </w:tcPr>
                <w:p w14:paraId="39E8D028">
                  <w:pPr>
                    <w:pStyle w:val="14"/>
                    <w:widowControl w:val="0"/>
                    <w:adjustRightInd w:val="0"/>
                    <w:snapToGrid w:val="0"/>
                    <w:spacing w:after="0" w:line="240" w:lineRule="auto"/>
                    <w:ind w:left="0" w:leftChars="0"/>
                    <w:jc w:val="center"/>
                    <w:rPr>
                      <w:rFonts w:hint="default" w:ascii="Times New Roman" w:hAnsi="Times New Roman" w:eastAsia="宋体" w:cs="Times New Roman"/>
                      <w:kern w:val="2"/>
                      <w:sz w:val="21"/>
                      <w:lang w:val="en-US" w:eastAsia="zh-CN" w:bidi="ar-SA"/>
                    </w:rPr>
                  </w:pPr>
                  <w:r>
                    <w:rPr>
                      <w:rFonts w:ascii="Times New Roman" w:hAnsi="Times New Roman" w:cs="Times New Roman"/>
                    </w:rPr>
                    <w:t>机械配件A</w:t>
                  </w:r>
                </w:p>
              </w:tc>
              <w:tc>
                <w:tcPr>
                  <w:tcW w:w="859" w:type="pct"/>
                  <w:shd w:val="clear" w:color="auto" w:fill="auto"/>
                  <w:vAlign w:val="center"/>
                </w:tcPr>
                <w:p w14:paraId="33865258">
                  <w:pPr>
                    <w:widowControl w:val="0"/>
                    <w:adjustRightInd w:val="0"/>
                    <w:snapToGrid w:val="0"/>
                    <w:jc w:val="center"/>
                    <w:rPr>
                      <w:rFonts w:hint="default" w:ascii="Times New Roman" w:hAnsi="Times New Roman" w:eastAsia="宋体" w:cs="Times New Roman"/>
                      <w:bCs/>
                      <w:kern w:val="2"/>
                      <w:sz w:val="21"/>
                      <w:lang w:val="en-US" w:eastAsia="zh-CN" w:bidi="ar-SA"/>
                    </w:rPr>
                  </w:pPr>
                  <w:r>
                    <w:rPr>
                      <w:rFonts w:ascii="Times New Roman" w:hAnsi="Times New Roman" w:cs="Times New Roman"/>
                      <w:bCs/>
                    </w:rPr>
                    <w:t>100万件/年</w:t>
                  </w:r>
                </w:p>
              </w:tc>
              <w:tc>
                <w:tcPr>
                  <w:tcW w:w="779" w:type="pct"/>
                  <w:shd w:val="clear" w:color="auto" w:fill="auto"/>
                  <w:vAlign w:val="center"/>
                </w:tcPr>
                <w:p w14:paraId="4311BC35">
                  <w:pPr>
                    <w:pStyle w:val="55"/>
                    <w:keepNext w:val="0"/>
                    <w:keepLines w:val="0"/>
                    <w:pageBreakBefore w:val="0"/>
                    <w:widowControl w:val="0"/>
                    <w:kinsoku/>
                    <w:wordWrap/>
                    <w:overflowPunct/>
                    <w:topLinePunct w:val="0"/>
                    <w:autoSpaceDE/>
                    <w:autoSpaceDN/>
                    <w:bidi w:val="0"/>
                    <w:ind w:right="0" w:firstLine="0"/>
                    <w:textAlignment w:val="auto"/>
                    <w:rPr>
                      <w:rFonts w:hint="default" w:eastAsia="宋体"/>
                      <w:lang w:val="en-US" w:eastAsia="zh-CN"/>
                    </w:rPr>
                  </w:pPr>
                  <w:r>
                    <w:rPr>
                      <w:rFonts w:hint="eastAsia"/>
                      <w:lang w:val="en-US" w:eastAsia="zh-CN"/>
                    </w:rPr>
                    <w:t>300</w:t>
                  </w:r>
                </w:p>
              </w:tc>
              <w:tc>
                <w:tcPr>
                  <w:tcW w:w="801" w:type="pct"/>
                  <w:shd w:val="clear" w:color="auto" w:fill="auto"/>
                  <w:vAlign w:val="center"/>
                </w:tcPr>
                <w:p w14:paraId="1A6E069C">
                  <w:pPr>
                    <w:pStyle w:val="55"/>
                    <w:keepNext w:val="0"/>
                    <w:keepLines w:val="0"/>
                    <w:pageBreakBefore w:val="0"/>
                    <w:widowControl w:val="0"/>
                    <w:kinsoku/>
                    <w:wordWrap/>
                    <w:overflowPunct/>
                    <w:topLinePunct w:val="0"/>
                    <w:autoSpaceDE/>
                    <w:autoSpaceDN/>
                    <w:bidi w:val="0"/>
                    <w:ind w:right="0" w:firstLine="0"/>
                    <w:textAlignment w:val="auto"/>
                    <w:rPr>
                      <w:rFonts w:hint="default"/>
                      <w:lang w:val="en-US"/>
                    </w:rPr>
                  </w:pPr>
                  <w:r>
                    <w:rPr>
                      <w:lang w:val="en-US"/>
                    </w:rPr>
                    <w:t>0</w:t>
                  </w:r>
                  <w:r>
                    <w:rPr>
                      <w:rFonts w:hint="eastAsia"/>
                      <w:lang w:val="en-US" w:eastAsia="zh-CN"/>
                    </w:rPr>
                    <w:t>.33</w:t>
                  </w:r>
                </w:p>
              </w:tc>
              <w:tc>
                <w:tcPr>
                  <w:tcW w:w="696" w:type="pct"/>
                  <w:vAlign w:val="center"/>
                </w:tcPr>
                <w:p w14:paraId="0A0061D9">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0.30</w:t>
                  </w:r>
                </w:p>
              </w:tc>
              <w:tc>
                <w:tcPr>
                  <w:tcW w:w="696" w:type="pct"/>
                  <w:shd w:val="clear" w:color="auto" w:fill="auto"/>
                  <w:vAlign w:val="center"/>
                </w:tcPr>
                <w:p w14:paraId="4BB666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p>
              </w:tc>
            </w:tr>
            <w:tr w14:paraId="1295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7" w:type="pct"/>
                  <w:shd w:val="clear" w:color="auto" w:fill="auto"/>
                  <w:vAlign w:val="center"/>
                </w:tcPr>
                <w:p w14:paraId="0CF9A7C3">
                  <w:pPr>
                    <w:pStyle w:val="14"/>
                    <w:widowControl w:val="0"/>
                    <w:adjustRightInd w:val="0"/>
                    <w:snapToGrid w:val="0"/>
                    <w:spacing w:after="0" w:line="240" w:lineRule="auto"/>
                    <w:ind w:left="0" w:leftChars="0"/>
                    <w:jc w:val="center"/>
                    <w:rPr>
                      <w:rFonts w:hint="default" w:ascii="Times New Roman" w:hAnsi="Times New Roman" w:eastAsia="宋体" w:cs="Times New Roman"/>
                      <w:kern w:val="2"/>
                      <w:sz w:val="21"/>
                      <w:lang w:val="en-US" w:eastAsia="zh-CN" w:bidi="ar-SA"/>
                    </w:rPr>
                  </w:pPr>
                  <w:r>
                    <w:rPr>
                      <w:rFonts w:ascii="Times New Roman" w:hAnsi="Times New Roman" w:cs="Times New Roman"/>
                    </w:rPr>
                    <w:t>机械配件B</w:t>
                  </w:r>
                </w:p>
              </w:tc>
              <w:tc>
                <w:tcPr>
                  <w:tcW w:w="859" w:type="pct"/>
                  <w:shd w:val="clear" w:color="auto" w:fill="auto"/>
                  <w:vAlign w:val="center"/>
                </w:tcPr>
                <w:p w14:paraId="60A59F08">
                  <w:pPr>
                    <w:widowControl w:val="0"/>
                    <w:adjustRightInd w:val="0"/>
                    <w:snapToGrid w:val="0"/>
                    <w:jc w:val="center"/>
                    <w:rPr>
                      <w:rFonts w:hint="default" w:ascii="Times New Roman" w:hAnsi="Times New Roman" w:eastAsia="宋体" w:cs="Times New Roman"/>
                      <w:bCs/>
                      <w:kern w:val="2"/>
                      <w:sz w:val="21"/>
                      <w:lang w:val="en-US" w:eastAsia="zh-CN" w:bidi="ar-SA"/>
                    </w:rPr>
                  </w:pPr>
                  <w:r>
                    <w:rPr>
                      <w:rFonts w:ascii="Times New Roman" w:hAnsi="Times New Roman" w:cs="Times New Roman"/>
                      <w:bCs/>
                    </w:rPr>
                    <w:t>100万件/年</w:t>
                  </w:r>
                </w:p>
              </w:tc>
              <w:tc>
                <w:tcPr>
                  <w:tcW w:w="779" w:type="pct"/>
                  <w:shd w:val="clear" w:color="auto" w:fill="auto"/>
                  <w:vAlign w:val="center"/>
                </w:tcPr>
                <w:p w14:paraId="4CD2E2C7">
                  <w:pPr>
                    <w:pStyle w:val="55"/>
                    <w:keepNext w:val="0"/>
                    <w:keepLines w:val="0"/>
                    <w:pageBreakBefore w:val="0"/>
                    <w:widowControl w:val="0"/>
                    <w:kinsoku/>
                    <w:wordWrap/>
                    <w:overflowPunct/>
                    <w:topLinePunct w:val="0"/>
                    <w:autoSpaceDE/>
                    <w:autoSpaceDN/>
                    <w:bidi w:val="0"/>
                    <w:ind w:right="0" w:firstLine="0"/>
                    <w:textAlignment w:val="auto"/>
                    <w:rPr>
                      <w:rFonts w:hint="default" w:eastAsia="宋体"/>
                      <w:lang w:val="en-US" w:eastAsia="zh-CN"/>
                    </w:rPr>
                  </w:pPr>
                  <w:r>
                    <w:rPr>
                      <w:rFonts w:hint="eastAsia"/>
                      <w:lang w:val="en-US" w:eastAsia="zh-CN"/>
                    </w:rPr>
                    <w:t>300</w:t>
                  </w:r>
                </w:p>
              </w:tc>
              <w:tc>
                <w:tcPr>
                  <w:tcW w:w="801" w:type="pct"/>
                  <w:shd w:val="clear" w:color="auto" w:fill="auto"/>
                  <w:vAlign w:val="center"/>
                </w:tcPr>
                <w:p w14:paraId="5152C336">
                  <w:pPr>
                    <w:pStyle w:val="55"/>
                    <w:keepNext w:val="0"/>
                    <w:keepLines w:val="0"/>
                    <w:pageBreakBefore w:val="0"/>
                    <w:widowControl w:val="0"/>
                    <w:kinsoku/>
                    <w:wordWrap/>
                    <w:overflowPunct/>
                    <w:topLinePunct w:val="0"/>
                    <w:autoSpaceDE/>
                    <w:autoSpaceDN/>
                    <w:bidi w:val="0"/>
                    <w:ind w:right="0" w:firstLine="0"/>
                    <w:textAlignment w:val="auto"/>
                    <w:rPr>
                      <w:rFonts w:hint="default"/>
                      <w:lang w:val="en-US"/>
                    </w:rPr>
                  </w:pPr>
                  <w:r>
                    <w:rPr>
                      <w:lang w:val="en-US"/>
                    </w:rPr>
                    <w:t>0</w:t>
                  </w:r>
                  <w:r>
                    <w:rPr>
                      <w:rFonts w:hint="eastAsia"/>
                      <w:lang w:val="en-US" w:eastAsia="zh-CN"/>
                    </w:rPr>
                    <w:t>.33</w:t>
                  </w:r>
                </w:p>
              </w:tc>
              <w:tc>
                <w:tcPr>
                  <w:tcW w:w="696" w:type="pct"/>
                  <w:vAlign w:val="center"/>
                </w:tcPr>
                <w:p w14:paraId="6F17BD11">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0.32</w:t>
                  </w:r>
                </w:p>
              </w:tc>
              <w:tc>
                <w:tcPr>
                  <w:tcW w:w="696" w:type="pct"/>
                  <w:shd w:val="clear" w:color="auto" w:fill="auto"/>
                  <w:vAlign w:val="center"/>
                </w:tcPr>
                <w:p w14:paraId="7CBD15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p>
              </w:tc>
            </w:tr>
            <w:tr w14:paraId="5984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607" w:type="pct"/>
                  <w:gridSpan w:val="4"/>
                  <w:vAlign w:val="center"/>
                </w:tcPr>
                <w:p w14:paraId="1A46A5B6">
                  <w:pPr>
                    <w:pStyle w:val="24"/>
                    <w:keepNext w:val="0"/>
                    <w:keepLines w:val="0"/>
                    <w:pageBreakBefore w:val="0"/>
                    <w:widowControl/>
                    <w:tabs>
                      <w:tab w:val="left" w:pos="3587"/>
                    </w:tabs>
                    <w:kinsoku/>
                    <w:wordWrap/>
                    <w:overflowPunct/>
                    <w:topLinePunct w:val="0"/>
                    <w:autoSpaceDE/>
                    <w:autoSpaceDN/>
                    <w:bidi w:val="0"/>
                    <w:spacing w:after="0"/>
                    <w:ind w:left="0" w:leftChars="0" w:right="0" w:firstLine="0" w:firstLineChars="0"/>
                    <w:jc w:val="center"/>
                    <w:textAlignment w:val="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生产负荷（%）</w:t>
                  </w:r>
                </w:p>
              </w:tc>
              <w:tc>
                <w:tcPr>
                  <w:tcW w:w="696" w:type="pct"/>
                  <w:vAlign w:val="center"/>
                </w:tcPr>
                <w:p w14:paraId="234FFD07">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92</w:t>
                  </w:r>
                </w:p>
              </w:tc>
              <w:tc>
                <w:tcPr>
                  <w:tcW w:w="696" w:type="pct"/>
                  <w:vAlign w:val="center"/>
                </w:tcPr>
                <w:p w14:paraId="4EAABB13">
                  <w:pPr>
                    <w:pStyle w:val="24"/>
                    <w:keepNext w:val="0"/>
                    <w:keepLines w:val="0"/>
                    <w:pageBreakBefore w:val="0"/>
                    <w:widowControl/>
                    <w:kinsoku/>
                    <w:wordWrap/>
                    <w:overflowPunct/>
                    <w:topLinePunct w:val="0"/>
                    <w:autoSpaceDE/>
                    <w:autoSpaceDN/>
                    <w:bidi w:val="0"/>
                    <w:spacing w:after="0"/>
                    <w:ind w:left="0" w:leftChars="0" w:right="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w:t>
                  </w:r>
                </w:p>
              </w:tc>
            </w:tr>
          </w:tbl>
          <w:p w14:paraId="5C340EB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52"/>
              <w:textAlignment w:val="auto"/>
              <w:rPr>
                <w:sz w:val="24"/>
                <w:szCs w:val="13"/>
              </w:rPr>
            </w:pPr>
            <w:r>
              <w:rPr>
                <w:rFonts w:hint="eastAsia"/>
                <w:color w:val="000000" w:themeColor="text1"/>
                <w:spacing w:val="-7"/>
                <w:sz w:val="24"/>
                <w14:textFill>
                  <w14:solidFill>
                    <w14:schemeClr w14:val="tx1"/>
                  </w14:solidFill>
                </w14:textFill>
              </w:rPr>
              <w:t>根据验收监测期间工况记录表</w:t>
            </w:r>
            <w:r>
              <w:rPr>
                <w:color w:val="000000" w:themeColor="text1"/>
                <w:spacing w:val="-3"/>
                <w:sz w:val="24"/>
                <w14:textFill>
                  <w14:solidFill>
                    <w14:schemeClr w14:val="tx1"/>
                  </w14:solidFill>
                </w14:textFill>
              </w:rPr>
              <w:t>可</w:t>
            </w:r>
            <w:r>
              <w:rPr>
                <w:color w:val="000000" w:themeColor="text1"/>
                <w:spacing w:val="-6"/>
                <w:sz w:val="24"/>
                <w14:textFill>
                  <w14:solidFill>
                    <w14:schemeClr w14:val="tx1"/>
                  </w14:solidFill>
                </w14:textFill>
              </w:rPr>
              <w:t>知，</w:t>
            </w:r>
            <w:r>
              <w:rPr>
                <w:rFonts w:hint="eastAsia"/>
                <w:color w:val="000000" w:themeColor="text1"/>
                <w:spacing w:val="-6"/>
                <w:sz w:val="24"/>
                <w:lang w:val="en-US" w:eastAsia="zh-CN"/>
                <w14:textFill>
                  <w14:solidFill>
                    <w14:schemeClr w14:val="tx1"/>
                  </w14:solidFill>
                </w14:textFill>
              </w:rPr>
              <w:t>两</w:t>
            </w:r>
            <w:r>
              <w:rPr>
                <w:color w:val="000000" w:themeColor="text1"/>
                <w:spacing w:val="-6"/>
                <w:sz w:val="24"/>
                <w14:textFill>
                  <w14:solidFill>
                    <w14:schemeClr w14:val="tx1"/>
                  </w14:solidFill>
                </w14:textFill>
              </w:rPr>
              <w:t>日生产工况分别为</w:t>
            </w:r>
            <w:r>
              <w:rPr>
                <w:rFonts w:hint="eastAsia"/>
                <w:color w:val="000000" w:themeColor="text1"/>
                <w:sz w:val="24"/>
                <w14:textFill>
                  <w14:solidFill>
                    <w14:schemeClr w14:val="tx1"/>
                  </w14:solidFill>
                </w14:textFill>
              </w:rPr>
              <w:t>9</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9</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%，满足验收监测条件。</w:t>
            </w:r>
          </w:p>
        </w:tc>
      </w:tr>
    </w:tbl>
    <w:p w14:paraId="2DF37EF6">
      <w:pPr>
        <w:spacing w:line="20" w:lineRule="exact"/>
        <w:ind w:right="-172" w:firstLine="560"/>
        <w:jc w:val="left"/>
        <w:rPr>
          <w:sz w:val="28"/>
          <w:szCs w:val="13"/>
        </w:rPr>
      </w:pPr>
    </w:p>
    <w:p w14:paraId="5F9DC2C4">
      <w:pPr>
        <w:spacing w:line="20" w:lineRule="exact"/>
        <w:ind w:right="-172" w:firstLine="562"/>
        <w:jc w:val="left"/>
        <w:rPr>
          <w:b/>
          <w:kern w:val="44"/>
          <w:sz w:val="28"/>
          <w:szCs w:val="13"/>
        </w:rPr>
        <w:sectPr>
          <w:pgSz w:w="12240" w:h="15840"/>
          <w:pgMar w:top="1418" w:right="1418" w:bottom="1418" w:left="1418" w:header="720" w:footer="720" w:gutter="0"/>
          <w:cols w:space="720" w:num="1"/>
          <w:docGrid w:type="lines" w:linePitch="312" w:charSpace="0"/>
        </w:sectPr>
      </w:pPr>
    </w:p>
    <w:tbl>
      <w:tblPr>
        <w:tblStyle w:val="26"/>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0"/>
      </w:tblGrid>
      <w:tr w14:paraId="09A7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Pr>
          <w:p w14:paraId="332C9DD9">
            <w:pPr>
              <w:keepNext w:val="0"/>
              <w:keepLines w:val="0"/>
              <w:pageBreakBefore w:val="0"/>
              <w:widowControl w:val="0"/>
              <w:kinsoku/>
              <w:wordWrap/>
              <w:overflowPunct/>
              <w:topLinePunct w:val="0"/>
              <w:autoSpaceDE w:val="0"/>
              <w:autoSpaceDN w:val="0"/>
              <w:bidi w:val="0"/>
              <w:spacing w:beforeAutospacing="0" w:afterAutospacing="0" w:line="360" w:lineRule="auto"/>
              <w:ind w:right="0" w:firstLine="482"/>
              <w:rPr>
                <w:b/>
                <w:bCs/>
                <w:kern w:val="0"/>
                <w:sz w:val="24"/>
              </w:rPr>
            </w:pPr>
            <w:r>
              <w:rPr>
                <w:b/>
                <w:bCs/>
                <w:kern w:val="0"/>
                <w:sz w:val="24"/>
              </w:rPr>
              <w:t>验收监测结果</w:t>
            </w:r>
            <w:r>
              <w:rPr>
                <w:rFonts w:hint="eastAsia"/>
                <w:b/>
                <w:bCs/>
                <w:kern w:val="0"/>
                <w:sz w:val="24"/>
              </w:rPr>
              <w:t>：</w:t>
            </w:r>
          </w:p>
          <w:p w14:paraId="51B052B1">
            <w:pPr>
              <w:pStyle w:val="33"/>
              <w:keepNext w:val="0"/>
              <w:keepLines w:val="0"/>
              <w:pageBreakBefore w:val="0"/>
              <w:numPr>
                <w:ilvl w:val="0"/>
                <w:numId w:val="9"/>
              </w:numPr>
              <w:kinsoku/>
              <w:wordWrap/>
              <w:overflowPunct/>
              <w:topLinePunct w:val="0"/>
              <w:bidi w:val="0"/>
              <w:adjustRightInd w:val="0"/>
              <w:snapToGrid w:val="0"/>
              <w:spacing w:beforeAutospacing="0" w:afterAutospacing="0" w:line="360" w:lineRule="auto"/>
              <w:ind w:right="0" w:firstLine="480" w:firstLineChars="200"/>
              <w:jc w:val="both"/>
              <w:rPr>
                <w:rFonts w:ascii="Times New Roman" w:hAnsi="Times New Roman" w:cs="Times New Roman"/>
                <w:sz w:val="24"/>
              </w:rPr>
            </w:pPr>
            <w:r>
              <w:rPr>
                <w:rFonts w:ascii="Times New Roman" w:hAnsi="Times New Roman" w:cs="Times New Roman"/>
                <w:sz w:val="24"/>
              </w:rPr>
              <w:t>废水</w:t>
            </w:r>
          </w:p>
          <w:p w14:paraId="4F5AF4A1">
            <w:pPr>
              <w:pStyle w:val="33"/>
              <w:keepNext w:val="0"/>
              <w:keepLines w:val="0"/>
              <w:pageBreakBefore w:val="0"/>
              <w:kinsoku/>
              <w:wordWrap/>
              <w:overflowPunct/>
              <w:topLinePunct w:val="0"/>
              <w:bidi w:val="0"/>
              <w:adjustRightInd w:val="0"/>
              <w:snapToGrid w:val="0"/>
              <w:spacing w:beforeAutospacing="0" w:afterAutospacing="0" w:line="360" w:lineRule="auto"/>
              <w:ind w:right="0" w:firstLine="480" w:firstLineChars="200"/>
              <w:jc w:val="both"/>
              <w:rPr>
                <w:rFonts w:hint="eastAsia" w:ascii="Times New Roman" w:hAnsi="Times New Roman" w:cs="Times New Roman"/>
                <w:kern w:val="2"/>
                <w:sz w:val="24"/>
                <w:lang w:val="en-US"/>
              </w:rPr>
            </w:pPr>
            <w:r>
              <w:rPr>
                <w:rFonts w:hint="eastAsia" w:ascii="Times New Roman" w:hAnsi="Times New Roman" w:cs="Times New Roman"/>
                <w:kern w:val="2"/>
                <w:sz w:val="24"/>
                <w:lang w:val="en-US"/>
              </w:rPr>
              <w:t>废水监测数据见表7.2。</w:t>
            </w:r>
          </w:p>
          <w:p w14:paraId="243EDDB5">
            <w:pPr>
              <w:widowControl w:val="0"/>
              <w:jc w:val="center"/>
              <w:rPr>
                <w:rFonts w:hint="eastAsia" w:ascii="Times New Roman" w:hAnsi="Times New Roman" w:cs="Times New Roman"/>
                <w:kern w:val="2"/>
                <w:sz w:val="24"/>
                <w:lang w:val="en-US"/>
              </w:rPr>
            </w:pPr>
            <w:r>
              <w:rPr>
                <w:rFonts w:hint="eastAsia"/>
                <w:b/>
                <w:sz w:val="24"/>
              </w:rPr>
              <w:t>表</w:t>
            </w:r>
            <w:r>
              <w:rPr>
                <w:b/>
                <w:sz w:val="24"/>
              </w:rPr>
              <w:t xml:space="preserve"> 7-2 </w:t>
            </w:r>
            <w:r>
              <w:rPr>
                <w:rFonts w:hint="eastAsia"/>
                <w:b/>
                <w:sz w:val="24"/>
              </w:rPr>
              <w:t>全厂</w:t>
            </w:r>
            <w:r>
              <w:rPr>
                <w:b/>
                <w:sz w:val="24"/>
              </w:rPr>
              <w:t>废水监测结果</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805"/>
              <w:gridCol w:w="1096"/>
              <w:gridCol w:w="163"/>
              <w:gridCol w:w="1262"/>
              <w:gridCol w:w="1260"/>
              <w:gridCol w:w="1265"/>
              <w:gridCol w:w="858"/>
              <w:gridCol w:w="653"/>
              <w:gridCol w:w="634"/>
            </w:tblGrid>
            <w:tr w14:paraId="2414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9" w:type="pct"/>
                  <w:gridSpan w:val="2"/>
                  <w:vAlign w:val="center"/>
                </w:tcPr>
                <w:p w14:paraId="69ED1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采样日期：2024.10.10</w:t>
                  </w:r>
                </w:p>
              </w:tc>
              <w:tc>
                <w:tcPr>
                  <w:tcW w:w="2687" w:type="pct"/>
                  <w:gridSpan w:val="5"/>
                  <w:vAlign w:val="center"/>
                </w:tcPr>
                <w:p w14:paraId="1ECEE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生活污水排口1★</w:t>
                  </w:r>
                </w:p>
              </w:tc>
              <w:tc>
                <w:tcPr>
                  <w:tcW w:w="457" w:type="pct"/>
                  <w:vMerge w:val="restart"/>
                  <w:shd w:val="clear" w:color="auto" w:fill="auto"/>
                  <w:vAlign w:val="center"/>
                </w:tcPr>
                <w:p w14:paraId="39674E1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b/>
                      <w:color w:val="000000"/>
                      <w:spacing w:val="-5"/>
                      <w:szCs w:val="21"/>
                      <w:lang w:bidi="he-IL"/>
                    </w:rPr>
                    <w:t>平均值</w:t>
                  </w:r>
                </w:p>
              </w:tc>
              <w:tc>
                <w:tcPr>
                  <w:tcW w:w="348" w:type="pct"/>
                  <w:vMerge w:val="restart"/>
                  <w:shd w:val="clear" w:color="auto" w:fill="auto"/>
                  <w:vAlign w:val="center"/>
                </w:tcPr>
                <w:p w14:paraId="1E7995C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b/>
                      <w:color w:val="000000"/>
                      <w:spacing w:val="-5"/>
                      <w:szCs w:val="21"/>
                      <w:lang w:bidi="he-IL"/>
                    </w:rPr>
                    <w:t>接管限值</w:t>
                  </w:r>
                </w:p>
              </w:tc>
              <w:tc>
                <w:tcPr>
                  <w:tcW w:w="336" w:type="pct"/>
                  <w:vMerge w:val="restart"/>
                  <w:shd w:val="clear" w:color="auto" w:fill="auto"/>
                  <w:vAlign w:val="center"/>
                </w:tcPr>
                <w:p w14:paraId="418101F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kern w:val="2"/>
                      <w:sz w:val="21"/>
                      <w:szCs w:val="21"/>
                      <w:lang w:val="en-US" w:eastAsia="zh-CN" w:bidi="ar-SA"/>
                    </w:rPr>
                  </w:pPr>
                  <w:r>
                    <w:rPr>
                      <w:rFonts w:hint="eastAsia"/>
                      <w:b/>
                      <w:color w:val="000000"/>
                      <w:spacing w:val="-5"/>
                      <w:szCs w:val="21"/>
                      <w:lang w:bidi="he-IL"/>
                    </w:rPr>
                    <w:t>是否达标</w:t>
                  </w:r>
                </w:p>
              </w:tc>
            </w:tr>
            <w:tr w14:paraId="638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9" w:type="pct"/>
                  <w:gridSpan w:val="2"/>
                  <w:vAlign w:val="center"/>
                </w:tcPr>
                <w:p w14:paraId="02D52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样品状态</w:t>
                  </w:r>
                </w:p>
              </w:tc>
              <w:tc>
                <w:tcPr>
                  <w:tcW w:w="2687" w:type="pct"/>
                  <w:gridSpan w:val="5"/>
                  <w:vAlign w:val="center"/>
                </w:tcPr>
                <w:p w14:paraId="2D929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无色、透明</w:t>
                  </w:r>
                </w:p>
              </w:tc>
              <w:tc>
                <w:tcPr>
                  <w:tcW w:w="457" w:type="pct"/>
                  <w:vMerge w:val="continue"/>
                  <w:vAlign w:val="center"/>
                </w:tcPr>
                <w:p w14:paraId="19828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2021F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7CA0C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4261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Merge w:val="restart"/>
                  <w:vAlign w:val="center"/>
                </w:tcPr>
                <w:p w14:paraId="7375C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检测项目</w:t>
                  </w:r>
                </w:p>
              </w:tc>
              <w:tc>
                <w:tcPr>
                  <w:tcW w:w="428" w:type="pct"/>
                  <w:vMerge w:val="restart"/>
                  <w:vAlign w:val="center"/>
                </w:tcPr>
                <w:p w14:paraId="38898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单位</w:t>
                  </w:r>
                </w:p>
              </w:tc>
              <w:tc>
                <w:tcPr>
                  <w:tcW w:w="2687" w:type="pct"/>
                  <w:gridSpan w:val="5"/>
                  <w:vAlign w:val="center"/>
                </w:tcPr>
                <w:p w14:paraId="2DC55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检测结果</w:t>
                  </w:r>
                </w:p>
              </w:tc>
              <w:tc>
                <w:tcPr>
                  <w:tcW w:w="457" w:type="pct"/>
                  <w:vMerge w:val="continue"/>
                  <w:vAlign w:val="center"/>
                </w:tcPr>
                <w:p w14:paraId="05C4C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2C4C3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46617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377A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Merge w:val="continue"/>
                  <w:vAlign w:val="center"/>
                </w:tcPr>
                <w:p w14:paraId="1E1BD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428" w:type="pct"/>
                  <w:vMerge w:val="continue"/>
                  <w:vAlign w:val="center"/>
                </w:tcPr>
                <w:p w14:paraId="3DD4E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584" w:type="pct"/>
                  <w:vAlign w:val="center"/>
                </w:tcPr>
                <w:p w14:paraId="6E4B8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第一次</w:t>
                  </w:r>
                </w:p>
              </w:tc>
              <w:tc>
                <w:tcPr>
                  <w:tcW w:w="759" w:type="pct"/>
                  <w:gridSpan w:val="2"/>
                  <w:vAlign w:val="center"/>
                </w:tcPr>
                <w:p w14:paraId="30E76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第二次</w:t>
                  </w:r>
                </w:p>
              </w:tc>
              <w:tc>
                <w:tcPr>
                  <w:tcW w:w="671" w:type="pct"/>
                  <w:vAlign w:val="center"/>
                </w:tcPr>
                <w:p w14:paraId="0CEE6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第三次</w:t>
                  </w:r>
                </w:p>
              </w:tc>
              <w:tc>
                <w:tcPr>
                  <w:tcW w:w="672" w:type="pct"/>
                  <w:vAlign w:val="center"/>
                </w:tcPr>
                <w:p w14:paraId="03DE3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第四次</w:t>
                  </w:r>
                </w:p>
              </w:tc>
              <w:tc>
                <w:tcPr>
                  <w:tcW w:w="457" w:type="pct"/>
                  <w:vMerge w:val="continue"/>
                  <w:vAlign w:val="center"/>
                </w:tcPr>
                <w:p w14:paraId="22A37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4C884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64662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7E84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296D0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pH值</w:t>
                  </w:r>
                </w:p>
              </w:tc>
              <w:tc>
                <w:tcPr>
                  <w:tcW w:w="428" w:type="pct"/>
                  <w:vAlign w:val="center"/>
                </w:tcPr>
                <w:p w14:paraId="2845A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z w:val="21"/>
                      <w:szCs w:val="21"/>
                    </w:rPr>
                    <w:t>无量纲</w:t>
                  </w:r>
                </w:p>
              </w:tc>
              <w:tc>
                <w:tcPr>
                  <w:tcW w:w="671" w:type="pct"/>
                  <w:gridSpan w:val="2"/>
                  <w:vAlign w:val="center"/>
                </w:tcPr>
                <w:p w14:paraId="2E89A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7.1（14.6℃）</w:t>
                  </w:r>
                </w:p>
              </w:tc>
              <w:tc>
                <w:tcPr>
                  <w:tcW w:w="671" w:type="pct"/>
                  <w:vAlign w:val="center"/>
                </w:tcPr>
                <w:p w14:paraId="177D3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7.2（15.4℃）</w:t>
                  </w:r>
                </w:p>
              </w:tc>
              <w:tc>
                <w:tcPr>
                  <w:tcW w:w="671" w:type="pct"/>
                  <w:vAlign w:val="center"/>
                </w:tcPr>
                <w:p w14:paraId="172BE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7.2（15.9℃）</w:t>
                  </w:r>
                </w:p>
              </w:tc>
              <w:tc>
                <w:tcPr>
                  <w:tcW w:w="672" w:type="pct"/>
                  <w:vAlign w:val="center"/>
                </w:tcPr>
                <w:p w14:paraId="6C017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7.1（16.4℃）</w:t>
                  </w:r>
                </w:p>
              </w:tc>
              <w:tc>
                <w:tcPr>
                  <w:tcW w:w="457" w:type="pct"/>
                  <w:vAlign w:val="center"/>
                </w:tcPr>
                <w:p w14:paraId="5B0B1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7.1-7.2</w:t>
                  </w:r>
                </w:p>
              </w:tc>
              <w:tc>
                <w:tcPr>
                  <w:tcW w:w="348" w:type="pct"/>
                  <w:vAlign w:val="center"/>
                </w:tcPr>
                <w:p w14:paraId="53CBF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0436B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6331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06DF2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化学需氧量</w:t>
                  </w:r>
                </w:p>
              </w:tc>
              <w:tc>
                <w:tcPr>
                  <w:tcW w:w="428" w:type="pct"/>
                  <w:vAlign w:val="center"/>
                </w:tcPr>
                <w:p w14:paraId="03445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2DA6D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119</w:t>
                  </w:r>
                </w:p>
              </w:tc>
              <w:tc>
                <w:tcPr>
                  <w:tcW w:w="671" w:type="pct"/>
                  <w:vAlign w:val="center"/>
                </w:tcPr>
                <w:p w14:paraId="0FA9B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118</w:t>
                  </w:r>
                </w:p>
              </w:tc>
              <w:tc>
                <w:tcPr>
                  <w:tcW w:w="671" w:type="pct"/>
                  <w:vAlign w:val="center"/>
                </w:tcPr>
                <w:p w14:paraId="67CF7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121</w:t>
                  </w:r>
                </w:p>
              </w:tc>
              <w:tc>
                <w:tcPr>
                  <w:tcW w:w="672" w:type="pct"/>
                  <w:vAlign w:val="center"/>
                </w:tcPr>
                <w:p w14:paraId="5747B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120</w:t>
                  </w:r>
                </w:p>
              </w:tc>
              <w:tc>
                <w:tcPr>
                  <w:tcW w:w="457" w:type="pct"/>
                  <w:vAlign w:val="center"/>
                </w:tcPr>
                <w:p w14:paraId="3BDAE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119.5</w:t>
                  </w:r>
                </w:p>
              </w:tc>
              <w:tc>
                <w:tcPr>
                  <w:tcW w:w="348" w:type="pct"/>
                  <w:vAlign w:val="center"/>
                </w:tcPr>
                <w:p w14:paraId="4AA20C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7B5C9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6C6F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44B71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悬浮物</w:t>
                  </w:r>
                </w:p>
              </w:tc>
              <w:tc>
                <w:tcPr>
                  <w:tcW w:w="428" w:type="pct"/>
                  <w:vAlign w:val="center"/>
                </w:tcPr>
                <w:p w14:paraId="079DF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637C6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34</w:t>
                  </w:r>
                </w:p>
              </w:tc>
              <w:tc>
                <w:tcPr>
                  <w:tcW w:w="671" w:type="pct"/>
                  <w:vAlign w:val="center"/>
                </w:tcPr>
                <w:p w14:paraId="5E29F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p>
              </w:tc>
              <w:tc>
                <w:tcPr>
                  <w:tcW w:w="671" w:type="pct"/>
                  <w:vAlign w:val="center"/>
                </w:tcPr>
                <w:p w14:paraId="5E0BF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39</w:t>
                  </w:r>
                </w:p>
              </w:tc>
              <w:tc>
                <w:tcPr>
                  <w:tcW w:w="672" w:type="pct"/>
                  <w:vAlign w:val="center"/>
                </w:tcPr>
                <w:p w14:paraId="75CBB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37</w:t>
                  </w:r>
                </w:p>
              </w:tc>
              <w:tc>
                <w:tcPr>
                  <w:tcW w:w="457" w:type="pct"/>
                  <w:vAlign w:val="center"/>
                </w:tcPr>
                <w:p w14:paraId="37C5D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35.75</w:t>
                  </w:r>
                </w:p>
              </w:tc>
              <w:tc>
                <w:tcPr>
                  <w:tcW w:w="348" w:type="pct"/>
                  <w:vAlign w:val="center"/>
                </w:tcPr>
                <w:p w14:paraId="4929B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5F9D2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314D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06732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五日生化需氧量</w:t>
                  </w:r>
                </w:p>
              </w:tc>
              <w:tc>
                <w:tcPr>
                  <w:tcW w:w="428" w:type="pct"/>
                  <w:vAlign w:val="center"/>
                </w:tcPr>
                <w:p w14:paraId="02233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473EE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31.0</w:t>
                  </w:r>
                </w:p>
              </w:tc>
              <w:tc>
                <w:tcPr>
                  <w:tcW w:w="671" w:type="pct"/>
                  <w:vAlign w:val="center"/>
                </w:tcPr>
                <w:p w14:paraId="55DD6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29.5</w:t>
                  </w:r>
                </w:p>
              </w:tc>
              <w:tc>
                <w:tcPr>
                  <w:tcW w:w="671" w:type="pct"/>
                  <w:vAlign w:val="center"/>
                </w:tcPr>
                <w:p w14:paraId="7548F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29.2</w:t>
                  </w:r>
                </w:p>
              </w:tc>
              <w:tc>
                <w:tcPr>
                  <w:tcW w:w="672" w:type="pct"/>
                  <w:vAlign w:val="center"/>
                </w:tcPr>
                <w:p w14:paraId="5A6DB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30.7</w:t>
                  </w:r>
                </w:p>
              </w:tc>
              <w:tc>
                <w:tcPr>
                  <w:tcW w:w="457" w:type="pct"/>
                  <w:vAlign w:val="center"/>
                </w:tcPr>
                <w:p w14:paraId="34A80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30.1</w:t>
                  </w:r>
                </w:p>
              </w:tc>
              <w:tc>
                <w:tcPr>
                  <w:tcW w:w="348" w:type="pct"/>
                  <w:vAlign w:val="center"/>
                </w:tcPr>
                <w:p w14:paraId="1C50D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11F4C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0BC2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5F727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氨氮</w:t>
                  </w:r>
                </w:p>
              </w:tc>
              <w:tc>
                <w:tcPr>
                  <w:tcW w:w="428" w:type="pct"/>
                  <w:vAlign w:val="center"/>
                </w:tcPr>
                <w:p w14:paraId="7B711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21749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10.79</w:t>
                  </w:r>
                </w:p>
              </w:tc>
              <w:tc>
                <w:tcPr>
                  <w:tcW w:w="671" w:type="pct"/>
                  <w:vAlign w:val="center"/>
                </w:tcPr>
                <w:p w14:paraId="655D8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9.92</w:t>
                  </w:r>
                </w:p>
              </w:tc>
              <w:tc>
                <w:tcPr>
                  <w:tcW w:w="671" w:type="pct"/>
                  <w:vAlign w:val="center"/>
                </w:tcPr>
                <w:p w14:paraId="10B34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11.13</w:t>
                  </w:r>
                </w:p>
              </w:tc>
              <w:tc>
                <w:tcPr>
                  <w:tcW w:w="672" w:type="pct"/>
                  <w:vAlign w:val="center"/>
                </w:tcPr>
                <w:p w14:paraId="17FFB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11.45</w:t>
                  </w:r>
                </w:p>
              </w:tc>
              <w:tc>
                <w:tcPr>
                  <w:tcW w:w="457" w:type="pct"/>
                  <w:vAlign w:val="center"/>
                </w:tcPr>
                <w:p w14:paraId="224C8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10.82</w:t>
                  </w:r>
                </w:p>
              </w:tc>
              <w:tc>
                <w:tcPr>
                  <w:tcW w:w="348" w:type="pct"/>
                  <w:vAlign w:val="center"/>
                </w:tcPr>
                <w:p w14:paraId="004E4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03A32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6EF8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4F484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*动植物油类</w:t>
                  </w:r>
                </w:p>
              </w:tc>
              <w:tc>
                <w:tcPr>
                  <w:tcW w:w="428" w:type="pct"/>
                  <w:vAlign w:val="center"/>
                </w:tcPr>
                <w:p w14:paraId="00285C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71" w:type="pct"/>
                  <w:gridSpan w:val="2"/>
                  <w:vAlign w:val="center"/>
                </w:tcPr>
                <w:p w14:paraId="4C648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spacing w:val="-5"/>
                      <w:sz w:val="21"/>
                      <w:szCs w:val="21"/>
                      <w:vertAlign w:val="baseline"/>
                      <w:lang w:val="en-US" w:eastAsia="zh-CN" w:bidi="he-IL"/>
                    </w:rPr>
                  </w:pPr>
                  <w:r>
                    <w:rPr>
                      <w:rFonts w:hint="default" w:ascii="Times New Roman" w:hAnsi="Times New Roman" w:eastAsia="宋体" w:cs="Times New Roman"/>
                      <w:b w:val="0"/>
                      <w:bCs/>
                      <w:spacing w:val="-5"/>
                      <w:sz w:val="21"/>
                      <w:szCs w:val="21"/>
                      <w:vertAlign w:val="baseline"/>
                      <w:lang w:val="en-US" w:eastAsia="zh-CN" w:bidi="he-IL"/>
                    </w:rPr>
                    <w:t>3.18</w:t>
                  </w:r>
                </w:p>
              </w:tc>
              <w:tc>
                <w:tcPr>
                  <w:tcW w:w="671" w:type="pct"/>
                  <w:vAlign w:val="center"/>
                </w:tcPr>
                <w:p w14:paraId="29513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3.02</w:t>
                  </w:r>
                </w:p>
              </w:tc>
              <w:tc>
                <w:tcPr>
                  <w:tcW w:w="671" w:type="pct"/>
                  <w:vAlign w:val="center"/>
                </w:tcPr>
                <w:p w14:paraId="5D111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3.24</w:t>
                  </w:r>
                </w:p>
              </w:tc>
              <w:tc>
                <w:tcPr>
                  <w:tcW w:w="672" w:type="pct"/>
                  <w:vAlign w:val="center"/>
                </w:tcPr>
                <w:p w14:paraId="79C7D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3.09</w:t>
                  </w:r>
                </w:p>
              </w:tc>
              <w:tc>
                <w:tcPr>
                  <w:tcW w:w="457" w:type="pct"/>
                  <w:vAlign w:val="center"/>
                </w:tcPr>
                <w:p w14:paraId="768A3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3.13</w:t>
                  </w:r>
                </w:p>
              </w:tc>
              <w:tc>
                <w:tcPr>
                  <w:tcW w:w="348" w:type="pct"/>
                  <w:vAlign w:val="center"/>
                </w:tcPr>
                <w:p w14:paraId="5AE1C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36" w:type="pct"/>
                  <w:vAlign w:val="center"/>
                </w:tcPr>
                <w:p w14:paraId="737B5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3A3F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9" w:type="pct"/>
                  <w:gridSpan w:val="2"/>
                  <w:vAlign w:val="center"/>
                </w:tcPr>
                <w:p w14:paraId="475EA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采样日期：2024.10.11</w:t>
                  </w:r>
                </w:p>
              </w:tc>
              <w:tc>
                <w:tcPr>
                  <w:tcW w:w="2687" w:type="pct"/>
                  <w:gridSpan w:val="5"/>
                  <w:vAlign w:val="center"/>
                </w:tcPr>
                <w:p w14:paraId="6512D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生活污水排口1★</w:t>
                  </w:r>
                </w:p>
              </w:tc>
              <w:tc>
                <w:tcPr>
                  <w:tcW w:w="457" w:type="pct"/>
                  <w:vMerge w:val="restart"/>
                  <w:shd w:val="clear" w:color="auto" w:fill="auto"/>
                  <w:vAlign w:val="center"/>
                </w:tcPr>
                <w:p w14:paraId="469D3AA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b/>
                      <w:color w:val="000000"/>
                      <w:spacing w:val="-5"/>
                      <w:szCs w:val="21"/>
                      <w:lang w:bidi="he-IL"/>
                    </w:rPr>
                    <w:t>平均值</w:t>
                  </w:r>
                </w:p>
              </w:tc>
              <w:tc>
                <w:tcPr>
                  <w:tcW w:w="348" w:type="pct"/>
                  <w:vMerge w:val="restart"/>
                  <w:shd w:val="clear" w:color="auto" w:fill="auto"/>
                  <w:vAlign w:val="center"/>
                </w:tcPr>
                <w:p w14:paraId="36AD038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b/>
                      <w:color w:val="000000"/>
                      <w:spacing w:val="-5"/>
                      <w:szCs w:val="21"/>
                      <w:lang w:bidi="he-IL"/>
                    </w:rPr>
                    <w:t>接管限值</w:t>
                  </w:r>
                </w:p>
              </w:tc>
              <w:tc>
                <w:tcPr>
                  <w:tcW w:w="336" w:type="pct"/>
                  <w:vMerge w:val="restart"/>
                  <w:shd w:val="clear" w:color="auto" w:fill="auto"/>
                  <w:vAlign w:val="center"/>
                </w:tcPr>
                <w:p w14:paraId="28B071C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b/>
                      <w:color w:val="000000"/>
                      <w:spacing w:val="-5"/>
                      <w:szCs w:val="21"/>
                      <w:lang w:bidi="he-IL"/>
                    </w:rPr>
                    <w:t>是否达标</w:t>
                  </w:r>
                </w:p>
              </w:tc>
            </w:tr>
            <w:tr w14:paraId="3751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9" w:type="pct"/>
                  <w:gridSpan w:val="2"/>
                  <w:vAlign w:val="center"/>
                </w:tcPr>
                <w:p w14:paraId="13F0F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样品状态</w:t>
                  </w:r>
                </w:p>
              </w:tc>
              <w:tc>
                <w:tcPr>
                  <w:tcW w:w="2687" w:type="pct"/>
                  <w:gridSpan w:val="5"/>
                  <w:vAlign w:val="center"/>
                </w:tcPr>
                <w:p w14:paraId="19C9A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无色、不透明</w:t>
                  </w:r>
                </w:p>
              </w:tc>
              <w:tc>
                <w:tcPr>
                  <w:tcW w:w="457" w:type="pct"/>
                  <w:vMerge w:val="continue"/>
                  <w:vAlign w:val="center"/>
                </w:tcPr>
                <w:p w14:paraId="23EF1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47616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3603B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7CB4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Merge w:val="restart"/>
                  <w:vAlign w:val="center"/>
                </w:tcPr>
                <w:p w14:paraId="07824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检测项目</w:t>
                  </w:r>
                </w:p>
              </w:tc>
              <w:tc>
                <w:tcPr>
                  <w:tcW w:w="428" w:type="pct"/>
                  <w:vMerge w:val="restart"/>
                  <w:vAlign w:val="center"/>
                </w:tcPr>
                <w:p w14:paraId="22A08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单位</w:t>
                  </w:r>
                </w:p>
              </w:tc>
              <w:tc>
                <w:tcPr>
                  <w:tcW w:w="2687" w:type="pct"/>
                  <w:gridSpan w:val="5"/>
                  <w:vAlign w:val="center"/>
                </w:tcPr>
                <w:p w14:paraId="68075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检测结果</w:t>
                  </w:r>
                </w:p>
              </w:tc>
              <w:tc>
                <w:tcPr>
                  <w:tcW w:w="457" w:type="pct"/>
                  <w:vMerge w:val="continue"/>
                  <w:vAlign w:val="center"/>
                </w:tcPr>
                <w:p w14:paraId="5FB02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47E3C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28465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2248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Merge w:val="continue"/>
                  <w:vAlign w:val="center"/>
                </w:tcPr>
                <w:p w14:paraId="16ACF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428" w:type="pct"/>
                  <w:vMerge w:val="continue"/>
                  <w:vAlign w:val="center"/>
                </w:tcPr>
                <w:p w14:paraId="74A6A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671" w:type="pct"/>
                  <w:gridSpan w:val="2"/>
                  <w:vAlign w:val="center"/>
                </w:tcPr>
                <w:p w14:paraId="25D19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第一次</w:t>
                  </w:r>
                </w:p>
              </w:tc>
              <w:tc>
                <w:tcPr>
                  <w:tcW w:w="671" w:type="pct"/>
                  <w:vAlign w:val="center"/>
                </w:tcPr>
                <w:p w14:paraId="5BC64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第二次</w:t>
                  </w:r>
                </w:p>
              </w:tc>
              <w:tc>
                <w:tcPr>
                  <w:tcW w:w="671" w:type="pct"/>
                  <w:vAlign w:val="center"/>
                </w:tcPr>
                <w:p w14:paraId="0E845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第三次</w:t>
                  </w:r>
                </w:p>
              </w:tc>
              <w:tc>
                <w:tcPr>
                  <w:tcW w:w="672" w:type="pct"/>
                  <w:vAlign w:val="center"/>
                </w:tcPr>
                <w:p w14:paraId="49961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第四次</w:t>
                  </w:r>
                </w:p>
              </w:tc>
              <w:tc>
                <w:tcPr>
                  <w:tcW w:w="457" w:type="pct"/>
                  <w:vMerge w:val="continue"/>
                  <w:vAlign w:val="center"/>
                </w:tcPr>
                <w:p w14:paraId="13E83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48" w:type="pct"/>
                  <w:vMerge w:val="continue"/>
                  <w:vAlign w:val="center"/>
                </w:tcPr>
                <w:p w14:paraId="63888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c>
                <w:tcPr>
                  <w:tcW w:w="336" w:type="pct"/>
                  <w:vMerge w:val="continue"/>
                  <w:vAlign w:val="center"/>
                </w:tcPr>
                <w:p w14:paraId="1A757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sz w:val="21"/>
                      <w:szCs w:val="21"/>
                      <w:lang w:val="en-US" w:eastAsia="zh-CN"/>
                    </w:rPr>
                  </w:pPr>
                </w:p>
              </w:tc>
            </w:tr>
            <w:tr w14:paraId="718D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0BF79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pH值</w:t>
                  </w:r>
                </w:p>
              </w:tc>
              <w:tc>
                <w:tcPr>
                  <w:tcW w:w="428" w:type="pct"/>
                  <w:vAlign w:val="center"/>
                </w:tcPr>
                <w:p w14:paraId="6117A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z w:val="21"/>
                      <w:szCs w:val="21"/>
                    </w:rPr>
                    <w:t>无量纲</w:t>
                  </w:r>
                </w:p>
              </w:tc>
              <w:tc>
                <w:tcPr>
                  <w:tcW w:w="671" w:type="pct"/>
                  <w:gridSpan w:val="2"/>
                  <w:vAlign w:val="center"/>
                </w:tcPr>
                <w:p w14:paraId="2DA9C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7.2（14.9℃）</w:t>
                  </w:r>
                </w:p>
              </w:tc>
              <w:tc>
                <w:tcPr>
                  <w:tcW w:w="671" w:type="pct"/>
                  <w:vAlign w:val="center"/>
                </w:tcPr>
                <w:p w14:paraId="7DB1D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7.1（15.5℃）</w:t>
                  </w:r>
                </w:p>
              </w:tc>
              <w:tc>
                <w:tcPr>
                  <w:tcW w:w="671" w:type="pct"/>
                  <w:vAlign w:val="center"/>
                </w:tcPr>
                <w:p w14:paraId="42571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7.1（15.8℃）</w:t>
                  </w:r>
                </w:p>
              </w:tc>
              <w:tc>
                <w:tcPr>
                  <w:tcW w:w="672" w:type="pct"/>
                  <w:vAlign w:val="center"/>
                </w:tcPr>
                <w:p w14:paraId="461A8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7.1（15.7℃）</w:t>
                  </w:r>
                </w:p>
              </w:tc>
              <w:tc>
                <w:tcPr>
                  <w:tcW w:w="457" w:type="pct"/>
                  <w:vAlign w:val="center"/>
                </w:tcPr>
                <w:p w14:paraId="7A04F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7.1-7.2</w:t>
                  </w:r>
                </w:p>
              </w:tc>
              <w:tc>
                <w:tcPr>
                  <w:tcW w:w="348" w:type="pct"/>
                  <w:shd w:val="clear" w:color="auto" w:fill="auto"/>
                  <w:vAlign w:val="center"/>
                </w:tcPr>
                <w:p w14:paraId="3643F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36F4F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240E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3D933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化学需氧量</w:t>
                  </w:r>
                </w:p>
              </w:tc>
              <w:tc>
                <w:tcPr>
                  <w:tcW w:w="428" w:type="pct"/>
                  <w:vAlign w:val="center"/>
                </w:tcPr>
                <w:p w14:paraId="75A82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0D81A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119</w:t>
                  </w:r>
                </w:p>
              </w:tc>
              <w:tc>
                <w:tcPr>
                  <w:tcW w:w="671" w:type="pct"/>
                  <w:vAlign w:val="center"/>
                </w:tcPr>
                <w:p w14:paraId="6EBE4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120</w:t>
                  </w:r>
                </w:p>
              </w:tc>
              <w:tc>
                <w:tcPr>
                  <w:tcW w:w="671" w:type="pct"/>
                  <w:vAlign w:val="center"/>
                </w:tcPr>
                <w:p w14:paraId="0E771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121</w:t>
                  </w:r>
                </w:p>
              </w:tc>
              <w:tc>
                <w:tcPr>
                  <w:tcW w:w="672" w:type="pct"/>
                  <w:vAlign w:val="center"/>
                </w:tcPr>
                <w:p w14:paraId="58E83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120</w:t>
                  </w:r>
                </w:p>
              </w:tc>
              <w:tc>
                <w:tcPr>
                  <w:tcW w:w="457" w:type="pct"/>
                  <w:vAlign w:val="center"/>
                </w:tcPr>
                <w:p w14:paraId="4D613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120</w:t>
                  </w:r>
                </w:p>
              </w:tc>
              <w:tc>
                <w:tcPr>
                  <w:tcW w:w="348" w:type="pct"/>
                  <w:shd w:val="clear" w:color="auto" w:fill="auto"/>
                  <w:vAlign w:val="center"/>
                </w:tcPr>
                <w:p w14:paraId="4C965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32AF1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1075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56BB9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悬浮物</w:t>
                  </w:r>
                </w:p>
              </w:tc>
              <w:tc>
                <w:tcPr>
                  <w:tcW w:w="428" w:type="pct"/>
                  <w:vAlign w:val="center"/>
                </w:tcPr>
                <w:p w14:paraId="60A6E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69687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40</w:t>
                  </w:r>
                </w:p>
              </w:tc>
              <w:tc>
                <w:tcPr>
                  <w:tcW w:w="671" w:type="pct"/>
                  <w:vAlign w:val="center"/>
                </w:tcPr>
                <w:p w14:paraId="7E7DA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46</w:t>
                  </w:r>
                </w:p>
              </w:tc>
              <w:tc>
                <w:tcPr>
                  <w:tcW w:w="671" w:type="pct"/>
                  <w:vAlign w:val="center"/>
                </w:tcPr>
                <w:p w14:paraId="33C57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43</w:t>
                  </w:r>
                </w:p>
              </w:tc>
              <w:tc>
                <w:tcPr>
                  <w:tcW w:w="672" w:type="pct"/>
                  <w:vAlign w:val="center"/>
                </w:tcPr>
                <w:p w14:paraId="50F86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47</w:t>
                  </w:r>
                </w:p>
              </w:tc>
              <w:tc>
                <w:tcPr>
                  <w:tcW w:w="457" w:type="pct"/>
                  <w:vAlign w:val="center"/>
                </w:tcPr>
                <w:p w14:paraId="7A891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44</w:t>
                  </w:r>
                </w:p>
              </w:tc>
              <w:tc>
                <w:tcPr>
                  <w:tcW w:w="348" w:type="pct"/>
                  <w:shd w:val="clear" w:color="auto" w:fill="auto"/>
                  <w:vAlign w:val="center"/>
                </w:tcPr>
                <w:p w14:paraId="0BEB1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416BE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659C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23D3B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五日生化需氧量</w:t>
                  </w:r>
                </w:p>
              </w:tc>
              <w:tc>
                <w:tcPr>
                  <w:tcW w:w="428" w:type="pct"/>
                  <w:vAlign w:val="center"/>
                </w:tcPr>
                <w:p w14:paraId="21104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01577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29.7</w:t>
                  </w:r>
                </w:p>
              </w:tc>
              <w:tc>
                <w:tcPr>
                  <w:tcW w:w="671" w:type="pct"/>
                  <w:vAlign w:val="center"/>
                </w:tcPr>
                <w:p w14:paraId="16EC5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30.4</w:t>
                  </w:r>
                </w:p>
              </w:tc>
              <w:tc>
                <w:tcPr>
                  <w:tcW w:w="671" w:type="pct"/>
                  <w:vAlign w:val="center"/>
                </w:tcPr>
                <w:p w14:paraId="3D60F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34.7</w:t>
                  </w:r>
                </w:p>
              </w:tc>
              <w:tc>
                <w:tcPr>
                  <w:tcW w:w="672" w:type="pct"/>
                  <w:vAlign w:val="center"/>
                </w:tcPr>
                <w:p w14:paraId="0A660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28.7</w:t>
                  </w:r>
                </w:p>
              </w:tc>
              <w:tc>
                <w:tcPr>
                  <w:tcW w:w="457" w:type="pct"/>
                  <w:vAlign w:val="center"/>
                </w:tcPr>
                <w:p w14:paraId="0DDAA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30.87</w:t>
                  </w:r>
                </w:p>
              </w:tc>
              <w:tc>
                <w:tcPr>
                  <w:tcW w:w="348" w:type="pct"/>
                  <w:shd w:val="clear" w:color="auto" w:fill="auto"/>
                  <w:vAlign w:val="center"/>
                </w:tcPr>
                <w:p w14:paraId="59565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4C010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4B6E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03BA2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氨氮</w:t>
                  </w:r>
                </w:p>
              </w:tc>
              <w:tc>
                <w:tcPr>
                  <w:tcW w:w="428" w:type="pct"/>
                  <w:vAlign w:val="center"/>
                </w:tcPr>
                <w:p w14:paraId="28C9B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z w:val="21"/>
                      <w:szCs w:val="21"/>
                    </w:rPr>
                    <w:t>mg/L</w:t>
                  </w:r>
                </w:p>
              </w:tc>
              <w:tc>
                <w:tcPr>
                  <w:tcW w:w="671" w:type="pct"/>
                  <w:gridSpan w:val="2"/>
                  <w:vAlign w:val="center"/>
                </w:tcPr>
                <w:p w14:paraId="37945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15.54</w:t>
                  </w:r>
                </w:p>
              </w:tc>
              <w:tc>
                <w:tcPr>
                  <w:tcW w:w="671" w:type="pct"/>
                  <w:vAlign w:val="center"/>
                </w:tcPr>
                <w:p w14:paraId="1C8B9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16.22</w:t>
                  </w:r>
                </w:p>
              </w:tc>
              <w:tc>
                <w:tcPr>
                  <w:tcW w:w="671" w:type="pct"/>
                  <w:vAlign w:val="center"/>
                </w:tcPr>
                <w:p w14:paraId="77333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16.32</w:t>
                  </w:r>
                </w:p>
              </w:tc>
              <w:tc>
                <w:tcPr>
                  <w:tcW w:w="672" w:type="pct"/>
                  <w:vAlign w:val="center"/>
                </w:tcPr>
                <w:p w14:paraId="2885B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17.45</w:t>
                  </w:r>
                </w:p>
              </w:tc>
              <w:tc>
                <w:tcPr>
                  <w:tcW w:w="457" w:type="pct"/>
                  <w:vAlign w:val="center"/>
                </w:tcPr>
                <w:p w14:paraId="5D71C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16.38</w:t>
                  </w:r>
                </w:p>
              </w:tc>
              <w:tc>
                <w:tcPr>
                  <w:tcW w:w="348" w:type="pct"/>
                  <w:shd w:val="clear" w:color="auto" w:fill="auto"/>
                  <w:vAlign w:val="center"/>
                </w:tcPr>
                <w:p w14:paraId="7F997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21F05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1DF5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vAlign w:val="center"/>
                </w:tcPr>
                <w:p w14:paraId="7C6FB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bidi="he-IL"/>
                    </w:rPr>
                  </w:pPr>
                  <w:r>
                    <w:rPr>
                      <w:rFonts w:hint="default" w:ascii="Times New Roman" w:hAnsi="Times New Roman" w:eastAsia="宋体" w:cs="Times New Roman"/>
                      <w:spacing w:val="-5"/>
                      <w:sz w:val="21"/>
                      <w:szCs w:val="21"/>
                      <w:lang w:val="en-US" w:eastAsia="zh-CN" w:bidi="he-IL"/>
                    </w:rPr>
                    <w:t>*动植物油类</w:t>
                  </w:r>
                </w:p>
              </w:tc>
              <w:tc>
                <w:tcPr>
                  <w:tcW w:w="428" w:type="pct"/>
                  <w:vAlign w:val="center"/>
                </w:tcPr>
                <w:p w14:paraId="0BBC9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671" w:type="pct"/>
                  <w:gridSpan w:val="2"/>
                  <w:vAlign w:val="center"/>
                </w:tcPr>
                <w:p w14:paraId="50F88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spacing w:val="-5"/>
                      <w:sz w:val="21"/>
                      <w:szCs w:val="21"/>
                      <w:vertAlign w:val="baseline"/>
                      <w:lang w:val="en-US" w:eastAsia="zh-CN" w:bidi="he-IL"/>
                    </w:rPr>
                  </w:pPr>
                  <w:r>
                    <w:rPr>
                      <w:rFonts w:hint="default" w:ascii="Times New Roman" w:hAnsi="Times New Roman" w:eastAsia="宋体" w:cs="Times New Roman"/>
                      <w:b w:val="0"/>
                      <w:bCs/>
                      <w:sz w:val="21"/>
                      <w:szCs w:val="21"/>
                      <w:vertAlign w:val="baseline"/>
                      <w:lang w:val="en-US" w:eastAsia="zh-CN"/>
                    </w:rPr>
                    <w:t>2.78</w:t>
                  </w:r>
                </w:p>
              </w:tc>
              <w:tc>
                <w:tcPr>
                  <w:tcW w:w="671" w:type="pct"/>
                  <w:vAlign w:val="center"/>
                </w:tcPr>
                <w:p w14:paraId="23FF5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sz w:val="21"/>
                      <w:szCs w:val="21"/>
                      <w:vertAlign w:val="baseline"/>
                      <w:lang w:val="en-US" w:eastAsia="zh-CN"/>
                    </w:rPr>
                    <w:t>2.61</w:t>
                  </w:r>
                </w:p>
              </w:tc>
              <w:tc>
                <w:tcPr>
                  <w:tcW w:w="671" w:type="pct"/>
                  <w:vAlign w:val="center"/>
                </w:tcPr>
                <w:p w14:paraId="5E2D2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sz w:val="21"/>
                      <w:szCs w:val="21"/>
                      <w:vertAlign w:val="baseline"/>
                      <w:lang w:val="en-US" w:eastAsia="zh-CN"/>
                    </w:rPr>
                    <w:t>2.66</w:t>
                  </w:r>
                </w:p>
              </w:tc>
              <w:tc>
                <w:tcPr>
                  <w:tcW w:w="672" w:type="pct"/>
                  <w:vAlign w:val="center"/>
                </w:tcPr>
                <w:p w14:paraId="21CB6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 w:val="0"/>
                      <w:bCs/>
                      <w:sz w:val="21"/>
                      <w:szCs w:val="21"/>
                      <w:vertAlign w:val="baseline"/>
                      <w:lang w:val="en-US" w:eastAsia="zh-CN"/>
                    </w:rPr>
                    <w:t>2.73</w:t>
                  </w:r>
                </w:p>
              </w:tc>
              <w:tc>
                <w:tcPr>
                  <w:tcW w:w="457" w:type="pct"/>
                  <w:vAlign w:val="center"/>
                </w:tcPr>
                <w:p w14:paraId="45353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2.70</w:t>
                  </w:r>
                </w:p>
              </w:tc>
              <w:tc>
                <w:tcPr>
                  <w:tcW w:w="348" w:type="pct"/>
                  <w:shd w:val="clear" w:color="auto" w:fill="auto"/>
                  <w:vAlign w:val="center"/>
                </w:tcPr>
                <w:p w14:paraId="3B242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336" w:type="pct"/>
                  <w:shd w:val="clear" w:color="auto" w:fill="auto"/>
                  <w:vAlign w:val="center"/>
                </w:tcPr>
                <w:p w14:paraId="6A927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r>
            <w:tr w14:paraId="280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0" w:type="pct"/>
                  <w:shd w:val="clear" w:color="auto" w:fill="auto"/>
                  <w:vAlign w:val="center"/>
                </w:tcPr>
                <w:p w14:paraId="5E0712CF">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spacing w:val="-5"/>
                      <w:sz w:val="21"/>
                      <w:szCs w:val="21"/>
                      <w:lang w:val="en-US" w:eastAsia="zh-CN" w:bidi="he-IL"/>
                    </w:rPr>
                  </w:pPr>
                  <w:r>
                    <w:rPr>
                      <w:rFonts w:hint="default" w:ascii="Times New Roman" w:hAnsi="Times New Roman" w:eastAsia="宋体" w:cs="Times New Roman"/>
                      <w:b/>
                      <w:sz w:val="21"/>
                      <w:szCs w:val="21"/>
                    </w:rPr>
                    <w:t>备注</w:t>
                  </w:r>
                </w:p>
              </w:tc>
              <w:tc>
                <w:tcPr>
                  <w:tcW w:w="4259" w:type="pct"/>
                  <w:gridSpan w:val="9"/>
                  <w:shd w:val="clear" w:color="auto" w:fill="auto"/>
                  <w:vAlign w:val="center"/>
                </w:tcPr>
                <w:p w14:paraId="602DF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本次检测中，</w:t>
                  </w:r>
                  <w:r>
                    <w:rPr>
                      <w:rFonts w:hint="default" w:ascii="Times New Roman" w:hAnsi="Times New Roman" w:eastAsia="宋体" w:cs="Times New Roman"/>
                      <w:b/>
                      <w:sz w:val="21"/>
                      <w:szCs w:val="21"/>
                      <w:lang w:val="en-US" w:eastAsia="zh-CN"/>
                    </w:rPr>
                    <w:t>*动植物油类</w:t>
                  </w:r>
                  <w:r>
                    <w:rPr>
                      <w:rFonts w:hint="default" w:ascii="Times New Roman" w:hAnsi="Times New Roman" w:eastAsia="宋体" w:cs="Times New Roman"/>
                      <w:b/>
                      <w:sz w:val="21"/>
                      <w:szCs w:val="21"/>
                      <w:lang w:eastAsia="zh-CN"/>
                    </w:rPr>
                    <w:t>为分包数据，</w:t>
                  </w:r>
                  <w:r>
                    <w:rPr>
                      <w:rFonts w:hint="default" w:ascii="Times New Roman" w:hAnsi="Times New Roman" w:eastAsia="宋体" w:cs="Times New Roman"/>
                      <w:b/>
                      <w:sz w:val="21"/>
                      <w:szCs w:val="21"/>
                      <w:lang w:val="en-US" w:eastAsia="zh-CN"/>
                    </w:rPr>
                    <w:t>*动植物油类</w:t>
                  </w:r>
                  <w:r>
                    <w:rPr>
                      <w:rFonts w:hint="default" w:ascii="Times New Roman" w:hAnsi="Times New Roman" w:eastAsia="宋体" w:cs="Times New Roman"/>
                      <w:b/>
                      <w:sz w:val="21"/>
                      <w:szCs w:val="21"/>
                      <w:lang w:eastAsia="zh-CN"/>
                    </w:rPr>
                    <w:t>数据来自于</w:t>
                  </w:r>
                  <w:r>
                    <w:rPr>
                      <w:rFonts w:hint="default" w:ascii="Times New Roman" w:hAnsi="Times New Roman" w:eastAsia="宋体" w:cs="Times New Roman"/>
                      <w:b/>
                      <w:sz w:val="21"/>
                      <w:szCs w:val="21"/>
                      <w:lang w:val="en-US" w:eastAsia="zh-CN"/>
                    </w:rPr>
                    <w:t>安徽顺诚达环境检测有限公司</w:t>
                  </w:r>
                  <w:r>
                    <w:rPr>
                      <w:rFonts w:hint="default" w:ascii="Times New Roman" w:hAnsi="Times New Roman" w:eastAsia="宋体" w:cs="Times New Roman"/>
                      <w:b/>
                      <w:sz w:val="21"/>
                      <w:szCs w:val="21"/>
                      <w:lang w:eastAsia="zh-CN"/>
                    </w:rPr>
                    <w:t>，计量认证证书编号为：</w:t>
                  </w:r>
                  <w:r>
                    <w:rPr>
                      <w:rFonts w:hint="default" w:ascii="Times New Roman" w:hAnsi="Times New Roman" w:eastAsia="宋体" w:cs="Times New Roman"/>
                      <w:b/>
                      <w:sz w:val="21"/>
                      <w:szCs w:val="21"/>
                      <w:lang w:val="en-US" w:eastAsia="zh-CN"/>
                    </w:rPr>
                    <w:t>231212050704</w:t>
                  </w:r>
                  <w:r>
                    <w:rPr>
                      <w:rFonts w:hint="default" w:ascii="Times New Roman" w:hAnsi="Times New Roman" w:eastAsia="宋体" w:cs="Times New Roman"/>
                      <w:b/>
                      <w:sz w:val="21"/>
                      <w:szCs w:val="21"/>
                      <w:lang w:eastAsia="zh-CN"/>
                    </w:rPr>
                    <w:t>，分包报告编号为：SCD20241012096。</w:t>
                  </w:r>
                </w:p>
              </w:tc>
            </w:tr>
          </w:tbl>
          <w:p w14:paraId="4E301D89">
            <w:pPr>
              <w:pStyle w:val="33"/>
              <w:keepNext w:val="0"/>
              <w:keepLines w:val="0"/>
              <w:pageBreakBefore w:val="0"/>
              <w:kinsoku/>
              <w:wordWrap/>
              <w:overflowPunct/>
              <w:topLinePunct w:val="0"/>
              <w:bidi w:val="0"/>
              <w:adjustRightInd w:val="0"/>
              <w:snapToGrid w:val="0"/>
              <w:spacing w:beforeAutospacing="0" w:afterAutospacing="0" w:line="360" w:lineRule="auto"/>
              <w:ind w:right="0" w:firstLine="480" w:firstLineChars="200"/>
              <w:jc w:val="both"/>
              <w:rPr>
                <w:rFonts w:ascii="Times New Roman" w:hAnsi="Times New Roman" w:cs="Times New Roman"/>
                <w:sz w:val="24"/>
              </w:rPr>
            </w:pPr>
            <w:r>
              <w:rPr>
                <w:rFonts w:ascii="Times New Roman" w:hAnsi="Times New Roman" w:cs="Times New Roman"/>
                <w:sz w:val="24"/>
              </w:rPr>
              <w:t>2、废</w:t>
            </w:r>
            <w:r>
              <w:rPr>
                <w:rFonts w:hint="eastAsia" w:ascii="Times New Roman" w:hAnsi="Times New Roman" w:cs="Times New Roman"/>
                <w:sz w:val="24"/>
              </w:rPr>
              <w:t>气</w:t>
            </w:r>
          </w:p>
          <w:p w14:paraId="26E9E943">
            <w:pPr>
              <w:pStyle w:val="33"/>
              <w:keepNext w:val="0"/>
              <w:keepLines w:val="0"/>
              <w:pageBreakBefore w:val="0"/>
              <w:kinsoku/>
              <w:wordWrap/>
              <w:overflowPunct/>
              <w:topLinePunct w:val="0"/>
              <w:bidi w:val="0"/>
              <w:adjustRightInd w:val="0"/>
              <w:snapToGrid w:val="0"/>
              <w:spacing w:beforeAutospacing="0" w:afterAutospacing="0" w:line="360" w:lineRule="auto"/>
              <w:ind w:right="0" w:firstLine="480" w:firstLineChars="200"/>
              <w:jc w:val="both"/>
              <w:rPr>
                <w:rFonts w:ascii="Times New Roman" w:hAnsi="Times New Roman" w:cs="Times New Roman"/>
                <w:kern w:val="2"/>
                <w:sz w:val="24"/>
              </w:rPr>
            </w:pPr>
            <w:r>
              <w:rPr>
                <w:rFonts w:hint="eastAsia" w:ascii="Times New Roman" w:hAnsi="Times New Roman" w:cs="Times New Roman"/>
                <w:kern w:val="2"/>
                <w:sz w:val="24"/>
              </w:rPr>
              <w:t>(</w:t>
            </w:r>
            <w:r>
              <w:rPr>
                <w:rFonts w:ascii="Times New Roman" w:hAnsi="Times New Roman" w:cs="Times New Roman"/>
                <w:kern w:val="2"/>
                <w:sz w:val="24"/>
              </w:rPr>
              <w:t>1)</w:t>
            </w:r>
            <w:r>
              <w:rPr>
                <w:rFonts w:hint="eastAsia" w:ascii="Times New Roman" w:hAnsi="Times New Roman" w:cs="Times New Roman"/>
                <w:kern w:val="2"/>
                <w:sz w:val="24"/>
              </w:rPr>
              <w:t>有组织</w:t>
            </w:r>
          </w:p>
          <w:p w14:paraId="76A676AB">
            <w:pPr>
              <w:pStyle w:val="33"/>
              <w:keepNext w:val="0"/>
              <w:keepLines w:val="0"/>
              <w:pageBreakBefore w:val="0"/>
              <w:kinsoku/>
              <w:wordWrap/>
              <w:overflowPunct/>
              <w:topLinePunct w:val="0"/>
              <w:bidi w:val="0"/>
              <w:adjustRightInd w:val="0"/>
              <w:snapToGrid w:val="0"/>
              <w:spacing w:beforeAutospacing="0" w:afterAutospacing="0" w:line="360" w:lineRule="auto"/>
              <w:ind w:right="0" w:firstLine="480" w:firstLineChars="200"/>
              <w:jc w:val="both"/>
              <w:rPr>
                <w:rFonts w:ascii="Times New Roman" w:hAnsi="Times New Roman" w:cs="Times New Roman"/>
                <w:kern w:val="2"/>
                <w:sz w:val="24"/>
              </w:rPr>
            </w:pPr>
            <w:r>
              <w:rPr>
                <w:rFonts w:hint="eastAsia" w:ascii="Times New Roman" w:hAnsi="Times New Roman" w:cs="Times New Roman"/>
                <w:kern w:val="2"/>
                <w:sz w:val="24"/>
              </w:rPr>
              <w:t>验收监测期间DA001焊接烟尘、砂修废气、抛丸废气</w:t>
            </w:r>
            <w:r>
              <w:rPr>
                <w:rFonts w:hint="eastAsia" w:ascii="Times New Roman" w:hAnsi="Times New Roman" w:cs="Times New Roman"/>
                <w:kern w:val="2"/>
                <w:sz w:val="24"/>
                <w:lang w:val="en-US"/>
              </w:rPr>
              <w:t>排气筒、DA002喷塑粉尘进口排气筒、DA003调漆、喷漆废气排气筒、DA004固化、丙烷燃烧废气排气筒、DA005</w:t>
            </w:r>
            <w:r>
              <w:rPr>
                <w:rFonts w:hint="eastAsia" w:ascii="Times New Roman" w:hAnsi="Times New Roman" w:cs="Times New Roman"/>
                <w:kern w:val="2"/>
                <w:sz w:val="24"/>
                <w:lang w:val="en-US"/>
              </w:rPr>
              <w:tab/>
            </w:r>
            <w:r>
              <w:rPr>
                <w:rFonts w:hint="eastAsia" w:ascii="Times New Roman" w:hAnsi="Times New Roman" w:cs="Times New Roman"/>
                <w:kern w:val="2"/>
                <w:sz w:val="24"/>
                <w:lang w:val="en-US"/>
              </w:rPr>
              <w:t>检验补喷废气排气筒</w:t>
            </w:r>
            <w:r>
              <w:rPr>
                <w:rFonts w:hint="eastAsia" w:ascii="Times New Roman" w:hAnsi="Times New Roman" w:cs="Times New Roman"/>
                <w:kern w:val="2"/>
                <w:sz w:val="24"/>
                <w:lang w:val="en-US" w:eastAsia="zh-CN"/>
              </w:rPr>
              <w:t>、DA006烘干、丙烷燃烧废气排气筒</w:t>
            </w:r>
            <w:r>
              <w:rPr>
                <w:rFonts w:hint="eastAsia" w:ascii="Times New Roman" w:hAnsi="Times New Roman" w:cs="Times New Roman"/>
                <w:kern w:val="2"/>
                <w:sz w:val="24"/>
              </w:rPr>
              <w:t>监测数据详见下列表。</w:t>
            </w:r>
          </w:p>
          <w:p w14:paraId="6B237B53">
            <w:pPr>
              <w:keepNext w:val="0"/>
              <w:keepLines w:val="0"/>
              <w:pageBreakBefore w:val="0"/>
              <w:widowControl w:val="0"/>
              <w:kinsoku/>
              <w:wordWrap/>
              <w:overflowPunct/>
              <w:topLinePunct w:val="0"/>
              <w:bidi w:val="0"/>
              <w:spacing w:beforeAutospacing="0" w:afterAutospacing="0"/>
              <w:ind w:right="0" w:firstLine="482"/>
              <w:jc w:val="center"/>
              <w:rPr>
                <w:b/>
                <w:sz w:val="24"/>
              </w:rPr>
            </w:pPr>
            <w:r>
              <w:rPr>
                <w:rFonts w:hint="eastAsia"/>
                <w:b/>
                <w:sz w:val="24"/>
              </w:rPr>
              <w:t xml:space="preserve">表 </w:t>
            </w:r>
            <w:r>
              <w:rPr>
                <w:b/>
                <w:sz w:val="24"/>
              </w:rPr>
              <w:t>7-</w:t>
            </w:r>
            <w:r>
              <w:rPr>
                <w:rFonts w:hint="eastAsia"/>
                <w:b/>
                <w:sz w:val="24"/>
              </w:rPr>
              <w:t>1有组织废气</w:t>
            </w:r>
            <w:r>
              <w:rPr>
                <w:b/>
                <w:sz w:val="24"/>
              </w:rPr>
              <w:t>监测结果</w:t>
            </w:r>
          </w:p>
          <w:p w14:paraId="4B3F0D12">
            <w:pPr>
              <w:keepNext w:val="0"/>
              <w:keepLines w:val="0"/>
              <w:pageBreakBefore w:val="0"/>
              <w:widowControl w:val="0"/>
              <w:kinsoku/>
              <w:wordWrap/>
              <w:overflowPunct/>
              <w:topLinePunct w:val="0"/>
              <w:bidi w:val="0"/>
              <w:spacing w:beforeAutospacing="0" w:afterAutospacing="0"/>
              <w:ind w:right="0" w:firstLine="482"/>
              <w:jc w:val="center"/>
              <w:rPr>
                <w:b/>
                <w:sz w:val="24"/>
              </w:rPr>
            </w:pPr>
          </w:p>
          <w:tbl>
            <w:tblPr>
              <w:tblStyle w:val="25"/>
              <w:tblW w:w="9400" w:type="dxa"/>
              <w:jc w:val="center"/>
              <w:tblLayout w:type="autofit"/>
              <w:tblCellMar>
                <w:top w:w="0" w:type="dxa"/>
                <w:left w:w="0" w:type="dxa"/>
                <w:bottom w:w="0" w:type="dxa"/>
                <w:right w:w="0" w:type="dxa"/>
              </w:tblCellMar>
            </w:tblPr>
            <w:tblGrid>
              <w:gridCol w:w="649"/>
              <w:gridCol w:w="574"/>
              <w:gridCol w:w="584"/>
              <w:gridCol w:w="1050"/>
              <w:gridCol w:w="92"/>
              <w:gridCol w:w="958"/>
              <w:gridCol w:w="188"/>
              <w:gridCol w:w="862"/>
              <w:gridCol w:w="307"/>
              <w:gridCol w:w="743"/>
              <w:gridCol w:w="8"/>
              <w:gridCol w:w="162"/>
              <w:gridCol w:w="880"/>
              <w:gridCol w:w="9"/>
              <w:gridCol w:w="39"/>
              <w:gridCol w:w="1003"/>
              <w:gridCol w:w="17"/>
              <w:gridCol w:w="991"/>
              <w:gridCol w:w="284"/>
            </w:tblGrid>
            <w:tr w14:paraId="7A3A05A7">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FB0D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D31C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D46A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DD3C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1C3AEDD9">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63D4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50E8FA2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C3FD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7C3F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3BE3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F03D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B82C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4F0BC153">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13C6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B90F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CBDF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7104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305C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D3B6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C4C2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490C39F3">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F0E9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737E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2BE6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07F6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50E9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5DD5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8F38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298F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4952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0CEA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6104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15CFB7C">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E2F049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 xml:space="preserve">DA001焊接烟尘、砂修废气、抛丸废气进口 </w:t>
                  </w:r>
                  <w:r>
                    <w:rPr>
                      <w:rFonts w:hint="default" w:ascii="Times New Roman" w:hAnsi="Times New Roman" w:eastAsia="宋体" w:cs="Times New Roman"/>
                      <w:b/>
                      <w:szCs w:val="21"/>
                    </w:rPr>
                    <w:t>6◎</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0BB6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F17B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5235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0.1963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0C3D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4E4B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74FEBB2D">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07010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E669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6CFFA">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8738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27.3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E1E4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28.1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199F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28.6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619E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461E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8369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29.6</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F481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4130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7D5759F">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87AE21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CFF01">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C8CE4">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DFA8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7.12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015E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6.89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4464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7.38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57F4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6.11</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19B2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6.66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3CB4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6.29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0106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E6DB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21362CF">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73C65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5DAE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DCC1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976E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4590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2F05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4431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183F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4738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D0B9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3893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7593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4248</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4A3D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4026</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E10B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A1CD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8B004A8">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B9840F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E36A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0D76C">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834A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391.7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6755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401.3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4F36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419.9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6C7E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401.0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767A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397.0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2613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412.0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422C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DA3B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E926F94">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6A06516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7E270">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C4BF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7BEB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1.798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5171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1.778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A9E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1.985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AE21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1.561</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9D87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1.686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6A7D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1.659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9124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14F41D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1AAFDC3">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4BD2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3755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A428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E805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1C9BE830">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B9A0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1EE51AE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EBE3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3BE8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B3D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760F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12BC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3EB58E35">
              <w:tblPrEx>
                <w:tblCellMar>
                  <w:top w:w="0" w:type="dxa"/>
                  <w:left w:w="0" w:type="dxa"/>
                  <w:bottom w:w="0" w:type="dxa"/>
                  <w:right w:w="0" w:type="dxa"/>
                </w:tblCellMar>
              </w:tblPrEx>
              <w:trPr>
                <w:trHeight w:val="315"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A6DF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BF3E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DC99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8F34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B127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F994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9827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E475C74">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EBCD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3F1A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158B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4B4E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C9C8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A225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687D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2D7D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7101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1CD72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F70D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65216EB">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BBC4C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bCs w:val="0"/>
                      <w:sz w:val="21"/>
                      <w:szCs w:val="21"/>
                      <w:lang w:val="en-US" w:eastAsia="zh-CN"/>
                    </w:rPr>
                    <w:t>DA001焊接烟尘、砂修废气、抛丸废气出口7◎</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94D5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3CEE0">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A18B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pacing w:val="-5"/>
                      <w:sz w:val="21"/>
                      <w:szCs w:val="21"/>
                      <w:lang w:val="en-US" w:eastAsia="zh-CN" w:bidi="he-IL"/>
                    </w:rPr>
                    <w:t>0.1963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E6D4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16BE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22C5FC8">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C673E9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1E23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537E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AB56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AF09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160D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1B4C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4FB2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6196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1E23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592F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509A25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38010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9A13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A8F4C">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63A0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6.23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D60F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6.34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7034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6.44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D317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4.57</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F0F6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4.70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21D2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4.70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A67A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C461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A10AB0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156229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D3135">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9E871">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D1F2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3764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A947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3806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2F1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3856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E72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2712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1F9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2789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D238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2789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006E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3F94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7AFA95F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75863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65FC0">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pacing w:val="-5"/>
                      <w:kern w:val="0"/>
                      <w:szCs w:val="21"/>
                      <w:lang w:bidi="he-IL"/>
                    </w:rPr>
                  </w:pPr>
                  <w:r>
                    <w:rPr>
                      <w:rFonts w:hint="default" w:ascii="Times New Roman" w:hAnsi="Times New Roman" w:eastAsia="宋体" w:cs="Times New Roman"/>
                      <w:b/>
                      <w:bCs/>
                      <w:spacing w:val="-5"/>
                      <w:kern w:val="0"/>
                      <w:szCs w:val="21"/>
                      <w:lang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6C6E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pacing w:val="-5"/>
                      <w:kern w:val="0"/>
                      <w:szCs w:val="21"/>
                      <w:lang w:bidi="he-IL"/>
                    </w:rPr>
                  </w:pPr>
                  <w:r>
                    <w:rPr>
                      <w:rFonts w:hint="default" w:ascii="Times New Roman" w:hAnsi="Times New Roman" w:eastAsia="宋体" w:cs="Times New Roman"/>
                      <w:bCs/>
                      <w:spacing w:val="-5"/>
                      <w:kern w:val="0"/>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9DB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A718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C43A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5.0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492F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6606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5.3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1D69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5.1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9F9D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4.816</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0AE5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D06424C">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6721C86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DD16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pacing w:val="-5"/>
                      <w:kern w:val="0"/>
                      <w:szCs w:val="21"/>
                      <w:lang w:bidi="he-IL"/>
                    </w:rPr>
                  </w:pPr>
                  <w:r>
                    <w:rPr>
                      <w:rFonts w:hint="default" w:ascii="Times New Roman" w:hAnsi="Times New Roman" w:eastAsia="宋体" w:cs="Times New Roman"/>
                      <w:b/>
                      <w:spacing w:val="-5"/>
                      <w:kern w:val="0"/>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D5216">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pacing w:val="-5"/>
                      <w:kern w:val="0"/>
                      <w:szCs w:val="21"/>
                      <w:lang w:bidi="he-IL"/>
                    </w:rPr>
                  </w:pPr>
                  <w:r>
                    <w:rPr>
                      <w:rFonts w:hint="default" w:ascii="Times New Roman" w:hAnsi="Times New Roman" w:eastAsia="宋体" w:cs="Times New Roman"/>
                      <w:bCs/>
                      <w:spacing w:val="-5"/>
                      <w:kern w:val="0"/>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6E8B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E076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56EF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56CA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565D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24EF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1B0B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0.015</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9BF6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23F6FC36">
              <w:tblPrEx>
                <w:tblCellMar>
                  <w:top w:w="0" w:type="dxa"/>
                  <w:left w:w="0" w:type="dxa"/>
                  <w:bottom w:w="0" w:type="dxa"/>
                  <w:right w:w="0" w:type="dxa"/>
                </w:tblCellMar>
              </w:tblPrEx>
              <w:trPr>
                <w:trHeight w:val="340" w:hRule="atLeast"/>
                <w:jc w:val="center"/>
              </w:trPr>
              <w:tc>
                <w:tcPr>
                  <w:tcW w:w="345" w:type="pc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42246A2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rPr>
                    <w:t>备注</w:t>
                  </w:r>
                </w:p>
              </w:tc>
              <w:tc>
                <w:tcPr>
                  <w:tcW w:w="4654" w:type="pct"/>
                  <w:gridSpan w:val="18"/>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14:paraId="0F7BAA4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14:paraId="66051541">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5A9F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6C3D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D0DD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151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5D5593A1">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C32B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22A012F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8159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663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217B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EA77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13DA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55C617A">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899E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DE29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F5D9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C692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322D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E202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FAF2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CEE116B">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D743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296C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2D07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C700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1309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8467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6C72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4E5B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74B4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317E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0EB5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2484EE31">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990267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DA002喷塑粉尘进口 8◎</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C75E4">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E756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2570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0.1963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D2CD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527B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5C65F514">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3C78CC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51A0F">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915A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4698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E1F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C81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27.1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822E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29.8</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3CE8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62CF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2E97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80EA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613D24EA">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DA39F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674FA">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F6274">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ACED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29.84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A1F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28.61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4DFA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30.25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13B4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32.92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D5FD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32.54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54CB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33.44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E879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B4A5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1EDB968">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04B98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CCDD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960BC">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C45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19198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49B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18408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A571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19400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C670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20949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9E3C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20685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7FE9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21204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640D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6AC7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55A4B07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5B9AFC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124E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B651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7DDE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366.5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5D3E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330.7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87E3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315.3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5CD3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343.7</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C85A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370.3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5D6B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321.7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8D3C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B4DC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CFB1141">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CA5DC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2919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pacing w:val="-5"/>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0D05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A26D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7.036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103A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6.088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E395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6.117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9A38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7.200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98D1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7.660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0F31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6.821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CBF1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1C31DC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6DA5CA46">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A152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CE61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328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A434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0A1486A3">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7720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1AB71EC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882E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E4CD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9976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57F7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7D1F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DBC692D">
              <w:tblPrEx>
                <w:tblCellMar>
                  <w:top w:w="0" w:type="dxa"/>
                  <w:left w:w="0" w:type="dxa"/>
                  <w:bottom w:w="0" w:type="dxa"/>
                  <w:right w:w="0" w:type="dxa"/>
                </w:tblCellMar>
              </w:tblPrEx>
              <w:trPr>
                <w:trHeight w:val="315"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F56B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FC07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D100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8D89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73CC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C2C7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41A6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3B376447">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B9DF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20F3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270A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0BBC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7FA3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8DB2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B0E6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342B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E99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6BF7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FBE9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9B94ECD">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DBB0CF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DA002喷塑粉尘出口 9◎</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13A3F">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DC72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E5E4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0.4418</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D42B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5F28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6E5F997">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0C17E6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3EBC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DE2D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EC7F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6345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C270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4FDA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C3D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29.7</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488C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61EA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B75F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3FD792F0">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B27624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4A8E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463AC">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42C7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16.32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894C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16.28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579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16.28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DC27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17.70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F59A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17.81</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A611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17.79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FB30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1FFD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F5BB101">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CEC3C4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BF69A">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2CC45">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33D2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21983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5747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21921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DE4C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21917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2D9F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23680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B91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23800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354F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23738</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5CE7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CA84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EBEB4EA">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CA7550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806BF">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pacing w:val="-5"/>
                      <w:kern w:val="0"/>
                      <w:szCs w:val="21"/>
                      <w:lang w:bidi="he-IL"/>
                    </w:rPr>
                  </w:pPr>
                  <w:r>
                    <w:rPr>
                      <w:rFonts w:hint="default" w:ascii="Times New Roman" w:hAnsi="Times New Roman" w:eastAsia="宋体" w:cs="Times New Roman"/>
                      <w:b/>
                      <w:bCs/>
                      <w:spacing w:val="-5"/>
                      <w:kern w:val="0"/>
                      <w:szCs w:val="21"/>
                      <w:lang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AF85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pacing w:val="-5"/>
                      <w:kern w:val="0"/>
                      <w:szCs w:val="21"/>
                      <w:lang w:bidi="he-IL"/>
                    </w:rPr>
                  </w:pPr>
                  <w:r>
                    <w:rPr>
                      <w:rFonts w:hint="default" w:ascii="Times New Roman" w:hAnsi="Times New Roman" w:eastAsia="宋体" w:cs="Times New Roman"/>
                      <w:bCs/>
                      <w:spacing w:val="-5"/>
                      <w:kern w:val="0"/>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01C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E2AB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3.0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68A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DB3B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F11D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7C4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506A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 xml:space="preserve">2.567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D043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7BBCF65C">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ECAE48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6454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pacing w:val="-5"/>
                      <w:kern w:val="0"/>
                      <w:szCs w:val="21"/>
                      <w:lang w:bidi="he-IL"/>
                    </w:rPr>
                  </w:pPr>
                  <w:r>
                    <w:rPr>
                      <w:rFonts w:hint="default" w:ascii="Times New Roman" w:hAnsi="Times New Roman" w:eastAsia="宋体" w:cs="Times New Roman"/>
                      <w:b/>
                      <w:spacing w:val="-5"/>
                      <w:kern w:val="0"/>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89ED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pacing w:val="-5"/>
                      <w:kern w:val="0"/>
                      <w:szCs w:val="21"/>
                      <w:lang w:bidi="he-IL"/>
                    </w:rPr>
                  </w:pPr>
                  <w:r>
                    <w:rPr>
                      <w:rFonts w:hint="default" w:ascii="Times New Roman" w:hAnsi="Times New Roman" w:eastAsia="宋体" w:cs="Times New Roman"/>
                      <w:bCs/>
                      <w:spacing w:val="-5"/>
                      <w:kern w:val="0"/>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FC9A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AED5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0.066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1D60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652F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0.069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AD62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442D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DDF0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 xml:space="preserve">0.059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CC62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08B0CDF4">
              <w:tblPrEx>
                <w:tblCellMar>
                  <w:top w:w="0" w:type="dxa"/>
                  <w:left w:w="0" w:type="dxa"/>
                  <w:bottom w:w="0" w:type="dxa"/>
                  <w:right w:w="0" w:type="dxa"/>
                </w:tblCellMar>
              </w:tblPrEx>
              <w:trPr>
                <w:trHeight w:val="340" w:hRule="atLeast"/>
                <w:jc w:val="center"/>
              </w:trPr>
              <w:tc>
                <w:tcPr>
                  <w:tcW w:w="345" w:type="pc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4ED7271F">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rPr>
                    <w:t>备注</w:t>
                  </w:r>
                </w:p>
              </w:tc>
              <w:tc>
                <w:tcPr>
                  <w:tcW w:w="4654" w:type="pct"/>
                  <w:gridSpan w:val="18"/>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14:paraId="5F69F5BA">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14:paraId="7F4CF6BC">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693C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B705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C024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4EF6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3A568CD3">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62B9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5525194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FCAF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80D4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5713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9240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6499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07AFD97E">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504B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5E88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3E0F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4208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E05E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D080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C34C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3F8986EB">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49A2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9D9A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866C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60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D69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60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DFEA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62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BF5F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485"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EB96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49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BA2D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5746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C219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54AD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09E6F6D1">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E7622E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DA003调漆、喷漆废气进口10◎</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C642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F78CC">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EC1A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0.8000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C13D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F743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75C642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4F152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3583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7CD7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C15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1AFF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pacing w:val="-5"/>
                      <w:sz w:val="21"/>
                      <w:szCs w:val="21"/>
                      <w:lang w:val="en-US" w:eastAsia="zh-CN" w:bidi="he-IL"/>
                    </w:rPr>
                    <w:t>21</w:t>
                  </w:r>
                  <w:r>
                    <w:rPr>
                      <w:rFonts w:hint="default" w:ascii="Times New Roman" w:hAnsi="Times New Roman" w:eastAsia="宋体" w:cs="Times New Roman"/>
                      <w:bCs/>
                      <w:sz w:val="21"/>
                      <w:szCs w:val="21"/>
                      <w:lang w:val="en-US" w:eastAsia="zh-CN"/>
                    </w:rPr>
                    <w:t>.8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0407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20A8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23.9</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3DC0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23.1</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B920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FE4B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B7F7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16E33E1">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1DBCD8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63CD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38965">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D3D2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4.64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60A1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4.39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67A7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4.39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AC02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5.23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29D8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5.22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97F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5.11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2CA9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F71A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2DFC0E7">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322686C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26EA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6557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CC03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12396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8858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11741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281C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11738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080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13910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207B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13921</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B0EC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13655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AB72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D451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CB3A58C">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CDE020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139A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8CB91">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581C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309.7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ACC9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298.2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35C8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300.6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3163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297.4</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1768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300.9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1267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317.7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5F23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37A4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3DF038E7">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82AB1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03A7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39924">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82DA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3.839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4B1C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3.501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5825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3.528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D7FC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4.137</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399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4.189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2F75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4.338</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7E65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250B4B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EC6B80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89B080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C786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A4122">
                  <w:pPr>
                    <w:keepNext w:val="0"/>
                    <w:keepLines w:val="0"/>
                    <w:pageBreakBefore w:val="0"/>
                    <w:widowControl w:val="0"/>
                    <w:tabs>
                      <w:tab w:val="right" w:pos="8906"/>
                    </w:tabs>
                    <w:kinsoku/>
                    <w:wordWrap/>
                    <w:overflowPunct/>
                    <w:topLinePunct w:val="0"/>
                    <w:autoSpaceDE/>
                    <w:autoSpaceDN/>
                    <w:bidi w:val="0"/>
                    <w:spacing w:beforeAutospacing="0" w:afterAutospacing="0"/>
                    <w:ind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62D1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1CFB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6274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1775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D10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9.68</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FB7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9.55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36F31">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6D9E6">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r>
            <w:tr w14:paraId="251CE9E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8B195C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E01E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FFE19">
                  <w:pPr>
                    <w:keepNext w:val="0"/>
                    <w:keepLines w:val="0"/>
                    <w:pageBreakBefore w:val="0"/>
                    <w:widowControl w:val="0"/>
                    <w:tabs>
                      <w:tab w:val="right" w:pos="8906"/>
                    </w:tabs>
                    <w:kinsoku/>
                    <w:wordWrap/>
                    <w:overflowPunct/>
                    <w:topLinePunct w:val="0"/>
                    <w:autoSpaceDE/>
                    <w:autoSpaceDN/>
                    <w:bidi w:val="0"/>
                    <w:spacing w:beforeAutospacing="0" w:afterAutospacing="0"/>
                    <w:ind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07D4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0.124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5D49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0.120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61BF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0.120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54C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0.142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151D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0.135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30A6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0.130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26286">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1B8DA">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r>
            <w:tr w14:paraId="771C9845">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49DF65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2672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D87E5">
                  <w:pPr>
                    <w:keepNext w:val="0"/>
                    <w:keepLines w:val="0"/>
                    <w:pageBreakBefore w:val="0"/>
                    <w:widowControl w:val="0"/>
                    <w:tabs>
                      <w:tab w:val="right" w:pos="8906"/>
                    </w:tabs>
                    <w:kinsoku/>
                    <w:wordWrap/>
                    <w:overflowPunct/>
                    <w:topLinePunct w:val="0"/>
                    <w:autoSpaceDE/>
                    <w:autoSpaceDN/>
                    <w:bidi w:val="0"/>
                    <w:spacing w:beforeAutospacing="0" w:afterAutospacing="0"/>
                    <w:ind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AB79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7BCD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54D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EC8F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2288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698C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62952">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675DD">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r>
            <w:tr w14:paraId="1B0CA908">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0456D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19C3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D1D73">
                  <w:pPr>
                    <w:keepNext w:val="0"/>
                    <w:keepLines w:val="0"/>
                    <w:pageBreakBefore w:val="0"/>
                    <w:widowControl w:val="0"/>
                    <w:tabs>
                      <w:tab w:val="right" w:pos="8906"/>
                    </w:tabs>
                    <w:kinsoku/>
                    <w:wordWrap/>
                    <w:overflowPunct/>
                    <w:topLinePunct w:val="0"/>
                    <w:autoSpaceDE/>
                    <w:autoSpaceDN/>
                    <w:bidi w:val="0"/>
                    <w:spacing w:beforeAutospacing="0" w:afterAutospacing="0"/>
                    <w:ind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F122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&lt;1.859x10</w:t>
                  </w:r>
                  <w:r>
                    <w:rPr>
                      <w:rFonts w:hint="default" w:ascii="Times New Roman" w:hAnsi="Times New Roman" w:eastAsia="宋体" w:cs="Times New Roman"/>
                      <w:bCs/>
                      <w:sz w:val="21"/>
                      <w:szCs w:val="21"/>
                      <w:vertAlign w:val="superscript"/>
                      <w:lang w:val="en-US" w:eastAsia="zh-CN"/>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1404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&lt;1.761x10</w:t>
                  </w:r>
                  <w:r>
                    <w:rPr>
                      <w:rFonts w:hint="default" w:ascii="Times New Roman" w:hAnsi="Times New Roman" w:eastAsia="宋体" w:cs="Times New Roman"/>
                      <w:bCs/>
                      <w:sz w:val="21"/>
                      <w:szCs w:val="21"/>
                      <w:vertAlign w:val="superscript"/>
                      <w:lang w:val="en-US" w:eastAsia="zh-CN"/>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58EE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&lt;1.761x10</w:t>
                  </w:r>
                  <w:r>
                    <w:rPr>
                      <w:rFonts w:hint="default" w:ascii="Times New Roman" w:hAnsi="Times New Roman" w:eastAsia="宋体" w:cs="Times New Roman"/>
                      <w:bCs/>
                      <w:sz w:val="21"/>
                      <w:szCs w:val="21"/>
                      <w:vertAlign w:val="superscript"/>
                      <w:lang w:val="en-US" w:eastAsia="zh-CN"/>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79D9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&lt;2.086x10</w:t>
                  </w:r>
                  <w:r>
                    <w:rPr>
                      <w:rFonts w:hint="default" w:ascii="Times New Roman" w:hAnsi="Times New Roman" w:eastAsia="宋体" w:cs="Times New Roman"/>
                      <w:bCs/>
                      <w:sz w:val="21"/>
                      <w:szCs w:val="21"/>
                      <w:vertAlign w:val="superscript"/>
                      <w:lang w:val="en-US" w:eastAsia="zh-CN"/>
                    </w:rPr>
                    <w:t>-5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A687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&lt;2.088x10</w:t>
                  </w:r>
                  <w:r>
                    <w:rPr>
                      <w:rFonts w:hint="default" w:ascii="Times New Roman" w:hAnsi="Times New Roman" w:eastAsia="宋体" w:cs="Times New Roman"/>
                      <w:bCs/>
                      <w:sz w:val="21"/>
                      <w:szCs w:val="21"/>
                      <w:vertAlign w:val="superscript"/>
                      <w:lang w:val="en-US" w:eastAsia="zh-CN"/>
                    </w:rPr>
                    <w:t>-5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8EDB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&lt;2.048x10</w:t>
                  </w:r>
                  <w:r>
                    <w:rPr>
                      <w:rFonts w:hint="default" w:ascii="Times New Roman" w:hAnsi="Times New Roman" w:eastAsia="宋体" w:cs="Times New Roman"/>
                      <w:bCs/>
                      <w:sz w:val="21"/>
                      <w:szCs w:val="21"/>
                      <w:vertAlign w:val="superscript"/>
                      <w:lang w:val="en-US" w:eastAsia="zh-CN"/>
                    </w:rPr>
                    <w:t>-5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75C9B">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6AF8ED">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top"/>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Cs w:val="21"/>
                      <w:lang w:bidi="ar"/>
                    </w:rPr>
                    <w:t>/</w:t>
                  </w:r>
                </w:p>
              </w:tc>
            </w:tr>
            <w:tr w14:paraId="317912E9">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A567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9BD2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8A68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C5C6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61DC7A73">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47A0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1288ED1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514F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19C6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5FE0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3B76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7623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73F1DE1">
              <w:tblPrEx>
                <w:tblCellMar>
                  <w:top w:w="0" w:type="dxa"/>
                  <w:left w:w="0" w:type="dxa"/>
                  <w:bottom w:w="0" w:type="dxa"/>
                  <w:right w:w="0" w:type="dxa"/>
                </w:tblCellMar>
              </w:tblPrEx>
              <w:trPr>
                <w:trHeight w:val="315"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85AE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EF8E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FAF6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675"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F7FC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676" w:type="pct"/>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14AF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D92F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23E8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AB9018A">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B037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3FB0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25E6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FAFB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E32E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099A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D2F5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E801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FA8A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680A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CFDB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7EE1948">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E11F46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DA003调漆、喷漆废气出口11◎</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CDE4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B7EE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3DA9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0.7854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4D69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F6F5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1CCEF3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23C985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C1DC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3323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7FE7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AC8D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84E1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7559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87B9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D6F3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8140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742F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15C224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C145B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7BDC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0CDB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9E1D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3.83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F003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3.68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6396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3.52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4264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4.26</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AC4F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4.25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6527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4.24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45D8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A5B3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67D8ADC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4C8E9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7E5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87E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F83D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9360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42A7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9011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4E2A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8613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626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10358</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5089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10393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45B1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10399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7EC0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8CBA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D7445E6">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7BBB2FA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7BFE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bCs/>
                      <w:spacing w:val="-5"/>
                      <w:kern w:val="0"/>
                      <w:sz w:val="21"/>
                      <w:szCs w:val="21"/>
                      <w:lang w:val="en-US" w:eastAsia="zh-CN"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0D21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533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8AEC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C471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0D1C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D0E3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3504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BEB1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2"/>
                      <w:sz w:val="21"/>
                      <w:szCs w:val="21"/>
                      <w:lang w:val="en-US" w:eastAsia="zh-CN" w:bidi="he-IL"/>
                    </w:rPr>
                    <w:t xml:space="preserve">1.000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9024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5EAB830">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E8289B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75AB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1150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101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4B56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0872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9E0D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&lt;0.010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B951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&lt;0.010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0A1A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07BE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2"/>
                      <w:sz w:val="21"/>
                      <w:szCs w:val="21"/>
                      <w:lang w:val="en-US" w:eastAsia="zh-CN" w:bidi="he-IL"/>
                    </w:rPr>
                    <w:t xml:space="preserve">0.010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3165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72AB7217">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29AA5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5791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4423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DAFE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3234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67F8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A927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2.26</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79C7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2.09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D0C7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7C9E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2"/>
                      <w:sz w:val="21"/>
                      <w:szCs w:val="21"/>
                      <w:lang w:val="en-US" w:eastAsia="zh-CN" w:bidi="he-IL"/>
                    </w:rPr>
                    <w:t xml:space="preserve">2.160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943DF">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48DD4FA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6DB2FD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D277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7101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9235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0.020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05AD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BCA8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0.019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E0BD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0.023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0EC4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0.022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9C01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0.023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9E62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2"/>
                      <w:sz w:val="21"/>
                      <w:szCs w:val="21"/>
                      <w:lang w:val="en-US" w:eastAsia="zh-CN" w:bidi="he-IL"/>
                    </w:rPr>
                    <w:t xml:space="preserve">0.021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447DE">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390DDE7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8492A8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82D4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5F4C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1637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921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7089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5F47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99DF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E65E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2D45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&lt;</w:t>
                  </w:r>
                  <w:r>
                    <w:rPr>
                      <w:rFonts w:hint="default" w:ascii="Times New Roman" w:hAnsi="Times New Roman" w:eastAsia="宋体" w:cs="Times New Roman"/>
                      <w:i w:val="0"/>
                      <w:iCs w:val="0"/>
                      <w:color w:val="000000"/>
                      <w:kern w:val="0"/>
                      <w:sz w:val="21"/>
                      <w:szCs w:val="21"/>
                      <w:u w:val="none"/>
                      <w:lang w:val="en-US" w:eastAsia="zh-CN" w:bidi="ar"/>
                    </w:rPr>
                    <w:t>0.0015</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A3486">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597A076F">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AA6A7C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6D03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59E6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1C46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&lt;1.404×10</w:t>
                  </w:r>
                  <w:r>
                    <w:rPr>
                      <w:rFonts w:hint="default" w:ascii="Times New Roman" w:hAnsi="Times New Roman" w:eastAsia="宋体" w:cs="Times New Roman"/>
                      <w:bCs/>
                      <w:spacing w:val="-5"/>
                      <w:sz w:val="21"/>
                      <w:szCs w:val="21"/>
                      <w:vertAlign w:val="superscript"/>
                      <w:lang w:val="en-US" w:eastAsia="zh-CN" w:bidi="he-IL"/>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98C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&lt;1.352</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E3DC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&lt;1.292</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18BC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&lt;1.554×10</w:t>
                  </w:r>
                  <w:r>
                    <w:rPr>
                      <w:rFonts w:hint="default" w:ascii="Times New Roman" w:hAnsi="Times New Roman" w:eastAsia="宋体" w:cs="Times New Roman"/>
                      <w:bCs/>
                      <w:spacing w:val="-5"/>
                      <w:sz w:val="21"/>
                      <w:szCs w:val="21"/>
                      <w:vertAlign w:val="superscript"/>
                      <w:lang w:val="en-US" w:eastAsia="zh-CN" w:bidi="he-IL"/>
                    </w:rPr>
                    <w:t>-5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048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&lt;1.559</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0471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&lt;1.560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3916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eastAsia" w:ascii="Times New Roman" w:hAnsi="Times New Roman" w:eastAsia="宋体" w:cs="Times New Roman"/>
                      <w:bCs/>
                      <w:spacing w:val="-5"/>
                      <w:sz w:val="21"/>
                      <w:szCs w:val="21"/>
                      <w:lang w:val="en-US" w:eastAsia="zh-CN" w:bidi="he-IL"/>
                    </w:rPr>
                    <w:t>&lt;</w:t>
                  </w:r>
                  <w:r>
                    <w:rPr>
                      <w:rFonts w:hint="default" w:ascii="Times New Roman" w:hAnsi="Times New Roman" w:eastAsia="宋体" w:cs="Times New Roman"/>
                      <w:bCs/>
                      <w:spacing w:val="-5"/>
                      <w:sz w:val="21"/>
                      <w:szCs w:val="21"/>
                      <w:lang w:val="en-US" w:eastAsia="zh-CN" w:bidi="he-IL"/>
                    </w:rPr>
                    <w:t>1.454×</w:t>
                  </w:r>
                  <w:r>
                    <w:rPr>
                      <w:rFonts w:hint="eastAsia"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B1549">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17914FB7">
              <w:tblPrEx>
                <w:tblCellMar>
                  <w:top w:w="0" w:type="dxa"/>
                  <w:left w:w="0" w:type="dxa"/>
                  <w:bottom w:w="0" w:type="dxa"/>
                  <w:right w:w="0" w:type="dxa"/>
                </w:tblCellMar>
              </w:tblPrEx>
              <w:trPr>
                <w:trHeight w:val="340" w:hRule="atLeast"/>
                <w:jc w:val="center"/>
              </w:trPr>
              <w:tc>
                <w:tcPr>
                  <w:tcW w:w="345" w:type="pc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0D668C0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rPr>
                    <w:t>备注</w:t>
                  </w:r>
                </w:p>
              </w:tc>
              <w:tc>
                <w:tcPr>
                  <w:tcW w:w="4654" w:type="pct"/>
                  <w:gridSpan w:val="18"/>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14:paraId="74F525B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14:paraId="2112155E">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031B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8959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E360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22F2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0D17A569">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3500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5706BE9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005D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80EC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1E5E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661E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A5F6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72F13B93">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5B55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9AE9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1521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E544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56AA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0B08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54FD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5EF30A3F">
              <w:tblPrEx>
                <w:tblCellMar>
                  <w:top w:w="0" w:type="dxa"/>
                  <w:left w:w="0" w:type="dxa"/>
                  <w:bottom w:w="0" w:type="dxa"/>
                  <w:right w:w="0" w:type="dxa"/>
                </w:tblCellMar>
              </w:tblPrEx>
              <w:trPr>
                <w:trHeight w:val="4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590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BD89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0C8B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8892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1A16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DFEC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C46A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E732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06B0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A9B2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618F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63639842">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23DB3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DA004固化、丙烷燃烧废气进口 12◎</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3762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878C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712C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0.0707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C15A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CCB3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622FB90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25A2D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8627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949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D11D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35A7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5C8D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6DF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30.1</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F214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30.8</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4FBB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E433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35C1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7BAC1964">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7FF4B39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AEA0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6740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89FC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5179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36D7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2.56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8F25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BA8C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101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AA5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EE68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3AD87576">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EA50FF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28E6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8322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DFAB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468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688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499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FDC3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590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81DD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518</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D02A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514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7D1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466</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A81E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7E57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32254575">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92EA5B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C53E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5D8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98DF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20.6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913F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9EB4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97C2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22.8</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6C89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6AC1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2496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7AA7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FDD351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BC06C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1EF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E90D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C425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B067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BF5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A29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BEBA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A3C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98B8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AD1CF5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0A98BB6">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B2A3B5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CEEB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ECAD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701E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2138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0.0246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D039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6513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0.0352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0725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0.0324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4529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8F3D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D894AC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r>
            <w:tr w14:paraId="78F5CF58">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934A79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0062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C05F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86D7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&lt;7.020×10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E2BF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&lt;7.485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A5F6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&lt;8.850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BC4C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1.823×10</w:t>
                  </w:r>
                  <w:r>
                    <w:rPr>
                      <w:rFonts w:hint="default" w:ascii="Times New Roman" w:hAnsi="Times New Roman" w:eastAsia="宋体" w:cs="Times New Roman"/>
                      <w:bCs/>
                      <w:spacing w:val="-5"/>
                      <w:sz w:val="21"/>
                      <w:szCs w:val="21"/>
                      <w:vertAlign w:val="superscript"/>
                      <w:lang w:val="en-US" w:eastAsia="zh-CN" w:bidi="he-IL"/>
                    </w:rPr>
                    <w:t>-5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3F05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1.665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4357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&lt;6.990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57FB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DDB8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r>
            <w:tr w14:paraId="29C4716E">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1D26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E55D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295C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7763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1FC5F1B6">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F619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4485EE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DB90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2A55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C43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B4EF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3C92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5A731CE1">
              <w:tblPrEx>
                <w:tblCellMar>
                  <w:top w:w="0" w:type="dxa"/>
                  <w:left w:w="0" w:type="dxa"/>
                  <w:bottom w:w="0" w:type="dxa"/>
                  <w:right w:w="0" w:type="dxa"/>
                </w:tblCellMar>
              </w:tblPrEx>
              <w:trPr>
                <w:trHeight w:val="315"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5ECD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87F7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84FE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8EF3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752A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4A5F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C9D2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171BCFBC">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D7E3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092C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5E5B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A1B7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47FA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3C5A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4A10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99AB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908F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BA15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3C3A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726E6C24">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9A812E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DA004固化、丙烷燃烧废气出口 13◎</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5345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B14A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8132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0.0707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A662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36DA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6AB268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6BBB657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BB6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203C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B3BB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523C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1526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406D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29.2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2190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31.5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D0FE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33.4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A812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BC32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744373C">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CEADEF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BA2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含氧量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03CE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9E66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20.70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DCA9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20.60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D628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20.70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8B78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20.60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CDD4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20.50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B23D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20.70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F0D2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1C93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A95C3BD">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22B4E0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CFD9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8540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4185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AFB4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4376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5AE3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1.52</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8FBA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930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5CB7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34CB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555F19C7">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06529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838D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329D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8264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540F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36DE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AD3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325</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452A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59DF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00A09">
                  <w:pPr>
                    <w:keepNext w:val="0"/>
                    <w:keepLines w:val="0"/>
                    <w:pageBreakBefore w:val="0"/>
                    <w:widowControl/>
                    <w:kinsoku/>
                    <w:wordWrap/>
                    <w:overflowPunct/>
                    <w:topLinePunct w:val="0"/>
                    <w:autoSpaceDE/>
                    <w:autoSpaceDN/>
                    <w:bidi w:val="0"/>
                    <w:spacing w:beforeAutospacing="0" w:afterAutospacing="0"/>
                    <w:ind w:right="0" w:firstLine="0"/>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B348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r>
            <w:tr w14:paraId="70D83000">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8934F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B049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bCs/>
                      <w:spacing w:val="-5"/>
                      <w:kern w:val="0"/>
                      <w:sz w:val="21"/>
                      <w:szCs w:val="21"/>
                      <w:lang w:val="en-US" w:eastAsia="zh-CN"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8E05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DDA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 &lt;1.0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873A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 &lt;1.0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0125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 &lt;1.0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230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5678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1B79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908D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1.0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CC0E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1EA40B54">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9536DB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3D0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D14C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1DE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&lt;2.310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750B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&lt;3.260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6FE7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&lt;3.250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129B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&lt;3.250×10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B6F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&lt;3.240×10</w:t>
                  </w:r>
                  <w:r>
                    <w:rPr>
                      <w:rFonts w:hint="default" w:ascii="Times New Roman" w:hAnsi="Times New Roman" w:eastAsia="宋体" w:cs="Times New Roman"/>
                      <w:bCs/>
                      <w:spacing w:val="-5"/>
                      <w:sz w:val="21"/>
                      <w:szCs w:val="21"/>
                      <w:vertAlign w:val="superscript"/>
                      <w:lang w:val="en-US" w:eastAsia="zh-CN" w:bidi="he-IL"/>
                    </w:rPr>
                    <w:t>-4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512A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&lt;3.220×10</w:t>
                  </w:r>
                  <w:r>
                    <w:rPr>
                      <w:rFonts w:hint="default" w:ascii="Times New Roman" w:hAnsi="Times New Roman" w:eastAsia="宋体" w:cs="Times New Roman"/>
                      <w:bCs/>
                      <w:spacing w:val="-5"/>
                      <w:sz w:val="21"/>
                      <w:szCs w:val="21"/>
                      <w:vertAlign w:val="superscript"/>
                      <w:lang w:val="en-US" w:eastAsia="zh-CN" w:bidi="he-IL"/>
                    </w:rPr>
                    <w:t>-4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41E3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&lt;</w:t>
                  </w:r>
                  <w:r>
                    <w:rPr>
                      <w:rFonts w:hint="default" w:ascii="Times New Roman" w:hAnsi="Times New Roman" w:eastAsia="宋体" w:cs="Times New Roman"/>
                      <w:bCs/>
                      <w:spacing w:val="-5"/>
                      <w:sz w:val="21"/>
                      <w:szCs w:val="21"/>
                      <w:lang w:val="en-US" w:eastAsia="zh-CN" w:bidi="he-IL"/>
                    </w:rPr>
                    <w:t>3.088×10</w:t>
                  </w:r>
                  <w:r>
                    <w:rPr>
                      <w:rFonts w:hint="default" w:ascii="Times New Roman" w:hAnsi="Times New Roman" w:eastAsia="宋体" w:cs="Times New Roman"/>
                      <w:bCs/>
                      <w:spacing w:val="-5"/>
                      <w:sz w:val="21"/>
                      <w:szCs w:val="21"/>
                      <w:vertAlign w:val="superscript"/>
                      <w:lang w:val="en-US" w:eastAsia="zh-CN" w:bidi="he-IL"/>
                    </w:rPr>
                    <w:t>-4</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DA49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28B55C2A">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76E8BB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CAF0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二氧化硫</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57E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1735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BFAA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0854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3103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4531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6C92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303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&lt;</w:t>
                  </w:r>
                  <w:r>
                    <w:rPr>
                      <w:rFonts w:hint="default" w:ascii="Times New Roman" w:hAnsi="Times New Roman" w:eastAsia="宋体" w:cs="Times New Roman"/>
                      <w:bCs/>
                      <w:spacing w:val="-5"/>
                      <w:sz w:val="21"/>
                      <w:szCs w:val="21"/>
                      <w:lang w:val="en-US" w:eastAsia="zh-CN" w:bidi="he-IL"/>
                    </w:rPr>
                    <w:t xml:space="preserve">3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84A8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7173AAEF">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04317D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2348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7C2A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084E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A615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4A7D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A6FD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8984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FF17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FE7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85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F704FCB">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D8443A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E796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氮氧化物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2342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6F6E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310D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06FD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A170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56F6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D303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6CB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3.667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56E0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4D211306">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7EE15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F3E5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22ED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1179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C2FF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9F72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4705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0.001</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5779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&lt;0.001</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A014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0.001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70EA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0.001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638D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3A29CB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04AF8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4F97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DEC2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39FD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BBE1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2.14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48B1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2.22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E437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2.46</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09D9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2.37</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9833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2.62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EE95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2.342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054C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7E78E45E">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8BCDEA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B1B5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DEF7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4D57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5.174x10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FA85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6.976x10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A1D7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7.215x10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E8D7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spacing w:val="-5"/>
                      <w:kern w:val="2"/>
                      <w:sz w:val="21"/>
                      <w:szCs w:val="21"/>
                      <w:u w:val="none"/>
                      <w:lang w:val="en-US" w:eastAsia="zh-CN" w:bidi="he-IL"/>
                    </w:rPr>
                  </w:pPr>
                  <w:r>
                    <w:rPr>
                      <w:rFonts w:hint="default" w:ascii="Times New Roman" w:hAnsi="Times New Roman" w:eastAsia="宋体" w:cs="Times New Roman"/>
                      <w:i w:val="0"/>
                      <w:iCs w:val="0"/>
                      <w:color w:val="000000"/>
                      <w:spacing w:val="-5"/>
                      <w:kern w:val="0"/>
                      <w:sz w:val="21"/>
                      <w:szCs w:val="21"/>
                      <w:u w:val="none"/>
                      <w:lang w:val="en-US" w:eastAsia="zh-CN" w:bidi="ar"/>
                    </w:rPr>
                    <w:t>7.995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7446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spacing w:val="-5"/>
                      <w:kern w:val="2"/>
                      <w:sz w:val="21"/>
                      <w:szCs w:val="21"/>
                      <w:u w:val="none"/>
                      <w:lang w:val="en-US" w:eastAsia="zh-CN" w:bidi="he-IL"/>
                    </w:rPr>
                  </w:pPr>
                  <w:r>
                    <w:rPr>
                      <w:rFonts w:hint="default" w:ascii="Times New Roman" w:hAnsi="Times New Roman" w:eastAsia="宋体" w:cs="Times New Roman"/>
                      <w:i w:val="0"/>
                      <w:iCs w:val="0"/>
                      <w:color w:val="000000"/>
                      <w:spacing w:val="-5"/>
                      <w:kern w:val="0"/>
                      <w:sz w:val="21"/>
                      <w:szCs w:val="21"/>
                      <w:u w:val="none"/>
                      <w:lang w:val="en-US" w:eastAsia="zh-CN" w:bidi="ar"/>
                    </w:rPr>
                    <w:t>7.679</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A09B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spacing w:val="-5"/>
                      <w:kern w:val="2"/>
                      <w:sz w:val="21"/>
                      <w:szCs w:val="21"/>
                      <w:u w:val="none"/>
                      <w:lang w:val="en-US" w:eastAsia="zh-CN" w:bidi="he-IL"/>
                    </w:rPr>
                  </w:pPr>
                  <w:r>
                    <w:rPr>
                      <w:rFonts w:hint="default" w:ascii="Times New Roman" w:hAnsi="Times New Roman" w:eastAsia="宋体" w:cs="Times New Roman"/>
                      <w:i w:val="0"/>
                      <w:iCs w:val="0"/>
                      <w:color w:val="000000"/>
                      <w:spacing w:val="-5"/>
                      <w:kern w:val="0"/>
                      <w:sz w:val="21"/>
                      <w:szCs w:val="21"/>
                      <w:u w:val="none"/>
                      <w:lang w:val="en-US" w:eastAsia="zh-CN" w:bidi="ar"/>
                    </w:rPr>
                    <w:t>8.436</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B299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7.246×10</w:t>
                  </w:r>
                  <w:r>
                    <w:rPr>
                      <w:rFonts w:hint="default" w:ascii="Times New Roman" w:hAnsi="Times New Roman" w:eastAsia="宋体" w:cs="Times New Roman"/>
                      <w:bCs/>
                      <w:spacing w:val="-5"/>
                      <w:sz w:val="21"/>
                      <w:szCs w:val="21"/>
                      <w:vertAlign w:val="superscript"/>
                      <w:lang w:val="en-US" w:eastAsia="zh-CN" w:bidi="he-IL"/>
                    </w:rPr>
                    <w:t>-4</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0726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223F47A">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8A1772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39F9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3142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E868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A46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ABF8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F5E0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9834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4BCA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1814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&lt;0.0015</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B730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6EB7B2F0">
              <w:tblPrEx>
                <w:tblCellMar>
                  <w:top w:w="0" w:type="dxa"/>
                  <w:left w:w="0" w:type="dxa"/>
                  <w:bottom w:w="0" w:type="dxa"/>
                  <w:right w:w="0" w:type="dxa"/>
                </w:tblCellMar>
              </w:tblPrEx>
              <w:trPr>
                <w:trHeight w:val="447"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5109279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98EB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BCCD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6A60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&lt;3.465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7A72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&lt;4.890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9DCE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&lt;4.875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7878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&lt;4.875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3204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&lt;4.860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8C1D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&lt;4.830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7771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&lt;</w:t>
                  </w:r>
                  <w:r>
                    <w:rPr>
                      <w:rFonts w:hint="default" w:ascii="Times New Roman" w:hAnsi="Times New Roman" w:eastAsia="宋体" w:cs="Times New Roman"/>
                      <w:bCs/>
                      <w:spacing w:val="-5"/>
                      <w:sz w:val="21"/>
                      <w:szCs w:val="21"/>
                      <w:lang w:val="en-US" w:eastAsia="zh-CN" w:bidi="he-IL"/>
                    </w:rPr>
                    <w:t>4.633×10</w:t>
                  </w:r>
                  <w:r>
                    <w:rPr>
                      <w:rFonts w:hint="default" w:ascii="Times New Roman" w:hAnsi="Times New Roman" w:eastAsia="宋体" w:cs="Times New Roman"/>
                      <w:bCs/>
                      <w:spacing w:val="-5"/>
                      <w:sz w:val="21"/>
                      <w:szCs w:val="21"/>
                      <w:vertAlign w:val="superscript"/>
                      <w:lang w:val="en-US" w:eastAsia="zh-CN" w:bidi="he-IL"/>
                    </w:rPr>
                    <w:t>-7</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3737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34646195">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47E4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60" w:type="pct"/>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F142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r>
                    <w:rPr>
                      <w:rFonts w:hint="default" w:ascii="Times New Roman" w:hAnsi="Times New Roman" w:eastAsia="宋体" w:cs="Times New Roman"/>
                      <w:b/>
                      <w:bCs w:val="0"/>
                      <w:spacing w:val="-5"/>
                      <w:sz w:val="21"/>
                      <w:szCs w:val="21"/>
                      <w:lang w:val="en-US" w:eastAsia="zh-CN" w:bidi="he-IL"/>
                    </w:rPr>
                    <w:t>-</w:t>
                  </w:r>
                </w:p>
              </w:tc>
              <w:tc>
                <w:tcPr>
                  <w:tcW w:w="5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FD10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r>
                    <w:rPr>
                      <w:rFonts w:hint="default" w:ascii="Times New Roman" w:hAnsi="Times New Roman" w:eastAsia="宋体" w:cs="Times New Roman"/>
                      <w:b/>
                      <w:bCs w:val="0"/>
                      <w:spacing w:val="-5"/>
                      <w:sz w:val="21"/>
                      <w:szCs w:val="21"/>
                      <w:lang w:val="en-US" w:eastAsia="zh-CN" w:bidi="he-IL"/>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54F8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3203F770">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1D39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4503F6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414F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A5D6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60" w:type="pct"/>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D1AF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r>
                    <w:rPr>
                      <w:rFonts w:hint="default" w:ascii="Times New Roman" w:hAnsi="Times New Roman" w:eastAsia="宋体" w:cs="Times New Roman"/>
                      <w:b/>
                      <w:bCs w:val="0"/>
                      <w:spacing w:val="-5"/>
                      <w:sz w:val="21"/>
                      <w:szCs w:val="21"/>
                      <w:lang w:val="en-US" w:eastAsia="zh-CN" w:bidi="he-IL"/>
                    </w:rPr>
                    <w:t>采样日期</w:t>
                  </w: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7A94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9604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5AE47302">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26AE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C09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1199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675"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7B5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685" w:type="pct"/>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69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r>
                    <w:rPr>
                      <w:rFonts w:hint="default" w:ascii="Times New Roman" w:hAnsi="Times New Roman" w:eastAsia="宋体" w:cs="Times New Roman"/>
                      <w:b/>
                      <w:bCs w:val="0"/>
                      <w:spacing w:val="-5"/>
                      <w:sz w:val="21"/>
                      <w:szCs w:val="21"/>
                      <w:lang w:val="en-US" w:eastAsia="zh-CN" w:bidi="he-IL"/>
                    </w:rPr>
                    <w:t>2024.10.11</w:t>
                  </w: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609F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26C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30972FD3">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C0C6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52AD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88E7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EC5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2A39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C6AD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F8B0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AA3A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6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7A27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r>
                    <w:rPr>
                      <w:rFonts w:hint="default" w:ascii="Times New Roman" w:hAnsi="Times New Roman" w:eastAsia="宋体" w:cs="Times New Roman"/>
                      <w:b/>
                      <w:bCs w:val="0"/>
                      <w:spacing w:val="-5"/>
                      <w:sz w:val="21"/>
                      <w:szCs w:val="21"/>
                      <w:lang w:val="en-US" w:eastAsia="zh-CN" w:bidi="he-IL"/>
                    </w:rPr>
                    <w:t>第三次</w:t>
                  </w: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95B5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bCs w:val="0"/>
                      <w:spacing w:val="-5"/>
                      <w:sz w:val="21"/>
                      <w:szCs w:val="21"/>
                      <w:lang w:val="en-US" w:eastAsia="zh-CN" w:bidi="he-IL"/>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1B21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42A62DDE">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BA7085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DA005检验补喷废气出口14◎</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632FF">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FC86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2</w:t>
                  </w:r>
                </w:p>
              </w:tc>
              <w:tc>
                <w:tcPr>
                  <w:tcW w:w="3360" w:type="pct"/>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2E8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0.1963</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603B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F67C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7E283811">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F06B08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0E935">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2D8B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2F1C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24.2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C79F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24.4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4FD7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24.7</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932C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39C5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30.5</w:t>
                  </w:r>
                </w:p>
              </w:tc>
              <w:tc>
                <w:tcPr>
                  <w:tcW w:w="56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8316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30.3</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ACBE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4575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C5A2EC5">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7B33E5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5DDEF">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9A040">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C845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22.94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F86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22.97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C76D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22.91</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3F69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25.73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18B9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25.76</w:t>
                  </w:r>
                </w:p>
              </w:tc>
              <w:tc>
                <w:tcPr>
                  <w:tcW w:w="56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88A6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25.76</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2D5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077B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5652EC24">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40641BD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CC0D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9566">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57A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13829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B18C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13837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9FDE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13788</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9235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15168</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0F36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15206</w:t>
                  </w:r>
                </w:p>
              </w:tc>
              <w:tc>
                <w:tcPr>
                  <w:tcW w:w="56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FCA5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15214</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53E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B580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7D375CE5">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64B311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3C10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86235">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B7D9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938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0C24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3.7</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9F4F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A396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3.6</w:t>
                  </w:r>
                </w:p>
              </w:tc>
              <w:tc>
                <w:tcPr>
                  <w:tcW w:w="56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A1AA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3C87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3.633 </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0BF2E">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0A337ACA">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E367AF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8C216">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
                      <w:spacing w:val="-5"/>
                      <w:szCs w:val="21"/>
                      <w:lang w:bidi="he-IL"/>
                    </w:rPr>
                  </w:pPr>
                  <w:r>
                    <w:rPr>
                      <w:rFonts w:hint="default" w:ascii="Times New Roman" w:hAnsi="Times New Roman" w:eastAsia="宋体" w:cs="Times New Roman"/>
                      <w:b/>
                      <w:szCs w:val="21"/>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9413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ascii="Times New Roman" w:hAnsi="Times New Roman" w:eastAsia="宋体" w:cs="Times New Roman"/>
                      <w:bCs/>
                      <w:spacing w:val="-5"/>
                      <w:szCs w:val="21"/>
                      <w:lang w:bidi="he-IL"/>
                    </w:rPr>
                  </w:pPr>
                  <w:r>
                    <w:rPr>
                      <w:rFonts w:hint="default" w:ascii="Times New Roman" w:hAnsi="Times New Roman" w:eastAsia="宋体" w:cs="Times New Roman"/>
                      <w:bCs/>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6392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0.044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5033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0.055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187D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0.051</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0E29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0.050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3537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0.055</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609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0.061</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9F59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0.0</w:t>
                  </w:r>
                  <w:r>
                    <w:rPr>
                      <w:rFonts w:hint="default" w:ascii="Times New Roman" w:hAnsi="Times New Roman" w:eastAsia="宋体" w:cs="Times New Roman"/>
                      <w:bCs/>
                      <w:spacing w:val="-5"/>
                      <w:sz w:val="21"/>
                      <w:szCs w:val="21"/>
                      <w:lang w:val="en-US" w:eastAsia="zh-CN" w:bidi="he-IL"/>
                    </w:rPr>
                    <w:t>52</w:t>
                  </w:r>
                  <w:r>
                    <w:rPr>
                      <w:rFonts w:hint="eastAsia" w:ascii="Times New Roman" w:hAnsi="Times New Roman" w:eastAsia="宋体" w:cs="Times New Roman"/>
                      <w:bCs/>
                      <w:spacing w:val="-5"/>
                      <w:sz w:val="21"/>
                      <w:szCs w:val="21"/>
                      <w:lang w:val="en-US" w:eastAsia="zh-CN" w:bidi="he-IL"/>
                    </w:rPr>
                    <w:t>7</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D83B5">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31297DE0">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5558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9B17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9CEA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4455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3A6F81BE">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DF42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783E211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33D1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A69E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D4BA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3E0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6A71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594E5F80">
              <w:tblPrEx>
                <w:tblCellMar>
                  <w:top w:w="0" w:type="dxa"/>
                  <w:left w:w="0" w:type="dxa"/>
                  <w:bottom w:w="0" w:type="dxa"/>
                  <w:right w:w="0" w:type="dxa"/>
                </w:tblCellMar>
              </w:tblPrEx>
              <w:trPr>
                <w:trHeight w:val="315"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56C2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63D6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69DA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C363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4AA4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436A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8C126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23522527">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C52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9A5E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4AE3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82F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784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8CB5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E06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4B56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C4EE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E21D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CED0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7DDE84A3">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EC1AF2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DA006烘干、丙烷燃烧废气进口15◎</w:t>
                  </w: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DABD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DEAD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E1CA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0.0707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79F3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1D5A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BEF5BD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BAE6B0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4C86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61F7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1E2A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49.3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1D73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49.3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DA60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48.7</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DF95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6B84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89A3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9503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0281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57A5C2A5">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06BF9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240F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57F7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2B98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7.87</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ED7E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7.65</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57DE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7.43</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3037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7.93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2E09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7.42</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CF94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7.92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8EAC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1F57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237C215F">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35F968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7751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7B16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1C0E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1701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0F82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1653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951E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1609</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2BB0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1849</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9BA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1731</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B740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pacing w:val="-5"/>
                      <w:sz w:val="21"/>
                      <w:szCs w:val="21"/>
                      <w:lang w:val="en-US" w:eastAsia="zh-CN" w:bidi="he-IL"/>
                    </w:rPr>
                    <w:t>1849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E5DDF">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1681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DC6F00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DC045A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D490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34C8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4020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25.8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AC1F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25.4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737E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24.0</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4A25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28.5</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8DA0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28.5</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3113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27.9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6EA8C">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12AFB">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r>
            <w:tr w14:paraId="17D4B3D2">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05668C5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A08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59E4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128C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0.044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A340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0.042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570A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0.039</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8416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F7D9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398E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0.052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B2494">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C9A2C">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r>
            <w:tr w14:paraId="184C2B80">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138645C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9255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B32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90D9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91FD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B11F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53A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EE74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14D7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512E9">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B12C1">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r>
            <w:tr w14:paraId="70B35D33">
              <w:tblPrEx>
                <w:tblCellMar>
                  <w:top w:w="0" w:type="dxa"/>
                  <w:left w:w="0" w:type="dxa"/>
                  <w:bottom w:w="0" w:type="dxa"/>
                  <w:right w:w="0" w:type="dxa"/>
                </w:tblCellMar>
              </w:tblPrEx>
              <w:trPr>
                <w:trHeight w:val="340" w:hRule="atLeast"/>
                <w:jc w:val="center"/>
              </w:trPr>
              <w:tc>
                <w:tcPr>
                  <w:tcW w:w="3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17D19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DCCD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D72E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F175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&lt;2.551</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174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&lt;2.480</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D8BD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&lt;2.414</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27B0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&lt;2.774</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62EE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&lt;2.596</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8A7E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&lt;2.774</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91611">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c>
                <w:tcPr>
                  <w:tcW w:w="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E8B2B">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w:t>
                  </w:r>
                </w:p>
              </w:tc>
            </w:tr>
            <w:tr w14:paraId="4EEF1F02">
              <w:tblPrEx>
                <w:tblCellMar>
                  <w:top w:w="0" w:type="dxa"/>
                  <w:left w:w="0" w:type="dxa"/>
                  <w:bottom w:w="0" w:type="dxa"/>
                  <w:right w:w="0" w:type="dxa"/>
                </w:tblCellMar>
              </w:tblPrEx>
              <w:trPr>
                <w:trHeight w:val="340" w:hRule="atLeast"/>
                <w:jc w:val="center"/>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FD1D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处理设施</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1073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w:t>
                  </w:r>
                </w:p>
              </w:tc>
              <w:tc>
                <w:tcPr>
                  <w:tcW w:w="5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E63F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平均值</w:t>
                  </w:r>
                </w:p>
              </w:tc>
              <w:tc>
                <w:tcPr>
                  <w:tcW w:w="1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6348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是否达标</w:t>
                  </w:r>
                </w:p>
              </w:tc>
            </w:tr>
            <w:tr w14:paraId="099C8C13">
              <w:tblPrEx>
                <w:tblCellMar>
                  <w:top w:w="0" w:type="dxa"/>
                  <w:left w:w="0" w:type="dxa"/>
                  <w:bottom w:w="0" w:type="dxa"/>
                  <w:right w:w="0" w:type="dxa"/>
                </w:tblCellMar>
              </w:tblPrEx>
              <w:trPr>
                <w:trHeight w:val="340" w:hRule="atLeast"/>
                <w:jc w:val="center"/>
              </w:trPr>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D332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kern w:val="0"/>
                      <w:szCs w:val="21"/>
                      <w:lang w:bidi="ar"/>
                    </w:rPr>
                  </w:pPr>
                  <w:r>
                    <w:rPr>
                      <w:rFonts w:hint="default" w:ascii="Times New Roman" w:hAnsi="Times New Roman" w:eastAsia="宋体" w:cs="Times New Roman"/>
                      <w:b/>
                      <w:color w:val="000000"/>
                      <w:kern w:val="0"/>
                      <w:szCs w:val="21"/>
                      <w:lang w:bidi="ar"/>
                    </w:rPr>
                    <w:t>采样</w:t>
                  </w:r>
                </w:p>
                <w:p w14:paraId="0ABC554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点位</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86FD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项目名称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1505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单位</w:t>
                  </w:r>
                </w:p>
              </w:tc>
              <w:tc>
                <w:tcPr>
                  <w:tcW w:w="3351" w:type="pct"/>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37D9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采样日期</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1BF0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94EE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58342B1B">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E22F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0E69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8C59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83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CA4C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eastAsia="zh-CN" w:bidi="ar"/>
                    </w:rPr>
                    <w:t>2024.10.10</w:t>
                  </w:r>
                </w:p>
              </w:tc>
              <w:tc>
                <w:tcPr>
                  <w:tcW w:w="1512"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F594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kern w:val="0"/>
                      <w:szCs w:val="21"/>
                      <w:lang w:eastAsia="zh-CN" w:bidi="ar"/>
                    </w:rPr>
                    <w:t>2024.10.11</w:t>
                  </w:r>
                </w:p>
              </w:tc>
              <w:tc>
                <w:tcPr>
                  <w:tcW w:w="5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98F2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85720">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052B3C3A">
              <w:tblPrEx>
                <w:tblCellMar>
                  <w:top w:w="0" w:type="dxa"/>
                  <w:left w:w="0" w:type="dxa"/>
                  <w:bottom w:w="0" w:type="dxa"/>
                  <w:right w:w="0" w:type="dxa"/>
                </w:tblCellMar>
              </w:tblPrEx>
              <w:trPr>
                <w:trHeight w:val="340" w:hRule="atLeast"/>
                <w:jc w:val="center"/>
              </w:trPr>
              <w:tc>
                <w:tcPr>
                  <w:tcW w:w="34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254041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C0D67B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10"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A05679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55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3F2337B">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8"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BE44D3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8"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F8B5EB7">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62" w:type="pct"/>
                  <w:gridSpan w:val="3"/>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5148E4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第一次</w:t>
                  </w:r>
                </w:p>
              </w:tc>
              <w:tc>
                <w:tcPr>
                  <w:tcW w:w="559" w:type="pct"/>
                  <w:gridSpan w:val="3"/>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95CE0E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第二次</w:t>
                  </w:r>
                </w:p>
              </w:tc>
              <w:tc>
                <w:tcPr>
                  <w:tcW w:w="554"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021BF0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kern w:val="0"/>
                      <w:szCs w:val="21"/>
                      <w:lang w:bidi="ar"/>
                    </w:rPr>
                    <w:t>第三次</w:t>
                  </w:r>
                </w:p>
              </w:tc>
              <w:tc>
                <w:tcPr>
                  <w:tcW w:w="536" w:type="pct"/>
                  <w:gridSpan w:val="2"/>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247FC9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150"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F32060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r>
            <w:tr w14:paraId="74F961A2">
              <w:tblPrEx>
                <w:tblCellMar>
                  <w:top w:w="0" w:type="dxa"/>
                  <w:left w:w="0" w:type="dxa"/>
                  <w:bottom w:w="0" w:type="dxa"/>
                  <w:right w:w="0" w:type="dxa"/>
                </w:tblCellMar>
              </w:tblPrEx>
              <w:trPr>
                <w:trHeight w:val="340" w:hRule="atLeast"/>
                <w:jc w:val="center"/>
              </w:trPr>
              <w:tc>
                <w:tcPr>
                  <w:tcW w:w="345" w:type="pct"/>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14:paraId="66650DE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b/>
                      <w:color w:val="000000"/>
                      <w:szCs w:val="21"/>
                    </w:rPr>
                  </w:pPr>
                  <w:r>
                    <w:rPr>
                      <w:rFonts w:hint="default" w:ascii="Times New Roman" w:hAnsi="Times New Roman" w:eastAsia="宋体" w:cs="Times New Roman"/>
                      <w:b/>
                      <w:szCs w:val="21"/>
                      <w:lang w:val="en-US" w:eastAsia="zh-CN"/>
                    </w:rPr>
                    <w:t>DA006烘干、丙烷燃烧废气出口16◎</w:t>
                  </w:r>
                </w:p>
              </w:tc>
              <w:tc>
                <w:tcPr>
                  <w:tcW w:w="306"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6409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测点管道截面积</w:t>
                  </w:r>
                </w:p>
              </w:tc>
              <w:tc>
                <w:tcPr>
                  <w:tcW w:w="310"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2E72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3351" w:type="pct"/>
                  <w:gridSpan w:val="13"/>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46A6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0.0707</w:t>
                  </w:r>
                </w:p>
              </w:tc>
              <w:tc>
                <w:tcPr>
                  <w:tcW w:w="536" w:type="pct"/>
                  <w:gridSpan w:val="2"/>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6275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D817C4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BA39D25">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0DDB675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98D5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测点排气温度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0775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2975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48.0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C54D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35.0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09AA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31.4</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B9ED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23.7</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BF6A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25.2</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EA2D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26.3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096C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C889479">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0E72B6C1">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4E7FAAD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F94D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lang w:val="en-US" w:eastAsia="zh-CN"/>
                    </w:rPr>
                    <w:t>含氧量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B3B2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1498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20.00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C41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20.30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6A37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21.00</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DA68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20.70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F1A1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20.90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4FA2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21.10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5E6E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E6AC50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4B82E274">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30D81DE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D9DF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测点排气速度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711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m/s</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E9B6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9.82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3B49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9.74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6EAE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8.72</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DABF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8.47</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28D8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8.49</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653F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8.50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036EC">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AD0421E">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17D76022">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4D019336">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376A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标态排气量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EE8E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m³/h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C58AA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1974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DB7C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2041</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CEA2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1849</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E4BD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1850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DB7F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1845</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F991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1839</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9DFF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top"/>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D70B71D">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w:t>
                  </w:r>
                </w:p>
              </w:tc>
            </w:tr>
            <w:tr w14:paraId="6E9DEB70">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42603C1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DA75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bCs/>
                      <w:spacing w:val="-5"/>
                      <w:kern w:val="0"/>
                      <w:sz w:val="21"/>
                      <w:szCs w:val="21"/>
                      <w:lang w:val="en-US" w:eastAsia="zh-CN" w:bidi="he-IL"/>
                    </w:rPr>
                    <w:t>颗粒物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5C28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6BB7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032E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2A2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44BC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57C0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E1DD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&lt;1.0</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159D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1.000 </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B19584B">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5036FCD3">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0461563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BB66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E3B1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D387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FFF7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870A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FBB8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61BB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9862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4135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&lt;0.002</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71CF66B">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5B1795DE">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07643AF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035F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pacing w:val="-5"/>
                      <w:sz w:val="21"/>
                      <w:szCs w:val="21"/>
                      <w:lang w:val="en-US" w:eastAsia="zh-CN" w:bidi="he-IL"/>
                    </w:rPr>
                    <w:t>二氧化硫</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8971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DF3A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94E4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65F8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F512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3735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EC82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DE13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cs="Times New Roman"/>
                      <w:bCs/>
                      <w:spacing w:val="-5"/>
                      <w:sz w:val="21"/>
                      <w:szCs w:val="21"/>
                      <w:lang w:val="en-US" w:eastAsia="zh-CN" w:bidi="he-IL"/>
                    </w:rPr>
                    <w:t>/</w:t>
                  </w:r>
                  <w:r>
                    <w:rPr>
                      <w:rFonts w:hint="default" w:ascii="Times New Roman" w:hAnsi="Times New Roman" w:eastAsia="宋体" w:cs="Times New Roman"/>
                      <w:bCs/>
                      <w:spacing w:val="-5"/>
                      <w:sz w:val="21"/>
                      <w:szCs w:val="21"/>
                      <w:lang w:val="en-US" w:eastAsia="zh-CN" w:bidi="he-IL"/>
                    </w:rPr>
                    <w:t xml:space="preserve"> </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AC00D64">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374BBBB5">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324C83F2">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EABA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E44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576E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5F9FA">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E6CB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7458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C4AC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EA09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0.007</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870D3">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0.00</w:t>
                  </w:r>
                  <w:r>
                    <w:rPr>
                      <w:rFonts w:hint="default" w:ascii="Times New Roman" w:hAnsi="Times New Roman" w:eastAsia="宋体" w:cs="Times New Roman"/>
                      <w:bCs/>
                      <w:spacing w:val="-5"/>
                      <w:sz w:val="21"/>
                      <w:szCs w:val="21"/>
                      <w:lang w:val="en-US" w:eastAsia="zh-CN" w:bidi="he-IL"/>
                    </w:rPr>
                    <w:t>9</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FE94DD8">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0CEA72B4">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7ABDD4C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22CC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sz w:val="21"/>
                      <w:szCs w:val="21"/>
                      <w:lang w:val="en-US" w:eastAsia="zh-CN" w:bidi="he-IL"/>
                    </w:rPr>
                    <w:t>氮氧化物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3C28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1B80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E19B7">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4</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01E5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A7AB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D9FF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A8DB8">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4591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3.333 </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855F09E">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4EB27BD3">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14A8B565">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916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8676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B3A4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2680C">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41C9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D1BD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B4D0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42E01">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&lt;0.006</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DC95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0.007</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F13D2D5">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52D27C69">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7EDDFD04">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FB5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非甲烷总烃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F5C6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6ACA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3.90</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4567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3.79</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CACA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3.52</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1388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3.43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E8A6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3.50</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6260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3.35</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478A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3.582 </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F38D34C">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2DBFE7F8">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16653DF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32FD6">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bidi="he-IL"/>
                    </w:rPr>
                    <w:t>排放速率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8136F">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kern w:val="0"/>
                      <w:sz w:val="21"/>
                      <w:szCs w:val="21"/>
                      <w:lang w:bidi="he-IL"/>
                    </w:rPr>
                    <w:t>kg/h</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3932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424D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0.008</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FF0F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0.006</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7F50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6.346x10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F459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6.458x10</w:t>
                  </w:r>
                  <w:r>
                    <w:rPr>
                      <w:rFonts w:hint="default" w:ascii="Times New Roman" w:hAnsi="Times New Roman" w:eastAsia="宋体" w:cs="Times New Roman"/>
                      <w:bCs/>
                      <w:sz w:val="21"/>
                      <w:szCs w:val="21"/>
                      <w:vertAlign w:val="superscript"/>
                      <w:lang w:val="en-US" w:eastAsia="zh-CN"/>
                    </w:rPr>
                    <w:t>-3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C67C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6.161x10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958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0.00</w:t>
                  </w:r>
                  <w:r>
                    <w:rPr>
                      <w:rFonts w:hint="default" w:ascii="Times New Roman" w:hAnsi="Times New Roman" w:eastAsia="宋体" w:cs="Times New Roman"/>
                      <w:bCs/>
                      <w:spacing w:val="-5"/>
                      <w:sz w:val="21"/>
                      <w:szCs w:val="21"/>
                      <w:lang w:val="en-US" w:eastAsia="zh-CN" w:bidi="he-IL"/>
                    </w:rPr>
                    <w:t>7</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5C3D04E">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2FD07327">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right w:val="single" w:color="000000" w:sz="4" w:space="0"/>
                  </w:tcBorders>
                  <w:shd w:val="clear" w:color="auto" w:fill="auto"/>
                  <w:tcMar>
                    <w:top w:w="15" w:type="dxa"/>
                    <w:left w:w="15" w:type="dxa"/>
                    <w:right w:w="15" w:type="dxa"/>
                  </w:tcMar>
                  <w:vAlign w:val="center"/>
                </w:tcPr>
                <w:p w14:paraId="5B4B720A">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44FE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0"/>
                      <w:sz w:val="21"/>
                      <w:szCs w:val="21"/>
                      <w:lang w:val="en-US" w:eastAsia="zh-CN" w:bidi="he-IL"/>
                    </w:rPr>
                  </w:pPr>
                  <w:r>
                    <w:rPr>
                      <w:rFonts w:hint="default" w:ascii="Times New Roman" w:hAnsi="Times New Roman" w:eastAsia="宋体" w:cs="Times New Roman"/>
                      <w:b/>
                      <w:spacing w:val="-5"/>
                      <w:kern w:val="0"/>
                      <w:sz w:val="21"/>
                      <w:szCs w:val="21"/>
                      <w:lang w:val="en-US" w:eastAsia="zh-CN" w:bidi="he-IL"/>
                    </w:rPr>
                    <w:t>二甲苯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D951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0"/>
                      <w:sz w:val="21"/>
                      <w:szCs w:val="21"/>
                      <w:lang w:val="en-US" w:eastAsia="zh-CN" w:bidi="he-IL"/>
                    </w:rPr>
                  </w:pPr>
                  <w:r>
                    <w:rPr>
                      <w:rFonts w:hint="default" w:ascii="Times New Roman" w:hAnsi="Times New Roman" w:eastAsia="宋体" w:cs="Times New Roman"/>
                      <w:bCs/>
                      <w:spacing w:val="-5"/>
                      <w:kern w:val="0"/>
                      <w:sz w:val="21"/>
                      <w:szCs w:val="21"/>
                      <w:lang w:bidi="he-IL"/>
                    </w:rPr>
                    <w:t>mg/m³</w:t>
                  </w:r>
                </w:p>
              </w:tc>
              <w:tc>
                <w:tcPr>
                  <w:tcW w:w="5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B155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4B205">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A34A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62"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E161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C890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5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96012">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&lt;1.5x10</w:t>
                  </w:r>
                  <w:r>
                    <w:rPr>
                      <w:rFonts w:hint="default" w:ascii="Times New Roman" w:hAnsi="Times New Roman" w:eastAsia="宋体" w:cs="Times New Roman"/>
                      <w:bCs/>
                      <w:sz w:val="21"/>
                      <w:szCs w:val="21"/>
                      <w:vertAlign w:val="superscript"/>
                      <w:lang w:val="en-US" w:eastAsia="zh-CN"/>
                    </w:rPr>
                    <w:t>-3</w:t>
                  </w:r>
                </w:p>
              </w:tc>
              <w:tc>
                <w:tcPr>
                  <w:tcW w:w="5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B3C49">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default" w:ascii="Times New Roman" w:hAnsi="Times New Roman" w:eastAsia="宋体" w:cs="Times New Roman"/>
                      <w:bCs/>
                      <w:spacing w:val="-5"/>
                      <w:sz w:val="21"/>
                      <w:szCs w:val="21"/>
                      <w:lang w:val="en-US" w:eastAsia="zh-CN" w:bidi="he-IL"/>
                    </w:rPr>
                    <w:t xml:space="preserve">&lt;0.0015 </w:t>
                  </w:r>
                </w:p>
              </w:tc>
              <w:tc>
                <w:tcPr>
                  <w:tcW w:w="15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39BD0A4">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r w14:paraId="4F8D2F0E">
              <w:tblPrEx>
                <w:tblCellMar>
                  <w:top w:w="0" w:type="dxa"/>
                  <w:left w:w="0" w:type="dxa"/>
                  <w:bottom w:w="0" w:type="dxa"/>
                  <w:right w:w="0" w:type="dxa"/>
                </w:tblCellMar>
              </w:tblPrEx>
              <w:trPr>
                <w:trHeight w:val="340" w:hRule="atLeast"/>
                <w:jc w:val="center"/>
              </w:trPr>
              <w:tc>
                <w:tcPr>
                  <w:tcW w:w="345" w:type="pct"/>
                  <w:vMerge w:val="continue"/>
                  <w:tcBorders>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75A7E9F1">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rPr>
                      <w:rFonts w:hint="default" w:ascii="Times New Roman" w:hAnsi="Times New Roman" w:eastAsia="宋体" w:cs="Times New Roman"/>
                      <w:b/>
                      <w:color w:val="000000"/>
                      <w:szCs w:val="21"/>
                    </w:rPr>
                  </w:pPr>
                </w:p>
              </w:tc>
              <w:tc>
                <w:tcPr>
                  <w:tcW w:w="306"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3F9942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spacing w:val="-5"/>
                      <w:kern w:val="2"/>
                      <w:sz w:val="21"/>
                      <w:szCs w:val="21"/>
                      <w:lang w:val="en-US" w:eastAsia="zh-CN" w:bidi="he-IL"/>
                    </w:rPr>
                  </w:pPr>
                  <w:r>
                    <w:rPr>
                      <w:rFonts w:hint="default" w:ascii="Times New Roman" w:hAnsi="Times New Roman" w:eastAsia="宋体" w:cs="Times New Roman"/>
                      <w:b/>
                      <w:sz w:val="21"/>
                      <w:szCs w:val="21"/>
                      <w:lang w:val="en-US" w:eastAsia="zh-CN"/>
                    </w:rPr>
                    <w:t>排放速率</w:t>
                  </w:r>
                </w:p>
              </w:tc>
              <w:tc>
                <w:tcPr>
                  <w:tcW w:w="310"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78AAB3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rPr>
                    <w:t>kg/h</w:t>
                  </w:r>
                </w:p>
              </w:tc>
              <w:tc>
                <w:tcPr>
                  <w:tcW w:w="55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98538F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&lt;2.961×10</w:t>
                  </w:r>
                  <w:r>
                    <w:rPr>
                      <w:rFonts w:hint="default" w:ascii="Times New Roman" w:hAnsi="Times New Roman" w:eastAsia="宋体" w:cs="Times New Roman"/>
                      <w:bCs/>
                      <w:spacing w:val="-5"/>
                      <w:sz w:val="21"/>
                      <w:szCs w:val="21"/>
                      <w:vertAlign w:val="superscript"/>
                      <w:lang w:val="en-US" w:eastAsia="zh-CN" w:bidi="he-IL"/>
                    </w:rPr>
                    <w:t>-6</w:t>
                  </w:r>
                </w:p>
              </w:tc>
              <w:tc>
                <w:tcPr>
                  <w:tcW w:w="558"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9EEBFBE">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&lt;3.062×10</w:t>
                  </w:r>
                  <w:r>
                    <w:rPr>
                      <w:rFonts w:hint="default" w:ascii="Times New Roman" w:hAnsi="Times New Roman" w:eastAsia="宋体" w:cs="Times New Roman"/>
                      <w:bCs/>
                      <w:spacing w:val="-5"/>
                      <w:sz w:val="21"/>
                      <w:szCs w:val="21"/>
                      <w:vertAlign w:val="superscript"/>
                      <w:lang w:val="en-US" w:eastAsia="zh-CN" w:bidi="he-IL"/>
                    </w:rPr>
                    <w:t>-6</w:t>
                  </w:r>
                </w:p>
              </w:tc>
              <w:tc>
                <w:tcPr>
                  <w:tcW w:w="558"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F295BDD">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pacing w:val="-5"/>
                      <w:sz w:val="21"/>
                      <w:szCs w:val="21"/>
                      <w:lang w:val="en-US" w:eastAsia="zh-CN" w:bidi="he-IL"/>
                    </w:rPr>
                    <w:t>&lt;2.774×10</w:t>
                  </w:r>
                  <w:r>
                    <w:rPr>
                      <w:rFonts w:hint="default" w:ascii="Times New Roman" w:hAnsi="Times New Roman" w:eastAsia="宋体" w:cs="Times New Roman"/>
                      <w:bCs/>
                      <w:spacing w:val="-5"/>
                      <w:sz w:val="21"/>
                      <w:szCs w:val="21"/>
                      <w:vertAlign w:val="superscript"/>
                      <w:lang w:val="en-US" w:eastAsia="zh-CN" w:bidi="he-IL"/>
                    </w:rPr>
                    <w:t>-6</w:t>
                  </w:r>
                </w:p>
              </w:tc>
              <w:tc>
                <w:tcPr>
                  <w:tcW w:w="562" w:type="pct"/>
                  <w:gridSpan w:val="3"/>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1341FAB">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&lt;2.775</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9" w:type="pct"/>
                  <w:gridSpan w:val="3"/>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FC1CC2A">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&lt;2.768</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54"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E5D7720">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kern w:val="2"/>
                      <w:sz w:val="21"/>
                      <w:szCs w:val="21"/>
                      <w:lang w:val="en-US" w:eastAsia="zh-CN" w:bidi="he-IL"/>
                    </w:rPr>
                  </w:pPr>
                  <w:r>
                    <w:rPr>
                      <w:rFonts w:hint="default" w:ascii="Times New Roman" w:hAnsi="Times New Roman" w:eastAsia="宋体" w:cs="Times New Roman"/>
                      <w:bCs/>
                      <w:sz w:val="21"/>
                      <w:szCs w:val="21"/>
                      <w:lang w:val="en-US" w:eastAsia="zh-CN"/>
                    </w:rPr>
                    <w:t>&lt;2.758</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-6</w:t>
                  </w:r>
                </w:p>
              </w:tc>
              <w:tc>
                <w:tcPr>
                  <w:tcW w:w="536" w:type="pct"/>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5A33344">
                  <w:pPr>
                    <w:keepNext w:val="0"/>
                    <w:keepLines w:val="0"/>
                    <w:pageBreakBefore w:val="0"/>
                    <w:widowControl w:val="0"/>
                    <w:suppressLineNumbers w:val="0"/>
                    <w:tabs>
                      <w:tab w:val="right" w:pos="8906"/>
                    </w:tabs>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eastAsia="宋体" w:cs="Times New Roman"/>
                      <w:bCs/>
                      <w:spacing w:val="-5"/>
                      <w:sz w:val="21"/>
                      <w:szCs w:val="21"/>
                      <w:lang w:val="en-US" w:eastAsia="zh-CN" w:bidi="he-IL"/>
                    </w:rPr>
                    <w:t>&lt;</w:t>
                  </w:r>
                  <w:r>
                    <w:rPr>
                      <w:rFonts w:hint="default" w:ascii="Times New Roman" w:hAnsi="Times New Roman" w:eastAsia="宋体" w:cs="Times New Roman"/>
                      <w:bCs/>
                      <w:spacing w:val="-5"/>
                      <w:sz w:val="21"/>
                      <w:szCs w:val="21"/>
                      <w:lang w:val="en-US" w:eastAsia="zh-CN" w:bidi="he-IL"/>
                    </w:rPr>
                    <w:t>2.850×10</w:t>
                  </w:r>
                  <w:r>
                    <w:rPr>
                      <w:rFonts w:hint="default" w:ascii="Times New Roman" w:hAnsi="Times New Roman" w:eastAsia="宋体" w:cs="Times New Roman"/>
                      <w:bCs/>
                      <w:spacing w:val="-5"/>
                      <w:sz w:val="21"/>
                      <w:szCs w:val="21"/>
                      <w:vertAlign w:val="superscript"/>
                      <w:lang w:val="en-US" w:eastAsia="zh-CN" w:bidi="he-IL"/>
                    </w:rPr>
                    <w:t>-</w:t>
                  </w:r>
                  <w:r>
                    <w:rPr>
                      <w:rFonts w:hint="eastAsia" w:ascii="Times New Roman" w:hAnsi="Times New Roman" w:eastAsia="宋体" w:cs="Times New Roman"/>
                      <w:bCs/>
                      <w:spacing w:val="-5"/>
                      <w:sz w:val="21"/>
                      <w:szCs w:val="21"/>
                      <w:vertAlign w:val="superscript"/>
                      <w:lang w:val="en-US" w:eastAsia="zh-CN" w:bidi="he-IL"/>
                    </w:rPr>
                    <w:t>6</w:t>
                  </w:r>
                </w:p>
              </w:tc>
              <w:tc>
                <w:tcPr>
                  <w:tcW w:w="150"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14:paraId="592CDD64">
                  <w:pPr>
                    <w:keepNext w:val="0"/>
                    <w:keepLines w:val="0"/>
                    <w:pageBreakBefore w:val="0"/>
                    <w:widowControl/>
                    <w:kinsoku/>
                    <w:wordWrap/>
                    <w:overflowPunct/>
                    <w:topLinePunct w:val="0"/>
                    <w:autoSpaceDE/>
                    <w:autoSpaceDN/>
                    <w:bidi w:val="0"/>
                    <w:adjustRightInd w:val="0"/>
                    <w:snapToGrid w:val="0"/>
                    <w:spacing w:beforeAutospacing="0" w:afterAutospacing="0"/>
                    <w:ind w:right="0" w:rightChars="0"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达标</w:t>
                  </w:r>
                </w:p>
              </w:tc>
            </w:tr>
          </w:tbl>
          <w:p w14:paraId="09493C55">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sz w:val="24"/>
              </w:rPr>
            </w:pPr>
            <w:r>
              <w:rPr>
                <w:rFonts w:hint="eastAsia"/>
                <w:sz w:val="24"/>
              </w:rPr>
              <w:t>由上列各表可知：</w:t>
            </w:r>
          </w:p>
          <w:p w14:paraId="599C468B">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color w:val="000000" w:themeColor="text1"/>
                <w:sz w:val="24"/>
                <w14:textFill>
                  <w14:solidFill>
                    <w14:schemeClr w14:val="tx1"/>
                  </w14:solidFill>
                </w14:textFill>
              </w:rPr>
            </w:pPr>
            <w:r>
              <w:rPr>
                <w:rFonts w:hint="eastAsia"/>
                <w:sz w:val="24"/>
              </w:rPr>
              <w:t>DA00</w:t>
            </w:r>
            <w:r>
              <w:rPr>
                <w:rFonts w:hint="eastAsia"/>
                <w:sz w:val="24"/>
                <w:lang w:val="en-US" w:eastAsia="zh-CN"/>
              </w:rPr>
              <w:t>1：</w:t>
            </w:r>
            <w:r>
              <w:rPr>
                <w:rFonts w:hint="eastAsia"/>
                <w:sz w:val="24"/>
              </w:rPr>
              <w:t>焊接烟尘、砂修废气、抛丸废气排气筒中颗粒物</w:t>
            </w:r>
            <w:r>
              <w:rPr>
                <w:rFonts w:hint="eastAsia"/>
                <w:sz w:val="24"/>
                <w:lang w:val="en-US" w:eastAsia="zh-CN"/>
              </w:rPr>
              <w:t>平均</w:t>
            </w:r>
            <w:r>
              <w:rPr>
                <w:rFonts w:hint="eastAsia"/>
                <w:sz w:val="24"/>
              </w:rPr>
              <w:t>排放浓度：</w:t>
            </w:r>
            <w:r>
              <w:rPr>
                <w:rFonts w:hint="eastAsia"/>
                <w:color w:val="000000" w:themeColor="text1"/>
                <w:sz w:val="24"/>
                <w:lang w:val="en-US" w:eastAsia="zh-CN"/>
                <w14:textFill>
                  <w14:solidFill>
                    <w14:schemeClr w14:val="tx1"/>
                  </w14:solidFill>
                </w14:textFill>
              </w:rPr>
              <w:t>4.816</w:t>
            </w:r>
            <w:r>
              <w:rPr>
                <w:rFonts w:hint="eastAsia"/>
                <w:bCs/>
                <w:color w:val="000000" w:themeColor="text1"/>
                <w:sz w:val="24"/>
                <w:szCs w:val="24"/>
                <w14:textFill>
                  <w14:solidFill>
                    <w14:schemeClr w14:val="tx1"/>
                  </w14:solidFill>
                </w14:textFill>
              </w:rPr>
              <w:t>mg/m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（排放标准限值：120mg/m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），满足《大气污染物综合排放标准》（GB16297-1996)表2新污染源大气污染物排放限值中二级标准的排放限值</w:t>
            </w:r>
            <w:r>
              <w:rPr>
                <w:rFonts w:hint="eastAsia"/>
                <w:color w:val="000000" w:themeColor="text1"/>
                <w:sz w:val="24"/>
                <w14:textFill>
                  <w14:solidFill>
                    <w14:schemeClr w14:val="tx1"/>
                  </w14:solidFill>
                </w14:textFill>
              </w:rPr>
              <w:t>；</w:t>
            </w:r>
          </w:p>
          <w:p w14:paraId="5B4B2F24">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DA002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喷塑粉尘排气筒中颗粒物</w:t>
            </w:r>
            <w:r>
              <w:rPr>
                <w:rFonts w:hint="eastAsia"/>
                <w:color w:val="000000" w:themeColor="text1"/>
                <w:sz w:val="24"/>
                <w:lang w:val="en-US" w:eastAsia="zh-CN"/>
                <w14:textFill>
                  <w14:solidFill>
                    <w14:schemeClr w14:val="tx1"/>
                  </w14:solidFill>
                </w14:textFill>
              </w:rPr>
              <w:t>平均</w:t>
            </w:r>
            <w:r>
              <w:rPr>
                <w:rFonts w:hint="eastAsia"/>
                <w:color w:val="000000" w:themeColor="text1"/>
                <w:sz w:val="24"/>
                <w14:textFill>
                  <w14:solidFill>
                    <w14:schemeClr w14:val="tx1"/>
                  </w14:solidFill>
                </w14:textFill>
              </w:rPr>
              <w:t>排放浓度：</w:t>
            </w:r>
            <w:r>
              <w:rPr>
                <w:rFonts w:hint="eastAsia"/>
                <w:color w:val="000000" w:themeColor="text1"/>
                <w:sz w:val="24"/>
                <w:lang w:val="en-US" w:eastAsia="zh-CN"/>
                <w14:textFill>
                  <w14:solidFill>
                    <w14:schemeClr w14:val="tx1"/>
                  </w14:solidFill>
                </w14:textFill>
              </w:rPr>
              <w:t>2.567</w:t>
            </w:r>
            <w:r>
              <w:rPr>
                <w:rFonts w:hint="eastAsia"/>
                <w:bCs/>
                <w:color w:val="000000" w:themeColor="text1"/>
                <w:sz w:val="24"/>
                <w:szCs w:val="24"/>
                <w14:textFill>
                  <w14:solidFill>
                    <w14:schemeClr w14:val="tx1"/>
                  </w14:solidFill>
                </w14:textFill>
              </w:rPr>
              <w:t>mg/m</w:t>
            </w:r>
            <w:r>
              <w:rPr>
                <w:rFonts w:hint="eastAsia"/>
                <w:bCs/>
                <w:color w:val="000000" w:themeColor="text1"/>
                <w:sz w:val="24"/>
                <w:szCs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（排放标准限值：</w:t>
            </w:r>
            <w:r>
              <w:rPr>
                <w:rFonts w:hint="eastAsia"/>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，满足</w:t>
            </w:r>
            <w:r>
              <w:rPr>
                <w:rFonts w:hint="eastAsia"/>
                <w:color w:val="000000" w:themeColor="text1"/>
                <w:sz w:val="24"/>
                <w14:textFill>
                  <w14:solidFill>
                    <w14:schemeClr w14:val="tx1"/>
                  </w14:solidFill>
                </w14:textFill>
              </w:rPr>
              <w:t>《合成树脂工业污染物排放标准》（GB31572-2015）表5中规定的限值；</w:t>
            </w:r>
          </w:p>
          <w:p w14:paraId="6E5C6073">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DA003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调漆、喷漆废气排气筒</w:t>
            </w:r>
            <w:r>
              <w:rPr>
                <w:rFonts w:hint="eastAsia"/>
                <w:color w:val="000000" w:themeColor="text1"/>
                <w:sz w:val="24"/>
                <w:lang w:val="en-US" w:eastAsia="zh-CN"/>
                <w14:textFill>
                  <w14:solidFill>
                    <w14:schemeClr w14:val="tx1"/>
                  </w14:solidFill>
                </w14:textFill>
              </w:rPr>
              <w:t>中非甲烷总烃平均排放浓度：2.160 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（排放标准限值：70mg/m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），二甲苯均未检出</w:t>
            </w:r>
            <w:r>
              <w:rPr>
                <w:rFonts w:hint="eastAsia" w:ascii="Times New Roman" w:eastAsia="宋体"/>
                <w:color w:val="000000" w:themeColor="text1"/>
                <w:sz w:val="24"/>
                <w:lang w:val="en-US" w:eastAsia="zh-CN"/>
                <w14:textFill>
                  <w14:solidFill>
                    <w14:schemeClr w14:val="tx1"/>
                  </w14:solidFill>
                </w14:textFill>
              </w:rPr>
              <w:t>（排放标准限值：20mg/m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），满足《固定源挥发性有机物综合排放标准第6部分：其他行业》（DB34 4812.6-2024)表1挥发性有机物基本污染物项目排放限值；</w:t>
            </w:r>
            <w:r>
              <w:rPr>
                <w:rFonts w:hint="eastAsia"/>
                <w:color w:val="000000" w:themeColor="text1"/>
                <w:sz w:val="24"/>
                <w14:textFill>
                  <w14:solidFill>
                    <w14:schemeClr w14:val="tx1"/>
                  </w14:solidFill>
                </w14:textFill>
              </w:rPr>
              <w:t>颗粒物</w:t>
            </w:r>
            <w:r>
              <w:rPr>
                <w:rFonts w:hint="eastAsia"/>
                <w:color w:val="000000" w:themeColor="text1"/>
                <w:sz w:val="24"/>
                <w:lang w:val="en-US" w:eastAsia="zh-CN"/>
                <w14:textFill>
                  <w14:solidFill>
                    <w14:schemeClr w14:val="tx1"/>
                  </w14:solidFill>
                </w14:textFill>
              </w:rPr>
              <w:t>均未检出</w:t>
            </w:r>
            <w:r>
              <w:rPr>
                <w:rFonts w:hint="eastAsia"/>
                <w:color w:val="000000" w:themeColor="text1"/>
                <w:sz w:val="24"/>
                <w14:textFill>
                  <w14:solidFill>
                    <w14:schemeClr w14:val="tx1"/>
                  </w14:solidFill>
                </w14:textFill>
              </w:rPr>
              <w:t>（排放标准限值：</w:t>
            </w:r>
            <w:r>
              <w:rPr>
                <w:rFonts w:hint="eastAsia" w:ascii="Times New Roman" w:eastAsia="宋体"/>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color w:val="000000" w:themeColor="text1"/>
                <w:sz w:val="24"/>
                <w:lang w:eastAsia="zh-CN"/>
                <w14:textFill>
                  <w14:solidFill>
                    <w14:schemeClr w14:val="tx1"/>
                  </w14:solidFill>
                </w14:textFill>
              </w:rPr>
              <w:t>；</w:t>
            </w:r>
          </w:p>
          <w:p w14:paraId="68ED1CF4">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default"/>
                <w:color w:val="000000" w:themeColor="text1"/>
                <w:sz w:val="24"/>
                <w:lang w:val="en-US"/>
                <w14:textFill>
                  <w14:solidFill>
                    <w14:schemeClr w14:val="tx1"/>
                  </w14:solidFill>
                </w14:textFill>
              </w:rPr>
            </w:pPr>
            <w:r>
              <w:rPr>
                <w:rFonts w:hint="eastAsia"/>
                <w:color w:val="000000" w:themeColor="text1"/>
                <w:sz w:val="24"/>
                <w14:textFill>
                  <w14:solidFill>
                    <w14:schemeClr w14:val="tx1"/>
                  </w14:solidFill>
                </w14:textFill>
              </w:rPr>
              <w:t>DA004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固化、丙烷燃烧废气排气筒</w:t>
            </w:r>
            <w:r>
              <w:rPr>
                <w:rFonts w:hint="eastAsia"/>
                <w:color w:val="000000" w:themeColor="text1"/>
                <w:sz w:val="24"/>
                <w:lang w:val="en-US" w:eastAsia="zh-CN"/>
                <w14:textFill>
                  <w14:solidFill>
                    <w14:schemeClr w14:val="tx1"/>
                  </w14:solidFill>
                </w14:textFill>
              </w:rPr>
              <w:t>中</w:t>
            </w:r>
            <w:r>
              <w:rPr>
                <w:rFonts w:hint="eastAsia" w:ascii="Times New Roman" w:eastAsia="宋体"/>
                <w:color w:val="000000" w:themeColor="text1"/>
                <w:sz w:val="24"/>
                <w:lang w:val="en-US" w:eastAsia="zh-CN"/>
                <w14:textFill>
                  <w14:solidFill>
                    <w14:schemeClr w14:val="tx1"/>
                  </w14:solidFill>
                </w14:textFill>
              </w:rPr>
              <w:t>非甲烷总烃</w:t>
            </w:r>
            <w:r>
              <w:rPr>
                <w:rFonts w:hint="eastAsia"/>
                <w:color w:val="000000" w:themeColor="text1"/>
                <w:sz w:val="24"/>
                <w:lang w:val="en-US" w:eastAsia="zh-CN"/>
                <w14:textFill>
                  <w14:solidFill>
                    <w14:schemeClr w14:val="tx1"/>
                  </w14:solidFill>
                </w14:textFill>
              </w:rPr>
              <w:t>平均排放浓度</w:t>
            </w:r>
            <w:r>
              <w:rPr>
                <w:rFonts w:hint="eastAsia" w:ascii="Times New Roman" w:eastAsia="宋体"/>
                <w:color w:val="000000" w:themeColor="text1"/>
                <w:sz w:val="24"/>
                <w:lang w:val="en-US" w:eastAsia="zh-CN"/>
                <w14:textFill>
                  <w14:solidFill>
                    <w14:schemeClr w14:val="tx1"/>
                  </w14:solidFill>
                </w14:textFill>
              </w:rPr>
              <w:t>：2.342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（排放标准限值：70mg/m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），二甲苯均未检出（排放标准限值：20mg/m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 第6部分：其他行业》（DB34 4812.6-2024)表1挥发性有机物基本污染物项目排放限值</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氮氧化物平均排放浓度：3.667 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（排放标准限值：300mg/m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），二氧化硫均未检出（排放标准限值：200mg/m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），满足《工业炉窑大气污染综合治理方案》（环大气〔2019〕56号）的排放限值；</w:t>
            </w:r>
            <w:r>
              <w:rPr>
                <w:rFonts w:hint="eastAsia"/>
                <w:color w:val="000000" w:themeColor="text1"/>
                <w:sz w:val="24"/>
                <w14:textFill>
                  <w14:solidFill>
                    <w14:schemeClr w14:val="tx1"/>
                  </w14:solidFill>
                </w14:textFill>
              </w:rPr>
              <w:t>颗粒物</w:t>
            </w:r>
            <w:r>
              <w:rPr>
                <w:rFonts w:hint="eastAsia"/>
                <w:color w:val="000000" w:themeColor="text1"/>
                <w:sz w:val="24"/>
                <w:lang w:val="en-US" w:eastAsia="zh-CN"/>
                <w14:textFill>
                  <w14:solidFill>
                    <w14:schemeClr w14:val="tx1"/>
                  </w14:solidFill>
                </w14:textFill>
              </w:rPr>
              <w:t>均未检出</w:t>
            </w:r>
            <w:r>
              <w:rPr>
                <w:rFonts w:hint="eastAsia"/>
                <w:color w:val="000000" w:themeColor="text1"/>
                <w:sz w:val="24"/>
                <w14:textFill>
                  <w14:solidFill>
                    <w14:schemeClr w14:val="tx1"/>
                  </w14:solidFill>
                </w14:textFill>
              </w:rPr>
              <w:t>（排放标准限值：</w:t>
            </w:r>
            <w:r>
              <w:rPr>
                <w:rFonts w:hint="eastAsia" w:ascii="Times New Roman" w:eastAsia="宋体"/>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eastAsia="宋体"/>
                <w:color w:val="000000" w:themeColor="text1"/>
                <w:sz w:val="24"/>
                <w:lang w:eastAsia="zh-CN"/>
                <w14:textFill>
                  <w14:solidFill>
                    <w14:schemeClr w14:val="tx1"/>
                  </w14:solidFill>
                </w14:textFill>
              </w:rPr>
              <w:t>；</w:t>
            </w:r>
          </w:p>
          <w:p w14:paraId="13DA21CC">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color w:val="000000" w:themeColor="text1"/>
                <w:sz w:val="24"/>
                <w14:textFill>
                  <w14:solidFill>
                    <w14:schemeClr w14:val="tx1"/>
                  </w14:solidFill>
                </w14:textFill>
              </w:rPr>
              <w:t>DA005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检验补喷废气</w:t>
            </w:r>
            <w:r>
              <w:rPr>
                <w:rFonts w:hint="eastAsia"/>
                <w:color w:val="000000" w:themeColor="text1"/>
                <w:sz w:val="24"/>
                <w:lang w:val="en-US" w:eastAsia="zh-CN"/>
                <w14:textFill>
                  <w14:solidFill>
                    <w14:schemeClr w14:val="tx1"/>
                  </w14:solidFill>
                </w14:textFill>
              </w:rPr>
              <w:t>排气筒中</w:t>
            </w:r>
            <w:r>
              <w:rPr>
                <w:rFonts w:hint="eastAsia" w:ascii="Times New Roman" w:hAnsi="Times New Roman" w:eastAsia="宋体" w:cs="Times New Roman"/>
                <w:color w:val="000000" w:themeColor="text1"/>
                <w:sz w:val="24"/>
                <w14:textFill>
                  <w14:solidFill>
                    <w14:schemeClr w14:val="tx1"/>
                  </w14:solidFill>
                </w14:textFill>
              </w:rPr>
              <w:t>颗粒物</w:t>
            </w:r>
            <w:r>
              <w:rPr>
                <w:rFonts w:hint="eastAsia" w:cs="Times New Roman"/>
                <w:color w:val="000000" w:themeColor="text1"/>
                <w:sz w:val="24"/>
                <w:lang w:eastAsia="zh-CN"/>
                <w14:textFill>
                  <w14:solidFill>
                    <w14:schemeClr w14:val="tx1"/>
                  </w14:solidFill>
                </w14:textFill>
              </w:rPr>
              <w:t>平均排放浓度</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3.633</w:t>
            </w:r>
            <w:r>
              <w:rPr>
                <w:rFonts w:hint="eastAsia" w:ascii="Times New Roman" w:hAnsi="Times New Roman" w:eastAsia="宋体" w:cs="Times New Roman"/>
                <w:bCs/>
                <w:color w:val="000000" w:themeColor="text1"/>
                <w:sz w:val="24"/>
                <w:szCs w:val="24"/>
                <w14:textFill>
                  <w14:solidFill>
                    <w14:schemeClr w14:val="tx1"/>
                  </w14:solidFill>
                </w14:textFill>
              </w:rPr>
              <w:t>mg/m</w:t>
            </w:r>
            <w:r>
              <w:rPr>
                <w:rFonts w:hint="eastAsia" w:ascii="Times New Roman" w:hAnsi="Times New Roman" w:eastAsia="宋体" w:cs="Times New Roman"/>
                <w:bCs/>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（排放标准限值：</w:t>
            </w:r>
            <w:r>
              <w:rPr>
                <w:rFonts w:hint="eastAsia" w:ascii="Times New Roman" w:hAnsi="Times New Roman" w:eastAsia="宋体" w:cs="Times New Roman"/>
                <w:color w:val="000000" w:themeColor="text1"/>
                <w:sz w:val="24"/>
                <w:lang w:val="en-US" w:eastAsia="zh-CN"/>
                <w14:textFill>
                  <w14:solidFill>
                    <w14:schemeClr w14:val="tx1"/>
                  </w14:solidFill>
                </w14:textFill>
              </w:rPr>
              <w:t>120</w:t>
            </w:r>
            <w:r>
              <w:rPr>
                <w:rFonts w:hint="eastAsia" w:ascii="Times New Roman" w:hAnsi="Times New Roman" w:eastAsia="宋体" w:cs="Times New Roman"/>
                <w:color w:val="000000" w:themeColor="text1"/>
                <w:sz w:val="24"/>
                <w14:textFill>
                  <w14:solidFill>
                    <w14:schemeClr w14:val="tx1"/>
                  </w14:solidFill>
                </w14:textFill>
              </w:rPr>
              <w:t>mg/m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5778BAFD">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default" w:eastAsia="宋体"/>
                <w:sz w:val="24"/>
                <w:lang w:val="en-US" w:eastAsia="zh-CN"/>
              </w:rPr>
            </w:pPr>
            <w:r>
              <w:rPr>
                <w:rFonts w:hint="default" w:eastAsia="宋体"/>
                <w:color w:val="000000" w:themeColor="text1"/>
                <w:sz w:val="24"/>
                <w:lang w:val="en-US" w:eastAsia="zh-CN"/>
                <w14:textFill>
                  <w14:solidFill>
                    <w14:schemeClr w14:val="tx1"/>
                  </w14:solidFill>
                </w14:textFill>
              </w:rPr>
              <w:t>DA006</w:t>
            </w:r>
            <w:r>
              <w:rPr>
                <w:rFonts w:hint="default" w:eastAsia="宋体"/>
                <w:color w:val="000000" w:themeColor="text1"/>
                <w:sz w:val="24"/>
                <w:lang w:val="en-US" w:eastAsia="zh-CN"/>
                <w14:textFill>
                  <w14:solidFill>
                    <w14:schemeClr w14:val="tx1"/>
                  </w14:solidFill>
                </w14:textFill>
              </w:rPr>
              <w:tab/>
            </w:r>
            <w:r>
              <w:rPr>
                <w:rFonts w:hint="eastAsia"/>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烘干、丙烷燃烧废气</w:t>
            </w:r>
            <w:r>
              <w:rPr>
                <w:rFonts w:hint="eastAsia"/>
                <w:color w:val="000000" w:themeColor="text1"/>
                <w:sz w:val="24"/>
                <w:lang w:val="en-US" w:eastAsia="zh-CN"/>
                <w14:textFill>
                  <w14:solidFill>
                    <w14:schemeClr w14:val="tx1"/>
                  </w14:solidFill>
                </w14:textFill>
              </w:rPr>
              <w:t>排气筒中</w:t>
            </w:r>
            <w:r>
              <w:rPr>
                <w:rFonts w:hint="eastAsia" w:ascii="Times New Roman" w:eastAsia="宋体"/>
                <w:color w:val="000000" w:themeColor="text1"/>
                <w:sz w:val="24"/>
                <w:lang w:val="en-US" w:eastAsia="zh-CN"/>
                <w14:textFill>
                  <w14:solidFill>
                    <w14:schemeClr w14:val="tx1"/>
                  </w14:solidFill>
                </w14:textFill>
              </w:rPr>
              <w:t>非甲烷总烃</w:t>
            </w:r>
            <w:r>
              <w:rPr>
                <w:rFonts w:hint="eastAsia"/>
                <w:color w:val="000000" w:themeColor="text1"/>
                <w:sz w:val="24"/>
                <w:lang w:val="en-US" w:eastAsia="zh-CN"/>
                <w14:textFill>
                  <w14:solidFill>
                    <w14:schemeClr w14:val="tx1"/>
                  </w14:solidFill>
                </w14:textFill>
              </w:rPr>
              <w:t>平均排放浓度</w:t>
            </w:r>
            <w:r>
              <w:rPr>
                <w:rFonts w:hint="eastAsia" w:ascii="Times New Roman" w:eastAsia="宋体"/>
                <w:color w:val="000000" w:themeColor="text1"/>
                <w:sz w:val="24"/>
                <w:lang w:val="en-US" w:eastAsia="zh-CN"/>
                <w14:textFill>
                  <w14:solidFill>
                    <w14:schemeClr w14:val="tx1"/>
                  </w14:solidFill>
                </w14:textFill>
              </w:rPr>
              <w:t>：3.582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（排放标准限值：70mg/m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），二甲苯均未检出（排放标准限值：20mg/m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 第6部分：其他行业》（D</w:t>
            </w:r>
            <w:r>
              <w:rPr>
                <w:rFonts w:hint="eastAsia" w:ascii="Times New Roman" w:eastAsia="宋体"/>
                <w:sz w:val="24"/>
                <w:lang w:val="en-US" w:eastAsia="zh-CN"/>
              </w:rPr>
              <w:t>B34 4812.6-2024)表1挥发性有机物基本污染物项目排放限值</w:t>
            </w:r>
            <w:r>
              <w:rPr>
                <w:rFonts w:hint="eastAsia"/>
                <w:sz w:val="24"/>
              </w:rPr>
              <w:t>；</w:t>
            </w:r>
            <w:r>
              <w:rPr>
                <w:rFonts w:hint="eastAsia" w:ascii="Times New Roman" w:eastAsia="宋体"/>
                <w:sz w:val="24"/>
                <w:lang w:val="en-US" w:eastAsia="zh-CN"/>
              </w:rPr>
              <w:t>氮氧化物</w:t>
            </w:r>
            <w:r>
              <w:rPr>
                <w:rFonts w:hint="eastAsia"/>
                <w:sz w:val="24"/>
                <w:lang w:val="en-US" w:eastAsia="zh-CN"/>
              </w:rPr>
              <w:t>平均排放浓度</w:t>
            </w:r>
            <w:r>
              <w:rPr>
                <w:rFonts w:hint="eastAsia" w:ascii="Times New Roman" w:eastAsia="宋体"/>
                <w:sz w:val="24"/>
                <w:lang w:val="en-US" w:eastAsia="zh-CN"/>
              </w:rPr>
              <w:t>：3.333 mg/m</w:t>
            </w:r>
            <w:r>
              <w:rPr>
                <w:rFonts w:hint="eastAsia" w:ascii="Times New Roman" w:eastAsia="宋体"/>
                <w:sz w:val="24"/>
                <w:vertAlign w:val="superscript"/>
                <w:lang w:val="en-US" w:eastAsia="zh-CN"/>
              </w:rPr>
              <w:t>3</w:t>
            </w:r>
            <w:r>
              <w:rPr>
                <w:rFonts w:hint="eastAsia" w:ascii="Times New Roman" w:eastAsia="宋体"/>
                <w:sz w:val="24"/>
                <w:lang w:val="en-US" w:eastAsia="zh-CN"/>
              </w:rPr>
              <w:t>（排放标准限值：300mg/m</w:t>
            </w:r>
            <w:r>
              <w:rPr>
                <w:rFonts w:hint="eastAsia" w:ascii="Times New Roman" w:eastAsia="宋体"/>
                <w:sz w:val="24"/>
                <w:vertAlign w:val="superscript"/>
                <w:lang w:val="en-US" w:eastAsia="zh-CN"/>
              </w:rPr>
              <w:t>3</w:t>
            </w:r>
            <w:r>
              <w:rPr>
                <w:rFonts w:hint="eastAsia" w:ascii="Times New Roman" w:eastAsia="宋体"/>
                <w:sz w:val="24"/>
                <w:lang w:val="en-US" w:eastAsia="zh-CN"/>
              </w:rPr>
              <w:t>），二氧化硫</w:t>
            </w:r>
            <w:r>
              <w:rPr>
                <w:rFonts w:hint="eastAsia"/>
                <w:sz w:val="24"/>
                <w:lang w:val="en-US" w:eastAsia="zh-CN"/>
              </w:rPr>
              <w:t>均未检出</w:t>
            </w:r>
            <w:r>
              <w:rPr>
                <w:rFonts w:hint="eastAsia" w:ascii="Times New Roman" w:eastAsia="宋体"/>
                <w:sz w:val="24"/>
                <w:lang w:val="en-US" w:eastAsia="zh-CN"/>
              </w:rPr>
              <w:t>（排放标准限值：200mg/m</w:t>
            </w:r>
            <w:r>
              <w:rPr>
                <w:rFonts w:hint="eastAsia" w:ascii="Times New Roman" w:eastAsia="宋体"/>
                <w:sz w:val="24"/>
                <w:vertAlign w:val="superscript"/>
                <w:lang w:val="en-US" w:eastAsia="zh-CN"/>
              </w:rPr>
              <w:t>3</w:t>
            </w:r>
            <w:r>
              <w:rPr>
                <w:rFonts w:hint="eastAsia" w:ascii="Times New Roman" w:eastAsia="宋体"/>
                <w:sz w:val="24"/>
                <w:lang w:val="en-US" w:eastAsia="zh-CN"/>
              </w:rPr>
              <w:t>），满足《工业炉窑大气污染综合治理方案》（环大气〔2019〕56号）的排放限值；</w:t>
            </w:r>
            <w:r>
              <w:rPr>
                <w:rFonts w:hint="eastAsia"/>
                <w:sz w:val="24"/>
              </w:rPr>
              <w:t>颗粒物</w:t>
            </w:r>
            <w:r>
              <w:rPr>
                <w:rFonts w:hint="eastAsia"/>
                <w:sz w:val="24"/>
                <w:lang w:val="en-US" w:eastAsia="zh-CN"/>
              </w:rPr>
              <w:t>均未检出</w:t>
            </w:r>
            <w:r>
              <w:rPr>
                <w:rFonts w:hint="eastAsia"/>
                <w:sz w:val="24"/>
              </w:rPr>
              <w:t>（排放标准限值：</w:t>
            </w:r>
            <w:r>
              <w:rPr>
                <w:rFonts w:hint="eastAsia" w:ascii="Times New Roman" w:eastAsia="宋体"/>
                <w:sz w:val="24"/>
                <w:lang w:val="en-US" w:eastAsia="zh-CN"/>
              </w:rPr>
              <w:t>120</w:t>
            </w:r>
            <w:r>
              <w:rPr>
                <w:rFonts w:hint="eastAsia"/>
                <w:sz w:val="24"/>
              </w:rPr>
              <w:t>mg/m</w:t>
            </w:r>
            <w:r>
              <w:rPr>
                <w:rFonts w:hint="eastAsia"/>
                <w:sz w:val="24"/>
                <w:vertAlign w:val="superscript"/>
              </w:rPr>
              <w:t>3</w:t>
            </w:r>
            <w:r>
              <w:rPr>
                <w:rFonts w:hint="eastAsia"/>
                <w:sz w:val="24"/>
              </w:rPr>
              <w:t>）</w:t>
            </w:r>
            <w:r>
              <w:rPr>
                <w:rFonts w:hint="eastAsia" w:eastAsia="宋体"/>
                <w:sz w:val="24"/>
                <w:lang w:eastAsia="zh-CN"/>
              </w:rPr>
              <w:t>，</w:t>
            </w:r>
            <w:r>
              <w:rPr>
                <w:rFonts w:hint="eastAsia"/>
                <w:sz w:val="24"/>
              </w:rPr>
              <w:t>满足《大气污染物综合排放标准》（GB16297-1996)表2新污染源大气污染物排放限值中二级标准的排放限值</w:t>
            </w:r>
            <w:r>
              <w:rPr>
                <w:rFonts w:hint="eastAsia" w:eastAsia="宋体"/>
                <w:sz w:val="24"/>
                <w:lang w:eastAsia="zh-CN"/>
              </w:rPr>
              <w:t>；</w:t>
            </w:r>
          </w:p>
          <w:p w14:paraId="0B3AD328">
            <w:pPr>
              <w:keepNext w:val="0"/>
              <w:keepLines w:val="0"/>
              <w:pageBreakBefore w:val="0"/>
              <w:widowControl w:val="0"/>
              <w:kinsoku/>
              <w:wordWrap/>
              <w:overflowPunct/>
              <w:topLinePunct w:val="0"/>
              <w:bidi w:val="0"/>
              <w:snapToGrid w:val="0"/>
              <w:spacing w:beforeAutospacing="0" w:afterAutospacing="0"/>
              <w:ind w:right="0" w:firstLine="482"/>
              <w:jc w:val="center"/>
              <w:rPr>
                <w:b/>
                <w:sz w:val="24"/>
              </w:rPr>
            </w:pPr>
            <w:r>
              <w:rPr>
                <w:rFonts w:hint="eastAsia"/>
                <w:b/>
                <w:sz w:val="24"/>
              </w:rPr>
              <w:t>表7</w:t>
            </w:r>
            <w:r>
              <w:rPr>
                <w:b/>
                <w:sz w:val="24"/>
              </w:rPr>
              <w:t>-</w:t>
            </w:r>
            <w:r>
              <w:rPr>
                <w:rFonts w:hint="eastAsia"/>
                <w:b/>
                <w:sz w:val="24"/>
              </w:rPr>
              <w:t>2废气总量核算一览表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353"/>
              <w:gridCol w:w="1199"/>
              <w:gridCol w:w="840"/>
              <w:gridCol w:w="1336"/>
              <w:gridCol w:w="2942"/>
            </w:tblGrid>
            <w:tr w14:paraId="4F93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Align w:val="center"/>
                </w:tcPr>
                <w:p w14:paraId="6AC369F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排气筒编号</w:t>
                  </w:r>
                </w:p>
              </w:tc>
              <w:tc>
                <w:tcPr>
                  <w:tcW w:w="720" w:type="pct"/>
                  <w:vAlign w:val="center"/>
                </w:tcPr>
                <w:p w14:paraId="65C4162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污染因子</w:t>
                  </w:r>
                </w:p>
              </w:tc>
              <w:tc>
                <w:tcPr>
                  <w:tcW w:w="638" w:type="pct"/>
                  <w:vAlign w:val="center"/>
                </w:tcPr>
                <w:p w14:paraId="2E9364BC">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平均</w:t>
                  </w:r>
                  <w:r>
                    <w:rPr>
                      <w:rFonts w:hint="eastAsia"/>
                      <w:b/>
                      <w:bCs/>
                      <w:color w:val="000000" w:themeColor="text1"/>
                      <w:szCs w:val="21"/>
                      <w14:textFill>
                        <w14:solidFill>
                          <w14:schemeClr w14:val="tx1"/>
                        </w14:solidFill>
                      </w14:textFill>
                    </w:rPr>
                    <w:t>排放速率（kg/h）</w:t>
                  </w:r>
                </w:p>
              </w:tc>
              <w:tc>
                <w:tcPr>
                  <w:tcW w:w="447" w:type="pct"/>
                  <w:vAlign w:val="center"/>
                </w:tcPr>
                <w:p w14:paraId="678C567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运行时间（h）</w:t>
                  </w:r>
                </w:p>
              </w:tc>
              <w:tc>
                <w:tcPr>
                  <w:tcW w:w="711" w:type="pct"/>
                  <w:vAlign w:val="center"/>
                </w:tcPr>
                <w:p w14:paraId="0DDDE8BA">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排放总量t/a</w:t>
                  </w:r>
                </w:p>
              </w:tc>
              <w:tc>
                <w:tcPr>
                  <w:tcW w:w="1565" w:type="pct"/>
                  <w:vAlign w:val="center"/>
                </w:tcPr>
                <w:p w14:paraId="1535E4B7">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14:paraId="1E5B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17" w:type="pct"/>
                  <w:vAlign w:val="center"/>
                </w:tcPr>
                <w:p w14:paraId="7B44C13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焊接烟尘、砂修废气、抛丸废气排气筒</w:t>
                  </w:r>
                </w:p>
              </w:tc>
              <w:tc>
                <w:tcPr>
                  <w:tcW w:w="720" w:type="pct"/>
                  <w:vAlign w:val="center"/>
                </w:tcPr>
                <w:p w14:paraId="17B44CFF">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38" w:type="pct"/>
                  <w:vAlign w:val="center"/>
                </w:tcPr>
                <w:p w14:paraId="7AFA7E2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bCs/>
                      <w:color w:val="000000" w:themeColor="text1"/>
                      <w:kern w:val="0"/>
                      <w:szCs w:val="22"/>
                      <w:lang w:val="en-US" w:bidi="zh-CN"/>
                      <w14:textFill>
                        <w14:solidFill>
                          <w14:schemeClr w14:val="tx1"/>
                        </w14:solidFill>
                      </w14:textFill>
                    </w:rPr>
                  </w:pPr>
                  <w:r>
                    <w:rPr>
                      <w:rFonts w:hint="eastAsia"/>
                      <w:bCs/>
                      <w:color w:val="000000" w:themeColor="text1"/>
                      <w:kern w:val="0"/>
                      <w:szCs w:val="22"/>
                      <w:lang w:val="en-US" w:bidi="zh-CN"/>
                      <w14:textFill>
                        <w14:solidFill>
                          <w14:schemeClr w14:val="tx1"/>
                        </w14:solidFill>
                      </w14:textFill>
                    </w:rPr>
                    <w:t>0.015</w:t>
                  </w:r>
                </w:p>
              </w:tc>
              <w:tc>
                <w:tcPr>
                  <w:tcW w:w="447" w:type="pct"/>
                  <w:vAlign w:val="center"/>
                </w:tcPr>
                <w:p w14:paraId="76C725EA">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51066A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1565" w:type="pct"/>
                  <w:vAlign w:val="center"/>
                </w:tcPr>
                <w:p w14:paraId="7E264CBF">
                  <w:pPr>
                    <w:keepNext w:val="0"/>
                    <w:keepLines w:val="0"/>
                    <w:pageBreakBefore w:val="0"/>
                    <w:widowControl/>
                    <w:kinsoku/>
                    <w:wordWrap/>
                    <w:overflowPunct/>
                    <w:topLinePunct w:val="0"/>
                    <w:autoSpaceDE/>
                    <w:autoSpaceDN/>
                    <w:bidi w:val="0"/>
                    <w:spacing w:beforeAutospacing="0" w:afterAutospacing="0"/>
                    <w:ind w:right="0" w:firstLine="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E34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17" w:type="pct"/>
                  <w:vAlign w:val="center"/>
                </w:tcPr>
                <w:p w14:paraId="2A6C1FD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喷塑粉尘排气筒中</w:t>
                  </w:r>
                </w:p>
              </w:tc>
              <w:tc>
                <w:tcPr>
                  <w:tcW w:w="720" w:type="pct"/>
                  <w:vAlign w:val="center"/>
                </w:tcPr>
                <w:p w14:paraId="110D30A7">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38" w:type="pct"/>
                  <w:vAlign w:val="center"/>
                </w:tcPr>
                <w:p w14:paraId="42103216">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0.059</w:t>
                  </w:r>
                </w:p>
              </w:tc>
              <w:tc>
                <w:tcPr>
                  <w:tcW w:w="447" w:type="pct"/>
                  <w:vAlign w:val="center"/>
                </w:tcPr>
                <w:p w14:paraId="025E5169">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2700</w:t>
                  </w:r>
                </w:p>
              </w:tc>
              <w:tc>
                <w:tcPr>
                  <w:tcW w:w="711" w:type="pct"/>
                  <w:shd w:val="clear" w:color="auto" w:fill="auto"/>
                  <w:vAlign w:val="center"/>
                </w:tcPr>
                <w:p w14:paraId="7765CD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0.1593</w:t>
                  </w:r>
                </w:p>
              </w:tc>
              <w:tc>
                <w:tcPr>
                  <w:tcW w:w="1565" w:type="pct"/>
                  <w:vAlign w:val="center"/>
                </w:tcPr>
                <w:p w14:paraId="17832BD2">
                  <w:pPr>
                    <w:keepNext w:val="0"/>
                    <w:keepLines w:val="0"/>
                    <w:pageBreakBefore w:val="0"/>
                    <w:widowControl/>
                    <w:kinsoku/>
                    <w:wordWrap/>
                    <w:overflowPunct/>
                    <w:topLinePunct w:val="0"/>
                    <w:autoSpaceDE/>
                    <w:autoSpaceDN/>
                    <w:bidi w:val="0"/>
                    <w:spacing w:beforeAutospacing="0" w:afterAutospacing="0"/>
                    <w:ind w:right="0" w:firstLine="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64F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17" w:type="pct"/>
                  <w:vMerge w:val="restart"/>
                  <w:vAlign w:val="center"/>
                </w:tcPr>
                <w:p w14:paraId="087D8471">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eastAsia="宋体"/>
                      <w:color w:val="000000" w:themeColor="text1"/>
                      <w:szCs w:val="21"/>
                      <w:lang w:eastAsia="zh-CN"/>
                      <w14:textFill>
                        <w14:solidFill>
                          <w14:schemeClr w14:val="tx1"/>
                        </w14:solidFill>
                      </w14:textFill>
                    </w:rPr>
                  </w:pPr>
                  <w:r>
                    <w:rPr>
                      <w:rFonts w:hint="eastAsia" w:eastAsia="宋体"/>
                      <w:color w:val="000000" w:themeColor="text1"/>
                      <w:szCs w:val="21"/>
                      <w:lang w:eastAsia="zh-CN"/>
                      <w14:textFill>
                        <w14:solidFill>
                          <w14:schemeClr w14:val="tx1"/>
                        </w14:solidFill>
                      </w14:textFill>
                    </w:rPr>
                    <w:t>DA003；调漆、喷漆废气排气筒</w:t>
                  </w:r>
                </w:p>
              </w:tc>
              <w:tc>
                <w:tcPr>
                  <w:tcW w:w="720" w:type="pct"/>
                  <w:shd w:val="clear" w:color="auto" w:fill="auto"/>
                  <w:vAlign w:val="center"/>
                </w:tcPr>
                <w:p w14:paraId="524E893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638" w:type="pct"/>
                  <w:vAlign w:val="center"/>
                </w:tcPr>
                <w:p w14:paraId="29F1E1BD">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ascii="Times New Roman" w:hAnsi="Times New Roman" w:eastAsia="宋体" w:cs="Times New Roman"/>
                      <w:bCs/>
                      <w:spacing w:val="-5"/>
                      <w:sz w:val="21"/>
                      <w:szCs w:val="21"/>
                      <w:lang w:val="en-US" w:eastAsia="zh-CN" w:bidi="he-IL"/>
                    </w:rPr>
                    <w:t>1.454×</w:t>
                  </w:r>
                  <w:r>
                    <w:rPr>
                      <w:rFonts w:hint="eastAsia"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c>
                <w:tcPr>
                  <w:tcW w:w="447" w:type="pct"/>
                  <w:vAlign w:val="center"/>
                </w:tcPr>
                <w:p w14:paraId="3F6DC755">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600</w:t>
                  </w:r>
                </w:p>
              </w:tc>
              <w:tc>
                <w:tcPr>
                  <w:tcW w:w="711" w:type="pct"/>
                  <w:shd w:val="clear" w:color="auto" w:fill="auto"/>
                  <w:vAlign w:val="center"/>
                </w:tcPr>
                <w:p w14:paraId="7184E0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8.724×10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6</w:t>
                  </w:r>
                </w:p>
              </w:tc>
              <w:tc>
                <w:tcPr>
                  <w:tcW w:w="1565" w:type="pct"/>
                  <w:vAlign w:val="center"/>
                </w:tcPr>
                <w:p w14:paraId="1197C43C">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w:t>
                  </w:r>
                  <w:r>
                    <w:rPr>
                      <w:rFonts w:hint="eastAsia"/>
                      <w:color w:val="000000" w:themeColor="text1"/>
                      <w:szCs w:val="21"/>
                      <w:lang w:val="en-US" w:eastAsia="zh-CN"/>
                      <w14:textFill>
                        <w14:solidFill>
                          <w14:schemeClr w14:val="tx1"/>
                        </w14:solidFill>
                      </w14:textFill>
                    </w:rPr>
                    <w:t>二甲苯</w:t>
                  </w:r>
                  <w:r>
                    <w:rPr>
                      <w:rFonts w:hint="eastAsia"/>
                      <w:color w:val="000000" w:themeColor="text1"/>
                      <w:szCs w:val="21"/>
                      <w14:textFill>
                        <w14:solidFill>
                          <w14:schemeClr w14:val="tx1"/>
                        </w14:solidFill>
                      </w14:textFill>
                    </w:rPr>
                    <w:t>排放浓度与排放速率均低于检出限，此处取速率为</w:t>
                  </w:r>
                  <w:r>
                    <w:rPr>
                      <w:rFonts w:hint="default" w:ascii="Times New Roman" w:hAnsi="Times New Roman" w:eastAsia="宋体" w:cs="Times New Roman"/>
                      <w:bCs/>
                      <w:spacing w:val="-5"/>
                      <w:sz w:val="21"/>
                      <w:szCs w:val="21"/>
                      <w:lang w:val="en-US" w:eastAsia="zh-CN" w:bidi="he-IL"/>
                    </w:rPr>
                    <w:t>1.454×</w:t>
                  </w:r>
                  <w:r>
                    <w:rPr>
                      <w:rFonts w:hint="eastAsia"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-5</w:t>
                  </w:r>
                </w:p>
              </w:tc>
            </w:tr>
            <w:tr w14:paraId="578E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17" w:type="pct"/>
                  <w:vMerge w:val="continue"/>
                  <w:vAlign w:val="center"/>
                </w:tcPr>
                <w:p w14:paraId="4385AFCE">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7AB65D0E">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638" w:type="pct"/>
                  <w:vAlign w:val="center"/>
                </w:tcPr>
                <w:p w14:paraId="411CDF84">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0.021 </w:t>
                  </w:r>
                </w:p>
              </w:tc>
              <w:tc>
                <w:tcPr>
                  <w:tcW w:w="447" w:type="pct"/>
                  <w:vAlign w:val="center"/>
                </w:tcPr>
                <w:p w14:paraId="0BB7A77E">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600</w:t>
                  </w:r>
                </w:p>
              </w:tc>
              <w:tc>
                <w:tcPr>
                  <w:tcW w:w="711" w:type="pct"/>
                  <w:shd w:val="clear" w:color="auto" w:fill="auto"/>
                  <w:vAlign w:val="center"/>
                </w:tcPr>
                <w:p w14:paraId="1FA14C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0.0126</w:t>
                  </w:r>
                </w:p>
              </w:tc>
              <w:tc>
                <w:tcPr>
                  <w:tcW w:w="1565" w:type="pct"/>
                  <w:vAlign w:val="center"/>
                </w:tcPr>
                <w:p w14:paraId="0A0AB354">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63A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1777BB1A">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5B3BDD1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638" w:type="pct"/>
                  <w:vAlign w:val="center"/>
                </w:tcPr>
                <w:p w14:paraId="07F18B1E">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 xml:space="preserve">0.010 </w:t>
                  </w:r>
                </w:p>
              </w:tc>
              <w:tc>
                <w:tcPr>
                  <w:tcW w:w="447" w:type="pct"/>
                  <w:vAlign w:val="center"/>
                </w:tcPr>
                <w:p w14:paraId="68D98CA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600</w:t>
                  </w:r>
                </w:p>
              </w:tc>
              <w:tc>
                <w:tcPr>
                  <w:tcW w:w="711" w:type="pct"/>
                  <w:shd w:val="clear" w:color="auto" w:fill="auto"/>
                  <w:vAlign w:val="center"/>
                </w:tcPr>
                <w:p w14:paraId="56BB612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565" w:type="pct"/>
                  <w:shd w:val="clear" w:color="auto" w:fill="auto"/>
                  <w:vAlign w:val="center"/>
                </w:tcPr>
                <w:p w14:paraId="489AC96B">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由于颗粒物排放浓度与排放速率均低于检出限，此处取速率为</w:t>
                  </w:r>
                  <w:r>
                    <w:rPr>
                      <w:rFonts w:hint="eastAsia"/>
                      <w:color w:val="000000" w:themeColor="text1"/>
                      <w:szCs w:val="21"/>
                      <w:lang w:val="en-US" w:eastAsia="zh-CN"/>
                      <w14:textFill>
                        <w14:solidFill>
                          <w14:schemeClr w14:val="tx1"/>
                        </w14:solidFill>
                      </w14:textFill>
                    </w:rPr>
                    <w:t>0.010</w:t>
                  </w:r>
                </w:p>
              </w:tc>
            </w:tr>
            <w:tr w14:paraId="7525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restart"/>
                  <w:vAlign w:val="center"/>
                </w:tcPr>
                <w:p w14:paraId="0A0DCEB7">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DA004</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固化、丙烷燃烧废气排气筒</w:t>
                  </w:r>
                </w:p>
              </w:tc>
              <w:tc>
                <w:tcPr>
                  <w:tcW w:w="720" w:type="pct"/>
                  <w:shd w:val="clear" w:color="auto" w:fill="auto"/>
                  <w:vAlign w:val="center"/>
                </w:tcPr>
                <w:p w14:paraId="4EC00192">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638" w:type="pct"/>
                  <w:vAlign w:val="center"/>
                </w:tcPr>
                <w:p w14:paraId="370915A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ascii="Times New Roman" w:hAnsi="Times New Roman" w:eastAsia="宋体" w:cs="Times New Roman"/>
                      <w:bCs/>
                      <w:spacing w:val="-5"/>
                      <w:sz w:val="21"/>
                      <w:szCs w:val="21"/>
                      <w:lang w:val="en-US" w:eastAsia="zh-CN" w:bidi="he-IL"/>
                    </w:rPr>
                    <w:t>4.633×10</w:t>
                  </w:r>
                  <w:r>
                    <w:rPr>
                      <w:rFonts w:hint="default" w:ascii="Times New Roman" w:hAnsi="Times New Roman" w:eastAsia="宋体" w:cs="Times New Roman"/>
                      <w:bCs/>
                      <w:spacing w:val="-5"/>
                      <w:sz w:val="21"/>
                      <w:szCs w:val="21"/>
                      <w:vertAlign w:val="superscript"/>
                      <w:lang w:val="en-US" w:eastAsia="zh-CN" w:bidi="he-IL"/>
                    </w:rPr>
                    <w:t>-7</w:t>
                  </w:r>
                </w:p>
              </w:tc>
              <w:tc>
                <w:tcPr>
                  <w:tcW w:w="447" w:type="pct"/>
                  <w:vAlign w:val="center"/>
                </w:tcPr>
                <w:p w14:paraId="728FA84A">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700</w:t>
                  </w:r>
                </w:p>
              </w:tc>
              <w:tc>
                <w:tcPr>
                  <w:tcW w:w="711" w:type="pct"/>
                  <w:shd w:val="clear" w:color="auto" w:fill="auto"/>
                  <w:vAlign w:val="center"/>
                </w:tcPr>
                <w:p w14:paraId="0C3800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3.243</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-7</w:t>
                  </w:r>
                </w:p>
              </w:tc>
              <w:tc>
                <w:tcPr>
                  <w:tcW w:w="1565" w:type="pct"/>
                  <w:shd w:val="clear" w:color="auto" w:fill="auto"/>
                  <w:vAlign w:val="center"/>
                </w:tcPr>
                <w:p w14:paraId="5B8414FC">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由于</w:t>
                  </w:r>
                  <w:r>
                    <w:rPr>
                      <w:rFonts w:hint="eastAsia"/>
                      <w:color w:val="000000" w:themeColor="text1"/>
                      <w:szCs w:val="21"/>
                      <w:lang w:val="en-US" w:eastAsia="zh-CN"/>
                      <w14:textFill>
                        <w14:solidFill>
                          <w14:schemeClr w14:val="tx1"/>
                        </w14:solidFill>
                      </w14:textFill>
                    </w:rPr>
                    <w:t>二甲苯</w:t>
                  </w:r>
                  <w:r>
                    <w:rPr>
                      <w:rFonts w:hint="eastAsia"/>
                      <w:color w:val="000000" w:themeColor="text1"/>
                      <w:szCs w:val="21"/>
                      <w14:textFill>
                        <w14:solidFill>
                          <w14:schemeClr w14:val="tx1"/>
                        </w14:solidFill>
                      </w14:textFill>
                    </w:rPr>
                    <w:t>排放浓度与排放速率均低于检出限，此处取速率为</w:t>
                  </w:r>
                  <w:r>
                    <w:rPr>
                      <w:rFonts w:hint="default" w:ascii="Times New Roman" w:hAnsi="Times New Roman" w:eastAsia="宋体" w:cs="Times New Roman"/>
                      <w:bCs/>
                      <w:spacing w:val="-5"/>
                      <w:sz w:val="21"/>
                      <w:szCs w:val="21"/>
                      <w:lang w:val="en-US" w:eastAsia="zh-CN" w:bidi="he-IL"/>
                    </w:rPr>
                    <w:t>4.633×10</w:t>
                  </w:r>
                  <w:r>
                    <w:rPr>
                      <w:rFonts w:hint="default" w:ascii="Times New Roman" w:hAnsi="Times New Roman" w:eastAsia="宋体" w:cs="Times New Roman"/>
                      <w:bCs/>
                      <w:spacing w:val="-5"/>
                      <w:sz w:val="21"/>
                      <w:szCs w:val="21"/>
                      <w:vertAlign w:val="superscript"/>
                      <w:lang w:val="en-US" w:eastAsia="zh-CN" w:bidi="he-IL"/>
                    </w:rPr>
                    <w:t>-7</w:t>
                  </w:r>
                </w:p>
              </w:tc>
            </w:tr>
            <w:tr w14:paraId="4E51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4C88DF01">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39DFF8DD">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638" w:type="pct"/>
                  <w:vAlign w:val="center"/>
                </w:tcPr>
                <w:p w14:paraId="605B056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ascii="Times New Roman" w:hAnsi="Times New Roman" w:eastAsia="宋体" w:cs="Times New Roman"/>
                      <w:bCs/>
                      <w:spacing w:val="-5"/>
                      <w:sz w:val="21"/>
                      <w:szCs w:val="21"/>
                      <w:lang w:val="en-US" w:eastAsia="zh-CN" w:bidi="he-IL"/>
                    </w:rPr>
                    <w:t>7.246×10</w:t>
                  </w:r>
                  <w:r>
                    <w:rPr>
                      <w:rFonts w:hint="default" w:ascii="Times New Roman" w:hAnsi="Times New Roman" w:eastAsia="宋体" w:cs="Times New Roman"/>
                      <w:bCs/>
                      <w:spacing w:val="-5"/>
                      <w:sz w:val="21"/>
                      <w:szCs w:val="21"/>
                      <w:vertAlign w:val="superscript"/>
                      <w:lang w:val="en-US" w:eastAsia="zh-CN" w:bidi="he-IL"/>
                    </w:rPr>
                    <w:t>-4</w:t>
                  </w:r>
                </w:p>
              </w:tc>
              <w:tc>
                <w:tcPr>
                  <w:tcW w:w="447" w:type="pct"/>
                  <w:vAlign w:val="center"/>
                </w:tcPr>
                <w:p w14:paraId="1EEB5FC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700</w:t>
                  </w:r>
                </w:p>
              </w:tc>
              <w:tc>
                <w:tcPr>
                  <w:tcW w:w="711" w:type="pct"/>
                  <w:shd w:val="clear" w:color="auto" w:fill="auto"/>
                  <w:vAlign w:val="center"/>
                </w:tcPr>
                <w:p w14:paraId="46C6AF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072</w:t>
                  </w:r>
                  <w:r>
                    <w:rPr>
                      <w:rFonts w:hint="default" w:ascii="Times New Roman" w:hAnsi="Times New Roman" w:eastAsia="宋体" w:cs="Times New Roman"/>
                      <w:bCs/>
                      <w:spacing w:val="-5"/>
                      <w:sz w:val="21"/>
                      <w:szCs w:val="21"/>
                      <w:lang w:val="en-US" w:eastAsia="zh-CN" w:bidi="he-IL"/>
                    </w:rPr>
                    <w:t>×10</w:t>
                  </w:r>
                  <w:r>
                    <w:rPr>
                      <w:rFonts w:hint="default" w:ascii="Times New Roman" w:hAnsi="Times New Roman" w:eastAsia="宋体" w:cs="Times New Roman"/>
                      <w:bCs/>
                      <w:spacing w:val="-5"/>
                      <w:sz w:val="21"/>
                      <w:szCs w:val="21"/>
                      <w:vertAlign w:val="superscript"/>
                      <w:lang w:val="en-US" w:eastAsia="zh-CN" w:bidi="he-IL"/>
                    </w:rPr>
                    <w:t>-4</w:t>
                  </w:r>
                </w:p>
              </w:tc>
              <w:tc>
                <w:tcPr>
                  <w:tcW w:w="1565" w:type="pct"/>
                  <w:vAlign w:val="center"/>
                </w:tcPr>
                <w:p w14:paraId="4F4CBF3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C2A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7E953E12">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7F7E721E">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氮氧化物</w:t>
                  </w:r>
                </w:p>
              </w:tc>
              <w:tc>
                <w:tcPr>
                  <w:tcW w:w="638" w:type="pct"/>
                  <w:vAlign w:val="center"/>
                </w:tcPr>
                <w:p w14:paraId="54A9DF9A">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 xml:space="preserve">0.001 </w:t>
                  </w:r>
                </w:p>
              </w:tc>
              <w:tc>
                <w:tcPr>
                  <w:tcW w:w="447" w:type="pct"/>
                  <w:vAlign w:val="center"/>
                </w:tcPr>
                <w:p w14:paraId="4CE2868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700</w:t>
                  </w:r>
                </w:p>
              </w:tc>
              <w:tc>
                <w:tcPr>
                  <w:tcW w:w="711" w:type="pct"/>
                  <w:shd w:val="clear" w:color="auto" w:fill="auto"/>
                  <w:vAlign w:val="center"/>
                </w:tcPr>
                <w:p w14:paraId="1C50965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1565" w:type="pct"/>
                  <w:vAlign w:val="center"/>
                </w:tcPr>
                <w:p w14:paraId="2E253BD5">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01C8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0C375B6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71D560E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二氧化硫</w:t>
                  </w:r>
                </w:p>
              </w:tc>
              <w:tc>
                <w:tcPr>
                  <w:tcW w:w="638" w:type="pct"/>
                  <w:vAlign w:val="center"/>
                </w:tcPr>
                <w:p w14:paraId="41F22CC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default"/>
                      <w:bCs/>
                      <w:color w:val="000000" w:themeColor="text1"/>
                      <w:szCs w:val="21"/>
                      <w:lang w:val="en-US"/>
                      <w14:textFill>
                        <w14:solidFill>
                          <w14:schemeClr w14:val="tx1"/>
                        </w14:solidFill>
                      </w14:textFill>
                    </w:rPr>
                  </w:pPr>
                  <w:r>
                    <w:rPr>
                      <w:rFonts w:hint="eastAsia"/>
                      <w:bCs/>
                      <w:color w:val="000000" w:themeColor="text1"/>
                      <w:szCs w:val="21"/>
                      <w:lang w:val="en-US" w:eastAsia="zh-CN"/>
                      <w14:textFill>
                        <w14:solidFill>
                          <w14:schemeClr w14:val="tx1"/>
                        </w14:solidFill>
                      </w14:textFill>
                    </w:rPr>
                    <w:t>0.0005</w:t>
                  </w:r>
                </w:p>
              </w:tc>
              <w:tc>
                <w:tcPr>
                  <w:tcW w:w="447" w:type="pct"/>
                  <w:vAlign w:val="center"/>
                </w:tcPr>
                <w:p w14:paraId="51656A6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700</w:t>
                  </w:r>
                </w:p>
              </w:tc>
              <w:tc>
                <w:tcPr>
                  <w:tcW w:w="711" w:type="pct"/>
                  <w:shd w:val="clear" w:color="auto" w:fill="auto"/>
                  <w:vAlign w:val="center"/>
                </w:tcPr>
                <w:p w14:paraId="3E79A9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35</w:t>
                  </w:r>
                </w:p>
              </w:tc>
              <w:tc>
                <w:tcPr>
                  <w:tcW w:w="1565" w:type="pct"/>
                  <w:vAlign w:val="center"/>
                </w:tcPr>
                <w:p w14:paraId="132B14CC">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color w:val="000000" w:themeColor="text1"/>
                      <w:szCs w:val="21"/>
                      <w:lang w:val="en-US"/>
                      <w14:textFill>
                        <w14:solidFill>
                          <w14:schemeClr w14:val="tx1"/>
                        </w14:solidFill>
                      </w14:textFill>
                    </w:rPr>
                  </w:pPr>
                  <w:r>
                    <w:rPr>
                      <w:rFonts w:hint="eastAsia"/>
                      <w:color w:val="000000" w:themeColor="text1"/>
                      <w:szCs w:val="21"/>
                      <w14:textFill>
                        <w14:solidFill>
                          <w14:schemeClr w14:val="tx1"/>
                        </w14:solidFill>
                      </w14:textFill>
                    </w:rPr>
                    <w:t>由于</w:t>
                  </w:r>
                  <w:r>
                    <w:rPr>
                      <w:rFonts w:hint="eastAsia"/>
                      <w:color w:val="000000" w:themeColor="text1"/>
                      <w:szCs w:val="21"/>
                      <w:lang w:val="en-US" w:eastAsia="zh-CN"/>
                      <w14:textFill>
                        <w14:solidFill>
                          <w14:schemeClr w14:val="tx1"/>
                        </w14:solidFill>
                      </w14:textFill>
                    </w:rPr>
                    <w:t>二氧化硫</w:t>
                  </w:r>
                  <w:r>
                    <w:rPr>
                      <w:rFonts w:hint="eastAsia"/>
                      <w:color w:val="000000" w:themeColor="text1"/>
                      <w:szCs w:val="21"/>
                      <w14:textFill>
                        <w14:solidFill>
                          <w14:schemeClr w14:val="tx1"/>
                        </w14:solidFill>
                      </w14:textFill>
                    </w:rPr>
                    <w:t>排放浓度与排放速率均低于检出限，此处取速率为</w:t>
                  </w:r>
                  <w:r>
                    <w:rPr>
                      <w:rFonts w:hint="eastAsia"/>
                      <w:color w:val="000000" w:themeColor="text1"/>
                      <w:szCs w:val="21"/>
                      <w:lang w:val="en-US" w:eastAsia="zh-CN"/>
                      <w14:textFill>
                        <w14:solidFill>
                          <w14:schemeClr w14:val="tx1"/>
                        </w14:solidFill>
                      </w14:textFill>
                    </w:rPr>
                    <w:t>0.0005</w:t>
                  </w:r>
                </w:p>
              </w:tc>
            </w:tr>
            <w:tr w14:paraId="6A7A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41268A28">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3E1DF0A9">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638" w:type="pct"/>
                  <w:vAlign w:val="center"/>
                </w:tcPr>
                <w:p w14:paraId="0CCFBAA0">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eastAsia"/>
                      <w:bCs/>
                      <w:color w:val="000000" w:themeColor="text1"/>
                      <w:szCs w:val="21"/>
                      <w14:textFill>
                        <w14:solidFill>
                          <w14:schemeClr w14:val="tx1"/>
                        </w14:solidFill>
                      </w14:textFill>
                    </w:rPr>
                  </w:pPr>
                  <w:r>
                    <w:rPr>
                      <w:rFonts w:hint="default" w:ascii="Times New Roman" w:hAnsi="Times New Roman" w:eastAsia="宋体" w:cs="Times New Roman"/>
                      <w:bCs/>
                      <w:spacing w:val="-5"/>
                      <w:sz w:val="21"/>
                      <w:szCs w:val="21"/>
                      <w:lang w:val="en-US" w:eastAsia="zh-CN" w:bidi="he-IL"/>
                    </w:rPr>
                    <w:t>3.088×10</w:t>
                  </w:r>
                  <w:r>
                    <w:rPr>
                      <w:rFonts w:hint="default" w:ascii="Times New Roman" w:hAnsi="Times New Roman" w:eastAsia="宋体" w:cs="Times New Roman"/>
                      <w:bCs/>
                      <w:spacing w:val="-5"/>
                      <w:sz w:val="21"/>
                      <w:szCs w:val="21"/>
                      <w:vertAlign w:val="superscript"/>
                      <w:lang w:val="en-US" w:eastAsia="zh-CN" w:bidi="he-IL"/>
                    </w:rPr>
                    <w:t>-4</w:t>
                  </w:r>
                </w:p>
              </w:tc>
              <w:tc>
                <w:tcPr>
                  <w:tcW w:w="447" w:type="pct"/>
                  <w:vAlign w:val="center"/>
                </w:tcPr>
                <w:p w14:paraId="35BAADCA">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700</w:t>
                  </w:r>
                </w:p>
              </w:tc>
              <w:tc>
                <w:tcPr>
                  <w:tcW w:w="711" w:type="pct"/>
                  <w:shd w:val="clear" w:color="auto" w:fill="auto"/>
                  <w:vAlign w:val="center"/>
                </w:tcPr>
                <w:p w14:paraId="29E0528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0.00021616</w:t>
                  </w:r>
                </w:p>
              </w:tc>
              <w:tc>
                <w:tcPr>
                  <w:tcW w:w="1565" w:type="pct"/>
                  <w:shd w:val="clear" w:color="auto" w:fill="auto"/>
                  <w:vAlign w:val="center"/>
                </w:tcPr>
                <w:p w14:paraId="782B47CD">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由于颗粒物排放浓度与排放速率均低于检出限，此处取速率为</w:t>
                  </w:r>
                  <w:r>
                    <w:rPr>
                      <w:rFonts w:hint="default" w:ascii="Times New Roman" w:hAnsi="Times New Roman" w:eastAsia="宋体" w:cs="Times New Roman"/>
                      <w:bCs/>
                      <w:spacing w:val="-5"/>
                      <w:sz w:val="21"/>
                      <w:szCs w:val="21"/>
                      <w:lang w:val="en-US" w:eastAsia="zh-CN" w:bidi="he-IL"/>
                    </w:rPr>
                    <w:t>3.088×10</w:t>
                  </w:r>
                  <w:r>
                    <w:rPr>
                      <w:rFonts w:hint="default" w:ascii="Times New Roman" w:hAnsi="Times New Roman" w:eastAsia="宋体" w:cs="Times New Roman"/>
                      <w:bCs/>
                      <w:spacing w:val="-5"/>
                      <w:sz w:val="21"/>
                      <w:szCs w:val="21"/>
                      <w:vertAlign w:val="superscript"/>
                      <w:lang w:val="en-US" w:eastAsia="zh-CN" w:bidi="he-IL"/>
                    </w:rPr>
                    <w:t>-4</w:t>
                  </w:r>
                </w:p>
              </w:tc>
            </w:tr>
            <w:tr w14:paraId="7655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Align w:val="center"/>
                </w:tcPr>
                <w:p w14:paraId="626E5523">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DA005</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检验补喷废气排气筒</w:t>
                  </w:r>
                </w:p>
              </w:tc>
              <w:tc>
                <w:tcPr>
                  <w:tcW w:w="720" w:type="pct"/>
                  <w:shd w:val="clear" w:color="auto" w:fill="auto"/>
                  <w:vAlign w:val="center"/>
                </w:tcPr>
                <w:p w14:paraId="363A42C3">
                  <w:pPr>
                    <w:keepNext w:val="0"/>
                    <w:keepLines w:val="0"/>
                    <w:pageBreakBefore w:val="0"/>
                    <w:widowControl w:val="0"/>
                    <w:kinsoku/>
                    <w:wordWrap/>
                    <w:overflowPunct/>
                    <w:topLinePunct w:val="0"/>
                    <w:autoSpaceDE/>
                    <w:autoSpaceDN/>
                    <w:bidi w:val="0"/>
                    <w:adjustRightInd w:val="0"/>
                    <w:snapToGrid w:val="0"/>
                    <w:spacing w:beforeAutospacing="0" w:afterAutospacing="0"/>
                    <w:ind w:right="0" w:firstLine="0"/>
                    <w:jc w:val="center"/>
                    <w:rPr>
                      <w:rFonts w:hint="eastAsia"/>
                      <w:sz w:val="24"/>
                      <w:szCs w:val="24"/>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638" w:type="pct"/>
                  <w:vAlign w:val="center"/>
                </w:tcPr>
                <w:p w14:paraId="3EE1A677">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0.0527</w:t>
                  </w:r>
                </w:p>
              </w:tc>
              <w:tc>
                <w:tcPr>
                  <w:tcW w:w="447" w:type="pct"/>
                  <w:vAlign w:val="center"/>
                </w:tcPr>
                <w:p w14:paraId="2CAA7651">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3000</w:t>
                  </w:r>
                </w:p>
              </w:tc>
              <w:tc>
                <w:tcPr>
                  <w:tcW w:w="711" w:type="pct"/>
                  <w:shd w:val="clear" w:color="auto" w:fill="auto"/>
                  <w:vAlign w:val="center"/>
                </w:tcPr>
                <w:p w14:paraId="16954DE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0.1581</w:t>
                  </w:r>
                </w:p>
              </w:tc>
              <w:tc>
                <w:tcPr>
                  <w:tcW w:w="1565" w:type="pct"/>
                  <w:vAlign w:val="center"/>
                </w:tcPr>
                <w:p w14:paraId="0F713E35">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450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restart"/>
                  <w:vAlign w:val="center"/>
                </w:tcPr>
                <w:p w14:paraId="16220303">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DA006</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烘干、丙烷燃烧废气排气筒</w:t>
                  </w:r>
                </w:p>
              </w:tc>
              <w:tc>
                <w:tcPr>
                  <w:tcW w:w="720" w:type="pct"/>
                  <w:shd w:val="clear" w:color="auto" w:fill="auto"/>
                  <w:vAlign w:val="center"/>
                </w:tcPr>
                <w:p w14:paraId="31DA4549">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二甲苯</w:t>
                  </w:r>
                </w:p>
              </w:tc>
              <w:tc>
                <w:tcPr>
                  <w:tcW w:w="638" w:type="pct"/>
                  <w:vAlign w:val="center"/>
                </w:tcPr>
                <w:p w14:paraId="1DA0C808">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ascii="Times New Roman" w:hAnsi="Times New Roman" w:eastAsia="宋体" w:cs="Times New Roman"/>
                      <w:bCs/>
                      <w:spacing w:val="-5"/>
                      <w:sz w:val="21"/>
                      <w:szCs w:val="21"/>
                      <w:lang w:val="en-US" w:eastAsia="zh-CN" w:bidi="he-IL"/>
                    </w:rPr>
                    <w:t>2.850×10</w:t>
                  </w:r>
                  <w:r>
                    <w:rPr>
                      <w:rFonts w:hint="default" w:ascii="Times New Roman" w:hAnsi="Times New Roman" w:eastAsia="宋体" w:cs="Times New Roman"/>
                      <w:bCs/>
                      <w:spacing w:val="-5"/>
                      <w:sz w:val="21"/>
                      <w:szCs w:val="21"/>
                      <w:vertAlign w:val="superscript"/>
                      <w:lang w:val="en-US" w:eastAsia="zh-CN" w:bidi="he-IL"/>
                    </w:rPr>
                    <w:t>-</w:t>
                  </w:r>
                  <w:r>
                    <w:rPr>
                      <w:rFonts w:hint="eastAsia" w:ascii="Times New Roman" w:hAnsi="Times New Roman" w:eastAsia="宋体" w:cs="Times New Roman"/>
                      <w:bCs/>
                      <w:spacing w:val="-5"/>
                      <w:sz w:val="21"/>
                      <w:szCs w:val="21"/>
                      <w:vertAlign w:val="superscript"/>
                      <w:lang w:val="en-US" w:eastAsia="zh-CN" w:bidi="he-IL"/>
                    </w:rPr>
                    <w:t>6</w:t>
                  </w:r>
                </w:p>
              </w:tc>
              <w:tc>
                <w:tcPr>
                  <w:tcW w:w="447" w:type="pct"/>
                  <w:vAlign w:val="center"/>
                </w:tcPr>
                <w:p w14:paraId="3C268B7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2DC0FC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0.00000684</w:t>
                  </w:r>
                </w:p>
              </w:tc>
              <w:tc>
                <w:tcPr>
                  <w:tcW w:w="1565" w:type="pct"/>
                  <w:shd w:val="clear" w:color="auto" w:fill="auto"/>
                  <w:vAlign w:val="center"/>
                </w:tcPr>
                <w:p w14:paraId="5F9C9015">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由于颗粒物排放浓度与排放速率均低于检出限，此处取速率为</w:t>
                  </w:r>
                  <w:r>
                    <w:rPr>
                      <w:rFonts w:hint="eastAsia" w:ascii="Times New Roman" w:hAnsi="Times New Roman" w:cs="Times New Roman"/>
                      <w:bCs/>
                      <w:sz w:val="21"/>
                      <w:szCs w:val="21"/>
                      <w:lang w:val="en-US" w:eastAsia="zh-CN"/>
                    </w:rPr>
                    <w:t>2.850</w:t>
                  </w:r>
                  <w:r>
                    <w:rPr>
                      <w:rFonts w:hint="default" w:ascii="Times New Roman" w:hAnsi="Times New Roman" w:cs="Times New Roman"/>
                      <w:bCs/>
                      <w:spacing w:val="-5"/>
                      <w:sz w:val="21"/>
                      <w:szCs w:val="21"/>
                      <w:lang w:val="en-US" w:eastAsia="zh-CN" w:bidi="he-IL"/>
                    </w:rPr>
                    <w:t>×10</w:t>
                  </w:r>
                  <w:r>
                    <w:rPr>
                      <w:rFonts w:hint="default" w:ascii="Times New Roman" w:hAnsi="Times New Roman" w:cs="Times New Roman"/>
                      <w:bCs/>
                      <w:spacing w:val="-5"/>
                      <w:sz w:val="21"/>
                      <w:szCs w:val="21"/>
                      <w:vertAlign w:val="superscript"/>
                      <w:lang w:val="en-US" w:eastAsia="zh-CN" w:bidi="he-IL"/>
                    </w:rPr>
                    <w:t>-</w:t>
                  </w:r>
                  <w:r>
                    <w:rPr>
                      <w:rFonts w:hint="eastAsia" w:ascii="Times New Roman" w:hAnsi="Times New Roman" w:cs="Times New Roman"/>
                      <w:bCs/>
                      <w:spacing w:val="-5"/>
                      <w:sz w:val="21"/>
                      <w:szCs w:val="21"/>
                      <w:vertAlign w:val="superscript"/>
                      <w:lang w:val="en-US" w:eastAsia="zh-CN" w:bidi="he-IL"/>
                    </w:rPr>
                    <w:t>6</w:t>
                  </w:r>
                </w:p>
              </w:tc>
            </w:tr>
            <w:tr w14:paraId="4790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69D72B5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7EA58C60">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638" w:type="pct"/>
                  <w:vAlign w:val="center"/>
                </w:tcPr>
                <w:p w14:paraId="300749CB">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bCs/>
                      <w:color w:val="000000" w:themeColor="text1"/>
                      <w:szCs w:val="21"/>
                      <w:lang w:val="en-US" w:eastAsia="zh-CN"/>
                      <w14:textFill>
                        <w14:solidFill>
                          <w14:schemeClr w14:val="tx1"/>
                        </w14:solidFill>
                      </w14:textFill>
                    </w:rPr>
                    <w:t>0.007</w:t>
                  </w:r>
                </w:p>
              </w:tc>
              <w:tc>
                <w:tcPr>
                  <w:tcW w:w="447" w:type="pct"/>
                  <w:vAlign w:val="center"/>
                </w:tcPr>
                <w:p w14:paraId="22A6C199">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725DBD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0.0168</w:t>
                  </w:r>
                </w:p>
              </w:tc>
              <w:tc>
                <w:tcPr>
                  <w:tcW w:w="1565" w:type="pct"/>
                  <w:vAlign w:val="center"/>
                </w:tcPr>
                <w:p w14:paraId="1142B7C5">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3723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917" w:type="pct"/>
                  <w:vMerge w:val="continue"/>
                  <w:vAlign w:val="center"/>
                </w:tcPr>
                <w:p w14:paraId="185FF8C1">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67613B55">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氮氧化物</w:t>
                  </w:r>
                </w:p>
              </w:tc>
              <w:tc>
                <w:tcPr>
                  <w:tcW w:w="638" w:type="pct"/>
                  <w:vAlign w:val="center"/>
                </w:tcPr>
                <w:p w14:paraId="4C30BC23">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rFonts w:hint="eastAsia"/>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0.007</w:t>
                  </w:r>
                </w:p>
              </w:tc>
              <w:tc>
                <w:tcPr>
                  <w:tcW w:w="447" w:type="pct"/>
                  <w:vAlign w:val="center"/>
                </w:tcPr>
                <w:p w14:paraId="722D5BF5">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71F3272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0.0168</w:t>
                  </w:r>
                </w:p>
              </w:tc>
              <w:tc>
                <w:tcPr>
                  <w:tcW w:w="1565" w:type="pct"/>
                  <w:vAlign w:val="center"/>
                </w:tcPr>
                <w:p w14:paraId="2907718C">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366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917" w:type="pct"/>
                  <w:vMerge w:val="continue"/>
                  <w:vAlign w:val="center"/>
                </w:tcPr>
                <w:p w14:paraId="51A4BA79">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34D6B6FE">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二氧化硫</w:t>
                  </w:r>
                </w:p>
              </w:tc>
              <w:tc>
                <w:tcPr>
                  <w:tcW w:w="638" w:type="pct"/>
                  <w:vAlign w:val="center"/>
                </w:tcPr>
                <w:p w14:paraId="2C36EE90">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0.003</w:t>
                  </w:r>
                </w:p>
              </w:tc>
              <w:tc>
                <w:tcPr>
                  <w:tcW w:w="447" w:type="pct"/>
                  <w:vAlign w:val="center"/>
                </w:tcPr>
                <w:p w14:paraId="526ADE4E">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68DF47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0.0072</w:t>
                  </w:r>
                </w:p>
              </w:tc>
              <w:tc>
                <w:tcPr>
                  <w:tcW w:w="1565" w:type="pct"/>
                  <w:vAlign w:val="center"/>
                </w:tcPr>
                <w:p w14:paraId="58D7370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由于</w:t>
                  </w:r>
                  <w:r>
                    <w:rPr>
                      <w:rFonts w:hint="eastAsia"/>
                      <w:color w:val="000000" w:themeColor="text1"/>
                      <w:szCs w:val="21"/>
                      <w:lang w:val="en-US" w:eastAsia="zh-CN"/>
                      <w14:textFill>
                        <w14:solidFill>
                          <w14:schemeClr w14:val="tx1"/>
                        </w14:solidFill>
                      </w14:textFill>
                    </w:rPr>
                    <w:t>二氧化硫</w:t>
                  </w:r>
                  <w:r>
                    <w:rPr>
                      <w:rFonts w:hint="eastAsia"/>
                      <w:color w:val="000000" w:themeColor="text1"/>
                      <w:szCs w:val="21"/>
                      <w14:textFill>
                        <w14:solidFill>
                          <w14:schemeClr w14:val="tx1"/>
                        </w14:solidFill>
                      </w14:textFill>
                    </w:rPr>
                    <w:t>排放浓度与排放速率均低于检出限，此处取速率为</w:t>
                  </w:r>
                  <w:r>
                    <w:rPr>
                      <w:rFonts w:hint="eastAsia"/>
                      <w:color w:val="000000" w:themeColor="text1"/>
                      <w:szCs w:val="21"/>
                      <w:lang w:val="en-US" w:eastAsia="zh-CN"/>
                      <w14:textFill>
                        <w14:solidFill>
                          <w14:schemeClr w14:val="tx1"/>
                        </w14:solidFill>
                      </w14:textFill>
                    </w:rPr>
                    <w:t>0.003</w:t>
                  </w:r>
                </w:p>
              </w:tc>
            </w:tr>
            <w:tr w14:paraId="078E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917" w:type="pct"/>
                  <w:vMerge w:val="continue"/>
                  <w:vAlign w:val="center"/>
                </w:tcPr>
                <w:p w14:paraId="26C2A4C2">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c>
                <w:tcPr>
                  <w:tcW w:w="720" w:type="pct"/>
                  <w:shd w:val="clear" w:color="auto" w:fill="auto"/>
                  <w:vAlign w:val="center"/>
                </w:tcPr>
                <w:p w14:paraId="14376E69">
                  <w:pPr>
                    <w:keepNext w:val="0"/>
                    <w:keepLines w:val="0"/>
                    <w:pageBreakBefore w:val="0"/>
                    <w:widowControl w:val="0"/>
                    <w:kinsoku/>
                    <w:wordWrap/>
                    <w:overflowPunct/>
                    <w:topLinePunct w:val="0"/>
                    <w:autoSpaceDE/>
                    <w:autoSpaceDN/>
                    <w:bidi w:val="0"/>
                    <w:snapToGrid w:val="0"/>
                    <w:spacing w:beforeAutospacing="0" w:afterAutospacing="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638" w:type="pct"/>
                  <w:vAlign w:val="center"/>
                </w:tcPr>
                <w:p w14:paraId="2D937402">
                  <w:pPr>
                    <w:keepNext w:val="0"/>
                    <w:keepLines w:val="0"/>
                    <w:pageBreakBefore w:val="0"/>
                    <w:widowControl w:val="0"/>
                    <w:tabs>
                      <w:tab w:val="right" w:pos="8906"/>
                    </w:tabs>
                    <w:kinsoku/>
                    <w:wordWrap/>
                    <w:overflowPunct/>
                    <w:topLinePunct w:val="0"/>
                    <w:autoSpaceDE/>
                    <w:autoSpaceDN/>
                    <w:bidi w:val="0"/>
                    <w:spacing w:beforeAutospacing="0" w:afterAutospacing="0"/>
                    <w:ind w:right="0" w:firstLine="0"/>
                    <w:jc w:val="center"/>
                    <w:rPr>
                      <w:bCs/>
                      <w:color w:val="000000" w:themeColor="text1"/>
                      <w:szCs w:val="21"/>
                      <w14:textFill>
                        <w14:solidFill>
                          <w14:schemeClr w14:val="tx1"/>
                        </w14:solidFill>
                      </w14:textFill>
                    </w:rPr>
                  </w:pPr>
                  <w:r>
                    <w:rPr>
                      <w:rFonts w:hint="default"/>
                      <w:bCs/>
                      <w:color w:val="000000" w:themeColor="text1"/>
                      <w:szCs w:val="21"/>
                      <w:lang w:val="en-US" w:eastAsia="zh-CN"/>
                      <w14:textFill>
                        <w14:solidFill>
                          <w14:schemeClr w14:val="tx1"/>
                        </w14:solidFill>
                      </w14:textFill>
                    </w:rPr>
                    <w:t>0.002</w:t>
                  </w:r>
                </w:p>
              </w:tc>
              <w:tc>
                <w:tcPr>
                  <w:tcW w:w="447" w:type="pct"/>
                  <w:vAlign w:val="center"/>
                </w:tcPr>
                <w:p w14:paraId="0CD63D9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w:t>
                  </w:r>
                </w:p>
              </w:tc>
              <w:tc>
                <w:tcPr>
                  <w:tcW w:w="711" w:type="pct"/>
                  <w:shd w:val="clear" w:color="auto" w:fill="auto"/>
                  <w:vAlign w:val="center"/>
                </w:tcPr>
                <w:p w14:paraId="120624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1565" w:type="pct"/>
                  <w:vAlign w:val="center"/>
                </w:tcPr>
                <w:p w14:paraId="10BB96A4">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由于颗粒物排放浓度与排放速率均低于检出限，此处取速率为</w:t>
                  </w:r>
                  <w:r>
                    <w:rPr>
                      <w:rFonts w:hint="eastAsia"/>
                      <w:color w:val="000000" w:themeColor="text1"/>
                      <w:szCs w:val="21"/>
                      <w:lang w:val="en-US" w:eastAsia="zh-CN"/>
                      <w14:textFill>
                        <w14:solidFill>
                          <w14:schemeClr w14:val="tx1"/>
                        </w14:solidFill>
                      </w14:textFill>
                    </w:rPr>
                    <w:t>0.002</w:t>
                  </w:r>
                </w:p>
              </w:tc>
            </w:tr>
            <w:tr w14:paraId="34FC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restart"/>
                  <w:vAlign w:val="center"/>
                </w:tcPr>
                <w:p w14:paraId="29EC9D59">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合计</w:t>
                  </w:r>
                </w:p>
              </w:tc>
              <w:tc>
                <w:tcPr>
                  <w:tcW w:w="1805" w:type="pct"/>
                  <w:gridSpan w:val="3"/>
                  <w:vAlign w:val="center"/>
                </w:tcPr>
                <w:p w14:paraId="755D281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711" w:type="pct"/>
                  <w:shd w:val="clear" w:color="auto" w:fill="auto"/>
                  <w:vAlign w:val="center"/>
                </w:tcPr>
                <w:p w14:paraId="11D7BC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0.36441616</w:t>
                  </w:r>
                </w:p>
              </w:tc>
              <w:tc>
                <w:tcPr>
                  <w:tcW w:w="1565" w:type="pct"/>
                  <w:vMerge w:val="restart"/>
                  <w:vAlign w:val="center"/>
                </w:tcPr>
                <w:p w14:paraId="1C599D80">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3A2C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04BC5D92">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b/>
                      <w:bCs/>
                      <w:color w:val="000000" w:themeColor="text1"/>
                      <w:szCs w:val="21"/>
                      <w14:textFill>
                        <w14:solidFill>
                          <w14:schemeClr w14:val="tx1"/>
                        </w14:solidFill>
                      </w14:textFill>
                    </w:rPr>
                  </w:pPr>
                </w:p>
              </w:tc>
              <w:tc>
                <w:tcPr>
                  <w:tcW w:w="1805" w:type="pct"/>
                  <w:gridSpan w:val="3"/>
                  <w:vAlign w:val="center"/>
                </w:tcPr>
                <w:p w14:paraId="2E73DE0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VOCs</w:t>
                  </w:r>
                </w:p>
              </w:tc>
              <w:tc>
                <w:tcPr>
                  <w:tcW w:w="711" w:type="pct"/>
                  <w:shd w:val="clear" w:color="auto" w:fill="auto"/>
                  <w:vAlign w:val="center"/>
                </w:tcPr>
                <w:p w14:paraId="0FFC7D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0.029923108</w:t>
                  </w:r>
                </w:p>
              </w:tc>
              <w:tc>
                <w:tcPr>
                  <w:tcW w:w="1565" w:type="pct"/>
                  <w:vMerge w:val="continue"/>
                  <w:vAlign w:val="center"/>
                </w:tcPr>
                <w:p w14:paraId="49DB8E66">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color w:val="000000" w:themeColor="text1"/>
                      <w:szCs w:val="21"/>
                      <w14:textFill>
                        <w14:solidFill>
                          <w14:schemeClr w14:val="tx1"/>
                        </w14:solidFill>
                      </w14:textFill>
                    </w:rPr>
                  </w:pPr>
                </w:p>
              </w:tc>
            </w:tr>
            <w:tr w14:paraId="3B90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301EA3E8">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b/>
                      <w:bCs/>
                      <w:color w:val="000000" w:themeColor="text1"/>
                      <w:szCs w:val="21"/>
                      <w14:textFill>
                        <w14:solidFill>
                          <w14:schemeClr w14:val="tx1"/>
                        </w14:solidFill>
                      </w14:textFill>
                    </w:rPr>
                  </w:pPr>
                </w:p>
              </w:tc>
              <w:tc>
                <w:tcPr>
                  <w:tcW w:w="1805" w:type="pct"/>
                  <w:gridSpan w:val="3"/>
                  <w:vAlign w:val="center"/>
                </w:tcPr>
                <w:p w14:paraId="68F7BF37">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氮氧化物</w:t>
                  </w:r>
                </w:p>
              </w:tc>
              <w:tc>
                <w:tcPr>
                  <w:tcW w:w="711" w:type="pct"/>
                  <w:shd w:val="clear" w:color="auto" w:fill="auto"/>
                  <w:vAlign w:val="center"/>
                </w:tcPr>
                <w:p w14:paraId="4DC767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0.00755</w:t>
                  </w:r>
                </w:p>
              </w:tc>
              <w:tc>
                <w:tcPr>
                  <w:tcW w:w="1565" w:type="pct"/>
                  <w:vMerge w:val="continue"/>
                  <w:vAlign w:val="center"/>
                </w:tcPr>
                <w:p w14:paraId="5F5D0092">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color w:val="000000" w:themeColor="text1"/>
                      <w:szCs w:val="21"/>
                      <w14:textFill>
                        <w14:solidFill>
                          <w14:schemeClr w14:val="tx1"/>
                        </w14:solidFill>
                      </w14:textFill>
                    </w:rPr>
                  </w:pPr>
                </w:p>
              </w:tc>
            </w:tr>
            <w:tr w14:paraId="5DA1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vAlign w:val="center"/>
                </w:tcPr>
                <w:p w14:paraId="2D4E69D7">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b/>
                      <w:bCs/>
                      <w:color w:val="000000" w:themeColor="text1"/>
                      <w:szCs w:val="21"/>
                      <w14:textFill>
                        <w14:solidFill>
                          <w14:schemeClr w14:val="tx1"/>
                        </w14:solidFill>
                      </w14:textFill>
                    </w:rPr>
                  </w:pPr>
                </w:p>
              </w:tc>
              <w:tc>
                <w:tcPr>
                  <w:tcW w:w="1805" w:type="pct"/>
                  <w:gridSpan w:val="3"/>
                  <w:shd w:val="clear" w:color="auto" w:fill="auto"/>
                  <w:vAlign w:val="center"/>
                </w:tcPr>
                <w:p w14:paraId="0E133C7B">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二氧化硫</w:t>
                  </w:r>
                </w:p>
              </w:tc>
              <w:tc>
                <w:tcPr>
                  <w:tcW w:w="711" w:type="pct"/>
                  <w:shd w:val="clear" w:color="auto" w:fill="auto"/>
                  <w:vAlign w:val="center"/>
                </w:tcPr>
                <w:p w14:paraId="1303E9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0.0223</w:t>
                  </w:r>
                </w:p>
              </w:tc>
              <w:tc>
                <w:tcPr>
                  <w:tcW w:w="1565" w:type="pct"/>
                  <w:vMerge w:val="continue"/>
                  <w:vAlign w:val="center"/>
                </w:tcPr>
                <w:p w14:paraId="1810F55D">
                  <w:pPr>
                    <w:keepNext w:val="0"/>
                    <w:keepLines w:val="0"/>
                    <w:pageBreakBefore w:val="0"/>
                    <w:widowControl w:val="0"/>
                    <w:kinsoku/>
                    <w:wordWrap/>
                    <w:overflowPunct/>
                    <w:topLinePunct w:val="0"/>
                    <w:autoSpaceDE/>
                    <w:autoSpaceDN/>
                    <w:bidi w:val="0"/>
                    <w:snapToGrid w:val="0"/>
                    <w:spacing w:beforeAutospacing="0" w:afterAutospacing="0"/>
                    <w:ind w:right="0" w:firstLine="0"/>
                    <w:jc w:val="center"/>
                    <w:rPr>
                      <w:color w:val="000000" w:themeColor="text1"/>
                      <w:szCs w:val="21"/>
                      <w14:textFill>
                        <w14:solidFill>
                          <w14:schemeClr w14:val="tx1"/>
                        </w14:solidFill>
                      </w14:textFill>
                    </w:rPr>
                  </w:pPr>
                </w:p>
              </w:tc>
            </w:tr>
          </w:tbl>
          <w:p w14:paraId="080C1DA6">
            <w:pPr>
              <w:keepNext w:val="0"/>
              <w:keepLines w:val="0"/>
              <w:pageBreakBefore w:val="0"/>
              <w:widowControl w:val="0"/>
              <w:kinsoku/>
              <w:wordWrap/>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由上列各表可知：</w:t>
            </w:r>
          </w:p>
          <w:p w14:paraId="2382DA25">
            <w:pPr>
              <w:keepNext w:val="0"/>
              <w:keepLines w:val="0"/>
              <w:pageBreakBefore w:val="0"/>
              <w:widowControl w:val="0"/>
              <w:kinsoku/>
              <w:wordWrap/>
              <w:overflowPunct w:val="0"/>
              <w:topLinePunct w:val="0"/>
              <w:autoSpaceDE/>
              <w:autoSpaceDN/>
              <w:bidi w:val="0"/>
              <w:adjustRightInd/>
              <w:snapToGrid w:val="0"/>
              <w:spacing w:line="360" w:lineRule="auto"/>
              <w:ind w:left="0" w:firstLine="480" w:firstLineChars="200"/>
              <w:jc w:val="left"/>
              <w:textAlignment w:val="auto"/>
              <w:rPr>
                <w:rFonts w:hint="default" w:ascii="Times New Roman" w:hAnsi="Times New Roman" w:eastAsia="宋体" w:cs="Times New Roman"/>
                <w:kern w:val="2"/>
                <w:sz w:val="24"/>
                <w:szCs w:val="20"/>
                <w:lang w:val="en-US" w:eastAsia="zh-CN" w:bidi="ar-SA"/>
              </w:rPr>
            </w:pPr>
            <w:r>
              <w:rPr>
                <w:rFonts w:ascii="Times New Roman" w:hAnsi="Times New Roman" w:eastAsia="宋体" w:cs="Times New Roman"/>
                <w:kern w:val="2"/>
                <w:sz w:val="24"/>
                <w:szCs w:val="20"/>
                <w:lang w:val="en-US" w:eastAsia="zh-CN" w:bidi="ar-SA"/>
              </w:rPr>
              <w:t>①</w:t>
            </w:r>
            <w:r>
              <w:rPr>
                <w:rFonts w:hint="eastAsia" w:ascii="Times New Roman" w:hAnsi="Times New Roman" w:eastAsia="宋体" w:cs="Times New Roman"/>
                <w:kern w:val="2"/>
                <w:sz w:val="24"/>
                <w:szCs w:val="20"/>
                <w:lang w:val="en-US" w:eastAsia="zh-CN" w:bidi="ar-SA"/>
              </w:rPr>
              <w:t>DA001排气筒中的</w:t>
            </w:r>
            <w:r>
              <w:rPr>
                <w:rFonts w:ascii="Times New Roman" w:hAnsi="Times New Roman" w:eastAsia="宋体" w:cs="Times New Roman"/>
                <w:kern w:val="2"/>
                <w:sz w:val="24"/>
                <w:szCs w:val="20"/>
                <w:lang w:val="en-US" w:eastAsia="zh-CN" w:bidi="ar-SA"/>
              </w:rPr>
              <w:t>颗粒物</w:t>
            </w:r>
            <w:r>
              <w:rPr>
                <w:rFonts w:hint="eastAsia" w:ascii="Times New Roman" w:hAnsi="Times New Roman" w:eastAsia="宋体" w:cs="Times New Roman"/>
                <w:kern w:val="2"/>
                <w:sz w:val="24"/>
                <w:szCs w:val="20"/>
                <w:lang w:val="en-US" w:eastAsia="zh-CN" w:bidi="ar-SA"/>
              </w:rPr>
              <w:t>由布袋除尘器处理，</w:t>
            </w:r>
            <w:r>
              <w:rPr>
                <w:rFonts w:ascii="Times New Roman" w:hAnsi="Times New Roman" w:eastAsia="宋体" w:cs="Times New Roman"/>
                <w:kern w:val="2"/>
                <w:sz w:val="24"/>
                <w:szCs w:val="20"/>
                <w:lang w:val="en-US" w:eastAsia="zh-CN" w:bidi="ar-SA"/>
              </w:rPr>
              <w:t>去除率</w:t>
            </w:r>
            <w:r>
              <w:rPr>
                <w:rFonts w:hint="eastAsia" w:ascii="Times New Roman" w:hAnsi="Times New Roman" w:eastAsia="宋体" w:cs="Times New Roman"/>
                <w:kern w:val="2"/>
                <w:sz w:val="24"/>
                <w:szCs w:val="20"/>
                <w:lang w:val="en-US" w:eastAsia="zh-CN" w:bidi="ar-SA"/>
              </w:rPr>
              <w:t>约</w:t>
            </w:r>
            <w:r>
              <w:rPr>
                <w:rFonts w:ascii="Times New Roman" w:hAnsi="Times New Roman" w:eastAsia="宋体" w:cs="Times New Roman"/>
                <w:kern w:val="2"/>
                <w:sz w:val="24"/>
                <w:szCs w:val="20"/>
                <w:lang w:val="en-US" w:eastAsia="zh-CN" w:bidi="ar-SA"/>
              </w:rPr>
              <w:t>为</w:t>
            </w:r>
            <w:r>
              <w:rPr>
                <w:rFonts w:hint="eastAsia" w:ascii="Times New Roman" w:hAnsi="Times New Roman" w:eastAsia="宋体" w:cs="Times New Roman"/>
                <w:kern w:val="2"/>
                <w:sz w:val="24"/>
                <w:szCs w:val="20"/>
                <w:lang w:val="en-US" w:eastAsia="zh-CN" w:bidi="ar-SA"/>
              </w:rPr>
              <w:t>99.0</w:t>
            </w:r>
            <w:r>
              <w:rPr>
                <w:rFonts w:ascii="Times New Roman" w:hAnsi="Times New Roman" w:eastAsia="宋体" w:cs="Times New Roman"/>
                <w:kern w:val="2"/>
                <w:sz w:val="24"/>
                <w:szCs w:val="20"/>
                <w:lang w:val="en-US" w:eastAsia="zh-CN" w:bidi="ar-SA"/>
              </w:rPr>
              <w:t>%</w:t>
            </w:r>
            <w:r>
              <w:rPr>
                <w:rFonts w:hint="eastAsia" w:ascii="Times New Roman" w:hAnsi="Times New Roman" w:eastAsia="宋体" w:cs="Times New Roman"/>
                <w:kern w:val="2"/>
                <w:sz w:val="24"/>
                <w:szCs w:val="20"/>
                <w:lang w:val="en-US" w:eastAsia="zh-CN" w:bidi="ar-SA"/>
              </w:rPr>
              <w:t>；DA002排气筒中的颗粒物旋风除尘器+布袋除尘器处理处理，去除率约为99.4%；DA003排气筒中的非甲烷总烃、颗粒物由喷淋塔+过滤棉+二级活性炭吸附装置处理，对颗粒物的去除率约为99.6%，对非甲烷总烃的去除率约为80%；DA004排气筒的二甲苯、非甲烷总烃由碱液过滤棉+二级活性炭吸附装置处理，对非甲烷总烃的去除率约为90.3%，对二甲苯的去除率为95.7%；DA006排气筒中非甲烷总烃、二甲苯，对非甲烷总烃的去除率约为88%，处理后的废气满足大气污染物综合排放标准。</w:t>
            </w:r>
          </w:p>
          <w:p w14:paraId="202721B8">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eastAsia" w:ascii="Times New Roman" w:hAnsi="Times New Roman" w:eastAsia="宋体" w:cs="Times New Roman"/>
                <w:kern w:val="0"/>
                <w:sz w:val="24"/>
                <w:szCs w:val="24"/>
                <w:highlight w:val="none"/>
                <w:lang w:val="en-US" w:eastAsia="zh-CN" w:bidi="zh-CN"/>
              </w:rPr>
            </w:pPr>
            <w:r>
              <w:rPr>
                <w:rFonts w:ascii="Times New Roman" w:hAnsi="Times New Roman" w:eastAsia="宋体" w:cs="Times New Roman"/>
                <w:sz w:val="24"/>
              </w:rPr>
              <w:t>②</w:t>
            </w:r>
            <w:r>
              <w:rPr>
                <w:rFonts w:ascii="Times New Roman" w:hAnsi="Times New Roman" w:eastAsia="宋体" w:cs="Times New Roman"/>
                <w:sz w:val="24"/>
                <w:highlight w:val="none"/>
              </w:rPr>
              <w:t>项目验收阶段</w:t>
            </w:r>
            <w:bookmarkStart w:id="15" w:name="_Hlk18935940"/>
            <w:r>
              <w:rPr>
                <w:rFonts w:hint="eastAsia" w:ascii="Times New Roman" w:hAnsi="Times New Roman" w:eastAsia="宋体" w:cs="Times New Roman"/>
                <w:kern w:val="0"/>
                <w:sz w:val="24"/>
                <w:szCs w:val="24"/>
                <w:highlight w:val="none"/>
              </w:rPr>
              <w:t>颗粒物</w:t>
            </w:r>
            <w:r>
              <w:rPr>
                <w:rFonts w:hint="eastAsia" w:ascii="Times New Roman" w:hAnsi="Times New Roman" w:eastAsia="宋体" w:cs="Times New Roman"/>
                <w:sz w:val="24"/>
                <w:highlight w:val="none"/>
              </w:rPr>
              <w:t>的排放量为</w:t>
            </w:r>
            <w:r>
              <w:rPr>
                <w:rFonts w:hint="eastAsia" w:ascii="Times New Roman" w:hAnsi="Times New Roman" w:eastAsia="宋体" w:cs="Times New Roman"/>
                <w:sz w:val="24"/>
                <w:highlight w:val="none"/>
                <w:lang w:val="en-US" w:eastAsia="zh-CN"/>
              </w:rPr>
              <w:t>0.364</w:t>
            </w:r>
            <w:r>
              <w:rPr>
                <w:rFonts w:ascii="Times New Roman" w:hAnsi="Times New Roman" w:eastAsia="宋体" w:cs="Times New Roman"/>
                <w:kern w:val="0"/>
                <w:sz w:val="24"/>
                <w:szCs w:val="24"/>
                <w:highlight w:val="none"/>
                <w:lang w:bidi="zh-CN"/>
              </w:rPr>
              <w:t>t/a</w:t>
            </w:r>
            <w:r>
              <w:rPr>
                <w:rFonts w:hint="eastAsia" w:ascii="Times New Roman" w:hAnsi="Times New Roman" w:eastAsia="宋体" w:cs="Times New Roman"/>
                <w:sz w:val="24"/>
                <w:highlight w:val="none"/>
              </w:rPr>
              <w:t>；挥发性有机物</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kern w:val="0"/>
                <w:sz w:val="24"/>
                <w:szCs w:val="24"/>
                <w:highlight w:val="none"/>
              </w:rPr>
              <w:t>非甲烷总烃</w:t>
            </w:r>
            <w:r>
              <w:rPr>
                <w:rFonts w:hint="eastAsia" w:ascii="Times New Roman" w:hAnsi="Times New Roman" w:eastAsia="宋体" w:cs="Times New Roman"/>
                <w:kern w:val="0"/>
                <w:sz w:val="24"/>
                <w:szCs w:val="24"/>
                <w:highlight w:val="none"/>
                <w:lang w:val="en-US" w:eastAsia="zh-CN"/>
              </w:rPr>
              <w:t>+二甲苯）</w:t>
            </w:r>
            <w:r>
              <w:rPr>
                <w:rFonts w:hint="eastAsia" w:ascii="Times New Roman" w:hAnsi="Times New Roman" w:eastAsia="宋体" w:cs="Times New Roman"/>
                <w:sz w:val="24"/>
                <w:highlight w:val="none"/>
              </w:rPr>
              <w:t>的排放量为</w:t>
            </w:r>
            <w:r>
              <w:rPr>
                <w:rFonts w:hint="eastAsia" w:ascii="Times New Roman" w:hAnsi="Times New Roman" w:eastAsia="宋体" w:cs="Times New Roman"/>
                <w:sz w:val="24"/>
                <w:highlight w:val="none"/>
                <w:lang w:val="en-US" w:eastAsia="zh-CN"/>
              </w:rPr>
              <w:t>0.0299</w:t>
            </w:r>
            <w:r>
              <w:rPr>
                <w:rFonts w:ascii="Times New Roman" w:hAnsi="Times New Roman" w:eastAsia="宋体" w:cs="Times New Roman"/>
                <w:kern w:val="0"/>
                <w:sz w:val="24"/>
                <w:szCs w:val="24"/>
                <w:highlight w:val="none"/>
                <w:lang w:bidi="zh-CN"/>
              </w:rPr>
              <w:t>t/a</w:t>
            </w:r>
            <w:r>
              <w:rPr>
                <w:rFonts w:hint="eastAsia" w:ascii="Times New Roman" w:hAnsi="Times New Roman" w:eastAsia="宋体" w:cs="Times New Roman"/>
                <w:sz w:val="24"/>
                <w:highlight w:val="none"/>
              </w:rPr>
              <w:t>；</w:t>
            </w:r>
            <w:bookmarkEnd w:id="15"/>
            <w:r>
              <w:rPr>
                <w:rFonts w:hint="eastAsia" w:ascii="Times New Roman" w:hAnsi="Times New Roman" w:eastAsia="宋体" w:cs="Times New Roman"/>
                <w:kern w:val="0"/>
                <w:sz w:val="24"/>
                <w:szCs w:val="24"/>
                <w:highlight w:val="none"/>
                <w:lang w:val="en-US" w:eastAsia="zh-CN" w:bidi="zh-CN"/>
              </w:rPr>
              <w:t>氮氧化物排放量为</w:t>
            </w:r>
            <w:r>
              <w:rPr>
                <w:rFonts w:hint="eastAsia" w:ascii="Times New Roman" w:hAnsi="Times New Roman" w:eastAsia="宋体" w:cs="Times New Roman"/>
                <w:kern w:val="0"/>
                <w:sz w:val="24"/>
                <w:szCs w:val="24"/>
                <w:highlight w:val="none"/>
                <w:lang w:bidi="zh-CN"/>
              </w:rPr>
              <w:t>；</w:t>
            </w:r>
            <w:r>
              <w:rPr>
                <w:rFonts w:hint="eastAsia" w:ascii="Times New Roman" w:hAnsi="Times New Roman" w:eastAsia="宋体" w:cs="Times New Roman"/>
                <w:kern w:val="0"/>
                <w:sz w:val="24"/>
                <w:szCs w:val="24"/>
                <w:highlight w:val="none"/>
                <w:lang w:val="en-US" w:eastAsia="zh-CN" w:bidi="zh-CN"/>
              </w:rPr>
              <w:t>0.0175t/a；二氧化硫排放量为：0.0</w:t>
            </w:r>
            <w:r>
              <w:rPr>
                <w:rFonts w:hint="eastAsia" w:cs="Times New Roman"/>
                <w:kern w:val="0"/>
                <w:sz w:val="24"/>
                <w:szCs w:val="24"/>
                <w:highlight w:val="none"/>
                <w:lang w:val="en-US" w:eastAsia="zh-CN" w:bidi="zh-CN"/>
              </w:rPr>
              <w:t>0755</w:t>
            </w:r>
            <w:r>
              <w:rPr>
                <w:rFonts w:hint="eastAsia" w:ascii="Times New Roman" w:hAnsi="Times New Roman" w:eastAsia="宋体" w:cs="Times New Roman"/>
                <w:kern w:val="0"/>
                <w:sz w:val="24"/>
                <w:szCs w:val="24"/>
                <w:highlight w:val="none"/>
                <w:lang w:val="en-US" w:eastAsia="zh-CN" w:bidi="zh-CN"/>
              </w:rPr>
              <w:t>t/a</w:t>
            </w:r>
            <w:r>
              <w:rPr>
                <w:rFonts w:hint="eastAsia" w:cs="Times New Roman"/>
                <w:kern w:val="0"/>
                <w:sz w:val="24"/>
                <w:szCs w:val="24"/>
                <w:highlight w:val="none"/>
                <w:lang w:val="en-US" w:eastAsia="zh-CN" w:bidi="zh-CN"/>
              </w:rPr>
              <w:t>；</w:t>
            </w:r>
            <w:r>
              <w:rPr>
                <w:rFonts w:hint="eastAsia" w:ascii="Times New Roman" w:hAnsi="Times New Roman" w:eastAsia="宋体" w:cs="Times New Roman"/>
                <w:kern w:val="0"/>
                <w:sz w:val="24"/>
                <w:szCs w:val="24"/>
                <w:highlight w:val="none"/>
                <w:lang w:bidi="zh-CN"/>
              </w:rPr>
              <w:t>本项目环评核定总量为</w:t>
            </w:r>
            <w:r>
              <w:rPr>
                <w:rFonts w:hint="eastAsia" w:ascii="Times New Roman" w:hAnsi="Times New Roman" w:eastAsia="宋体" w:cs="Times New Roman"/>
                <w:kern w:val="0"/>
                <w:sz w:val="24"/>
                <w:szCs w:val="24"/>
                <w:highlight w:val="none"/>
                <w:lang w:val="en-US" w:eastAsia="zh-CN" w:bidi="zh-CN"/>
              </w:rPr>
              <w:t>烟（粉）尘：1.571t/a，VOCs：0.365t/a，氮氧化物：0.085t/a，二氧化硫：0.0012t/a</w:t>
            </w:r>
            <w:r>
              <w:rPr>
                <w:rFonts w:hint="eastAsia" w:cs="Times New Roman"/>
                <w:kern w:val="0"/>
                <w:sz w:val="24"/>
                <w:szCs w:val="24"/>
                <w:highlight w:val="none"/>
                <w:lang w:val="en-US" w:eastAsia="zh-CN" w:bidi="zh-CN"/>
              </w:rPr>
              <w:t>。</w:t>
            </w:r>
          </w:p>
          <w:p w14:paraId="6899C752">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sz w:val="24"/>
              </w:rPr>
            </w:pPr>
            <w:r>
              <w:rPr>
                <w:rFonts w:hint="eastAsia"/>
                <w:sz w:val="24"/>
              </w:rPr>
              <w:t>(</w:t>
            </w:r>
            <w:r>
              <w:rPr>
                <w:sz w:val="24"/>
              </w:rPr>
              <w:t>2)</w:t>
            </w:r>
            <w:r>
              <w:rPr>
                <w:rFonts w:hint="eastAsia"/>
                <w:sz w:val="24"/>
              </w:rPr>
              <w:t>无组织</w:t>
            </w:r>
          </w:p>
          <w:p w14:paraId="6E808FBE">
            <w:pPr>
              <w:keepNext w:val="0"/>
              <w:keepLines w:val="0"/>
              <w:pageBreakBefore w:val="0"/>
              <w:widowControl w:val="0"/>
              <w:kinsoku/>
              <w:wordWrap/>
              <w:overflowPunct/>
              <w:topLinePunct w:val="0"/>
              <w:bidi w:val="0"/>
              <w:spacing w:beforeAutospacing="0" w:afterAutospacing="0" w:line="360" w:lineRule="auto"/>
              <w:ind w:right="0" w:firstLine="482"/>
              <w:jc w:val="center"/>
              <w:rPr>
                <w:b/>
                <w:bCs/>
                <w:color w:val="000000"/>
                <w:kern w:val="0"/>
                <w:sz w:val="24"/>
                <w:szCs w:val="24"/>
                <w:lang w:bidi="ar"/>
              </w:rPr>
            </w:pPr>
            <w:r>
              <w:rPr>
                <w:rFonts w:hint="eastAsia"/>
                <w:b/>
                <w:sz w:val="24"/>
              </w:rPr>
              <w:t xml:space="preserve">表 </w:t>
            </w:r>
            <w:r>
              <w:rPr>
                <w:b/>
                <w:sz w:val="24"/>
              </w:rPr>
              <w:t>7-</w:t>
            </w:r>
            <w:r>
              <w:rPr>
                <w:rFonts w:hint="eastAsia"/>
                <w:b/>
                <w:sz w:val="24"/>
              </w:rPr>
              <w:t>3</w:t>
            </w:r>
            <w:r>
              <w:rPr>
                <w:rFonts w:hint="eastAsia"/>
                <w:b/>
                <w:bCs/>
                <w:color w:val="000000"/>
                <w:sz w:val="24"/>
                <w:szCs w:val="24"/>
              </w:rPr>
              <w:t>监测期间气象参数一览表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771"/>
              <w:gridCol w:w="1247"/>
              <w:gridCol w:w="1388"/>
              <w:gridCol w:w="929"/>
              <w:gridCol w:w="1521"/>
              <w:gridCol w:w="1269"/>
            </w:tblGrid>
            <w:tr w14:paraId="5CC7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pct"/>
                  <w:vAlign w:val="center"/>
                </w:tcPr>
                <w:p w14:paraId="55176EF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检测日期</w:t>
                  </w:r>
                </w:p>
              </w:tc>
              <w:tc>
                <w:tcPr>
                  <w:tcW w:w="942" w:type="pct"/>
                  <w:vAlign w:val="center"/>
                </w:tcPr>
                <w:p w14:paraId="7F0A19F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采样点位</w:t>
                  </w:r>
                </w:p>
              </w:tc>
              <w:tc>
                <w:tcPr>
                  <w:tcW w:w="663" w:type="pct"/>
                  <w:vAlign w:val="center"/>
                </w:tcPr>
                <w:p w14:paraId="4192A65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气温（℃）</w:t>
                  </w:r>
                </w:p>
              </w:tc>
              <w:tc>
                <w:tcPr>
                  <w:tcW w:w="738" w:type="pct"/>
                  <w:vAlign w:val="center"/>
                </w:tcPr>
                <w:p w14:paraId="32054063">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气压（kPa）</w:t>
                  </w:r>
                </w:p>
              </w:tc>
              <w:tc>
                <w:tcPr>
                  <w:tcW w:w="494" w:type="pct"/>
                  <w:vAlign w:val="center"/>
                </w:tcPr>
                <w:p w14:paraId="0E83E07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风向</w:t>
                  </w:r>
                </w:p>
              </w:tc>
              <w:tc>
                <w:tcPr>
                  <w:tcW w:w="809" w:type="pct"/>
                  <w:vAlign w:val="center"/>
                </w:tcPr>
                <w:p w14:paraId="74463E0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风速（m/s）</w:t>
                  </w:r>
                </w:p>
              </w:tc>
              <w:tc>
                <w:tcPr>
                  <w:tcW w:w="675" w:type="pct"/>
                  <w:vAlign w:val="center"/>
                </w:tcPr>
                <w:p w14:paraId="45C6200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b/>
                      <w:bCs/>
                      <w:color w:val="000000"/>
                    </w:rPr>
                    <w:t>天气状况</w:t>
                  </w:r>
                </w:p>
              </w:tc>
            </w:tr>
            <w:tr w14:paraId="6090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restart"/>
                  <w:vAlign w:val="center"/>
                </w:tcPr>
                <w:p w14:paraId="717A813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r>
                    <w:rPr>
                      <w:rFonts w:hint="eastAsia" w:ascii="Times New Roman" w:hAnsi="Times New Roman" w:cs="Times New Roman"/>
                      <w:b/>
                      <w:spacing w:val="-5"/>
                      <w:sz w:val="21"/>
                      <w:szCs w:val="21"/>
                      <w:lang w:val="en-US" w:eastAsia="zh-CN" w:bidi="he-IL"/>
                    </w:rPr>
                    <w:t>2024.10.10</w:t>
                  </w:r>
                </w:p>
              </w:tc>
              <w:tc>
                <w:tcPr>
                  <w:tcW w:w="942" w:type="pct"/>
                  <w:vAlign w:val="center"/>
                </w:tcPr>
                <w:p w14:paraId="03BCAAE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周界东侧1○</w:t>
                  </w:r>
                </w:p>
              </w:tc>
              <w:tc>
                <w:tcPr>
                  <w:tcW w:w="663" w:type="pct"/>
                  <w:vAlign w:val="center"/>
                </w:tcPr>
                <w:p w14:paraId="77F4F3C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15~20</w:t>
                  </w:r>
                </w:p>
              </w:tc>
              <w:tc>
                <w:tcPr>
                  <w:tcW w:w="738" w:type="pct"/>
                  <w:vAlign w:val="center"/>
                </w:tcPr>
                <w:p w14:paraId="0B38D1F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101.4~101.7</w:t>
                  </w:r>
                </w:p>
              </w:tc>
              <w:tc>
                <w:tcPr>
                  <w:tcW w:w="494" w:type="pct"/>
                  <w:vAlign w:val="center"/>
                </w:tcPr>
                <w:p w14:paraId="1DDACA5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西南风</w:t>
                  </w:r>
                </w:p>
              </w:tc>
              <w:tc>
                <w:tcPr>
                  <w:tcW w:w="809" w:type="pct"/>
                  <w:vAlign w:val="center"/>
                </w:tcPr>
                <w:p w14:paraId="6D904F0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2.1~2.3</w:t>
                  </w:r>
                </w:p>
              </w:tc>
              <w:tc>
                <w:tcPr>
                  <w:tcW w:w="675" w:type="pct"/>
                  <w:vAlign w:val="center"/>
                </w:tcPr>
                <w:p w14:paraId="5433C17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Cs/>
                      <w:spacing w:val="-5"/>
                      <w:szCs w:val="21"/>
                      <w:lang w:bidi="he-IL"/>
                    </w:rPr>
                    <w:t>晴天</w:t>
                  </w:r>
                </w:p>
              </w:tc>
            </w:tr>
            <w:tr w14:paraId="64CA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2DCB1BC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p>
              </w:tc>
              <w:tc>
                <w:tcPr>
                  <w:tcW w:w="942" w:type="pct"/>
                  <w:vAlign w:val="center"/>
                </w:tcPr>
                <w:p w14:paraId="63F64C0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周界南侧2○</w:t>
                  </w:r>
                </w:p>
              </w:tc>
              <w:tc>
                <w:tcPr>
                  <w:tcW w:w="663" w:type="pct"/>
                  <w:shd w:val="clear" w:color="auto" w:fill="auto"/>
                  <w:vAlign w:val="center"/>
                </w:tcPr>
                <w:p w14:paraId="7ACFB07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15~20</w:t>
                  </w:r>
                </w:p>
              </w:tc>
              <w:tc>
                <w:tcPr>
                  <w:tcW w:w="738" w:type="pct"/>
                  <w:shd w:val="clear" w:color="auto" w:fill="auto"/>
                  <w:vAlign w:val="center"/>
                </w:tcPr>
                <w:p w14:paraId="0CB18BB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101.4~101.7</w:t>
                  </w:r>
                </w:p>
              </w:tc>
              <w:tc>
                <w:tcPr>
                  <w:tcW w:w="494" w:type="pct"/>
                  <w:shd w:val="clear" w:color="auto" w:fill="auto"/>
                  <w:vAlign w:val="center"/>
                </w:tcPr>
                <w:p w14:paraId="124AA8A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西南风</w:t>
                  </w:r>
                </w:p>
              </w:tc>
              <w:tc>
                <w:tcPr>
                  <w:tcW w:w="809" w:type="pct"/>
                  <w:shd w:val="clear" w:color="auto" w:fill="auto"/>
                  <w:vAlign w:val="center"/>
                </w:tcPr>
                <w:p w14:paraId="5534E41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2.1~2.3</w:t>
                  </w:r>
                </w:p>
              </w:tc>
              <w:tc>
                <w:tcPr>
                  <w:tcW w:w="675" w:type="pct"/>
                  <w:shd w:val="clear" w:color="auto" w:fill="auto"/>
                  <w:vAlign w:val="center"/>
                </w:tcPr>
                <w:p w14:paraId="691EFC8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Cs/>
                      <w:spacing w:val="-5"/>
                      <w:szCs w:val="21"/>
                      <w:lang w:bidi="he-IL"/>
                    </w:rPr>
                    <w:t>晴天</w:t>
                  </w:r>
                </w:p>
              </w:tc>
            </w:tr>
            <w:tr w14:paraId="060C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4E6ADA2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p>
              </w:tc>
              <w:tc>
                <w:tcPr>
                  <w:tcW w:w="942" w:type="pct"/>
                  <w:vAlign w:val="center"/>
                </w:tcPr>
                <w:p w14:paraId="7440CC0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周界西侧3○</w:t>
                  </w:r>
                </w:p>
              </w:tc>
              <w:tc>
                <w:tcPr>
                  <w:tcW w:w="663" w:type="pct"/>
                  <w:shd w:val="clear" w:color="auto" w:fill="auto"/>
                  <w:vAlign w:val="center"/>
                </w:tcPr>
                <w:p w14:paraId="74E141E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15~20</w:t>
                  </w:r>
                </w:p>
              </w:tc>
              <w:tc>
                <w:tcPr>
                  <w:tcW w:w="738" w:type="pct"/>
                  <w:shd w:val="clear" w:color="auto" w:fill="auto"/>
                  <w:vAlign w:val="center"/>
                </w:tcPr>
                <w:p w14:paraId="00A913E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101.4~101.7</w:t>
                  </w:r>
                </w:p>
              </w:tc>
              <w:tc>
                <w:tcPr>
                  <w:tcW w:w="494" w:type="pct"/>
                  <w:shd w:val="clear" w:color="auto" w:fill="auto"/>
                  <w:vAlign w:val="center"/>
                </w:tcPr>
                <w:p w14:paraId="716D638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西南风</w:t>
                  </w:r>
                </w:p>
              </w:tc>
              <w:tc>
                <w:tcPr>
                  <w:tcW w:w="809" w:type="pct"/>
                  <w:shd w:val="clear" w:color="auto" w:fill="auto"/>
                  <w:vAlign w:val="center"/>
                </w:tcPr>
                <w:p w14:paraId="0C9101E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2.1~2.3</w:t>
                  </w:r>
                </w:p>
              </w:tc>
              <w:tc>
                <w:tcPr>
                  <w:tcW w:w="675" w:type="pct"/>
                  <w:shd w:val="clear" w:color="auto" w:fill="auto"/>
                  <w:vAlign w:val="center"/>
                </w:tcPr>
                <w:p w14:paraId="3201B1B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Cs/>
                      <w:spacing w:val="-5"/>
                      <w:szCs w:val="21"/>
                      <w:lang w:bidi="he-IL"/>
                    </w:rPr>
                    <w:t>晴天</w:t>
                  </w:r>
                </w:p>
              </w:tc>
            </w:tr>
            <w:tr w14:paraId="2B8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239043D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p>
              </w:tc>
              <w:tc>
                <w:tcPr>
                  <w:tcW w:w="942" w:type="pct"/>
                  <w:vAlign w:val="center"/>
                </w:tcPr>
                <w:p w14:paraId="70881FD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周界北侧4○</w:t>
                  </w:r>
                </w:p>
              </w:tc>
              <w:tc>
                <w:tcPr>
                  <w:tcW w:w="663" w:type="pct"/>
                  <w:shd w:val="clear" w:color="auto" w:fill="auto"/>
                  <w:vAlign w:val="center"/>
                </w:tcPr>
                <w:p w14:paraId="313A81E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15~20</w:t>
                  </w:r>
                </w:p>
              </w:tc>
              <w:tc>
                <w:tcPr>
                  <w:tcW w:w="738" w:type="pct"/>
                  <w:shd w:val="clear" w:color="auto" w:fill="auto"/>
                  <w:vAlign w:val="center"/>
                </w:tcPr>
                <w:p w14:paraId="2C964C1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101.4~101.7</w:t>
                  </w:r>
                </w:p>
              </w:tc>
              <w:tc>
                <w:tcPr>
                  <w:tcW w:w="494" w:type="pct"/>
                  <w:shd w:val="clear" w:color="auto" w:fill="auto"/>
                  <w:vAlign w:val="center"/>
                </w:tcPr>
                <w:p w14:paraId="1CF0F72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西南风</w:t>
                  </w:r>
                </w:p>
              </w:tc>
              <w:tc>
                <w:tcPr>
                  <w:tcW w:w="809" w:type="pct"/>
                  <w:shd w:val="clear" w:color="auto" w:fill="auto"/>
                  <w:vAlign w:val="center"/>
                </w:tcPr>
                <w:p w14:paraId="634657E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2.1~2.3</w:t>
                  </w:r>
                </w:p>
              </w:tc>
              <w:tc>
                <w:tcPr>
                  <w:tcW w:w="675" w:type="pct"/>
                  <w:shd w:val="clear" w:color="auto" w:fill="auto"/>
                  <w:vAlign w:val="center"/>
                </w:tcPr>
                <w:p w14:paraId="1CA61BD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Cs/>
                      <w:spacing w:val="-5"/>
                      <w:szCs w:val="21"/>
                      <w:lang w:bidi="he-IL"/>
                    </w:rPr>
                    <w:t>晴天</w:t>
                  </w:r>
                </w:p>
              </w:tc>
            </w:tr>
            <w:tr w14:paraId="669E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1A4C937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color w:val="000000"/>
                    </w:rPr>
                  </w:pPr>
                </w:p>
              </w:tc>
              <w:tc>
                <w:tcPr>
                  <w:tcW w:w="942" w:type="pct"/>
                  <w:vAlign w:val="center"/>
                </w:tcPr>
                <w:p w14:paraId="06C1DD4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ar"/>
                    </w:rPr>
                  </w:pPr>
                  <w:r>
                    <w:rPr>
                      <w:rFonts w:hint="eastAsia"/>
                      <w:b/>
                      <w:bCs/>
                      <w:spacing w:val="-5"/>
                      <w:szCs w:val="21"/>
                      <w:lang w:bidi="ar"/>
                    </w:rPr>
                    <w:t>厂区内5○</w:t>
                  </w:r>
                </w:p>
              </w:tc>
              <w:tc>
                <w:tcPr>
                  <w:tcW w:w="663" w:type="pct"/>
                  <w:shd w:val="clear" w:color="auto" w:fill="auto"/>
                  <w:vAlign w:val="center"/>
                </w:tcPr>
                <w:p w14:paraId="5652A43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15~20</w:t>
                  </w:r>
                </w:p>
              </w:tc>
              <w:tc>
                <w:tcPr>
                  <w:tcW w:w="738" w:type="pct"/>
                  <w:shd w:val="clear" w:color="auto" w:fill="auto"/>
                  <w:vAlign w:val="center"/>
                </w:tcPr>
                <w:p w14:paraId="3B73A1E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101.4~101.7</w:t>
                  </w:r>
                </w:p>
              </w:tc>
              <w:tc>
                <w:tcPr>
                  <w:tcW w:w="494" w:type="pct"/>
                  <w:shd w:val="clear" w:color="auto" w:fill="auto"/>
                  <w:vAlign w:val="center"/>
                </w:tcPr>
                <w:p w14:paraId="5E16404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西南风</w:t>
                  </w:r>
                </w:p>
              </w:tc>
              <w:tc>
                <w:tcPr>
                  <w:tcW w:w="809" w:type="pct"/>
                  <w:shd w:val="clear" w:color="auto" w:fill="auto"/>
                  <w:vAlign w:val="center"/>
                </w:tcPr>
                <w:p w14:paraId="16ABDFB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2.1~2.3</w:t>
                  </w:r>
                </w:p>
              </w:tc>
              <w:tc>
                <w:tcPr>
                  <w:tcW w:w="675" w:type="pct"/>
                  <w:shd w:val="clear" w:color="auto" w:fill="auto"/>
                  <w:vAlign w:val="center"/>
                </w:tcPr>
                <w:p w14:paraId="5AB1809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Cs/>
                      <w:spacing w:val="-5"/>
                      <w:szCs w:val="21"/>
                      <w:lang w:bidi="he-IL"/>
                    </w:rPr>
                    <w:t>晴天</w:t>
                  </w:r>
                </w:p>
              </w:tc>
            </w:tr>
            <w:tr w14:paraId="3FF8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restart"/>
                  <w:vAlign w:val="center"/>
                </w:tcPr>
                <w:p w14:paraId="7741872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eastAsia="宋体"/>
                      <w:b/>
                      <w:bCs/>
                      <w:color w:val="000000"/>
                      <w:lang w:eastAsia="zh-CN"/>
                    </w:rPr>
                  </w:pPr>
                  <w:r>
                    <w:rPr>
                      <w:rFonts w:hint="eastAsia"/>
                      <w:b/>
                      <w:bCs/>
                      <w:color w:val="000000"/>
                      <w:lang w:eastAsia="zh-CN"/>
                    </w:rPr>
                    <w:t>2024.10.11</w:t>
                  </w:r>
                </w:p>
              </w:tc>
              <w:tc>
                <w:tcPr>
                  <w:tcW w:w="942" w:type="pct"/>
                  <w:shd w:val="clear" w:color="auto" w:fill="auto"/>
                  <w:vAlign w:val="center"/>
                </w:tcPr>
                <w:p w14:paraId="27EB6AF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周界东侧1○</w:t>
                  </w:r>
                </w:p>
              </w:tc>
              <w:tc>
                <w:tcPr>
                  <w:tcW w:w="663" w:type="pct"/>
                  <w:vAlign w:val="center"/>
                </w:tcPr>
                <w:p w14:paraId="0D745B2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16~23</w:t>
                  </w:r>
                </w:p>
              </w:tc>
              <w:tc>
                <w:tcPr>
                  <w:tcW w:w="738" w:type="pct"/>
                  <w:vAlign w:val="center"/>
                </w:tcPr>
                <w:p w14:paraId="43DAC36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101.5~101.7</w:t>
                  </w:r>
                </w:p>
              </w:tc>
              <w:tc>
                <w:tcPr>
                  <w:tcW w:w="494" w:type="pct"/>
                  <w:vAlign w:val="center"/>
                </w:tcPr>
                <w:p w14:paraId="3A885D5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东风</w:t>
                  </w:r>
                </w:p>
              </w:tc>
              <w:tc>
                <w:tcPr>
                  <w:tcW w:w="809" w:type="pct"/>
                  <w:vAlign w:val="center"/>
                </w:tcPr>
                <w:p w14:paraId="1C72325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2.1~2.8</w:t>
                  </w:r>
                </w:p>
              </w:tc>
              <w:tc>
                <w:tcPr>
                  <w:tcW w:w="675" w:type="pct"/>
                  <w:vAlign w:val="center"/>
                </w:tcPr>
                <w:p w14:paraId="64021BF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color w:val="000000"/>
                    </w:rPr>
                    <w:t>晴天</w:t>
                  </w:r>
                </w:p>
              </w:tc>
            </w:tr>
            <w:tr w14:paraId="7311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32C8842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p>
              </w:tc>
              <w:tc>
                <w:tcPr>
                  <w:tcW w:w="942" w:type="pct"/>
                  <w:shd w:val="clear" w:color="auto" w:fill="auto"/>
                  <w:vAlign w:val="center"/>
                </w:tcPr>
                <w:p w14:paraId="5183562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周界南侧2○</w:t>
                  </w:r>
                </w:p>
              </w:tc>
              <w:tc>
                <w:tcPr>
                  <w:tcW w:w="663" w:type="pct"/>
                  <w:shd w:val="clear" w:color="auto" w:fill="auto"/>
                  <w:vAlign w:val="center"/>
                </w:tcPr>
                <w:p w14:paraId="368D5C5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16~23</w:t>
                  </w:r>
                </w:p>
              </w:tc>
              <w:tc>
                <w:tcPr>
                  <w:tcW w:w="738" w:type="pct"/>
                  <w:shd w:val="clear" w:color="auto" w:fill="auto"/>
                  <w:vAlign w:val="center"/>
                </w:tcPr>
                <w:p w14:paraId="681CD36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101.5~101.7</w:t>
                  </w:r>
                </w:p>
              </w:tc>
              <w:tc>
                <w:tcPr>
                  <w:tcW w:w="494" w:type="pct"/>
                  <w:shd w:val="clear" w:color="auto" w:fill="auto"/>
                  <w:vAlign w:val="center"/>
                </w:tcPr>
                <w:p w14:paraId="34E6965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东风</w:t>
                  </w:r>
                </w:p>
              </w:tc>
              <w:tc>
                <w:tcPr>
                  <w:tcW w:w="809" w:type="pct"/>
                  <w:shd w:val="clear" w:color="auto" w:fill="auto"/>
                  <w:vAlign w:val="center"/>
                </w:tcPr>
                <w:p w14:paraId="0D2280D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2.1~2.8</w:t>
                  </w:r>
                </w:p>
              </w:tc>
              <w:tc>
                <w:tcPr>
                  <w:tcW w:w="675" w:type="pct"/>
                  <w:shd w:val="clear" w:color="auto" w:fill="auto"/>
                  <w:vAlign w:val="center"/>
                </w:tcPr>
                <w:p w14:paraId="7FB58DE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color w:val="000000"/>
                    </w:rPr>
                    <w:t>晴天</w:t>
                  </w:r>
                </w:p>
              </w:tc>
            </w:tr>
            <w:tr w14:paraId="52EE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02D777C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p>
              </w:tc>
              <w:tc>
                <w:tcPr>
                  <w:tcW w:w="942" w:type="pct"/>
                  <w:shd w:val="clear" w:color="auto" w:fill="auto"/>
                  <w:vAlign w:val="center"/>
                </w:tcPr>
                <w:p w14:paraId="1F1B3A7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周界西侧3○</w:t>
                  </w:r>
                </w:p>
              </w:tc>
              <w:tc>
                <w:tcPr>
                  <w:tcW w:w="663" w:type="pct"/>
                  <w:shd w:val="clear" w:color="auto" w:fill="auto"/>
                  <w:vAlign w:val="center"/>
                </w:tcPr>
                <w:p w14:paraId="729E453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16~23</w:t>
                  </w:r>
                </w:p>
              </w:tc>
              <w:tc>
                <w:tcPr>
                  <w:tcW w:w="738" w:type="pct"/>
                  <w:shd w:val="clear" w:color="auto" w:fill="auto"/>
                  <w:vAlign w:val="center"/>
                </w:tcPr>
                <w:p w14:paraId="3CD22DF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101.5~101.7</w:t>
                  </w:r>
                </w:p>
              </w:tc>
              <w:tc>
                <w:tcPr>
                  <w:tcW w:w="494" w:type="pct"/>
                  <w:shd w:val="clear" w:color="auto" w:fill="auto"/>
                  <w:vAlign w:val="center"/>
                </w:tcPr>
                <w:p w14:paraId="663B2909">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东风</w:t>
                  </w:r>
                </w:p>
              </w:tc>
              <w:tc>
                <w:tcPr>
                  <w:tcW w:w="809" w:type="pct"/>
                  <w:shd w:val="clear" w:color="auto" w:fill="auto"/>
                  <w:vAlign w:val="center"/>
                </w:tcPr>
                <w:p w14:paraId="06A22E3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2.1~2.8</w:t>
                  </w:r>
                </w:p>
              </w:tc>
              <w:tc>
                <w:tcPr>
                  <w:tcW w:w="675" w:type="pct"/>
                  <w:shd w:val="clear" w:color="auto" w:fill="auto"/>
                  <w:vAlign w:val="center"/>
                </w:tcPr>
                <w:p w14:paraId="16D3B5B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color w:val="000000"/>
                    </w:rPr>
                    <w:t>晴天</w:t>
                  </w:r>
                </w:p>
              </w:tc>
            </w:tr>
            <w:tr w14:paraId="72D3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675" w:type="pct"/>
                  <w:vMerge w:val="continue"/>
                  <w:vAlign w:val="center"/>
                </w:tcPr>
                <w:p w14:paraId="1631FFF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p>
              </w:tc>
              <w:tc>
                <w:tcPr>
                  <w:tcW w:w="942" w:type="pct"/>
                  <w:shd w:val="clear" w:color="auto" w:fill="auto"/>
                  <w:vAlign w:val="center"/>
                </w:tcPr>
                <w:p w14:paraId="17356F6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b/>
                      <w:bCs/>
                      <w:spacing w:val="-5"/>
                      <w:szCs w:val="21"/>
                      <w:lang w:bidi="ar"/>
                    </w:rPr>
                    <w:t>周界北侧4○</w:t>
                  </w:r>
                </w:p>
              </w:tc>
              <w:tc>
                <w:tcPr>
                  <w:tcW w:w="663" w:type="pct"/>
                  <w:shd w:val="clear" w:color="auto" w:fill="auto"/>
                  <w:vAlign w:val="center"/>
                </w:tcPr>
                <w:p w14:paraId="77FFF053">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16~23</w:t>
                  </w:r>
                </w:p>
              </w:tc>
              <w:tc>
                <w:tcPr>
                  <w:tcW w:w="738" w:type="pct"/>
                  <w:shd w:val="clear" w:color="auto" w:fill="auto"/>
                  <w:vAlign w:val="center"/>
                </w:tcPr>
                <w:p w14:paraId="30B3908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101.5~101.7</w:t>
                  </w:r>
                </w:p>
              </w:tc>
              <w:tc>
                <w:tcPr>
                  <w:tcW w:w="494" w:type="pct"/>
                  <w:shd w:val="clear" w:color="auto" w:fill="auto"/>
                  <w:vAlign w:val="center"/>
                </w:tcPr>
                <w:p w14:paraId="73BD100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东风</w:t>
                  </w:r>
                </w:p>
              </w:tc>
              <w:tc>
                <w:tcPr>
                  <w:tcW w:w="809" w:type="pct"/>
                  <w:shd w:val="clear" w:color="auto" w:fill="auto"/>
                  <w:vAlign w:val="center"/>
                </w:tcPr>
                <w:p w14:paraId="371C5C6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2.1~2.8</w:t>
                  </w:r>
                </w:p>
              </w:tc>
              <w:tc>
                <w:tcPr>
                  <w:tcW w:w="675" w:type="pct"/>
                  <w:shd w:val="clear" w:color="auto" w:fill="auto"/>
                  <w:vAlign w:val="center"/>
                </w:tcPr>
                <w:p w14:paraId="56115AB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color w:val="000000"/>
                    </w:rPr>
                    <w:t>晴天</w:t>
                  </w:r>
                </w:p>
              </w:tc>
            </w:tr>
            <w:tr w14:paraId="6BA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pct"/>
                  <w:vMerge w:val="continue"/>
                  <w:vAlign w:val="center"/>
                </w:tcPr>
                <w:p w14:paraId="2687EBC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p>
              </w:tc>
              <w:tc>
                <w:tcPr>
                  <w:tcW w:w="942" w:type="pct"/>
                  <w:shd w:val="clear" w:color="auto" w:fill="auto"/>
                  <w:vAlign w:val="center"/>
                </w:tcPr>
                <w:p w14:paraId="476CE10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ar"/>
                    </w:rPr>
                  </w:pPr>
                  <w:r>
                    <w:rPr>
                      <w:rFonts w:hint="eastAsia"/>
                      <w:b/>
                      <w:bCs/>
                      <w:spacing w:val="-5"/>
                      <w:szCs w:val="21"/>
                      <w:lang w:bidi="ar"/>
                    </w:rPr>
                    <w:t>厂区内5○</w:t>
                  </w:r>
                </w:p>
              </w:tc>
              <w:tc>
                <w:tcPr>
                  <w:tcW w:w="663" w:type="pct"/>
                  <w:shd w:val="clear" w:color="auto" w:fill="auto"/>
                  <w:vAlign w:val="center"/>
                </w:tcPr>
                <w:p w14:paraId="370171B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16~23</w:t>
                  </w:r>
                </w:p>
              </w:tc>
              <w:tc>
                <w:tcPr>
                  <w:tcW w:w="738" w:type="pct"/>
                  <w:shd w:val="clear" w:color="auto" w:fill="auto"/>
                  <w:vAlign w:val="center"/>
                </w:tcPr>
                <w:p w14:paraId="4D73EE0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101.5~101.7</w:t>
                  </w:r>
                </w:p>
              </w:tc>
              <w:tc>
                <w:tcPr>
                  <w:tcW w:w="494" w:type="pct"/>
                  <w:shd w:val="clear" w:color="auto" w:fill="auto"/>
                  <w:vAlign w:val="center"/>
                </w:tcPr>
                <w:p w14:paraId="737EF14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东风</w:t>
                  </w:r>
                </w:p>
              </w:tc>
              <w:tc>
                <w:tcPr>
                  <w:tcW w:w="809" w:type="pct"/>
                  <w:shd w:val="clear" w:color="auto" w:fill="auto"/>
                  <w:vAlign w:val="center"/>
                </w:tcPr>
                <w:p w14:paraId="67FC461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ascii="Times New Roman" w:hAnsi="Times New Roman" w:cs="Times New Roman"/>
                      <w:bCs/>
                      <w:sz w:val="21"/>
                      <w:szCs w:val="21"/>
                      <w:lang w:val="en-US" w:eastAsia="zh-CN"/>
                    </w:rPr>
                    <w:t>2.1~2.8</w:t>
                  </w:r>
                </w:p>
              </w:tc>
              <w:tc>
                <w:tcPr>
                  <w:tcW w:w="675" w:type="pct"/>
                  <w:shd w:val="clear" w:color="auto" w:fill="auto"/>
                  <w:vAlign w:val="center"/>
                </w:tcPr>
                <w:p w14:paraId="54195A23">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color w:val="000000"/>
                    </w:rPr>
                  </w:pPr>
                  <w:r>
                    <w:rPr>
                      <w:rFonts w:hint="eastAsia"/>
                      <w:color w:val="000000"/>
                    </w:rPr>
                    <w:t>晴天</w:t>
                  </w:r>
                </w:p>
              </w:tc>
            </w:tr>
          </w:tbl>
          <w:p w14:paraId="052E604E">
            <w:pPr>
              <w:pStyle w:val="9"/>
              <w:keepNext w:val="0"/>
              <w:keepLines w:val="0"/>
              <w:pageBreakBefore w:val="0"/>
              <w:widowControl w:val="0"/>
              <w:kinsoku/>
              <w:wordWrap/>
              <w:overflowPunct/>
              <w:topLinePunct w:val="0"/>
              <w:bidi w:val="0"/>
              <w:spacing w:beforeAutospacing="0" w:afterAutospacing="0"/>
              <w:ind w:right="0" w:firstLine="482"/>
              <w:jc w:val="center"/>
              <w:rPr>
                <w:rFonts w:ascii="Times New Roman" w:hAnsi="Times New Roman" w:eastAsia="宋体"/>
                <w:b/>
                <w:sz w:val="24"/>
                <w:szCs w:val="24"/>
              </w:rPr>
            </w:pPr>
            <w:r>
              <w:rPr>
                <w:rFonts w:hint="eastAsia"/>
                <w:b/>
                <w:sz w:val="24"/>
              </w:rPr>
              <w:t xml:space="preserve">表 </w:t>
            </w:r>
            <w:r>
              <w:rPr>
                <w:rFonts w:ascii="Times New Roman" w:hAnsi="Times New Roman"/>
                <w:b/>
                <w:sz w:val="24"/>
              </w:rPr>
              <w:t>7-</w:t>
            </w:r>
            <w:r>
              <w:rPr>
                <w:rFonts w:hint="eastAsia" w:ascii="Times New Roman" w:hAnsi="Times New Roman"/>
                <w:b/>
                <w:sz w:val="24"/>
              </w:rPr>
              <w:t>4</w:t>
            </w:r>
            <w:r>
              <w:rPr>
                <w:rFonts w:hint="eastAsia" w:ascii="Times New Roman" w:hAnsi="Times New Roman" w:eastAsia="宋体"/>
                <w:b/>
                <w:sz w:val="24"/>
                <w:szCs w:val="24"/>
              </w:rPr>
              <w:t>大气无组织监测结果</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65"/>
              <w:gridCol w:w="237"/>
              <w:gridCol w:w="596"/>
              <w:gridCol w:w="417"/>
              <w:gridCol w:w="171"/>
              <w:gridCol w:w="1548"/>
              <w:gridCol w:w="1548"/>
              <w:gridCol w:w="1548"/>
              <w:gridCol w:w="1556"/>
            </w:tblGrid>
            <w:tr w14:paraId="3C11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5F314AB4">
                  <w:pPr>
                    <w:pStyle w:val="11"/>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pacing w:val="-5"/>
                      <w:sz w:val="21"/>
                      <w:szCs w:val="21"/>
                      <w:lang w:val="en-US" w:bidi="he-IL"/>
                    </w:rPr>
                  </w:pPr>
                  <w:r>
                    <w:rPr>
                      <w:rFonts w:hint="eastAsia" w:ascii="Times New Roman" w:hAnsi="Times New Roman" w:cs="Times New Roman"/>
                      <w:b/>
                      <w:sz w:val="21"/>
                      <w:szCs w:val="21"/>
                      <w:lang w:val="en-US"/>
                    </w:rPr>
                    <w:t>采样日期</w:t>
                  </w:r>
                </w:p>
              </w:tc>
              <w:tc>
                <w:tcPr>
                  <w:tcW w:w="4144" w:type="pct"/>
                  <w:gridSpan w:val="9"/>
                  <w:vAlign w:val="center"/>
                </w:tcPr>
                <w:p w14:paraId="010BC857">
                  <w:pPr>
                    <w:keepNext w:val="0"/>
                    <w:keepLines w:val="0"/>
                    <w:pageBreakBefore w:val="0"/>
                    <w:widowControl w:val="0"/>
                    <w:tabs>
                      <w:tab w:val="right" w:pos="8906"/>
                    </w:tabs>
                    <w:kinsoku/>
                    <w:wordWrap/>
                    <w:overflowPunct/>
                    <w:topLinePunct w:val="0"/>
                    <w:autoSpaceDE/>
                    <w:autoSpaceDN/>
                    <w:bidi w:val="0"/>
                    <w:adjustRightInd/>
                    <w:snapToGrid/>
                    <w:spacing w:beforeAutospacing="0" w:afterAutospacing="0"/>
                    <w:ind w:right="0" w:firstLine="0"/>
                    <w:jc w:val="center"/>
                    <w:textAlignment w:val="auto"/>
                    <w:rPr>
                      <w:b/>
                      <w:spacing w:val="-5"/>
                      <w:szCs w:val="21"/>
                      <w:lang w:bidi="he-IL"/>
                    </w:rPr>
                  </w:pPr>
                  <w:r>
                    <w:rPr>
                      <w:rFonts w:hint="eastAsia" w:ascii="Times New Roman" w:hAnsi="Times New Roman" w:cs="Times New Roman"/>
                      <w:b/>
                      <w:spacing w:val="-5"/>
                      <w:sz w:val="21"/>
                      <w:szCs w:val="21"/>
                      <w:lang w:val="en-US" w:eastAsia="zh-CN" w:bidi="he-IL"/>
                    </w:rPr>
                    <w:t>2024.10.10</w:t>
                  </w:r>
                </w:p>
              </w:tc>
            </w:tr>
            <w:tr w14:paraId="1D56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02FAE153">
                  <w:pPr>
                    <w:pStyle w:val="11"/>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pacing w:val="-5"/>
                      <w:sz w:val="21"/>
                      <w:szCs w:val="21"/>
                      <w:lang w:val="en-US" w:bidi="he-IL"/>
                    </w:rPr>
                  </w:pPr>
                  <w:r>
                    <w:rPr>
                      <w:rFonts w:hint="eastAsia" w:ascii="Times New Roman" w:hAnsi="Times New Roman" w:cs="Times New Roman"/>
                      <w:b/>
                      <w:spacing w:val="-5"/>
                      <w:sz w:val="21"/>
                      <w:szCs w:val="21"/>
                      <w:lang w:val="en-US" w:bidi="he-IL"/>
                    </w:rPr>
                    <w:t>监测项目</w:t>
                  </w:r>
                </w:p>
              </w:tc>
              <w:tc>
                <w:tcPr>
                  <w:tcW w:w="844" w:type="pct"/>
                  <w:gridSpan w:val="5"/>
                  <w:vMerge w:val="restart"/>
                  <w:vAlign w:val="center"/>
                </w:tcPr>
                <w:p w14:paraId="6DA2CCEB">
                  <w:pPr>
                    <w:pStyle w:val="11"/>
                    <w:keepNext w:val="0"/>
                    <w:keepLines w:val="0"/>
                    <w:pageBreakBefore w:val="0"/>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z w:val="21"/>
                      <w:szCs w:val="21"/>
                      <w:lang w:val="en-US"/>
                    </w:rPr>
                  </w:pPr>
                  <w:r>
                    <w:rPr>
                      <w:rFonts w:hint="eastAsia" w:ascii="Times New Roman" w:hAnsi="Times New Roman" w:cs="Times New Roman"/>
                      <w:b/>
                      <w:spacing w:val="-5"/>
                      <w:sz w:val="21"/>
                      <w:szCs w:val="21"/>
                      <w:lang w:val="en-US" w:bidi="he-IL"/>
                    </w:rPr>
                    <w:t>单位</w:t>
                  </w:r>
                </w:p>
              </w:tc>
              <w:tc>
                <w:tcPr>
                  <w:tcW w:w="3300" w:type="pct"/>
                  <w:gridSpan w:val="4"/>
                  <w:vAlign w:val="center"/>
                </w:tcPr>
                <w:p w14:paraId="199C542E">
                  <w:pPr>
                    <w:keepNext w:val="0"/>
                    <w:keepLines w:val="0"/>
                    <w:pageBreakBefore w:val="0"/>
                    <w:widowControl w:val="0"/>
                    <w:kinsoku/>
                    <w:wordWrap/>
                    <w:overflowPunct/>
                    <w:topLinePunct w:val="0"/>
                    <w:autoSpaceDE/>
                    <w:autoSpaceDN/>
                    <w:bidi w:val="0"/>
                    <w:adjustRightInd/>
                    <w:snapToGrid/>
                    <w:spacing w:beforeAutospacing="0" w:afterAutospacing="0"/>
                    <w:ind w:right="0" w:firstLine="0"/>
                    <w:jc w:val="center"/>
                    <w:textAlignment w:val="auto"/>
                    <w:rPr>
                      <w:b/>
                      <w:szCs w:val="21"/>
                    </w:rPr>
                  </w:pPr>
                  <w:r>
                    <w:rPr>
                      <w:rFonts w:hint="eastAsia"/>
                      <w:b/>
                      <w:szCs w:val="21"/>
                    </w:rPr>
                    <w:t>检测结果</w:t>
                  </w:r>
                </w:p>
              </w:tc>
            </w:tr>
            <w:tr w14:paraId="11AD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0A9879B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sz w:val="20"/>
                    </w:rPr>
                  </w:pPr>
                </w:p>
              </w:tc>
              <w:tc>
                <w:tcPr>
                  <w:tcW w:w="844" w:type="pct"/>
                  <w:gridSpan w:val="5"/>
                  <w:vMerge w:val="continue"/>
                  <w:vAlign w:val="center"/>
                </w:tcPr>
                <w:p w14:paraId="1682338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sz w:val="20"/>
                    </w:rPr>
                  </w:pPr>
                </w:p>
              </w:tc>
              <w:tc>
                <w:tcPr>
                  <w:tcW w:w="824" w:type="pct"/>
                  <w:shd w:val="clear" w:color="auto" w:fill="auto"/>
                  <w:vAlign w:val="center"/>
                </w:tcPr>
                <w:p w14:paraId="1BFF97E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周界东</w:t>
                  </w:r>
                  <w:r>
                    <w:rPr>
                      <w:b/>
                      <w:bCs/>
                      <w:szCs w:val="21"/>
                    </w:rPr>
                    <w:t>侧1</w:t>
                  </w:r>
                  <w:r>
                    <w:rPr>
                      <w:rFonts w:ascii="宋体" w:hAnsi="宋体" w:cs="宋体"/>
                      <w:b/>
                      <w:bCs/>
                      <w:szCs w:val="21"/>
                    </w:rPr>
                    <w:t>○</w:t>
                  </w:r>
                </w:p>
              </w:tc>
              <w:tc>
                <w:tcPr>
                  <w:tcW w:w="824" w:type="pct"/>
                  <w:shd w:val="clear" w:color="auto" w:fill="auto"/>
                  <w:vAlign w:val="center"/>
                </w:tcPr>
                <w:p w14:paraId="3773A5A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周界南</w:t>
                  </w:r>
                  <w:r>
                    <w:rPr>
                      <w:b/>
                      <w:bCs/>
                      <w:szCs w:val="21"/>
                    </w:rPr>
                    <w:t>侧2</w:t>
                  </w:r>
                  <w:r>
                    <w:rPr>
                      <w:rFonts w:ascii="宋体" w:hAnsi="宋体" w:cs="宋体"/>
                      <w:b/>
                      <w:bCs/>
                      <w:szCs w:val="21"/>
                    </w:rPr>
                    <w:t>○</w:t>
                  </w:r>
                </w:p>
              </w:tc>
              <w:tc>
                <w:tcPr>
                  <w:tcW w:w="824" w:type="pct"/>
                  <w:shd w:val="clear" w:color="auto" w:fill="auto"/>
                  <w:vAlign w:val="center"/>
                </w:tcPr>
                <w:p w14:paraId="6AA5DF1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周界西</w:t>
                  </w:r>
                  <w:r>
                    <w:rPr>
                      <w:b/>
                      <w:bCs/>
                      <w:szCs w:val="21"/>
                    </w:rPr>
                    <w:t>侧3</w:t>
                  </w:r>
                  <w:r>
                    <w:rPr>
                      <w:rFonts w:ascii="宋体" w:hAnsi="宋体" w:cs="宋体"/>
                      <w:b/>
                      <w:bCs/>
                      <w:szCs w:val="21"/>
                    </w:rPr>
                    <w:t>○</w:t>
                  </w:r>
                </w:p>
              </w:tc>
              <w:tc>
                <w:tcPr>
                  <w:tcW w:w="826" w:type="pct"/>
                  <w:shd w:val="clear" w:color="auto" w:fill="auto"/>
                  <w:vAlign w:val="center"/>
                </w:tcPr>
                <w:p w14:paraId="786D3C4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周界北</w:t>
                  </w:r>
                  <w:r>
                    <w:rPr>
                      <w:b/>
                      <w:bCs/>
                      <w:szCs w:val="21"/>
                    </w:rPr>
                    <w:t>侧4</w:t>
                  </w:r>
                  <w:r>
                    <w:rPr>
                      <w:rFonts w:hint="eastAsia" w:ascii="宋体" w:hAnsi="宋体" w:cs="宋体"/>
                      <w:b/>
                      <w:bCs/>
                      <w:szCs w:val="21"/>
                    </w:rPr>
                    <w:t>○</w:t>
                  </w:r>
                </w:p>
              </w:tc>
            </w:tr>
            <w:tr w14:paraId="35AE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55" w:type="pct"/>
                  <w:vMerge w:val="restart"/>
                  <w:vAlign w:val="center"/>
                </w:tcPr>
                <w:p w14:paraId="57E9635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r>
                    <w:rPr>
                      <w:rFonts w:hint="eastAsia" w:ascii="宋体" w:hAnsi="宋体" w:cs="宋体"/>
                      <w:b/>
                      <w:bCs/>
                      <w:szCs w:val="21"/>
                    </w:rPr>
                    <w:t>总悬浮</w:t>
                  </w:r>
                  <w:r>
                    <w:rPr>
                      <w:rFonts w:ascii="宋体" w:hAnsi="宋体" w:cs="宋体"/>
                      <w:b/>
                      <w:bCs/>
                      <w:szCs w:val="21"/>
                    </w:rPr>
                    <w:t>颗粒物</w:t>
                  </w:r>
                </w:p>
              </w:tc>
              <w:tc>
                <w:tcPr>
                  <w:tcW w:w="844" w:type="pct"/>
                  <w:gridSpan w:val="5"/>
                  <w:vMerge w:val="restart"/>
                  <w:vAlign w:val="center"/>
                </w:tcPr>
                <w:p w14:paraId="2F94D8D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μg/m³</w:t>
                  </w:r>
                </w:p>
              </w:tc>
              <w:tc>
                <w:tcPr>
                  <w:tcW w:w="824" w:type="pct"/>
                  <w:vAlign w:val="center"/>
                </w:tcPr>
                <w:p w14:paraId="7C50BBC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168</w:t>
                  </w:r>
                </w:p>
              </w:tc>
              <w:tc>
                <w:tcPr>
                  <w:tcW w:w="824" w:type="pct"/>
                  <w:vAlign w:val="center"/>
                </w:tcPr>
                <w:p w14:paraId="40418AA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308</w:t>
                  </w:r>
                </w:p>
              </w:tc>
              <w:tc>
                <w:tcPr>
                  <w:tcW w:w="824" w:type="pct"/>
                  <w:vAlign w:val="center"/>
                </w:tcPr>
                <w:p w14:paraId="2D71FB9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278</w:t>
                  </w:r>
                </w:p>
              </w:tc>
              <w:tc>
                <w:tcPr>
                  <w:tcW w:w="826" w:type="pct"/>
                  <w:vAlign w:val="center"/>
                </w:tcPr>
                <w:p w14:paraId="08CCD90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299</w:t>
                  </w:r>
                </w:p>
              </w:tc>
            </w:tr>
            <w:tr w14:paraId="45E4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7F5F3A2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0346176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32FB7C71">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190</w:t>
                  </w:r>
                </w:p>
              </w:tc>
              <w:tc>
                <w:tcPr>
                  <w:tcW w:w="824" w:type="pct"/>
                  <w:vAlign w:val="center"/>
                </w:tcPr>
                <w:p w14:paraId="74E1C83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343</w:t>
                  </w:r>
                </w:p>
              </w:tc>
              <w:tc>
                <w:tcPr>
                  <w:tcW w:w="824" w:type="pct"/>
                  <w:vAlign w:val="center"/>
                </w:tcPr>
                <w:p w14:paraId="14CB4D5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330</w:t>
                  </w:r>
                </w:p>
              </w:tc>
              <w:tc>
                <w:tcPr>
                  <w:tcW w:w="826" w:type="pct"/>
                  <w:vAlign w:val="center"/>
                </w:tcPr>
                <w:p w14:paraId="566398A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350</w:t>
                  </w:r>
                </w:p>
              </w:tc>
            </w:tr>
            <w:tr w14:paraId="09F5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6C30D9B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291D972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F3D74AF">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222</w:t>
                  </w:r>
                </w:p>
              </w:tc>
              <w:tc>
                <w:tcPr>
                  <w:tcW w:w="824" w:type="pct"/>
                  <w:vAlign w:val="center"/>
                </w:tcPr>
                <w:p w14:paraId="23B2478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378</w:t>
                  </w:r>
                </w:p>
              </w:tc>
              <w:tc>
                <w:tcPr>
                  <w:tcW w:w="824" w:type="pct"/>
                  <w:vAlign w:val="center"/>
                </w:tcPr>
                <w:p w14:paraId="096EB387">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406</w:t>
                  </w:r>
                </w:p>
              </w:tc>
              <w:tc>
                <w:tcPr>
                  <w:tcW w:w="826" w:type="pct"/>
                  <w:vAlign w:val="center"/>
                </w:tcPr>
                <w:p w14:paraId="76E9FF5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402</w:t>
                  </w:r>
                </w:p>
              </w:tc>
            </w:tr>
            <w:tr w14:paraId="0734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230CB30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393DD9A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14D2E283">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241</w:t>
                  </w:r>
                </w:p>
              </w:tc>
              <w:tc>
                <w:tcPr>
                  <w:tcW w:w="824" w:type="pct"/>
                  <w:vAlign w:val="center"/>
                </w:tcPr>
                <w:p w14:paraId="79487A14">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431</w:t>
                  </w:r>
                </w:p>
              </w:tc>
              <w:tc>
                <w:tcPr>
                  <w:tcW w:w="824" w:type="pct"/>
                  <w:vAlign w:val="center"/>
                </w:tcPr>
                <w:p w14:paraId="6C803DD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453</w:t>
                  </w:r>
                </w:p>
              </w:tc>
              <w:tc>
                <w:tcPr>
                  <w:tcW w:w="826" w:type="pct"/>
                  <w:vAlign w:val="center"/>
                </w:tcPr>
                <w:p w14:paraId="0ED11C3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418</w:t>
                  </w:r>
                </w:p>
              </w:tc>
            </w:tr>
            <w:tr w14:paraId="5BC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086BC79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r>
                    <w:rPr>
                      <w:rFonts w:ascii="宋体" w:hAnsi="宋体" w:cs="宋体"/>
                      <w:b/>
                      <w:bCs/>
                      <w:szCs w:val="21"/>
                    </w:rPr>
                    <w:t>非甲烷总烃</w:t>
                  </w:r>
                </w:p>
              </w:tc>
              <w:tc>
                <w:tcPr>
                  <w:tcW w:w="844" w:type="pct"/>
                  <w:gridSpan w:val="5"/>
                  <w:vMerge w:val="restart"/>
                  <w:vAlign w:val="center"/>
                </w:tcPr>
                <w:p w14:paraId="29D4691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mg/m³</w:t>
                  </w:r>
                </w:p>
              </w:tc>
              <w:tc>
                <w:tcPr>
                  <w:tcW w:w="824" w:type="pct"/>
                  <w:vAlign w:val="center"/>
                </w:tcPr>
                <w:p w14:paraId="54D02F2F">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3.39</w:t>
                  </w:r>
                </w:p>
              </w:tc>
              <w:tc>
                <w:tcPr>
                  <w:tcW w:w="824" w:type="pct"/>
                  <w:vAlign w:val="center"/>
                </w:tcPr>
                <w:p w14:paraId="51AEEEC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2.14</w:t>
                  </w:r>
                </w:p>
              </w:tc>
              <w:tc>
                <w:tcPr>
                  <w:tcW w:w="824" w:type="pct"/>
                  <w:vAlign w:val="center"/>
                </w:tcPr>
                <w:p w14:paraId="3F0AED7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1.92</w:t>
                  </w:r>
                </w:p>
              </w:tc>
              <w:tc>
                <w:tcPr>
                  <w:tcW w:w="826" w:type="pct"/>
                  <w:vAlign w:val="center"/>
                </w:tcPr>
                <w:p w14:paraId="21447EF1">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2.21</w:t>
                  </w:r>
                </w:p>
              </w:tc>
            </w:tr>
            <w:tr w14:paraId="19BE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6F8537B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64B76E0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C05CB40">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3.08</w:t>
                  </w:r>
                </w:p>
              </w:tc>
              <w:tc>
                <w:tcPr>
                  <w:tcW w:w="824" w:type="pct"/>
                  <w:vAlign w:val="center"/>
                </w:tcPr>
                <w:p w14:paraId="355350F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2.11</w:t>
                  </w:r>
                </w:p>
              </w:tc>
              <w:tc>
                <w:tcPr>
                  <w:tcW w:w="824" w:type="pct"/>
                  <w:vAlign w:val="center"/>
                </w:tcPr>
                <w:p w14:paraId="58569B67">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1.96</w:t>
                  </w:r>
                </w:p>
              </w:tc>
              <w:tc>
                <w:tcPr>
                  <w:tcW w:w="826" w:type="pct"/>
                  <w:vAlign w:val="center"/>
                </w:tcPr>
                <w:p w14:paraId="0D949FA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2.40</w:t>
                  </w:r>
                </w:p>
              </w:tc>
            </w:tr>
            <w:tr w14:paraId="31D5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3C61C5D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0DF0C8F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95A741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3.25</w:t>
                  </w:r>
                </w:p>
              </w:tc>
              <w:tc>
                <w:tcPr>
                  <w:tcW w:w="824" w:type="pct"/>
                  <w:vAlign w:val="center"/>
                </w:tcPr>
                <w:p w14:paraId="4E2541D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1.98</w:t>
                  </w:r>
                </w:p>
              </w:tc>
              <w:tc>
                <w:tcPr>
                  <w:tcW w:w="824" w:type="pct"/>
                  <w:vAlign w:val="center"/>
                </w:tcPr>
                <w:p w14:paraId="065BD5F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1.92</w:t>
                  </w:r>
                </w:p>
              </w:tc>
              <w:tc>
                <w:tcPr>
                  <w:tcW w:w="826" w:type="pct"/>
                  <w:vAlign w:val="center"/>
                </w:tcPr>
                <w:p w14:paraId="0C2CE83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2.29</w:t>
                  </w:r>
                </w:p>
              </w:tc>
            </w:tr>
            <w:tr w14:paraId="4EFB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5669EFF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3927CF8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4750CD4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3.26</w:t>
                  </w:r>
                </w:p>
              </w:tc>
              <w:tc>
                <w:tcPr>
                  <w:tcW w:w="824" w:type="pct"/>
                  <w:vAlign w:val="center"/>
                </w:tcPr>
                <w:p w14:paraId="01E0CE5B">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1.99</w:t>
                  </w:r>
                </w:p>
              </w:tc>
              <w:tc>
                <w:tcPr>
                  <w:tcW w:w="824" w:type="pct"/>
                  <w:vAlign w:val="center"/>
                </w:tcPr>
                <w:p w14:paraId="2859223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2.02</w:t>
                  </w:r>
                </w:p>
              </w:tc>
              <w:tc>
                <w:tcPr>
                  <w:tcW w:w="826" w:type="pct"/>
                  <w:vAlign w:val="center"/>
                </w:tcPr>
                <w:p w14:paraId="7E81A74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2.34</w:t>
                  </w:r>
                </w:p>
              </w:tc>
            </w:tr>
            <w:tr w14:paraId="4B3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27F05EB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eastAsia="宋体" w:cs="宋体"/>
                      <w:b/>
                      <w:bCs/>
                      <w:szCs w:val="21"/>
                      <w:lang w:eastAsia="zh-CN"/>
                    </w:rPr>
                  </w:pPr>
                  <w:r>
                    <w:rPr>
                      <w:rFonts w:hint="eastAsia" w:ascii="宋体" w:hAnsi="宋体" w:cs="宋体"/>
                      <w:b/>
                      <w:bCs/>
                      <w:szCs w:val="21"/>
                      <w:lang w:val="en-US" w:eastAsia="zh-CN"/>
                    </w:rPr>
                    <w:t>二甲苯</w:t>
                  </w:r>
                </w:p>
              </w:tc>
              <w:tc>
                <w:tcPr>
                  <w:tcW w:w="844" w:type="pct"/>
                  <w:gridSpan w:val="5"/>
                  <w:vMerge w:val="restart"/>
                  <w:vAlign w:val="center"/>
                </w:tcPr>
                <w:p w14:paraId="4B6F6CC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mg/m³</w:t>
                  </w:r>
                </w:p>
              </w:tc>
              <w:tc>
                <w:tcPr>
                  <w:tcW w:w="824" w:type="pct"/>
                  <w:vAlign w:val="center"/>
                </w:tcPr>
                <w:p w14:paraId="0CADBCC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00300300">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4CEFCF4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26EF73B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1ADF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1CD5742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43D4F4E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5BC4E0E4">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2AF47EE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00B4D88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34E39BD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230E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0921C9F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704D70B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5EA013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5D3DB6C1">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2398FC2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3F0E4F8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392F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75A580D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694D511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562C98D3">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07EFBCB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13272E5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612A91FB">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066A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8996B0A">
                  <w:pPr>
                    <w:pStyle w:val="11"/>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pacing w:val="-5"/>
                      <w:sz w:val="21"/>
                      <w:szCs w:val="21"/>
                      <w:lang w:val="en-US" w:bidi="he-IL"/>
                    </w:rPr>
                  </w:pPr>
                  <w:r>
                    <w:rPr>
                      <w:rFonts w:hint="eastAsia" w:ascii="Times New Roman" w:hAnsi="Times New Roman" w:cs="Times New Roman"/>
                      <w:b/>
                      <w:sz w:val="21"/>
                      <w:szCs w:val="21"/>
                      <w:lang w:val="en-US"/>
                    </w:rPr>
                    <w:t>采样日期</w:t>
                  </w:r>
                </w:p>
              </w:tc>
              <w:tc>
                <w:tcPr>
                  <w:tcW w:w="4144" w:type="pct"/>
                  <w:gridSpan w:val="9"/>
                  <w:vAlign w:val="center"/>
                </w:tcPr>
                <w:p w14:paraId="20AC2092">
                  <w:pPr>
                    <w:keepNext w:val="0"/>
                    <w:keepLines w:val="0"/>
                    <w:pageBreakBefore w:val="0"/>
                    <w:widowControl w:val="0"/>
                    <w:tabs>
                      <w:tab w:val="right" w:pos="8906"/>
                    </w:tabs>
                    <w:kinsoku/>
                    <w:wordWrap/>
                    <w:overflowPunct/>
                    <w:topLinePunct w:val="0"/>
                    <w:autoSpaceDE/>
                    <w:autoSpaceDN/>
                    <w:bidi w:val="0"/>
                    <w:adjustRightInd/>
                    <w:snapToGrid/>
                    <w:spacing w:beforeAutospacing="0" w:afterAutospacing="0"/>
                    <w:ind w:right="0" w:firstLine="0"/>
                    <w:jc w:val="center"/>
                    <w:textAlignment w:val="auto"/>
                    <w:rPr>
                      <w:b/>
                      <w:szCs w:val="21"/>
                    </w:rPr>
                  </w:pPr>
                  <w:r>
                    <w:rPr>
                      <w:rFonts w:hint="eastAsia" w:ascii="Times New Roman" w:hAnsi="Times New Roman" w:cs="Times New Roman"/>
                      <w:b/>
                      <w:spacing w:val="-5"/>
                      <w:sz w:val="21"/>
                      <w:szCs w:val="21"/>
                      <w:lang w:val="en-US" w:eastAsia="zh-CN" w:bidi="he-IL"/>
                    </w:rPr>
                    <w:t>2024.10.11</w:t>
                  </w:r>
                </w:p>
              </w:tc>
            </w:tr>
            <w:tr w14:paraId="7A15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384745C2">
                  <w:pPr>
                    <w:pStyle w:val="11"/>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pacing w:val="-5"/>
                      <w:sz w:val="21"/>
                      <w:szCs w:val="21"/>
                      <w:lang w:val="en-US" w:bidi="he-IL"/>
                    </w:rPr>
                  </w:pPr>
                  <w:r>
                    <w:rPr>
                      <w:rFonts w:hint="eastAsia" w:ascii="Times New Roman" w:hAnsi="Times New Roman" w:cs="Times New Roman"/>
                      <w:b/>
                      <w:spacing w:val="-5"/>
                      <w:sz w:val="21"/>
                      <w:szCs w:val="21"/>
                      <w:lang w:val="en-US" w:bidi="he-IL"/>
                    </w:rPr>
                    <w:t>监测项目</w:t>
                  </w:r>
                </w:p>
              </w:tc>
              <w:tc>
                <w:tcPr>
                  <w:tcW w:w="844" w:type="pct"/>
                  <w:gridSpan w:val="5"/>
                  <w:vMerge w:val="restart"/>
                  <w:vAlign w:val="center"/>
                </w:tcPr>
                <w:p w14:paraId="214BED48">
                  <w:pPr>
                    <w:pStyle w:val="11"/>
                    <w:keepNext w:val="0"/>
                    <w:keepLines w:val="0"/>
                    <w:pageBreakBefore w:val="0"/>
                    <w:kinsoku/>
                    <w:wordWrap/>
                    <w:overflowPunct/>
                    <w:topLinePunct w:val="0"/>
                    <w:autoSpaceDE/>
                    <w:autoSpaceDN/>
                    <w:bidi w:val="0"/>
                    <w:adjustRightInd/>
                    <w:snapToGrid/>
                    <w:spacing w:beforeAutospacing="0" w:afterAutospacing="0"/>
                    <w:ind w:right="0" w:firstLine="0"/>
                    <w:jc w:val="center"/>
                    <w:textAlignment w:val="auto"/>
                    <w:rPr>
                      <w:rFonts w:ascii="Times New Roman" w:hAnsi="Times New Roman" w:cs="Times New Roman"/>
                      <w:b/>
                      <w:sz w:val="21"/>
                      <w:szCs w:val="21"/>
                      <w:lang w:val="en-US"/>
                    </w:rPr>
                  </w:pPr>
                  <w:r>
                    <w:rPr>
                      <w:rFonts w:hint="eastAsia" w:ascii="Times New Roman" w:hAnsi="Times New Roman" w:cs="Times New Roman"/>
                      <w:b/>
                      <w:spacing w:val="-5"/>
                      <w:sz w:val="21"/>
                      <w:szCs w:val="21"/>
                      <w:lang w:val="en-US" w:bidi="he-IL"/>
                    </w:rPr>
                    <w:t>单位</w:t>
                  </w:r>
                </w:p>
              </w:tc>
              <w:tc>
                <w:tcPr>
                  <w:tcW w:w="3300" w:type="pct"/>
                  <w:gridSpan w:val="4"/>
                  <w:vAlign w:val="center"/>
                </w:tcPr>
                <w:p w14:paraId="78DAB9C5">
                  <w:pPr>
                    <w:keepNext w:val="0"/>
                    <w:keepLines w:val="0"/>
                    <w:pageBreakBefore w:val="0"/>
                    <w:widowControl w:val="0"/>
                    <w:kinsoku/>
                    <w:wordWrap/>
                    <w:overflowPunct/>
                    <w:topLinePunct w:val="0"/>
                    <w:autoSpaceDE/>
                    <w:autoSpaceDN/>
                    <w:bidi w:val="0"/>
                    <w:adjustRightInd/>
                    <w:snapToGrid/>
                    <w:spacing w:beforeAutospacing="0" w:afterAutospacing="0"/>
                    <w:ind w:right="0" w:firstLine="0"/>
                    <w:jc w:val="center"/>
                    <w:textAlignment w:val="auto"/>
                    <w:rPr>
                      <w:b/>
                      <w:szCs w:val="21"/>
                    </w:rPr>
                  </w:pPr>
                  <w:r>
                    <w:rPr>
                      <w:rFonts w:hint="eastAsia"/>
                      <w:b/>
                      <w:szCs w:val="21"/>
                    </w:rPr>
                    <w:t>检测结果</w:t>
                  </w:r>
                </w:p>
              </w:tc>
            </w:tr>
            <w:tr w14:paraId="409A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2E886ADE">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sz w:val="20"/>
                    </w:rPr>
                  </w:pPr>
                </w:p>
              </w:tc>
              <w:tc>
                <w:tcPr>
                  <w:tcW w:w="844" w:type="pct"/>
                  <w:gridSpan w:val="5"/>
                  <w:vMerge w:val="continue"/>
                  <w:vAlign w:val="center"/>
                </w:tcPr>
                <w:p w14:paraId="42788BC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sz w:val="20"/>
                    </w:rPr>
                  </w:pPr>
                </w:p>
              </w:tc>
              <w:tc>
                <w:tcPr>
                  <w:tcW w:w="824" w:type="pct"/>
                  <w:shd w:val="clear" w:color="auto" w:fill="auto"/>
                  <w:vAlign w:val="center"/>
                </w:tcPr>
                <w:p w14:paraId="259850C7">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周界东</w:t>
                  </w:r>
                  <w:r>
                    <w:rPr>
                      <w:b/>
                      <w:bCs/>
                      <w:szCs w:val="21"/>
                    </w:rPr>
                    <w:t>侧1</w:t>
                  </w:r>
                  <w:r>
                    <w:rPr>
                      <w:rFonts w:ascii="宋体" w:hAnsi="宋体" w:cs="宋体"/>
                      <w:b/>
                      <w:bCs/>
                      <w:szCs w:val="21"/>
                    </w:rPr>
                    <w:t>○</w:t>
                  </w:r>
                </w:p>
              </w:tc>
              <w:tc>
                <w:tcPr>
                  <w:tcW w:w="824" w:type="pct"/>
                  <w:shd w:val="clear" w:color="auto" w:fill="auto"/>
                  <w:vAlign w:val="center"/>
                </w:tcPr>
                <w:p w14:paraId="5F5FAE32">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周界南</w:t>
                  </w:r>
                  <w:r>
                    <w:rPr>
                      <w:b/>
                      <w:bCs/>
                      <w:szCs w:val="21"/>
                    </w:rPr>
                    <w:t>侧2</w:t>
                  </w:r>
                  <w:r>
                    <w:rPr>
                      <w:rFonts w:ascii="宋体" w:hAnsi="宋体" w:cs="宋体"/>
                      <w:b/>
                      <w:bCs/>
                      <w:szCs w:val="21"/>
                    </w:rPr>
                    <w:t>○</w:t>
                  </w:r>
                </w:p>
              </w:tc>
              <w:tc>
                <w:tcPr>
                  <w:tcW w:w="824" w:type="pct"/>
                  <w:shd w:val="clear" w:color="auto" w:fill="auto"/>
                  <w:vAlign w:val="center"/>
                </w:tcPr>
                <w:p w14:paraId="74AA8E13">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周界西</w:t>
                  </w:r>
                  <w:r>
                    <w:rPr>
                      <w:b/>
                      <w:bCs/>
                      <w:szCs w:val="21"/>
                    </w:rPr>
                    <w:t>侧3</w:t>
                  </w:r>
                  <w:r>
                    <w:rPr>
                      <w:rFonts w:ascii="宋体" w:hAnsi="宋体" w:cs="宋体"/>
                      <w:b/>
                      <w:bCs/>
                      <w:szCs w:val="21"/>
                    </w:rPr>
                    <w:t>○</w:t>
                  </w:r>
                </w:p>
              </w:tc>
              <w:tc>
                <w:tcPr>
                  <w:tcW w:w="826" w:type="pct"/>
                  <w:shd w:val="clear" w:color="auto" w:fill="auto"/>
                  <w:vAlign w:val="center"/>
                </w:tcPr>
                <w:p w14:paraId="4E196DE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
                      <w:bCs/>
                      <w:spacing w:val="-5"/>
                      <w:szCs w:val="21"/>
                      <w:lang w:bidi="he-IL"/>
                    </w:rPr>
                  </w:pPr>
                  <w:r>
                    <w:rPr>
                      <w:rFonts w:hint="eastAsia"/>
                      <w:b/>
                      <w:bCs/>
                      <w:szCs w:val="21"/>
                    </w:rPr>
                    <w:t>周界北</w:t>
                  </w:r>
                  <w:r>
                    <w:rPr>
                      <w:b/>
                      <w:bCs/>
                      <w:szCs w:val="21"/>
                    </w:rPr>
                    <w:t>侧4</w:t>
                  </w:r>
                  <w:r>
                    <w:rPr>
                      <w:rFonts w:hint="eastAsia" w:ascii="宋体" w:hAnsi="宋体" w:cs="宋体"/>
                      <w:b/>
                      <w:bCs/>
                      <w:szCs w:val="21"/>
                    </w:rPr>
                    <w:t>○</w:t>
                  </w:r>
                </w:p>
              </w:tc>
            </w:tr>
            <w:tr w14:paraId="330D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7694F9B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r>
                    <w:rPr>
                      <w:rFonts w:hint="eastAsia" w:ascii="宋体" w:hAnsi="宋体" w:cs="宋体"/>
                      <w:b/>
                      <w:bCs/>
                      <w:szCs w:val="21"/>
                    </w:rPr>
                    <w:t>总悬浮</w:t>
                  </w:r>
                  <w:r>
                    <w:rPr>
                      <w:rFonts w:ascii="宋体" w:hAnsi="宋体" w:cs="宋体"/>
                      <w:b/>
                      <w:bCs/>
                      <w:szCs w:val="21"/>
                    </w:rPr>
                    <w:t>颗粒物</w:t>
                  </w:r>
                </w:p>
              </w:tc>
              <w:tc>
                <w:tcPr>
                  <w:tcW w:w="844" w:type="pct"/>
                  <w:gridSpan w:val="5"/>
                  <w:vMerge w:val="restart"/>
                  <w:vAlign w:val="center"/>
                </w:tcPr>
                <w:p w14:paraId="4C3BE5C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μg/m³</w:t>
                  </w:r>
                </w:p>
              </w:tc>
              <w:tc>
                <w:tcPr>
                  <w:tcW w:w="824" w:type="pct"/>
                  <w:vAlign w:val="center"/>
                </w:tcPr>
                <w:p w14:paraId="30EABB1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182</w:t>
                  </w:r>
                </w:p>
              </w:tc>
              <w:tc>
                <w:tcPr>
                  <w:tcW w:w="824" w:type="pct"/>
                  <w:vAlign w:val="center"/>
                </w:tcPr>
                <w:p w14:paraId="38192DB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291</w:t>
                  </w:r>
                </w:p>
              </w:tc>
              <w:tc>
                <w:tcPr>
                  <w:tcW w:w="824" w:type="pct"/>
                  <w:vAlign w:val="center"/>
                </w:tcPr>
                <w:p w14:paraId="38FC7C3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315</w:t>
                  </w:r>
                </w:p>
              </w:tc>
              <w:tc>
                <w:tcPr>
                  <w:tcW w:w="826" w:type="pct"/>
                  <w:vAlign w:val="center"/>
                </w:tcPr>
                <w:p w14:paraId="4935E13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308</w:t>
                  </w:r>
                </w:p>
              </w:tc>
            </w:tr>
            <w:tr w14:paraId="755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2AF0FDF5">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7A4B7A7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3CA5241B">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215</w:t>
                  </w:r>
                </w:p>
              </w:tc>
              <w:tc>
                <w:tcPr>
                  <w:tcW w:w="824" w:type="pct"/>
                  <w:vAlign w:val="center"/>
                </w:tcPr>
                <w:p w14:paraId="2666FEBF">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336</w:t>
                  </w:r>
                </w:p>
              </w:tc>
              <w:tc>
                <w:tcPr>
                  <w:tcW w:w="824" w:type="pct"/>
                  <w:vAlign w:val="center"/>
                </w:tcPr>
                <w:p w14:paraId="58479E2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352</w:t>
                  </w:r>
                </w:p>
              </w:tc>
              <w:tc>
                <w:tcPr>
                  <w:tcW w:w="826" w:type="pct"/>
                  <w:vAlign w:val="center"/>
                </w:tcPr>
                <w:p w14:paraId="4E8C3EC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387</w:t>
                  </w:r>
                </w:p>
              </w:tc>
            </w:tr>
            <w:tr w14:paraId="7272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43511E5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1A04C16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437C33D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240</w:t>
                  </w:r>
                </w:p>
              </w:tc>
              <w:tc>
                <w:tcPr>
                  <w:tcW w:w="824" w:type="pct"/>
                  <w:vAlign w:val="center"/>
                </w:tcPr>
                <w:p w14:paraId="0EDD3AB0">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380</w:t>
                  </w:r>
                </w:p>
              </w:tc>
              <w:tc>
                <w:tcPr>
                  <w:tcW w:w="824" w:type="pct"/>
                  <w:vAlign w:val="center"/>
                </w:tcPr>
                <w:p w14:paraId="58213047">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393</w:t>
                  </w:r>
                </w:p>
              </w:tc>
              <w:tc>
                <w:tcPr>
                  <w:tcW w:w="826" w:type="pct"/>
                  <w:vAlign w:val="center"/>
                </w:tcPr>
                <w:p w14:paraId="0C45F26E">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423</w:t>
                  </w:r>
                </w:p>
              </w:tc>
            </w:tr>
            <w:tr w14:paraId="4177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20A53413">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7CCB7CD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2580357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261</w:t>
                  </w:r>
                </w:p>
              </w:tc>
              <w:tc>
                <w:tcPr>
                  <w:tcW w:w="824" w:type="pct"/>
                  <w:vAlign w:val="center"/>
                </w:tcPr>
                <w:p w14:paraId="428F0FE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430</w:t>
                  </w:r>
                </w:p>
              </w:tc>
              <w:tc>
                <w:tcPr>
                  <w:tcW w:w="824" w:type="pct"/>
                  <w:vAlign w:val="center"/>
                </w:tcPr>
                <w:p w14:paraId="0561372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447</w:t>
                  </w:r>
                </w:p>
              </w:tc>
              <w:tc>
                <w:tcPr>
                  <w:tcW w:w="826" w:type="pct"/>
                  <w:vAlign w:val="center"/>
                </w:tcPr>
                <w:p w14:paraId="7D8DBC24">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490</w:t>
                  </w:r>
                </w:p>
              </w:tc>
            </w:tr>
            <w:tr w14:paraId="0B1D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24D96B5C">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r>
                    <w:rPr>
                      <w:rFonts w:ascii="宋体" w:hAnsi="宋体" w:cs="宋体"/>
                      <w:b/>
                      <w:bCs/>
                      <w:szCs w:val="21"/>
                    </w:rPr>
                    <w:t>非甲烷总烃</w:t>
                  </w:r>
                </w:p>
              </w:tc>
              <w:tc>
                <w:tcPr>
                  <w:tcW w:w="844" w:type="pct"/>
                  <w:gridSpan w:val="5"/>
                  <w:vMerge w:val="restart"/>
                  <w:vAlign w:val="center"/>
                </w:tcPr>
                <w:p w14:paraId="43F87599">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mg/m³</w:t>
                  </w:r>
                </w:p>
              </w:tc>
              <w:tc>
                <w:tcPr>
                  <w:tcW w:w="824" w:type="pct"/>
                  <w:vAlign w:val="center"/>
                </w:tcPr>
                <w:p w14:paraId="2DC44BDF">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2.23</w:t>
                  </w:r>
                </w:p>
              </w:tc>
              <w:tc>
                <w:tcPr>
                  <w:tcW w:w="824" w:type="pct"/>
                  <w:vAlign w:val="center"/>
                </w:tcPr>
                <w:p w14:paraId="5E9F62F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2.25</w:t>
                  </w:r>
                </w:p>
              </w:tc>
              <w:tc>
                <w:tcPr>
                  <w:tcW w:w="824" w:type="pct"/>
                  <w:vAlign w:val="center"/>
                </w:tcPr>
                <w:p w14:paraId="23A42CA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2.18</w:t>
                  </w:r>
                </w:p>
              </w:tc>
              <w:tc>
                <w:tcPr>
                  <w:tcW w:w="826" w:type="pct"/>
                  <w:vAlign w:val="center"/>
                </w:tcPr>
                <w:p w14:paraId="6C516F09">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2.28</w:t>
                  </w:r>
                </w:p>
              </w:tc>
            </w:tr>
            <w:tr w14:paraId="7B01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090A56C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6CAF41C4">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1A7AEE9F">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2.13</w:t>
                  </w:r>
                </w:p>
              </w:tc>
              <w:tc>
                <w:tcPr>
                  <w:tcW w:w="824" w:type="pct"/>
                  <w:vAlign w:val="center"/>
                </w:tcPr>
                <w:p w14:paraId="79210B5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2.13</w:t>
                  </w:r>
                </w:p>
              </w:tc>
              <w:tc>
                <w:tcPr>
                  <w:tcW w:w="824" w:type="pct"/>
                  <w:vAlign w:val="center"/>
                </w:tcPr>
                <w:p w14:paraId="03BC468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2.21</w:t>
                  </w:r>
                </w:p>
              </w:tc>
              <w:tc>
                <w:tcPr>
                  <w:tcW w:w="826" w:type="pct"/>
                  <w:vAlign w:val="center"/>
                </w:tcPr>
                <w:p w14:paraId="68EA2E5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2.42</w:t>
                  </w:r>
                </w:p>
              </w:tc>
            </w:tr>
            <w:tr w14:paraId="6CE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02F195A8">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0906F55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AFFFED9">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2.17</w:t>
                  </w:r>
                </w:p>
              </w:tc>
              <w:tc>
                <w:tcPr>
                  <w:tcW w:w="824" w:type="pct"/>
                  <w:vAlign w:val="center"/>
                </w:tcPr>
                <w:p w14:paraId="79E0CAA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2.15</w:t>
                  </w:r>
                </w:p>
              </w:tc>
              <w:tc>
                <w:tcPr>
                  <w:tcW w:w="824" w:type="pct"/>
                  <w:vAlign w:val="center"/>
                </w:tcPr>
                <w:p w14:paraId="3FCB2EB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2.45</w:t>
                  </w:r>
                </w:p>
              </w:tc>
              <w:tc>
                <w:tcPr>
                  <w:tcW w:w="826" w:type="pct"/>
                  <w:vAlign w:val="center"/>
                </w:tcPr>
                <w:p w14:paraId="70CC691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2.44</w:t>
                  </w:r>
                </w:p>
              </w:tc>
            </w:tr>
            <w:tr w14:paraId="15C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51D4CCA6">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6BBBDF6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21778B14">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2.13</w:t>
                  </w:r>
                </w:p>
              </w:tc>
              <w:tc>
                <w:tcPr>
                  <w:tcW w:w="824" w:type="pct"/>
                  <w:vAlign w:val="center"/>
                </w:tcPr>
                <w:p w14:paraId="021F4B8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2.08</w:t>
                  </w:r>
                </w:p>
              </w:tc>
              <w:tc>
                <w:tcPr>
                  <w:tcW w:w="824" w:type="pct"/>
                  <w:vAlign w:val="center"/>
                </w:tcPr>
                <w:p w14:paraId="05A0EB3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2.11</w:t>
                  </w:r>
                </w:p>
              </w:tc>
              <w:tc>
                <w:tcPr>
                  <w:tcW w:w="826" w:type="pct"/>
                  <w:vAlign w:val="center"/>
                </w:tcPr>
                <w:p w14:paraId="096C2B73">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pacing w:val="-5"/>
                      <w:sz w:val="21"/>
                      <w:szCs w:val="21"/>
                      <w:lang w:val="en-US" w:eastAsia="zh-CN" w:bidi="he-IL"/>
                    </w:rPr>
                    <w:t>2.46</w:t>
                  </w:r>
                </w:p>
              </w:tc>
            </w:tr>
            <w:tr w14:paraId="14AA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3B22E01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r>
                    <w:rPr>
                      <w:rFonts w:hint="eastAsia" w:ascii="宋体" w:hAnsi="宋体" w:cs="宋体"/>
                      <w:b/>
                      <w:bCs/>
                      <w:szCs w:val="21"/>
                      <w:lang w:val="en-US" w:eastAsia="zh-CN"/>
                    </w:rPr>
                    <w:t>二甲苯</w:t>
                  </w:r>
                </w:p>
              </w:tc>
              <w:tc>
                <w:tcPr>
                  <w:tcW w:w="844" w:type="pct"/>
                  <w:gridSpan w:val="5"/>
                  <w:vMerge w:val="restart"/>
                  <w:vAlign w:val="center"/>
                </w:tcPr>
                <w:p w14:paraId="43FAA0ED">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r>
                    <w:rPr>
                      <w:bCs/>
                      <w:szCs w:val="21"/>
                    </w:rPr>
                    <w:t>mg/m³</w:t>
                  </w:r>
                </w:p>
              </w:tc>
              <w:tc>
                <w:tcPr>
                  <w:tcW w:w="824" w:type="pct"/>
                  <w:vAlign w:val="center"/>
                </w:tcPr>
                <w:p w14:paraId="00FC7925">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70C03A22">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19832550">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573B2FE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54E6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67CA2F3B">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5282DA3A">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00FABD37">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2E3987C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701B8C60">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6BE54076">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33B7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3868EE9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2C94F78F">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69E9FC58">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50829C2D">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3DAE4CE1">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62C8281B">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465A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21FE6810">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rFonts w:hint="eastAsia" w:ascii="宋体" w:hAnsi="宋体" w:cs="宋体"/>
                      <w:b/>
                      <w:bCs/>
                      <w:szCs w:val="21"/>
                    </w:rPr>
                  </w:pPr>
                </w:p>
              </w:tc>
              <w:tc>
                <w:tcPr>
                  <w:tcW w:w="844" w:type="pct"/>
                  <w:gridSpan w:val="5"/>
                  <w:vMerge w:val="continue"/>
                  <w:vAlign w:val="center"/>
                </w:tcPr>
                <w:p w14:paraId="37EAE0B1">
                  <w:pPr>
                    <w:keepNext w:val="0"/>
                    <w:keepLines w:val="0"/>
                    <w:pageBreakBefore w:val="0"/>
                    <w:widowControl/>
                    <w:kinsoku/>
                    <w:wordWrap/>
                    <w:overflowPunct/>
                    <w:topLinePunct w:val="0"/>
                    <w:autoSpaceDE/>
                    <w:autoSpaceDN/>
                    <w:bidi w:val="0"/>
                    <w:adjustRightInd/>
                    <w:snapToGrid/>
                    <w:spacing w:beforeAutospacing="0" w:afterAutospacing="0"/>
                    <w:ind w:right="0" w:firstLine="0"/>
                    <w:jc w:val="center"/>
                    <w:textAlignment w:val="auto"/>
                    <w:rPr>
                      <w:bCs/>
                      <w:szCs w:val="21"/>
                    </w:rPr>
                  </w:pPr>
                </w:p>
              </w:tc>
              <w:tc>
                <w:tcPr>
                  <w:tcW w:w="824" w:type="pct"/>
                  <w:vAlign w:val="center"/>
                </w:tcPr>
                <w:p w14:paraId="48BAA697">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3B95C2DA">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4" w:type="pct"/>
                  <w:vAlign w:val="center"/>
                </w:tcPr>
                <w:p w14:paraId="7B60F06C">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c>
                <w:tcPr>
                  <w:tcW w:w="826" w:type="pct"/>
                  <w:vAlign w:val="center"/>
                </w:tcPr>
                <w:p w14:paraId="50F44729">
                  <w:pPr>
                    <w:keepNext w:val="0"/>
                    <w:keepLines w:val="0"/>
                    <w:widowControl/>
                    <w:suppressLineNumbers w:val="0"/>
                    <w:spacing w:before="0" w:beforeAutospacing="0" w:after="0" w:afterAutospacing="0"/>
                    <w:ind w:left="0" w:leftChars="0" w:right="0" w:rightChars="0"/>
                    <w:jc w:val="center"/>
                    <w:rPr>
                      <w:bCs/>
                      <w:szCs w:val="21"/>
                    </w:rPr>
                  </w:pPr>
                  <w:r>
                    <w:rPr>
                      <w:rFonts w:hint="eastAsia" w:ascii="Times New Roman" w:hAnsi="Times New Roman" w:cs="Times New Roman"/>
                      <w:bCs/>
                      <w:sz w:val="21"/>
                      <w:szCs w:val="21"/>
                      <w:lang w:val="en-US" w:eastAsia="zh-CN"/>
                    </w:rPr>
                    <w:t>&lt;1.5x10</w:t>
                  </w:r>
                  <w:r>
                    <w:rPr>
                      <w:rFonts w:hint="eastAsia" w:ascii="Times New Roman" w:hAnsi="Times New Roman" w:cs="Times New Roman"/>
                      <w:bCs/>
                      <w:sz w:val="21"/>
                      <w:szCs w:val="21"/>
                      <w:vertAlign w:val="superscript"/>
                      <w:lang w:val="en-US" w:eastAsia="zh-CN"/>
                    </w:rPr>
                    <w:t>-3</w:t>
                  </w:r>
                </w:p>
              </w:tc>
            </w:tr>
            <w:tr w14:paraId="356B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9" w:type="pct"/>
                  <w:gridSpan w:val="3"/>
                  <w:vAlign w:val="center"/>
                </w:tcPr>
                <w:p w14:paraId="597078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采样日期</w:t>
                  </w:r>
                </w:p>
              </w:tc>
              <w:tc>
                <w:tcPr>
                  <w:tcW w:w="3930" w:type="pct"/>
                  <w:gridSpan w:val="7"/>
                  <w:vAlign w:val="center"/>
                </w:tcPr>
                <w:p w14:paraId="04CFFE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cs="Times New Roman"/>
                      <w:b/>
                      <w:spacing w:val="-5"/>
                      <w:sz w:val="21"/>
                      <w:szCs w:val="21"/>
                      <w:lang w:val="en-US" w:eastAsia="zh-CN" w:bidi="he-IL"/>
                    </w:rPr>
                    <w:t>2024.10.10</w:t>
                  </w:r>
                </w:p>
              </w:tc>
            </w:tr>
            <w:tr w14:paraId="1F69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69" w:type="pct"/>
                  <w:gridSpan w:val="3"/>
                  <w:vMerge w:val="restart"/>
                  <w:vAlign w:val="center"/>
                </w:tcPr>
                <w:p w14:paraId="34B844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监测项目</w:t>
                  </w:r>
                </w:p>
              </w:tc>
              <w:tc>
                <w:tcPr>
                  <w:tcW w:w="539" w:type="pct"/>
                  <w:gridSpan w:val="2"/>
                  <w:vMerge w:val="restart"/>
                  <w:vAlign w:val="center"/>
                </w:tcPr>
                <w:p w14:paraId="4B74FC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单位</w:t>
                  </w:r>
                </w:p>
              </w:tc>
              <w:tc>
                <w:tcPr>
                  <w:tcW w:w="3390" w:type="pct"/>
                  <w:gridSpan w:val="5"/>
                  <w:vAlign w:val="center"/>
                </w:tcPr>
                <w:p w14:paraId="1D60E4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rPr>
                    <w:t>检测结果</w:t>
                  </w:r>
                </w:p>
              </w:tc>
            </w:tr>
            <w:tr w14:paraId="335C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9" w:type="pct"/>
                  <w:gridSpan w:val="3"/>
                  <w:vMerge w:val="continue"/>
                  <w:vAlign w:val="center"/>
                </w:tcPr>
                <w:p w14:paraId="42ABC86C">
                  <w:pPr>
                    <w:keepNext w:val="0"/>
                    <w:keepLines w:val="0"/>
                    <w:widowControl/>
                    <w:suppressLineNumbers w:val="0"/>
                    <w:spacing w:before="0" w:beforeAutospacing="0" w:after="0" w:afterAutospacing="0"/>
                    <w:ind w:left="0" w:right="0"/>
                    <w:jc w:val="center"/>
                    <w:rPr>
                      <w:rFonts w:hint="default" w:eastAsia="宋体" w:cs="Times New Roman"/>
                      <w:b/>
                      <w:sz w:val="20"/>
                      <w:szCs w:val="20"/>
                    </w:rPr>
                  </w:pPr>
                </w:p>
              </w:tc>
              <w:tc>
                <w:tcPr>
                  <w:tcW w:w="539" w:type="pct"/>
                  <w:gridSpan w:val="2"/>
                  <w:vMerge w:val="continue"/>
                  <w:vAlign w:val="center"/>
                </w:tcPr>
                <w:p w14:paraId="560B87A9">
                  <w:pPr>
                    <w:keepNext w:val="0"/>
                    <w:keepLines w:val="0"/>
                    <w:widowControl/>
                    <w:suppressLineNumbers w:val="0"/>
                    <w:spacing w:before="0" w:beforeAutospacing="0" w:after="0" w:afterAutospacing="0"/>
                    <w:ind w:left="0" w:right="0"/>
                    <w:jc w:val="center"/>
                    <w:rPr>
                      <w:rFonts w:hint="default" w:eastAsia="宋体" w:cs="Times New Roman"/>
                      <w:b/>
                      <w:sz w:val="20"/>
                      <w:szCs w:val="20"/>
                    </w:rPr>
                  </w:pPr>
                </w:p>
              </w:tc>
              <w:tc>
                <w:tcPr>
                  <w:tcW w:w="3390" w:type="pct"/>
                  <w:gridSpan w:val="5"/>
                  <w:vAlign w:val="center"/>
                </w:tcPr>
                <w:p w14:paraId="70E77A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车间周边（厂区内）5</w:t>
                  </w:r>
                  <w:r>
                    <w:rPr>
                      <w:rFonts w:hint="eastAsia" w:ascii="宋体" w:hAnsi="宋体" w:eastAsia="宋体" w:cs="宋体"/>
                      <w:b/>
                      <w:bCs/>
                      <w:sz w:val="21"/>
                      <w:szCs w:val="21"/>
                      <w:lang w:val="en-US" w:eastAsia="zh-CN"/>
                    </w:rPr>
                    <w:t>○</w:t>
                  </w:r>
                </w:p>
              </w:tc>
            </w:tr>
            <w:tr w14:paraId="57C0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69" w:type="pct"/>
                  <w:gridSpan w:val="3"/>
                  <w:vMerge w:val="restart"/>
                  <w:vAlign w:val="center"/>
                </w:tcPr>
                <w:p w14:paraId="6EF90E3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spacing w:val="-5"/>
                      <w:sz w:val="21"/>
                      <w:szCs w:val="21"/>
                      <w:lang w:val="en-US" w:eastAsia="zh-CN" w:bidi="he-IL"/>
                    </w:rPr>
                  </w:pPr>
                  <w:r>
                    <w:rPr>
                      <w:rFonts w:hint="default" w:ascii="宋体" w:hAnsi="宋体" w:eastAsia="宋体" w:cs="宋体"/>
                      <w:b/>
                      <w:bCs/>
                      <w:kern w:val="2"/>
                      <w:sz w:val="21"/>
                      <w:szCs w:val="21"/>
                    </w:rPr>
                    <w:t>非甲烷总烃</w:t>
                  </w:r>
                </w:p>
              </w:tc>
              <w:tc>
                <w:tcPr>
                  <w:tcW w:w="539" w:type="pct"/>
                  <w:gridSpan w:val="2"/>
                  <w:vMerge w:val="restart"/>
                  <w:vAlign w:val="center"/>
                </w:tcPr>
                <w:p w14:paraId="682DB5E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r>
                    <w:rPr>
                      <w:rFonts w:hint="default" w:ascii="Times New Roman" w:hAnsi="Times New Roman" w:eastAsia="宋体" w:cs="Times New Roman"/>
                      <w:bCs/>
                      <w:sz w:val="21"/>
                      <w:szCs w:val="21"/>
                    </w:rPr>
                    <w:t>mg/m³</w:t>
                  </w:r>
                </w:p>
              </w:tc>
              <w:tc>
                <w:tcPr>
                  <w:tcW w:w="3390" w:type="pct"/>
                  <w:gridSpan w:val="5"/>
                  <w:vAlign w:val="center"/>
                </w:tcPr>
                <w:p w14:paraId="27B7198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1.85</w:t>
                  </w:r>
                </w:p>
              </w:tc>
            </w:tr>
            <w:tr w14:paraId="57B1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69" w:type="pct"/>
                  <w:gridSpan w:val="3"/>
                  <w:vMerge w:val="continue"/>
                  <w:vAlign w:val="center"/>
                </w:tcPr>
                <w:p w14:paraId="00E16FA1">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539" w:type="pct"/>
                  <w:gridSpan w:val="2"/>
                  <w:vMerge w:val="continue"/>
                  <w:vAlign w:val="center"/>
                </w:tcPr>
                <w:p w14:paraId="0984A6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390" w:type="pct"/>
                  <w:gridSpan w:val="5"/>
                  <w:vAlign w:val="center"/>
                </w:tcPr>
                <w:p w14:paraId="68F8E13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1.79</w:t>
                  </w:r>
                </w:p>
              </w:tc>
            </w:tr>
            <w:tr w14:paraId="3839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69" w:type="pct"/>
                  <w:gridSpan w:val="3"/>
                  <w:vMerge w:val="continue"/>
                  <w:vAlign w:val="center"/>
                </w:tcPr>
                <w:p w14:paraId="1BC1685A">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539" w:type="pct"/>
                  <w:gridSpan w:val="2"/>
                  <w:vMerge w:val="continue"/>
                  <w:vAlign w:val="center"/>
                </w:tcPr>
                <w:p w14:paraId="60E5B9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390" w:type="pct"/>
                  <w:gridSpan w:val="5"/>
                  <w:vAlign w:val="center"/>
                </w:tcPr>
                <w:p w14:paraId="4AA1E8D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1.85</w:t>
                  </w:r>
                </w:p>
              </w:tc>
            </w:tr>
            <w:tr w14:paraId="7E2B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69" w:type="pct"/>
                  <w:gridSpan w:val="3"/>
                  <w:vMerge w:val="continue"/>
                  <w:vAlign w:val="center"/>
                </w:tcPr>
                <w:p w14:paraId="3F6A15DA">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539" w:type="pct"/>
                  <w:gridSpan w:val="2"/>
                  <w:vMerge w:val="continue"/>
                  <w:vAlign w:val="center"/>
                </w:tcPr>
                <w:p w14:paraId="3FD546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390" w:type="pct"/>
                  <w:gridSpan w:val="5"/>
                  <w:vAlign w:val="center"/>
                </w:tcPr>
                <w:p w14:paraId="194128F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2.03</w:t>
                  </w:r>
                </w:p>
              </w:tc>
            </w:tr>
            <w:tr w14:paraId="4426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pct"/>
                  <w:gridSpan w:val="2"/>
                  <w:vAlign w:val="center"/>
                </w:tcPr>
                <w:p w14:paraId="56CFF9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采样日期</w:t>
                  </w:r>
                </w:p>
              </w:tc>
              <w:tc>
                <w:tcPr>
                  <w:tcW w:w="4056" w:type="pct"/>
                  <w:gridSpan w:val="8"/>
                  <w:vAlign w:val="center"/>
                </w:tcPr>
                <w:p w14:paraId="1EDE7A6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cs="Times New Roman"/>
                      <w:b/>
                      <w:spacing w:val="-5"/>
                      <w:sz w:val="21"/>
                      <w:szCs w:val="21"/>
                      <w:lang w:val="en-US" w:eastAsia="zh-CN" w:bidi="he-IL"/>
                    </w:rPr>
                    <w:t>2024.10.11</w:t>
                  </w:r>
                </w:p>
              </w:tc>
            </w:tr>
            <w:tr w14:paraId="38E3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43" w:type="pct"/>
                  <w:gridSpan w:val="2"/>
                  <w:vMerge w:val="restart"/>
                  <w:vAlign w:val="center"/>
                </w:tcPr>
                <w:p w14:paraId="41C0BD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监测项目</w:t>
                  </w:r>
                </w:p>
              </w:tc>
              <w:tc>
                <w:tcPr>
                  <w:tcW w:w="443" w:type="pct"/>
                  <w:gridSpan w:val="2"/>
                  <w:vMerge w:val="restart"/>
                  <w:vAlign w:val="center"/>
                </w:tcPr>
                <w:p w14:paraId="6FDB11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pacing w:val="-5"/>
                      <w:sz w:val="21"/>
                      <w:szCs w:val="21"/>
                      <w:lang w:val="en-US" w:eastAsia="zh-CN" w:bidi="he-IL"/>
                    </w:rPr>
                  </w:pPr>
                  <w:r>
                    <w:rPr>
                      <w:rFonts w:hint="eastAsia" w:ascii="Times New Roman" w:hAnsi="Times New Roman" w:eastAsia="宋体" w:cs="Times New Roman"/>
                      <w:b/>
                      <w:spacing w:val="-5"/>
                      <w:sz w:val="21"/>
                      <w:szCs w:val="21"/>
                      <w:lang w:val="en-US" w:eastAsia="zh-CN" w:bidi="he-IL"/>
                    </w:rPr>
                    <w:t>单位</w:t>
                  </w:r>
                </w:p>
              </w:tc>
              <w:tc>
                <w:tcPr>
                  <w:tcW w:w="3612" w:type="pct"/>
                  <w:gridSpan w:val="6"/>
                  <w:vAlign w:val="center"/>
                </w:tcPr>
                <w:p w14:paraId="3FDBFD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rPr>
                    <w:t>检测结果</w:t>
                  </w:r>
                </w:p>
              </w:tc>
            </w:tr>
            <w:tr w14:paraId="043A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943" w:type="pct"/>
                  <w:gridSpan w:val="2"/>
                  <w:vMerge w:val="continue"/>
                  <w:vAlign w:val="center"/>
                </w:tcPr>
                <w:p w14:paraId="1CCB6A78">
                  <w:pPr>
                    <w:keepNext w:val="0"/>
                    <w:keepLines w:val="0"/>
                    <w:widowControl/>
                    <w:suppressLineNumbers w:val="0"/>
                    <w:spacing w:before="0" w:beforeAutospacing="0" w:after="0" w:afterAutospacing="0"/>
                    <w:ind w:left="0" w:right="0"/>
                    <w:jc w:val="center"/>
                    <w:rPr>
                      <w:rFonts w:hint="default" w:eastAsia="宋体" w:cs="Times New Roman"/>
                      <w:b/>
                      <w:sz w:val="20"/>
                      <w:szCs w:val="20"/>
                    </w:rPr>
                  </w:pPr>
                </w:p>
              </w:tc>
              <w:tc>
                <w:tcPr>
                  <w:tcW w:w="443" w:type="pct"/>
                  <w:gridSpan w:val="2"/>
                  <w:vMerge w:val="continue"/>
                  <w:vAlign w:val="center"/>
                </w:tcPr>
                <w:p w14:paraId="2F29EE42">
                  <w:pPr>
                    <w:keepNext w:val="0"/>
                    <w:keepLines w:val="0"/>
                    <w:widowControl/>
                    <w:suppressLineNumbers w:val="0"/>
                    <w:spacing w:before="0" w:beforeAutospacing="0" w:after="0" w:afterAutospacing="0"/>
                    <w:ind w:left="0" w:right="0"/>
                    <w:jc w:val="center"/>
                    <w:rPr>
                      <w:rFonts w:hint="default" w:eastAsia="宋体" w:cs="Times New Roman"/>
                      <w:b/>
                      <w:sz w:val="20"/>
                      <w:szCs w:val="20"/>
                    </w:rPr>
                  </w:pPr>
                </w:p>
              </w:tc>
              <w:tc>
                <w:tcPr>
                  <w:tcW w:w="3612" w:type="pct"/>
                  <w:gridSpan w:val="6"/>
                  <w:vAlign w:val="center"/>
                </w:tcPr>
                <w:p w14:paraId="45FE1F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车间周边（厂区内）5</w:t>
                  </w:r>
                  <w:r>
                    <w:rPr>
                      <w:rFonts w:hint="eastAsia" w:ascii="宋体" w:hAnsi="宋体" w:eastAsia="宋体" w:cs="宋体"/>
                      <w:b/>
                      <w:bCs/>
                      <w:sz w:val="21"/>
                      <w:szCs w:val="21"/>
                      <w:lang w:val="en-US" w:eastAsia="zh-CN"/>
                    </w:rPr>
                    <w:t>○</w:t>
                  </w:r>
                </w:p>
              </w:tc>
            </w:tr>
            <w:tr w14:paraId="33F9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3" w:type="pct"/>
                  <w:gridSpan w:val="2"/>
                  <w:vMerge w:val="restart"/>
                  <w:vAlign w:val="center"/>
                </w:tcPr>
                <w:p w14:paraId="35C06E7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spacing w:val="-5"/>
                      <w:sz w:val="21"/>
                      <w:szCs w:val="21"/>
                      <w:lang w:val="en-US" w:eastAsia="zh-CN" w:bidi="he-IL"/>
                    </w:rPr>
                  </w:pPr>
                  <w:r>
                    <w:rPr>
                      <w:rFonts w:hint="default" w:ascii="宋体" w:hAnsi="宋体" w:eastAsia="宋体" w:cs="宋体"/>
                      <w:b/>
                      <w:bCs/>
                      <w:kern w:val="2"/>
                      <w:sz w:val="21"/>
                      <w:szCs w:val="21"/>
                    </w:rPr>
                    <w:t>非甲烷总烃</w:t>
                  </w:r>
                </w:p>
              </w:tc>
              <w:tc>
                <w:tcPr>
                  <w:tcW w:w="443" w:type="pct"/>
                  <w:gridSpan w:val="2"/>
                  <w:vMerge w:val="restart"/>
                  <w:vAlign w:val="center"/>
                </w:tcPr>
                <w:p w14:paraId="5A8D5DD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r>
                    <w:rPr>
                      <w:rFonts w:hint="default" w:ascii="Times New Roman" w:hAnsi="Times New Roman" w:eastAsia="宋体" w:cs="Times New Roman"/>
                      <w:bCs/>
                      <w:sz w:val="21"/>
                      <w:szCs w:val="21"/>
                    </w:rPr>
                    <w:t>mg/m³</w:t>
                  </w:r>
                </w:p>
              </w:tc>
              <w:tc>
                <w:tcPr>
                  <w:tcW w:w="3612" w:type="pct"/>
                  <w:gridSpan w:val="6"/>
                  <w:vAlign w:val="center"/>
                </w:tcPr>
                <w:p w14:paraId="21D14A2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3.30</w:t>
                  </w:r>
                </w:p>
              </w:tc>
            </w:tr>
            <w:tr w14:paraId="305B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3" w:type="pct"/>
                  <w:gridSpan w:val="2"/>
                  <w:vMerge w:val="continue"/>
                  <w:vAlign w:val="center"/>
                </w:tcPr>
                <w:p w14:paraId="35B0F9BC">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443" w:type="pct"/>
                  <w:gridSpan w:val="2"/>
                  <w:vMerge w:val="continue"/>
                  <w:vAlign w:val="center"/>
                </w:tcPr>
                <w:p w14:paraId="09BF8C3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612" w:type="pct"/>
                  <w:gridSpan w:val="6"/>
                  <w:vAlign w:val="center"/>
                </w:tcPr>
                <w:p w14:paraId="42981B2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3.43</w:t>
                  </w:r>
                </w:p>
              </w:tc>
            </w:tr>
            <w:tr w14:paraId="56F6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3" w:type="pct"/>
                  <w:gridSpan w:val="2"/>
                  <w:vMerge w:val="continue"/>
                  <w:vAlign w:val="center"/>
                </w:tcPr>
                <w:p w14:paraId="6DFA152F">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443" w:type="pct"/>
                  <w:gridSpan w:val="2"/>
                  <w:vMerge w:val="continue"/>
                  <w:vAlign w:val="center"/>
                </w:tcPr>
                <w:p w14:paraId="232828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612" w:type="pct"/>
                  <w:gridSpan w:val="6"/>
                  <w:vAlign w:val="center"/>
                </w:tcPr>
                <w:p w14:paraId="7DF0C91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3.32</w:t>
                  </w:r>
                </w:p>
              </w:tc>
            </w:tr>
            <w:tr w14:paraId="1A64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3" w:type="pct"/>
                  <w:gridSpan w:val="2"/>
                  <w:vMerge w:val="continue"/>
                  <w:vAlign w:val="center"/>
                </w:tcPr>
                <w:p w14:paraId="300F9EF8">
                  <w:pPr>
                    <w:keepNext w:val="0"/>
                    <w:keepLines w:val="0"/>
                    <w:widowControl w:val="0"/>
                    <w:suppressLineNumbers w:val="0"/>
                    <w:tabs>
                      <w:tab w:val="right" w:pos="8906"/>
                    </w:tabs>
                    <w:spacing w:before="0" w:beforeAutospacing="0" w:after="0" w:afterAutospacing="0"/>
                    <w:ind w:left="0" w:right="0"/>
                    <w:jc w:val="center"/>
                    <w:rPr>
                      <w:rFonts w:hint="eastAsia" w:ascii="Times New Roman" w:hAnsi="Times New Roman" w:eastAsia="宋体" w:cs="Times New Roman"/>
                      <w:b/>
                      <w:sz w:val="21"/>
                      <w:szCs w:val="21"/>
                    </w:rPr>
                  </w:pPr>
                </w:p>
              </w:tc>
              <w:tc>
                <w:tcPr>
                  <w:tcW w:w="443" w:type="pct"/>
                  <w:gridSpan w:val="2"/>
                  <w:vMerge w:val="continue"/>
                  <w:vAlign w:val="center"/>
                </w:tcPr>
                <w:p w14:paraId="6BF6D36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3612" w:type="pct"/>
                  <w:gridSpan w:val="6"/>
                  <w:vAlign w:val="center"/>
                </w:tcPr>
                <w:p w14:paraId="6EFC9BB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spacing w:val="-5"/>
                      <w:sz w:val="21"/>
                      <w:szCs w:val="21"/>
                      <w:lang w:val="en-US" w:eastAsia="zh-CN" w:bidi="he-IL"/>
                    </w:rPr>
                  </w:pPr>
                  <w:r>
                    <w:rPr>
                      <w:rFonts w:hint="eastAsia" w:ascii="Times New Roman" w:hAnsi="Times New Roman" w:cs="Times New Roman"/>
                      <w:bCs/>
                      <w:spacing w:val="-5"/>
                      <w:sz w:val="21"/>
                      <w:szCs w:val="21"/>
                      <w:lang w:val="en-US" w:eastAsia="zh-CN" w:bidi="he-IL"/>
                    </w:rPr>
                    <w:t>3.25</w:t>
                  </w:r>
                </w:p>
              </w:tc>
            </w:tr>
          </w:tbl>
          <w:p w14:paraId="7A6CB830">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firstLine="480" w:firstLineChars="200"/>
              <w:textAlignment w:val="auto"/>
              <w:rPr>
                <w:sz w:val="24"/>
                <w:szCs w:val="21"/>
              </w:rPr>
            </w:pPr>
            <w:r>
              <w:rPr>
                <w:rFonts w:hint="eastAsia"/>
                <w:sz w:val="24"/>
              </w:rPr>
              <w:t>根据表 7-</w:t>
            </w:r>
            <w:r>
              <w:rPr>
                <w:sz w:val="24"/>
              </w:rPr>
              <w:t>6</w:t>
            </w:r>
            <w:r>
              <w:rPr>
                <w:rFonts w:hint="eastAsia"/>
                <w:sz w:val="24"/>
              </w:rPr>
              <w:t xml:space="preserve"> 监测结果可知，验收监测期间厂界颗粒物</w:t>
            </w:r>
            <w:r>
              <w:rPr>
                <w:rFonts w:hint="eastAsia"/>
                <w:sz w:val="24"/>
                <w:lang w:val="en-US" w:eastAsia="zh-CN"/>
              </w:rPr>
              <w:t>浓度最大值为0.49mg/m</w:t>
            </w:r>
            <w:r>
              <w:rPr>
                <w:rFonts w:hint="eastAsia"/>
                <w:sz w:val="24"/>
                <w:vertAlign w:val="superscript"/>
                <w:lang w:val="en-US" w:eastAsia="zh-CN"/>
              </w:rPr>
              <w:t>3</w:t>
            </w:r>
            <w:r>
              <w:rPr>
                <w:rFonts w:hint="eastAsia"/>
                <w:sz w:val="24"/>
                <w:lang w:val="en-US" w:eastAsia="zh-CN"/>
              </w:rPr>
              <w:t>，非甲烷总烃浓度最大值为3.39mg/m</w:t>
            </w:r>
            <w:r>
              <w:rPr>
                <w:rFonts w:hint="eastAsia"/>
                <w:sz w:val="24"/>
                <w:vertAlign w:val="superscript"/>
                <w:lang w:val="en-US" w:eastAsia="zh-CN"/>
              </w:rPr>
              <w:t>3</w:t>
            </w:r>
            <w:r>
              <w:rPr>
                <w:rFonts w:hint="eastAsia"/>
                <w:sz w:val="24"/>
                <w:vertAlign w:val="baseline"/>
                <w:lang w:val="en-US" w:eastAsia="zh-CN"/>
              </w:rPr>
              <w:t>，能够满足</w:t>
            </w:r>
            <w:r>
              <w:rPr>
                <w:rFonts w:hint="eastAsia"/>
                <w:sz w:val="24"/>
              </w:rPr>
              <w:t>《大气污染物综合排放标准》（GB16297-1996)表2新污染源大气污染物排放限值中二级标准的排放限值</w:t>
            </w:r>
            <w:r>
              <w:rPr>
                <w:rFonts w:hint="eastAsia"/>
                <w:sz w:val="24"/>
                <w:lang w:eastAsia="zh-CN"/>
              </w:rPr>
              <w:t>；</w:t>
            </w:r>
            <w:r>
              <w:rPr>
                <w:rFonts w:hint="eastAsia"/>
                <w:sz w:val="24"/>
                <w:lang w:val="en-US" w:eastAsia="zh-CN"/>
              </w:rPr>
              <w:t>厂区内非甲烷总烃浓度最大值为3.43mg/m</w:t>
            </w:r>
            <w:r>
              <w:rPr>
                <w:rFonts w:hint="eastAsia"/>
                <w:sz w:val="24"/>
                <w:vertAlign w:val="superscript"/>
                <w:lang w:val="en-US" w:eastAsia="zh-CN"/>
              </w:rPr>
              <w:t>3</w:t>
            </w:r>
            <w:r>
              <w:rPr>
                <w:rFonts w:hint="eastAsia"/>
                <w:sz w:val="24"/>
                <w:vertAlign w:val="baseline"/>
                <w:lang w:val="en-US" w:eastAsia="zh-CN"/>
              </w:rPr>
              <w:t>，能够满足《固定源挥发性有机物综合排放标准 第6部分：其他行业》（DB34 4812.6-2024)表4 厂区内VOCs无组织排放限值</w:t>
            </w:r>
            <w:r>
              <w:rPr>
                <w:rFonts w:hint="eastAsia"/>
                <w:sz w:val="24"/>
              </w:rPr>
              <w:t>。</w:t>
            </w:r>
          </w:p>
          <w:p w14:paraId="37E3073E">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textAlignment w:val="auto"/>
              <w:rPr>
                <w:sz w:val="24"/>
              </w:rPr>
            </w:pPr>
            <w:r>
              <w:rPr>
                <w:rFonts w:hint="eastAsia"/>
                <w:sz w:val="24"/>
              </w:rPr>
              <w:t>3、噪声</w:t>
            </w:r>
          </w:p>
          <w:p w14:paraId="1B99AE77">
            <w:pPr>
              <w:keepNext w:val="0"/>
              <w:keepLines w:val="0"/>
              <w:pageBreakBefore w:val="0"/>
              <w:widowControl w:val="0"/>
              <w:kinsoku/>
              <w:wordWrap/>
              <w:overflowPunct/>
              <w:topLinePunct w:val="0"/>
              <w:bidi w:val="0"/>
              <w:snapToGrid w:val="0"/>
              <w:spacing w:beforeAutospacing="0" w:afterAutospacing="0" w:line="360" w:lineRule="auto"/>
              <w:ind w:right="0" w:firstLine="482" w:firstLineChars="200"/>
              <w:jc w:val="center"/>
              <w:textAlignment w:val="auto"/>
              <w:rPr>
                <w:b/>
                <w:sz w:val="24"/>
              </w:rPr>
            </w:pPr>
            <w:r>
              <w:rPr>
                <w:rFonts w:hint="eastAsia"/>
                <w:b/>
                <w:sz w:val="24"/>
              </w:rPr>
              <w:t>表7-5厂界噪声监测结果</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2444"/>
              <w:gridCol w:w="1254"/>
              <w:gridCol w:w="1256"/>
              <w:gridCol w:w="1254"/>
              <w:gridCol w:w="1258"/>
            </w:tblGrid>
            <w:tr w14:paraId="00F3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vAlign w:val="center"/>
                </w:tcPr>
                <w:p w14:paraId="71C6D602">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r>
                    <w:rPr>
                      <w:rFonts w:eastAsia="新宋体"/>
                      <w:b/>
                      <w:bCs/>
                      <w:szCs w:val="21"/>
                    </w:rPr>
                    <w:t>测点编号</w:t>
                  </w:r>
                </w:p>
              </w:tc>
              <w:tc>
                <w:tcPr>
                  <w:tcW w:w="1302" w:type="pct"/>
                  <w:vMerge w:val="restart"/>
                  <w:vAlign w:val="center"/>
                </w:tcPr>
                <w:p w14:paraId="740CEF34">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r>
                    <w:rPr>
                      <w:rFonts w:eastAsia="新宋体"/>
                      <w:b/>
                      <w:bCs/>
                      <w:szCs w:val="21"/>
                    </w:rPr>
                    <w:t>测点名称</w:t>
                  </w:r>
                </w:p>
              </w:tc>
              <w:tc>
                <w:tcPr>
                  <w:tcW w:w="2675" w:type="pct"/>
                  <w:gridSpan w:val="4"/>
                  <w:vAlign w:val="center"/>
                </w:tcPr>
                <w:p w14:paraId="2F418E0F">
                  <w:pPr>
                    <w:keepNext w:val="0"/>
                    <w:keepLines w:val="0"/>
                    <w:pageBreakBefore w:val="0"/>
                    <w:widowControl w:val="0"/>
                    <w:kinsoku/>
                    <w:wordWrap/>
                    <w:overflowPunct/>
                    <w:topLinePunct w:val="0"/>
                    <w:autoSpaceDE/>
                    <w:autoSpaceDN/>
                    <w:bidi w:val="0"/>
                    <w:spacing w:beforeAutospacing="0" w:afterAutospacing="0"/>
                    <w:ind w:right="0" w:firstLine="0"/>
                    <w:jc w:val="center"/>
                    <w:rPr>
                      <w:b/>
                      <w:bCs/>
                      <w:szCs w:val="21"/>
                    </w:rPr>
                  </w:pPr>
                  <w:r>
                    <w:rPr>
                      <w:rFonts w:eastAsia="新宋体"/>
                      <w:b/>
                      <w:bCs/>
                      <w:szCs w:val="21"/>
                    </w:rPr>
                    <w:t>测量值Leq</w:t>
                  </w:r>
                </w:p>
              </w:tc>
            </w:tr>
            <w:tr w14:paraId="606D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14:paraId="1F1FC0FD">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p>
              </w:tc>
              <w:tc>
                <w:tcPr>
                  <w:tcW w:w="1302" w:type="pct"/>
                  <w:vMerge w:val="continue"/>
                  <w:vAlign w:val="center"/>
                </w:tcPr>
                <w:p w14:paraId="203B7092">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p>
              </w:tc>
              <w:tc>
                <w:tcPr>
                  <w:tcW w:w="1337" w:type="pct"/>
                  <w:gridSpan w:val="2"/>
                  <w:vAlign w:val="center"/>
                </w:tcPr>
                <w:p w14:paraId="235A5B08">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b/>
                      <w:bCs/>
                      <w:kern w:val="0"/>
                      <w:szCs w:val="21"/>
                    </w:rPr>
                  </w:pPr>
                  <w:r>
                    <w:rPr>
                      <w:rFonts w:hint="eastAsia" w:ascii="Times New Roman" w:hAnsi="Times New Roman" w:cs="Times New Roman"/>
                      <w:b/>
                      <w:spacing w:val="-5"/>
                      <w:sz w:val="21"/>
                      <w:szCs w:val="21"/>
                      <w:lang w:val="en-US" w:eastAsia="zh-CN" w:bidi="he-IL"/>
                    </w:rPr>
                    <w:t>2024.10.10</w:t>
                  </w:r>
                </w:p>
              </w:tc>
              <w:tc>
                <w:tcPr>
                  <w:tcW w:w="1338" w:type="pct"/>
                  <w:gridSpan w:val="2"/>
                  <w:vAlign w:val="center"/>
                </w:tcPr>
                <w:p w14:paraId="5C6316C3">
                  <w:pPr>
                    <w:keepNext w:val="0"/>
                    <w:keepLines w:val="0"/>
                    <w:pageBreakBefore w:val="0"/>
                    <w:widowControl/>
                    <w:kinsoku/>
                    <w:wordWrap/>
                    <w:overflowPunct/>
                    <w:topLinePunct w:val="0"/>
                    <w:autoSpaceDE/>
                    <w:autoSpaceDN/>
                    <w:bidi w:val="0"/>
                    <w:adjustRightInd w:val="0"/>
                    <w:snapToGrid w:val="0"/>
                    <w:spacing w:beforeAutospacing="0" w:afterAutospacing="0"/>
                    <w:ind w:right="0" w:firstLine="0"/>
                    <w:jc w:val="center"/>
                    <w:textAlignment w:val="center"/>
                    <w:rPr>
                      <w:rFonts w:hint="eastAsia" w:eastAsia="宋体"/>
                      <w:b/>
                      <w:bCs/>
                      <w:kern w:val="0"/>
                      <w:szCs w:val="21"/>
                      <w:lang w:eastAsia="zh-CN"/>
                    </w:rPr>
                  </w:pPr>
                  <w:r>
                    <w:rPr>
                      <w:rFonts w:hint="eastAsia" w:cs="宋体"/>
                      <w:b/>
                      <w:color w:val="000000"/>
                      <w:kern w:val="0"/>
                      <w:szCs w:val="21"/>
                      <w:lang w:eastAsia="zh-CN" w:bidi="ar"/>
                    </w:rPr>
                    <w:t>2024.10.11</w:t>
                  </w:r>
                </w:p>
              </w:tc>
            </w:tr>
            <w:tr w14:paraId="5C89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14:paraId="5457D712">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p>
              </w:tc>
              <w:tc>
                <w:tcPr>
                  <w:tcW w:w="1302" w:type="pct"/>
                  <w:vMerge w:val="continue"/>
                  <w:vAlign w:val="center"/>
                </w:tcPr>
                <w:p w14:paraId="48E2B8E9">
                  <w:pPr>
                    <w:keepNext w:val="0"/>
                    <w:keepLines w:val="0"/>
                    <w:pageBreakBefore w:val="0"/>
                    <w:widowControl w:val="0"/>
                    <w:kinsoku/>
                    <w:wordWrap/>
                    <w:overflowPunct/>
                    <w:topLinePunct w:val="0"/>
                    <w:autoSpaceDE/>
                    <w:autoSpaceDN/>
                    <w:bidi w:val="0"/>
                    <w:spacing w:beforeAutospacing="0" w:afterAutospacing="0"/>
                    <w:ind w:right="0" w:firstLine="0"/>
                    <w:jc w:val="center"/>
                    <w:rPr>
                      <w:b/>
                      <w:bCs/>
                      <w:sz w:val="24"/>
                      <w:szCs w:val="22"/>
                    </w:rPr>
                  </w:pPr>
                </w:p>
              </w:tc>
              <w:tc>
                <w:tcPr>
                  <w:tcW w:w="668" w:type="pct"/>
                  <w:vAlign w:val="center"/>
                </w:tcPr>
                <w:p w14:paraId="3CDCA7A6">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b/>
                      <w:bCs/>
                      <w:kern w:val="0"/>
                      <w:szCs w:val="21"/>
                    </w:rPr>
                    <w:t>昼间</w:t>
                  </w:r>
                </w:p>
              </w:tc>
              <w:tc>
                <w:tcPr>
                  <w:tcW w:w="669" w:type="pct"/>
                  <w:vAlign w:val="center"/>
                </w:tcPr>
                <w:p w14:paraId="78185F72">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b/>
                      <w:bCs/>
                      <w:kern w:val="0"/>
                      <w:szCs w:val="21"/>
                    </w:rPr>
                    <w:t>夜间</w:t>
                  </w:r>
                </w:p>
              </w:tc>
              <w:tc>
                <w:tcPr>
                  <w:tcW w:w="668" w:type="pct"/>
                  <w:vAlign w:val="center"/>
                </w:tcPr>
                <w:p w14:paraId="5A1297F1">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b/>
                      <w:bCs/>
                      <w:kern w:val="0"/>
                      <w:szCs w:val="21"/>
                    </w:rPr>
                    <w:t>昼间</w:t>
                  </w:r>
                </w:p>
              </w:tc>
              <w:tc>
                <w:tcPr>
                  <w:tcW w:w="670" w:type="pct"/>
                  <w:vAlign w:val="center"/>
                </w:tcPr>
                <w:p w14:paraId="165BD863">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b/>
                      <w:bCs/>
                      <w:kern w:val="0"/>
                      <w:szCs w:val="21"/>
                    </w:rPr>
                    <w:t>夜间</w:t>
                  </w:r>
                </w:p>
              </w:tc>
            </w:tr>
            <w:tr w14:paraId="551A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Align w:val="center"/>
                </w:tcPr>
                <w:p w14:paraId="10DDA8A5">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1▲</w:t>
                  </w:r>
                </w:p>
              </w:tc>
              <w:tc>
                <w:tcPr>
                  <w:tcW w:w="1302" w:type="pct"/>
                  <w:vAlign w:val="center"/>
                </w:tcPr>
                <w:p w14:paraId="229B87C7">
                  <w:pPr>
                    <w:keepNext w:val="0"/>
                    <w:keepLines w:val="0"/>
                    <w:pageBreakBefore w:val="0"/>
                    <w:widowControl/>
                    <w:kinsoku/>
                    <w:wordWrap/>
                    <w:overflowPunct/>
                    <w:topLinePunct w:val="0"/>
                    <w:autoSpaceDE/>
                    <w:autoSpaceDN/>
                    <w:bidi w:val="0"/>
                    <w:spacing w:beforeAutospacing="0" w:afterAutospacing="0"/>
                    <w:ind w:right="0" w:firstLine="0"/>
                    <w:jc w:val="center"/>
                    <w:rPr>
                      <w:rFonts w:eastAsia="新宋体"/>
                      <w:szCs w:val="21"/>
                    </w:rPr>
                  </w:pPr>
                  <w:r>
                    <w:rPr>
                      <w:rFonts w:hint="eastAsia"/>
                      <w:szCs w:val="21"/>
                    </w:rPr>
                    <w:t>项目区东侧1▲</w:t>
                  </w:r>
                </w:p>
              </w:tc>
              <w:tc>
                <w:tcPr>
                  <w:tcW w:w="1254" w:type="dxa"/>
                  <w:shd w:val="clear" w:color="auto" w:fill="auto"/>
                  <w:vAlign w:val="center"/>
                </w:tcPr>
                <w:p w14:paraId="43B49BDC">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57.8</w:t>
                  </w:r>
                </w:p>
              </w:tc>
              <w:tc>
                <w:tcPr>
                  <w:tcW w:w="1256" w:type="dxa"/>
                  <w:shd w:val="clear" w:color="auto" w:fill="auto"/>
                  <w:vAlign w:val="center"/>
                </w:tcPr>
                <w:p w14:paraId="02CC141A">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50.4</w:t>
                  </w:r>
                </w:p>
              </w:tc>
              <w:tc>
                <w:tcPr>
                  <w:tcW w:w="1254" w:type="dxa"/>
                  <w:vAlign w:val="center"/>
                </w:tcPr>
                <w:p w14:paraId="6A2BE05E">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56.7</w:t>
                  </w:r>
                </w:p>
              </w:tc>
              <w:tc>
                <w:tcPr>
                  <w:tcW w:w="1258" w:type="dxa"/>
                  <w:vAlign w:val="center"/>
                </w:tcPr>
                <w:p w14:paraId="304B5576">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52.0</w:t>
                  </w:r>
                </w:p>
              </w:tc>
            </w:tr>
            <w:tr w14:paraId="4124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Align w:val="center"/>
                </w:tcPr>
                <w:p w14:paraId="6F4DCDD5">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2▲</w:t>
                  </w:r>
                </w:p>
              </w:tc>
              <w:tc>
                <w:tcPr>
                  <w:tcW w:w="1302" w:type="pct"/>
                  <w:vAlign w:val="center"/>
                </w:tcPr>
                <w:p w14:paraId="16DE4EC8">
                  <w:pPr>
                    <w:keepNext w:val="0"/>
                    <w:keepLines w:val="0"/>
                    <w:pageBreakBefore w:val="0"/>
                    <w:widowControl/>
                    <w:kinsoku/>
                    <w:wordWrap/>
                    <w:overflowPunct/>
                    <w:topLinePunct w:val="0"/>
                    <w:autoSpaceDE/>
                    <w:autoSpaceDN/>
                    <w:bidi w:val="0"/>
                    <w:spacing w:beforeAutospacing="0" w:afterAutospacing="0"/>
                    <w:ind w:right="0" w:firstLine="0"/>
                    <w:jc w:val="center"/>
                    <w:rPr>
                      <w:rFonts w:eastAsia="新宋体"/>
                      <w:szCs w:val="21"/>
                    </w:rPr>
                  </w:pPr>
                  <w:r>
                    <w:rPr>
                      <w:rFonts w:hint="eastAsia"/>
                      <w:szCs w:val="21"/>
                    </w:rPr>
                    <w:t>项目区南侧2▲</w:t>
                  </w:r>
                </w:p>
              </w:tc>
              <w:tc>
                <w:tcPr>
                  <w:tcW w:w="1254" w:type="dxa"/>
                  <w:shd w:val="clear" w:color="auto" w:fill="auto"/>
                  <w:vAlign w:val="center"/>
                </w:tcPr>
                <w:p w14:paraId="6980FF6F">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54.8</w:t>
                  </w:r>
                </w:p>
              </w:tc>
              <w:tc>
                <w:tcPr>
                  <w:tcW w:w="1256" w:type="dxa"/>
                  <w:shd w:val="clear" w:color="auto" w:fill="auto"/>
                  <w:vAlign w:val="center"/>
                </w:tcPr>
                <w:p w14:paraId="14D428AF">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51.1</w:t>
                  </w:r>
                </w:p>
              </w:tc>
              <w:tc>
                <w:tcPr>
                  <w:tcW w:w="1254" w:type="dxa"/>
                  <w:vAlign w:val="center"/>
                </w:tcPr>
                <w:p w14:paraId="2A296F82">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62.6</w:t>
                  </w:r>
                </w:p>
              </w:tc>
              <w:tc>
                <w:tcPr>
                  <w:tcW w:w="1258" w:type="dxa"/>
                  <w:vAlign w:val="center"/>
                </w:tcPr>
                <w:p w14:paraId="12A78EF8">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47.3</w:t>
                  </w:r>
                </w:p>
              </w:tc>
            </w:tr>
            <w:tr w14:paraId="3AA2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Align w:val="center"/>
                </w:tcPr>
                <w:p w14:paraId="2E167DDA">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3▲</w:t>
                  </w:r>
                </w:p>
              </w:tc>
              <w:tc>
                <w:tcPr>
                  <w:tcW w:w="1302" w:type="pct"/>
                  <w:vAlign w:val="center"/>
                </w:tcPr>
                <w:p w14:paraId="2FE6D802">
                  <w:pPr>
                    <w:keepNext w:val="0"/>
                    <w:keepLines w:val="0"/>
                    <w:pageBreakBefore w:val="0"/>
                    <w:widowControl/>
                    <w:kinsoku/>
                    <w:wordWrap/>
                    <w:overflowPunct/>
                    <w:topLinePunct w:val="0"/>
                    <w:autoSpaceDE/>
                    <w:autoSpaceDN/>
                    <w:bidi w:val="0"/>
                    <w:spacing w:beforeAutospacing="0" w:afterAutospacing="0"/>
                    <w:ind w:right="0" w:firstLine="0"/>
                    <w:jc w:val="center"/>
                    <w:rPr>
                      <w:rFonts w:eastAsia="新宋体"/>
                      <w:szCs w:val="21"/>
                    </w:rPr>
                  </w:pPr>
                  <w:r>
                    <w:rPr>
                      <w:rFonts w:hint="eastAsia"/>
                      <w:szCs w:val="21"/>
                    </w:rPr>
                    <w:t>项目区西侧3▲</w:t>
                  </w:r>
                </w:p>
              </w:tc>
              <w:tc>
                <w:tcPr>
                  <w:tcW w:w="1254" w:type="dxa"/>
                  <w:shd w:val="clear" w:color="auto" w:fill="auto"/>
                  <w:vAlign w:val="center"/>
                </w:tcPr>
                <w:p w14:paraId="45F986F7">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58.4</w:t>
                  </w:r>
                </w:p>
              </w:tc>
              <w:tc>
                <w:tcPr>
                  <w:tcW w:w="1256" w:type="dxa"/>
                  <w:shd w:val="clear" w:color="auto" w:fill="auto"/>
                  <w:vAlign w:val="center"/>
                </w:tcPr>
                <w:p w14:paraId="10BB7B17">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51.5</w:t>
                  </w:r>
                </w:p>
              </w:tc>
              <w:tc>
                <w:tcPr>
                  <w:tcW w:w="1254" w:type="dxa"/>
                  <w:vAlign w:val="center"/>
                </w:tcPr>
                <w:p w14:paraId="036DCE2B">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57.9</w:t>
                  </w:r>
                </w:p>
              </w:tc>
              <w:tc>
                <w:tcPr>
                  <w:tcW w:w="1258" w:type="dxa"/>
                  <w:vAlign w:val="center"/>
                </w:tcPr>
                <w:p w14:paraId="268AEC90">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50.9</w:t>
                  </w:r>
                </w:p>
              </w:tc>
            </w:tr>
            <w:tr w14:paraId="58DC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Align w:val="center"/>
                </w:tcPr>
                <w:p w14:paraId="779FE9B6">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4▲</w:t>
                  </w:r>
                </w:p>
              </w:tc>
              <w:tc>
                <w:tcPr>
                  <w:tcW w:w="1302" w:type="pct"/>
                  <w:vAlign w:val="center"/>
                </w:tcPr>
                <w:p w14:paraId="4CD5E3C0">
                  <w:pPr>
                    <w:keepNext w:val="0"/>
                    <w:keepLines w:val="0"/>
                    <w:pageBreakBefore w:val="0"/>
                    <w:widowControl/>
                    <w:kinsoku/>
                    <w:wordWrap/>
                    <w:overflowPunct/>
                    <w:topLinePunct w:val="0"/>
                    <w:autoSpaceDE/>
                    <w:autoSpaceDN/>
                    <w:bidi w:val="0"/>
                    <w:spacing w:beforeAutospacing="0" w:afterAutospacing="0"/>
                    <w:ind w:right="0" w:firstLine="0"/>
                    <w:jc w:val="center"/>
                    <w:rPr>
                      <w:rFonts w:eastAsia="新宋体"/>
                      <w:szCs w:val="21"/>
                    </w:rPr>
                  </w:pPr>
                  <w:r>
                    <w:rPr>
                      <w:rFonts w:hint="eastAsia"/>
                      <w:szCs w:val="21"/>
                    </w:rPr>
                    <w:t>项目区北侧4▲</w:t>
                  </w:r>
                </w:p>
              </w:tc>
              <w:tc>
                <w:tcPr>
                  <w:tcW w:w="1254" w:type="dxa"/>
                  <w:shd w:val="clear" w:color="auto" w:fill="auto"/>
                  <w:vAlign w:val="center"/>
                </w:tcPr>
                <w:p w14:paraId="448F27AC">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61.0</w:t>
                  </w:r>
                </w:p>
              </w:tc>
              <w:tc>
                <w:tcPr>
                  <w:tcW w:w="1256" w:type="dxa"/>
                  <w:shd w:val="clear" w:color="auto" w:fill="auto"/>
                  <w:vAlign w:val="center"/>
                </w:tcPr>
                <w:p w14:paraId="42F1D30B">
                  <w:pPr>
                    <w:keepNext w:val="0"/>
                    <w:keepLines w:val="0"/>
                    <w:widowControl/>
                    <w:suppressLineNumbers w:val="0"/>
                    <w:spacing w:before="0" w:beforeAutospacing="0" w:after="0" w:afterAutospacing="0" w:line="240" w:lineRule="auto"/>
                    <w:ind w:left="0" w:leftChars="0" w:right="0" w:rightChars="0"/>
                    <w:jc w:val="center"/>
                    <w:rPr>
                      <w:bCs/>
                      <w:szCs w:val="21"/>
                    </w:rPr>
                  </w:pPr>
                  <w:r>
                    <w:rPr>
                      <w:rFonts w:hint="eastAsia" w:ascii="Times New Roman" w:hAnsi="Times New Roman" w:cs="Times New Roman"/>
                      <w:bCs/>
                      <w:sz w:val="21"/>
                      <w:szCs w:val="21"/>
                      <w:lang w:val="en-US" w:eastAsia="zh-CN"/>
                    </w:rPr>
                    <w:t>50.3</w:t>
                  </w:r>
                </w:p>
              </w:tc>
              <w:tc>
                <w:tcPr>
                  <w:tcW w:w="1254" w:type="dxa"/>
                  <w:vAlign w:val="center"/>
                </w:tcPr>
                <w:p w14:paraId="523A1381">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61.0</w:t>
                  </w:r>
                </w:p>
              </w:tc>
              <w:tc>
                <w:tcPr>
                  <w:tcW w:w="1258" w:type="dxa"/>
                  <w:vAlign w:val="center"/>
                </w:tcPr>
                <w:p w14:paraId="190B12C8">
                  <w:pPr>
                    <w:keepNext w:val="0"/>
                    <w:keepLines w:val="0"/>
                    <w:widowControl/>
                    <w:suppressLineNumbers w:val="0"/>
                    <w:spacing w:before="0" w:beforeAutospacing="0" w:after="0" w:afterAutospacing="0" w:line="240" w:lineRule="auto"/>
                    <w:ind w:left="0" w:leftChars="0" w:right="0" w:rightChars="0"/>
                    <w:jc w:val="center"/>
                    <w:rPr>
                      <w:szCs w:val="21"/>
                    </w:rPr>
                  </w:pPr>
                  <w:r>
                    <w:rPr>
                      <w:rFonts w:hint="eastAsia" w:ascii="Times New Roman" w:hAnsi="Times New Roman" w:cs="Times New Roman"/>
                      <w:sz w:val="21"/>
                      <w:szCs w:val="21"/>
                      <w:lang w:val="en-US" w:eastAsia="zh-CN"/>
                    </w:rPr>
                    <w:t>50.5</w:t>
                  </w:r>
                </w:p>
              </w:tc>
            </w:tr>
            <w:tr w14:paraId="1806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Align w:val="center"/>
                </w:tcPr>
                <w:p w14:paraId="17205978">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排放限值</w:t>
                  </w:r>
                </w:p>
              </w:tc>
              <w:tc>
                <w:tcPr>
                  <w:tcW w:w="1302" w:type="pct"/>
                  <w:vAlign w:val="center"/>
                </w:tcPr>
                <w:p w14:paraId="4F151035">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厂界外1米处</w:t>
                  </w:r>
                </w:p>
              </w:tc>
              <w:tc>
                <w:tcPr>
                  <w:tcW w:w="668" w:type="pct"/>
                  <w:vAlign w:val="center"/>
                </w:tcPr>
                <w:p w14:paraId="761BA342">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eastAsia="新宋体"/>
                      <w:szCs w:val="21"/>
                      <w:lang w:val="en-US" w:eastAsia="zh-CN"/>
                    </w:rPr>
                  </w:pPr>
                  <w:r>
                    <w:rPr>
                      <w:rFonts w:hint="eastAsia" w:eastAsia="新宋体"/>
                      <w:szCs w:val="21"/>
                      <w:lang w:val="en-US" w:eastAsia="zh-CN"/>
                    </w:rPr>
                    <w:t>65</w:t>
                  </w:r>
                </w:p>
              </w:tc>
              <w:tc>
                <w:tcPr>
                  <w:tcW w:w="669" w:type="pct"/>
                  <w:vAlign w:val="center"/>
                </w:tcPr>
                <w:p w14:paraId="1D530B4C">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eastAsia="新宋体"/>
                      <w:szCs w:val="21"/>
                      <w:lang w:val="en-US" w:eastAsia="zh-CN"/>
                    </w:rPr>
                  </w:pPr>
                  <w:r>
                    <w:rPr>
                      <w:rFonts w:hint="eastAsia" w:eastAsia="新宋体"/>
                      <w:szCs w:val="21"/>
                      <w:lang w:val="en-US" w:eastAsia="zh-CN"/>
                    </w:rPr>
                    <w:t>55</w:t>
                  </w:r>
                </w:p>
              </w:tc>
              <w:tc>
                <w:tcPr>
                  <w:tcW w:w="668" w:type="pct"/>
                  <w:vAlign w:val="center"/>
                </w:tcPr>
                <w:p w14:paraId="15E520E1">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eastAsia="新宋体"/>
                      <w:szCs w:val="21"/>
                      <w:lang w:val="en-US" w:eastAsia="zh-CN"/>
                    </w:rPr>
                  </w:pPr>
                  <w:r>
                    <w:rPr>
                      <w:rFonts w:hint="eastAsia" w:eastAsia="新宋体"/>
                      <w:szCs w:val="21"/>
                      <w:lang w:val="en-US" w:eastAsia="zh-CN"/>
                    </w:rPr>
                    <w:t>65</w:t>
                  </w:r>
                </w:p>
              </w:tc>
              <w:tc>
                <w:tcPr>
                  <w:tcW w:w="670" w:type="pct"/>
                  <w:vAlign w:val="center"/>
                </w:tcPr>
                <w:p w14:paraId="122B090B">
                  <w:pPr>
                    <w:keepNext w:val="0"/>
                    <w:keepLines w:val="0"/>
                    <w:pageBreakBefore w:val="0"/>
                    <w:widowControl/>
                    <w:kinsoku/>
                    <w:wordWrap/>
                    <w:overflowPunct/>
                    <w:topLinePunct w:val="0"/>
                    <w:autoSpaceDE/>
                    <w:autoSpaceDN/>
                    <w:bidi w:val="0"/>
                    <w:spacing w:beforeAutospacing="0" w:afterAutospacing="0"/>
                    <w:ind w:right="0" w:firstLine="0"/>
                    <w:jc w:val="center"/>
                    <w:rPr>
                      <w:rFonts w:hint="default" w:eastAsia="新宋体"/>
                      <w:szCs w:val="21"/>
                      <w:lang w:val="en-US" w:eastAsia="zh-CN"/>
                    </w:rPr>
                  </w:pPr>
                  <w:r>
                    <w:rPr>
                      <w:rFonts w:hint="eastAsia" w:eastAsia="新宋体"/>
                      <w:szCs w:val="21"/>
                      <w:lang w:val="en-US" w:eastAsia="zh-CN"/>
                    </w:rPr>
                    <w:t>55</w:t>
                  </w:r>
                </w:p>
              </w:tc>
            </w:tr>
            <w:tr w14:paraId="2E3E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4" w:type="pct"/>
                  <w:gridSpan w:val="2"/>
                  <w:vAlign w:val="center"/>
                </w:tcPr>
                <w:p w14:paraId="53F6F73A">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是否达标</w:t>
                  </w:r>
                </w:p>
              </w:tc>
              <w:tc>
                <w:tcPr>
                  <w:tcW w:w="1337" w:type="pct"/>
                  <w:gridSpan w:val="2"/>
                  <w:vAlign w:val="center"/>
                </w:tcPr>
                <w:p w14:paraId="447755CB">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达标</w:t>
                  </w:r>
                </w:p>
              </w:tc>
              <w:tc>
                <w:tcPr>
                  <w:tcW w:w="1338" w:type="pct"/>
                  <w:gridSpan w:val="2"/>
                  <w:vAlign w:val="center"/>
                </w:tcPr>
                <w:p w14:paraId="312331E7">
                  <w:pPr>
                    <w:keepNext w:val="0"/>
                    <w:keepLines w:val="0"/>
                    <w:pageBreakBefore w:val="0"/>
                    <w:widowControl w:val="0"/>
                    <w:kinsoku/>
                    <w:wordWrap/>
                    <w:overflowPunct/>
                    <w:topLinePunct w:val="0"/>
                    <w:autoSpaceDE/>
                    <w:autoSpaceDN/>
                    <w:bidi w:val="0"/>
                    <w:spacing w:beforeAutospacing="0" w:afterAutospacing="0"/>
                    <w:ind w:right="0" w:firstLine="0"/>
                    <w:jc w:val="center"/>
                    <w:rPr>
                      <w:rFonts w:eastAsia="新宋体"/>
                      <w:szCs w:val="21"/>
                    </w:rPr>
                  </w:pPr>
                  <w:r>
                    <w:rPr>
                      <w:rFonts w:eastAsia="新宋体"/>
                      <w:szCs w:val="21"/>
                    </w:rPr>
                    <w:t>达标</w:t>
                  </w:r>
                </w:p>
              </w:tc>
            </w:tr>
          </w:tbl>
          <w:p w14:paraId="215D0C24">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sz w:val="24"/>
              </w:rPr>
            </w:pPr>
            <w:r>
              <w:rPr>
                <w:rFonts w:hint="eastAsia"/>
                <w:sz w:val="24"/>
              </w:rPr>
              <w:t>根据表 7-7 监测结果，验收监测期间厂区厂界东侧、厂界南侧、厂界西侧、厂界北侧4个监测点位厂界噪声昼夜噪声监测结果均符合《工业企业厂界环境噪声排放标准》GB12348-2008中</w:t>
            </w:r>
            <w:r>
              <w:rPr>
                <w:sz w:val="24"/>
              </w:rPr>
              <w:t>3</w:t>
            </w:r>
            <w:r>
              <w:rPr>
                <w:rFonts w:hint="eastAsia"/>
                <w:sz w:val="24"/>
              </w:rPr>
              <w:t>类区标准。</w:t>
            </w:r>
          </w:p>
        </w:tc>
      </w:tr>
    </w:tbl>
    <w:p w14:paraId="792C31E0">
      <w:pPr>
        <w:spacing w:line="20" w:lineRule="exact"/>
        <w:ind w:right="-172" w:firstLine="420"/>
      </w:pPr>
    </w:p>
    <w:p w14:paraId="31C07A25">
      <w:pPr>
        <w:ind w:right="-172" w:firstLine="420"/>
        <w:sectPr>
          <w:pgSz w:w="12240" w:h="15840"/>
          <w:pgMar w:top="1418" w:right="1418" w:bottom="1418" w:left="1418" w:header="720" w:footer="720" w:gutter="0"/>
          <w:cols w:space="720" w:num="1"/>
          <w:docGrid w:type="lines" w:linePitch="312" w:charSpace="0"/>
        </w:sectPr>
      </w:pPr>
    </w:p>
    <w:p w14:paraId="34C7044B">
      <w:pPr>
        <w:pStyle w:val="4"/>
        <w:ind w:right="-172" w:firstLine="562"/>
        <w:rPr>
          <w:sz w:val="28"/>
          <w:szCs w:val="13"/>
        </w:rPr>
      </w:pPr>
      <w:bookmarkStart w:id="16" w:name="_Toc3067"/>
      <w:r>
        <w:rPr>
          <w:rFonts w:hint="eastAsia"/>
          <w:sz w:val="28"/>
          <w:szCs w:val="13"/>
        </w:rPr>
        <w:t>表八</w:t>
      </w:r>
      <w:bookmarkEnd w:id="16"/>
    </w:p>
    <w:tbl>
      <w:tblPr>
        <w:tblStyle w:val="26"/>
        <w:tblpPr w:leftFromText="180" w:rightFromText="180" w:vertAnchor="text" w:tblpXSpec="center" w:tblpY="1"/>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432E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14:paraId="51FC80F8">
            <w:pPr>
              <w:keepNext w:val="0"/>
              <w:keepLines w:val="0"/>
              <w:pageBreakBefore w:val="0"/>
              <w:widowControl w:val="0"/>
              <w:kinsoku/>
              <w:wordWrap/>
              <w:overflowPunct/>
              <w:topLinePunct w:val="0"/>
              <w:bidi w:val="0"/>
              <w:snapToGrid w:val="0"/>
              <w:spacing w:line="360" w:lineRule="auto"/>
              <w:ind w:right="0" w:firstLine="482"/>
              <w:textAlignment w:val="auto"/>
              <w:rPr>
                <w:b/>
                <w:sz w:val="24"/>
                <w:szCs w:val="24"/>
              </w:rPr>
            </w:pPr>
            <w:r>
              <w:rPr>
                <w:rFonts w:hint="eastAsia"/>
                <w:b/>
                <w:sz w:val="24"/>
                <w:szCs w:val="24"/>
              </w:rPr>
              <w:t>验收监测结论：</w:t>
            </w:r>
          </w:p>
          <w:p w14:paraId="5EEC8E1F">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szCs w:val="24"/>
              </w:rPr>
            </w:pPr>
            <w:r>
              <w:rPr>
                <w:rFonts w:hint="eastAsia"/>
                <w:sz w:val="24"/>
                <w:szCs w:val="24"/>
              </w:rPr>
              <w:t>宣城</w:t>
            </w:r>
            <w:r>
              <w:rPr>
                <w:sz w:val="24"/>
                <w:szCs w:val="24"/>
              </w:rPr>
              <w:t>顺诚达环境检测有限公司于</w:t>
            </w:r>
            <w:r>
              <w:rPr>
                <w:rFonts w:hint="eastAsia"/>
                <w:sz w:val="24"/>
                <w:szCs w:val="24"/>
              </w:rPr>
              <w:t>2024</w:t>
            </w:r>
            <w:r>
              <w:rPr>
                <w:sz w:val="24"/>
                <w:szCs w:val="24"/>
              </w:rPr>
              <w:t>年</w:t>
            </w:r>
            <w:r>
              <w:rPr>
                <w:rFonts w:hint="eastAsia"/>
                <w:sz w:val="24"/>
                <w:szCs w:val="24"/>
                <w:lang w:val="en-US" w:eastAsia="zh-CN"/>
              </w:rPr>
              <w:t>10</w:t>
            </w:r>
            <w:r>
              <w:rPr>
                <w:sz w:val="24"/>
                <w:szCs w:val="24"/>
              </w:rPr>
              <w:t>月</w:t>
            </w:r>
            <w:r>
              <w:rPr>
                <w:rFonts w:hint="eastAsia"/>
                <w:sz w:val="24"/>
                <w:szCs w:val="24"/>
                <w:lang w:val="en-US" w:eastAsia="zh-CN"/>
              </w:rPr>
              <w:t>10</w:t>
            </w:r>
            <w:r>
              <w:rPr>
                <w:sz w:val="24"/>
                <w:szCs w:val="24"/>
              </w:rPr>
              <w:t>～</w:t>
            </w:r>
            <w:r>
              <w:rPr>
                <w:rFonts w:hint="eastAsia"/>
                <w:sz w:val="24"/>
                <w:szCs w:val="24"/>
                <w:lang w:val="en-US" w:eastAsia="zh-CN"/>
              </w:rPr>
              <w:t>11</w:t>
            </w:r>
            <w:r>
              <w:rPr>
                <w:sz w:val="24"/>
                <w:szCs w:val="24"/>
              </w:rPr>
              <w:t>日对</w:t>
            </w:r>
            <w:r>
              <w:rPr>
                <w:rFonts w:hint="eastAsia"/>
                <w:sz w:val="24"/>
                <w:szCs w:val="24"/>
              </w:rPr>
              <w:t>宣城兴旺达精密科技有限公司年产400万件新能源汽车电池零部件项目</w:t>
            </w:r>
            <w:r>
              <w:rPr>
                <w:sz w:val="24"/>
                <w:szCs w:val="24"/>
              </w:rPr>
              <w:t>进行环保验收监测</w:t>
            </w:r>
            <w:r>
              <w:rPr>
                <w:rFonts w:hint="eastAsia"/>
                <w:sz w:val="24"/>
                <w:szCs w:val="24"/>
              </w:rPr>
              <w:t>，</w:t>
            </w:r>
            <w:r>
              <w:rPr>
                <w:sz w:val="24"/>
                <w:szCs w:val="24"/>
              </w:rPr>
              <w:t>监测期间对企业现场核查</w:t>
            </w:r>
            <w:r>
              <w:rPr>
                <w:rFonts w:hint="eastAsia"/>
                <w:sz w:val="24"/>
                <w:szCs w:val="24"/>
              </w:rPr>
              <w:t>。</w:t>
            </w:r>
          </w:p>
          <w:p w14:paraId="341527E9">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szCs w:val="24"/>
              </w:rPr>
            </w:pPr>
            <w:r>
              <w:rPr>
                <w:sz w:val="24"/>
                <w:szCs w:val="24"/>
              </w:rPr>
              <w:t>核查结果满足环保验收监测的要求，企业各项污染治理设施运行正常，工况基本稳定。通过对该项目废气监测、废水监测、厂界噪声监测和环境管理检查得出结论如下：</w:t>
            </w:r>
          </w:p>
          <w:p w14:paraId="2AA8D7A8">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1废水监测结论</w:t>
            </w:r>
          </w:p>
          <w:p w14:paraId="2A6622D9">
            <w:pPr>
              <w:keepNext w:val="0"/>
              <w:keepLines w:val="0"/>
              <w:pageBreakBefore w:val="0"/>
              <w:widowControl w:val="0"/>
              <w:kinsoku/>
              <w:wordWrap/>
              <w:overflowPunct/>
              <w:topLinePunct w:val="0"/>
              <w:bidi w:val="0"/>
              <w:snapToGrid w:val="0"/>
              <w:spacing w:line="360" w:lineRule="auto"/>
              <w:ind w:right="0" w:firstLine="480" w:firstLineChars="200"/>
              <w:textAlignment w:val="auto"/>
              <w:rPr>
                <w:rFonts w:cs="宋体"/>
                <w:bCs/>
                <w:color w:val="000000" w:themeColor="text1"/>
                <w:kern w:val="0"/>
                <w:sz w:val="24"/>
                <w:szCs w:val="24"/>
                <w:lang w:val="zh-CN" w:bidi="zh-CN"/>
                <w14:textFill>
                  <w14:solidFill>
                    <w14:schemeClr w14:val="tx1"/>
                  </w14:solidFill>
                </w14:textFill>
              </w:rPr>
            </w:pPr>
            <w:r>
              <w:rPr>
                <w:rFonts w:hint="eastAsia" w:cs="宋体"/>
                <w:bCs/>
                <w:color w:val="000000" w:themeColor="text1"/>
                <w:kern w:val="0"/>
                <w:sz w:val="24"/>
                <w:szCs w:val="24"/>
                <w:lang w:val="zh-CN" w:bidi="zh-CN"/>
                <w14:textFill>
                  <w14:solidFill>
                    <w14:schemeClr w14:val="tx1"/>
                  </w14:solidFill>
                </w14:textFill>
              </w:rPr>
              <w:t>项目生产废水</w:t>
            </w:r>
            <w:r>
              <w:rPr>
                <w:rFonts w:hint="eastAsia" w:cs="宋体"/>
                <w:bCs/>
                <w:color w:val="000000" w:themeColor="text1"/>
                <w:kern w:val="0"/>
                <w:sz w:val="24"/>
                <w:szCs w:val="24"/>
                <w:lang w:val="en-US" w:bidi="zh-CN"/>
                <w14:textFill>
                  <w14:solidFill>
                    <w14:schemeClr w14:val="tx1"/>
                  </w14:solidFill>
                </w14:textFill>
              </w:rPr>
              <w:t>不对外排放</w:t>
            </w:r>
            <w:r>
              <w:rPr>
                <w:rFonts w:hint="eastAsia" w:cs="宋体"/>
                <w:bCs/>
                <w:color w:val="000000" w:themeColor="text1"/>
                <w:kern w:val="0"/>
                <w:sz w:val="24"/>
                <w:szCs w:val="24"/>
                <w:lang w:val="zh-CN" w:bidi="zh-CN"/>
                <w14:textFill>
                  <w14:solidFill>
                    <w14:schemeClr w14:val="tx1"/>
                  </w14:solidFill>
                </w14:textFill>
              </w:rPr>
              <w:t>。</w:t>
            </w:r>
          </w:p>
          <w:p w14:paraId="2B539801">
            <w:pPr>
              <w:pStyle w:val="24"/>
              <w:keepNext w:val="0"/>
              <w:keepLines w:val="0"/>
              <w:pageBreakBefore w:val="0"/>
              <w:widowControl/>
              <w:kinsoku/>
              <w:wordWrap/>
              <w:overflowPunct/>
              <w:topLinePunct w:val="0"/>
              <w:bidi w:val="0"/>
              <w:spacing w:after="0" w:line="360" w:lineRule="auto"/>
              <w:ind w:left="0" w:leftChars="0" w:right="0" w:firstLine="482"/>
              <w:textAlignment w:val="auto"/>
              <w:rPr>
                <w:b/>
              </w:rPr>
            </w:pPr>
            <w:r>
              <w:rPr>
                <w:rFonts w:hint="eastAsia" w:cs="宋体"/>
                <w:b/>
                <w:kern w:val="0"/>
                <w:sz w:val="24"/>
                <w:szCs w:val="24"/>
                <w:lang w:bidi="zh-CN"/>
              </w:rPr>
              <w:t>2废气监测结论</w:t>
            </w:r>
          </w:p>
          <w:p w14:paraId="40FB288B">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2.1有组织废气</w:t>
            </w:r>
          </w:p>
          <w:p w14:paraId="43B58B7F">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color w:val="000000" w:themeColor="text1"/>
                <w:sz w:val="24"/>
                <w14:textFill>
                  <w14:solidFill>
                    <w14:schemeClr w14:val="tx1"/>
                  </w14:solidFill>
                </w14:textFill>
              </w:rPr>
            </w:pPr>
            <w:r>
              <w:rPr>
                <w:rFonts w:hint="eastAsia"/>
                <w:sz w:val="24"/>
              </w:rPr>
              <w:t>DA00</w:t>
            </w:r>
            <w:r>
              <w:rPr>
                <w:rFonts w:hint="eastAsia" w:ascii="Times New Roman" w:eastAsia="宋体"/>
                <w:sz w:val="24"/>
                <w:lang w:val="en-US" w:eastAsia="zh-CN"/>
              </w:rPr>
              <w:t>1：</w:t>
            </w:r>
            <w:r>
              <w:rPr>
                <w:rFonts w:hint="eastAsia"/>
                <w:sz w:val="24"/>
              </w:rPr>
              <w:t>焊接烟尘、砂修废气、抛丸废气排气筒中颗粒物</w:t>
            </w:r>
            <w:r>
              <w:rPr>
                <w:rFonts w:hint="eastAsia"/>
                <w:sz w:val="24"/>
                <w:lang w:val="en-US" w:eastAsia="zh-CN"/>
              </w:rPr>
              <w:t>由布袋除尘器处理后排出，阶段性验收期间</w:t>
            </w:r>
            <w:r>
              <w:rPr>
                <w:rFonts w:hint="eastAsia" w:ascii="Times New Roman" w:eastAsia="宋体"/>
                <w:sz w:val="24"/>
                <w:lang w:val="en-US" w:eastAsia="zh-CN"/>
              </w:rPr>
              <w:t>平均</w:t>
            </w:r>
            <w:r>
              <w:rPr>
                <w:rFonts w:hint="eastAsia"/>
                <w:sz w:val="24"/>
              </w:rPr>
              <w:t>排放浓度：</w:t>
            </w:r>
            <w:r>
              <w:rPr>
                <w:rFonts w:hint="eastAsia" w:ascii="Times New Roman" w:eastAsia="宋体"/>
                <w:color w:val="000000" w:themeColor="text1"/>
                <w:sz w:val="24"/>
                <w:lang w:val="en-US" w:eastAsia="zh-CN"/>
                <w14:textFill>
                  <w14:solidFill>
                    <w14:schemeClr w14:val="tx1"/>
                  </w14:solidFill>
                </w14:textFill>
              </w:rPr>
              <w:t>4.816</w:t>
            </w:r>
            <w:r>
              <w:rPr>
                <w:rFonts w:hint="eastAsia"/>
                <w:bCs/>
                <w:color w:val="000000" w:themeColor="text1"/>
                <w:sz w:val="24"/>
                <w:szCs w:val="24"/>
                <w14:textFill>
                  <w14:solidFill>
                    <w14:schemeClr w14:val="tx1"/>
                  </w14:solidFill>
                </w14:textFill>
              </w:rPr>
              <w:t>mg/m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（排放标准限值：120mg/m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），满足《大气污染物综合排放标准》（GB16297-1996)表2新污染源大气污染物排放限值中二级标准的排放限值</w:t>
            </w:r>
            <w:r>
              <w:rPr>
                <w:rFonts w:hint="eastAsia"/>
                <w:bCs/>
                <w:color w:val="000000" w:themeColor="text1"/>
                <w:sz w:val="24"/>
                <w:szCs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去除率约为99.0%；</w:t>
            </w:r>
          </w:p>
          <w:p w14:paraId="14DFACFE">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DA002</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喷塑粉尘排气筒中颗粒物</w:t>
            </w:r>
            <w:r>
              <w:rPr>
                <w:rFonts w:hint="eastAsia"/>
                <w:color w:val="000000" w:themeColor="text1"/>
                <w:sz w:val="24"/>
                <w:lang w:val="en-US" w:eastAsia="zh-CN"/>
                <w14:textFill>
                  <w14:solidFill>
                    <w14:schemeClr w14:val="tx1"/>
                  </w14:solidFill>
                </w14:textFill>
              </w:rPr>
              <w:t>由旋风除尘器+布袋除尘器处理，阶段性验收期间</w:t>
            </w:r>
            <w:r>
              <w:rPr>
                <w:rFonts w:hint="eastAsia" w:ascii="Times New Roman" w:eastAsia="宋体"/>
                <w:color w:val="000000" w:themeColor="text1"/>
                <w:sz w:val="24"/>
                <w:lang w:val="en-US" w:eastAsia="zh-CN"/>
                <w14:textFill>
                  <w14:solidFill>
                    <w14:schemeClr w14:val="tx1"/>
                  </w14:solidFill>
                </w14:textFill>
              </w:rPr>
              <w:t>平均</w:t>
            </w:r>
            <w:r>
              <w:rPr>
                <w:rFonts w:hint="eastAsia"/>
                <w:color w:val="000000" w:themeColor="text1"/>
                <w:sz w:val="24"/>
                <w14:textFill>
                  <w14:solidFill>
                    <w14:schemeClr w14:val="tx1"/>
                  </w14:solidFill>
                </w14:textFill>
              </w:rPr>
              <w:t>排放浓度：</w:t>
            </w:r>
            <w:r>
              <w:rPr>
                <w:rFonts w:hint="eastAsia" w:ascii="Times New Roman" w:eastAsia="宋体"/>
                <w:color w:val="000000" w:themeColor="text1"/>
                <w:sz w:val="24"/>
                <w:lang w:val="en-US" w:eastAsia="zh-CN"/>
                <w14:textFill>
                  <w14:solidFill>
                    <w14:schemeClr w14:val="tx1"/>
                  </w14:solidFill>
                </w14:textFill>
              </w:rPr>
              <w:t>2.567</w:t>
            </w:r>
            <w:r>
              <w:rPr>
                <w:rFonts w:hint="eastAsia"/>
                <w:bCs/>
                <w:color w:val="000000" w:themeColor="text1"/>
                <w:sz w:val="24"/>
                <w:szCs w:val="24"/>
                <w14:textFill>
                  <w14:solidFill>
                    <w14:schemeClr w14:val="tx1"/>
                  </w14:solidFill>
                </w14:textFill>
              </w:rPr>
              <w:t>mg/m</w:t>
            </w:r>
            <w:r>
              <w:rPr>
                <w:rFonts w:hint="eastAsia"/>
                <w:bCs/>
                <w:color w:val="000000" w:themeColor="text1"/>
                <w:sz w:val="24"/>
                <w:szCs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（排放标准限值：</w:t>
            </w:r>
            <w:r>
              <w:rPr>
                <w:rFonts w:hint="eastAsia" w:ascii="Times New Roman" w:eastAsia="宋体"/>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，满足</w:t>
            </w:r>
            <w:r>
              <w:rPr>
                <w:rFonts w:hint="eastAsia"/>
                <w:color w:val="000000" w:themeColor="text1"/>
                <w:sz w:val="24"/>
                <w14:textFill>
                  <w14:solidFill>
                    <w14:schemeClr w14:val="tx1"/>
                  </w14:solidFill>
                </w14:textFill>
              </w:rPr>
              <w:t>《合成树脂工业污染物排放标准》（GB31572-2015）表5中规定的限值</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去除率约为99.4%</w:t>
            </w:r>
            <w:r>
              <w:rPr>
                <w:rFonts w:hint="eastAsia"/>
                <w:color w:val="000000" w:themeColor="text1"/>
                <w:sz w:val="24"/>
                <w14:textFill>
                  <w14:solidFill>
                    <w14:schemeClr w14:val="tx1"/>
                  </w14:solidFill>
                </w14:textFill>
              </w:rPr>
              <w:t>；</w:t>
            </w:r>
          </w:p>
          <w:p w14:paraId="72200798">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DA003</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调漆、喷漆废气排气筒</w:t>
            </w:r>
            <w:r>
              <w:rPr>
                <w:rFonts w:hint="eastAsia" w:ascii="Times New Roman" w:eastAsia="宋体"/>
                <w:color w:val="000000" w:themeColor="text1"/>
                <w:sz w:val="24"/>
                <w:lang w:val="en-US" w:eastAsia="zh-CN"/>
                <w14:textFill>
                  <w14:solidFill>
                    <w14:schemeClr w14:val="tx1"/>
                  </w14:solidFill>
                </w14:textFill>
              </w:rPr>
              <w:t>中非甲烷总烃由喷淋塔+过滤棉+二级活性炭吸附装置处理</w:t>
            </w:r>
            <w:r>
              <w:rPr>
                <w:rFonts w:hint="eastAsia"/>
                <w:color w:val="000000" w:themeColor="text1"/>
                <w:sz w:val="24"/>
                <w:lang w:val="en-US" w:eastAsia="zh-CN"/>
                <w14:textFill>
                  <w14:solidFill>
                    <w14:schemeClr w14:val="tx1"/>
                  </w14:solidFill>
                </w14:textFill>
              </w:rPr>
              <w:t>，阶段性验收期间</w:t>
            </w:r>
            <w:r>
              <w:rPr>
                <w:rFonts w:hint="eastAsia" w:ascii="Times New Roman" w:eastAsia="宋体"/>
                <w:color w:val="000000" w:themeColor="text1"/>
                <w:sz w:val="24"/>
                <w:lang w:val="en-US" w:eastAsia="zh-CN"/>
                <w14:textFill>
                  <w14:solidFill>
                    <w14:schemeClr w14:val="tx1"/>
                  </w14:solidFill>
                </w14:textFill>
              </w:rPr>
              <w:t>平均排放浓度：2.160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（排放标准限值：70mg/m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），二甲苯均未检出（排放标准限值：20mg/m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），满足《固定源挥发性有机物综合排放标准第6部分：其他行业》（DB34 4812.6-2024)表1挥发性有机物基本污染物项目排放限值；</w:t>
            </w:r>
            <w:r>
              <w:rPr>
                <w:rFonts w:hint="eastAsia"/>
                <w:color w:val="000000" w:themeColor="text1"/>
                <w:sz w:val="24"/>
                <w14:textFill>
                  <w14:solidFill>
                    <w14:schemeClr w14:val="tx1"/>
                  </w14:solidFill>
                </w14:textFill>
              </w:rPr>
              <w:t>颗粒物</w:t>
            </w:r>
            <w:r>
              <w:rPr>
                <w:rFonts w:hint="eastAsia" w:ascii="Times New Roman" w:eastAsia="宋体"/>
                <w:color w:val="000000" w:themeColor="text1"/>
                <w:sz w:val="24"/>
                <w:lang w:val="en-US" w:eastAsia="zh-CN"/>
                <w14:textFill>
                  <w14:solidFill>
                    <w14:schemeClr w14:val="tx1"/>
                  </w14:solidFill>
                </w14:textFill>
              </w:rPr>
              <w:t>均未检出</w:t>
            </w:r>
            <w:r>
              <w:rPr>
                <w:rFonts w:hint="eastAsia"/>
                <w:color w:val="000000" w:themeColor="text1"/>
                <w:sz w:val="24"/>
                <w14:textFill>
                  <w14:solidFill>
                    <w14:schemeClr w14:val="tx1"/>
                  </w14:solidFill>
                </w14:textFill>
              </w:rPr>
              <w:t>（排放标准限值：</w:t>
            </w:r>
            <w:r>
              <w:rPr>
                <w:rFonts w:hint="eastAsia" w:ascii="Times New Roman" w:eastAsia="宋体"/>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eastAsia="宋体"/>
                <w:color w:val="000000" w:themeColor="text1"/>
                <w:sz w:val="24"/>
                <w:lang w:eastAsia="zh-CN"/>
                <w14:textFill>
                  <w14:solidFill>
                    <w14:schemeClr w14:val="tx1"/>
                  </w14:solidFill>
                </w14:textFill>
              </w:rPr>
              <w:t>；</w:t>
            </w:r>
          </w:p>
          <w:p w14:paraId="6B5A74E3">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default"/>
                <w:color w:val="000000" w:themeColor="text1"/>
                <w:sz w:val="24"/>
                <w:lang w:val="en-US"/>
                <w14:textFill>
                  <w14:solidFill>
                    <w14:schemeClr w14:val="tx1"/>
                  </w14:solidFill>
                </w14:textFill>
              </w:rPr>
            </w:pPr>
            <w:r>
              <w:rPr>
                <w:rFonts w:hint="eastAsia"/>
                <w:color w:val="000000" w:themeColor="text1"/>
                <w:sz w:val="24"/>
                <w14:textFill>
                  <w14:solidFill>
                    <w14:schemeClr w14:val="tx1"/>
                  </w14:solidFill>
                </w14:textFill>
              </w:rPr>
              <w:t>DA004</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固化、丙烷燃烧废气排气筒</w:t>
            </w:r>
            <w:r>
              <w:rPr>
                <w:rFonts w:hint="eastAsia" w:ascii="Times New Roman" w:eastAsia="宋体"/>
                <w:color w:val="000000" w:themeColor="text1"/>
                <w:sz w:val="24"/>
                <w:lang w:val="en-US" w:eastAsia="zh-CN"/>
                <w14:textFill>
                  <w14:solidFill>
                    <w14:schemeClr w14:val="tx1"/>
                  </w14:solidFill>
                </w14:textFill>
              </w:rPr>
              <w:t>中非甲烷总烃平均排放浓度：2.342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（排放标准限值：70mg/m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），二甲苯均未检出（排放标准限值：20mg/m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 第6部分：其他行业》（DB34 4812.6-2024)表1挥发性有机物基本污染物项目排放限值</w:t>
            </w:r>
            <w:r>
              <w:rPr>
                <w:rFonts w:hint="eastAsia"/>
                <w:color w:val="000000" w:themeColor="text1"/>
                <w:sz w:val="24"/>
                <w14:textFill>
                  <w14:solidFill>
                    <w14:schemeClr w14:val="tx1"/>
                  </w14:solidFill>
                </w14:textFill>
              </w:rPr>
              <w:t>；</w:t>
            </w:r>
            <w:r>
              <w:rPr>
                <w:rFonts w:hint="eastAsia" w:ascii="Times New Roman" w:eastAsia="宋体"/>
                <w:color w:val="000000" w:themeColor="text1"/>
                <w:sz w:val="24"/>
                <w:lang w:val="en-US" w:eastAsia="zh-CN"/>
                <w14:textFill>
                  <w14:solidFill>
                    <w14:schemeClr w14:val="tx1"/>
                  </w14:solidFill>
                </w14:textFill>
              </w:rPr>
              <w:t>氮氧化物平均排放浓度：3.667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（排放标准限值：300mg/m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），二氧化硫均未检出（排放标准限值：200mg/m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），满足《工业炉窑大气污染综合治理方案》（环大气〔2019〕56号）的排放限值；</w:t>
            </w:r>
            <w:r>
              <w:rPr>
                <w:rFonts w:hint="eastAsia"/>
                <w:color w:val="000000" w:themeColor="text1"/>
                <w:sz w:val="24"/>
                <w14:textFill>
                  <w14:solidFill>
                    <w14:schemeClr w14:val="tx1"/>
                  </w14:solidFill>
                </w14:textFill>
              </w:rPr>
              <w:t>颗粒物</w:t>
            </w:r>
            <w:r>
              <w:rPr>
                <w:rFonts w:hint="eastAsia" w:ascii="Times New Roman" w:eastAsia="宋体"/>
                <w:color w:val="000000" w:themeColor="text1"/>
                <w:sz w:val="24"/>
                <w:lang w:val="en-US" w:eastAsia="zh-CN"/>
                <w14:textFill>
                  <w14:solidFill>
                    <w14:schemeClr w14:val="tx1"/>
                  </w14:solidFill>
                </w14:textFill>
              </w:rPr>
              <w:t>均未检出</w:t>
            </w:r>
            <w:r>
              <w:rPr>
                <w:rFonts w:hint="eastAsia"/>
                <w:color w:val="000000" w:themeColor="text1"/>
                <w:sz w:val="24"/>
                <w14:textFill>
                  <w14:solidFill>
                    <w14:schemeClr w14:val="tx1"/>
                  </w14:solidFill>
                </w14:textFill>
              </w:rPr>
              <w:t>（排放标准限值：</w:t>
            </w:r>
            <w:r>
              <w:rPr>
                <w:rFonts w:hint="eastAsia" w:ascii="Times New Roman" w:eastAsia="宋体"/>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eastAsia="宋体"/>
                <w:color w:val="000000" w:themeColor="text1"/>
                <w:sz w:val="24"/>
                <w:lang w:eastAsia="zh-CN"/>
                <w14:textFill>
                  <w14:solidFill>
                    <w14:schemeClr w14:val="tx1"/>
                  </w14:solidFill>
                </w14:textFill>
              </w:rPr>
              <w:t>；</w:t>
            </w:r>
          </w:p>
          <w:p w14:paraId="7B69C22C">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color w:val="000000" w:themeColor="text1"/>
                <w:sz w:val="24"/>
                <w14:textFill>
                  <w14:solidFill>
                    <w14:schemeClr w14:val="tx1"/>
                  </w14:solidFill>
                </w14:textFill>
              </w:rPr>
              <w:t>DA005</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检验补喷废气</w:t>
            </w:r>
            <w:r>
              <w:rPr>
                <w:rFonts w:hint="eastAsia" w:ascii="Times New Roman" w:eastAsia="宋体"/>
                <w:color w:val="000000" w:themeColor="text1"/>
                <w:sz w:val="24"/>
                <w:lang w:val="en-US" w:eastAsia="zh-CN"/>
                <w14:textFill>
                  <w14:solidFill>
                    <w14:schemeClr w14:val="tx1"/>
                  </w14:solidFill>
                </w14:textFill>
              </w:rPr>
              <w:t>排气筒中</w:t>
            </w:r>
            <w:r>
              <w:rPr>
                <w:rFonts w:hint="eastAsia" w:ascii="Times New Roman" w:hAnsi="Times New Roman" w:eastAsia="宋体" w:cs="Times New Roman"/>
                <w:color w:val="000000" w:themeColor="text1"/>
                <w:sz w:val="24"/>
                <w14:textFill>
                  <w14:solidFill>
                    <w14:schemeClr w14:val="tx1"/>
                  </w14:solidFill>
                </w14:textFill>
              </w:rPr>
              <w:t>颗粒物</w:t>
            </w:r>
            <w:r>
              <w:rPr>
                <w:rFonts w:hint="eastAsia" w:cs="Times New Roman"/>
                <w:color w:val="000000" w:themeColor="text1"/>
                <w:sz w:val="24"/>
                <w:lang w:eastAsia="zh-CN"/>
                <w14:textFill>
                  <w14:solidFill>
                    <w14:schemeClr w14:val="tx1"/>
                  </w14:solidFill>
                </w14:textFill>
              </w:rPr>
              <w:t>平均排放浓度</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3.633</w:t>
            </w:r>
            <w:r>
              <w:rPr>
                <w:rFonts w:hint="eastAsia" w:ascii="Times New Roman" w:hAnsi="Times New Roman" w:eastAsia="宋体" w:cs="Times New Roman"/>
                <w:bCs/>
                <w:color w:val="000000" w:themeColor="text1"/>
                <w:sz w:val="24"/>
                <w:szCs w:val="24"/>
                <w14:textFill>
                  <w14:solidFill>
                    <w14:schemeClr w14:val="tx1"/>
                  </w14:solidFill>
                </w14:textFill>
              </w:rPr>
              <w:t>mg/m</w:t>
            </w:r>
            <w:r>
              <w:rPr>
                <w:rFonts w:hint="eastAsia" w:ascii="Times New Roman" w:hAnsi="Times New Roman" w:eastAsia="宋体" w:cs="Times New Roman"/>
                <w:bCs/>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（排放标准限值：</w:t>
            </w:r>
            <w:r>
              <w:rPr>
                <w:rFonts w:hint="eastAsia" w:ascii="Times New Roman" w:hAnsi="Times New Roman" w:eastAsia="宋体" w:cs="Times New Roman"/>
                <w:color w:val="000000" w:themeColor="text1"/>
                <w:sz w:val="24"/>
                <w:lang w:val="en-US" w:eastAsia="zh-CN"/>
                <w14:textFill>
                  <w14:solidFill>
                    <w14:schemeClr w14:val="tx1"/>
                  </w14:solidFill>
                </w14:textFill>
              </w:rPr>
              <w:t>120</w:t>
            </w:r>
            <w:r>
              <w:rPr>
                <w:rFonts w:hint="eastAsia" w:ascii="Times New Roman" w:hAnsi="Times New Roman" w:eastAsia="宋体" w:cs="Times New Roman"/>
                <w:color w:val="000000" w:themeColor="text1"/>
                <w:sz w:val="24"/>
                <w14:textFill>
                  <w14:solidFill>
                    <w14:schemeClr w14:val="tx1"/>
                  </w14:solidFill>
                </w14:textFill>
              </w:rPr>
              <w:t>mg/m</w:t>
            </w:r>
            <w:r>
              <w:rPr>
                <w:rFonts w:hint="eastAsia"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满足《大气污染物综合排放标准》（GB16297-1996)表2新污染源大气污染物排放限值中二级标准的排放限值</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196C9B32">
            <w:pPr>
              <w:keepNext w:val="0"/>
              <w:keepLines w:val="0"/>
              <w:pageBreakBefore w:val="0"/>
              <w:widowControl w:val="0"/>
              <w:kinsoku/>
              <w:wordWrap/>
              <w:overflowPunct/>
              <w:topLinePunct w:val="0"/>
              <w:bidi w:val="0"/>
              <w:snapToGrid w:val="0"/>
              <w:spacing w:beforeAutospacing="0" w:afterAutospacing="0" w:line="360" w:lineRule="auto"/>
              <w:ind w:right="0" w:firstLine="480" w:firstLineChars="200"/>
              <w:rPr>
                <w:rFonts w:ascii="Times New Roman" w:hAnsi="Times New Roman" w:cs="Times New Roman"/>
              </w:rPr>
            </w:pPr>
            <w:r>
              <w:rPr>
                <w:rFonts w:hint="default" w:eastAsia="宋体"/>
                <w:color w:val="000000" w:themeColor="text1"/>
                <w:sz w:val="24"/>
                <w:lang w:val="en-US" w:eastAsia="zh-CN"/>
                <w14:textFill>
                  <w14:solidFill>
                    <w14:schemeClr w14:val="tx1"/>
                  </w14:solidFill>
                </w14:textFill>
              </w:rPr>
              <w:t>DA006</w:t>
            </w:r>
            <w:r>
              <w:rPr>
                <w:rFonts w:hint="default" w:eastAsia="宋体"/>
                <w:color w:val="000000" w:themeColor="text1"/>
                <w:sz w:val="24"/>
                <w:lang w:val="en-US" w:eastAsia="zh-CN"/>
                <w14:textFill>
                  <w14:solidFill>
                    <w14:schemeClr w14:val="tx1"/>
                  </w14:solidFill>
                </w14:textFill>
              </w:rPr>
              <w:tab/>
            </w:r>
            <w:r>
              <w:rPr>
                <w:rFonts w:hint="eastAsia" w:ascii="Times New Roman" w:eastAsia="宋体"/>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烘干、丙烷燃烧废气</w:t>
            </w:r>
            <w:r>
              <w:rPr>
                <w:rFonts w:hint="eastAsia" w:ascii="Times New Roman" w:eastAsia="宋体"/>
                <w:color w:val="000000" w:themeColor="text1"/>
                <w:sz w:val="24"/>
                <w:lang w:val="en-US" w:eastAsia="zh-CN"/>
                <w14:textFill>
                  <w14:solidFill>
                    <w14:schemeClr w14:val="tx1"/>
                  </w14:solidFill>
                </w14:textFill>
              </w:rPr>
              <w:t>排气筒中非甲烷总烃平均排放浓度：3.582 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（排放标准限值：70mg/m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），二甲苯均未检出（排放标准限值：20mg/m</w:t>
            </w:r>
            <w:r>
              <w:rPr>
                <w:rFonts w:hint="eastAsia" w:ascii="Times New Roman" w:eastAsia="宋体"/>
                <w:color w:val="000000" w:themeColor="text1"/>
                <w:sz w:val="24"/>
                <w:vertAlign w:val="superscript"/>
                <w:lang w:val="en-US" w:eastAsia="zh-CN"/>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），满足《固定源挥发性有机物综合排放标准 第6部分：其他行业》（D</w:t>
            </w:r>
            <w:r>
              <w:rPr>
                <w:rFonts w:hint="eastAsia" w:ascii="Times New Roman" w:eastAsia="宋体"/>
                <w:sz w:val="24"/>
                <w:lang w:val="en-US" w:eastAsia="zh-CN"/>
              </w:rPr>
              <w:t>B34 4812.6-2024)表1挥发性有机物基本污染物项目排放限值</w:t>
            </w:r>
            <w:r>
              <w:rPr>
                <w:rFonts w:hint="eastAsia"/>
                <w:sz w:val="24"/>
              </w:rPr>
              <w:t>；</w:t>
            </w:r>
            <w:r>
              <w:rPr>
                <w:rFonts w:hint="eastAsia" w:ascii="Times New Roman" w:eastAsia="宋体"/>
                <w:sz w:val="24"/>
                <w:lang w:val="en-US" w:eastAsia="zh-CN"/>
              </w:rPr>
              <w:t>氮氧化物平均排放浓度：3.333 mg/m</w:t>
            </w:r>
            <w:r>
              <w:rPr>
                <w:rFonts w:hint="eastAsia" w:ascii="Times New Roman" w:eastAsia="宋体"/>
                <w:sz w:val="24"/>
                <w:vertAlign w:val="superscript"/>
                <w:lang w:val="en-US" w:eastAsia="zh-CN"/>
              </w:rPr>
              <w:t>3</w:t>
            </w:r>
            <w:r>
              <w:rPr>
                <w:rFonts w:hint="eastAsia" w:ascii="Times New Roman" w:eastAsia="宋体"/>
                <w:sz w:val="24"/>
                <w:lang w:val="en-US" w:eastAsia="zh-CN"/>
              </w:rPr>
              <w:t>（排放标准限值：300mg/m</w:t>
            </w:r>
            <w:r>
              <w:rPr>
                <w:rFonts w:hint="eastAsia" w:ascii="Times New Roman" w:eastAsia="宋体"/>
                <w:sz w:val="24"/>
                <w:vertAlign w:val="superscript"/>
                <w:lang w:val="en-US" w:eastAsia="zh-CN"/>
              </w:rPr>
              <w:t>3</w:t>
            </w:r>
            <w:r>
              <w:rPr>
                <w:rFonts w:hint="eastAsia" w:ascii="Times New Roman" w:eastAsia="宋体"/>
                <w:sz w:val="24"/>
                <w:lang w:val="en-US" w:eastAsia="zh-CN"/>
              </w:rPr>
              <w:t>），二氧化硫平均排放浓度：4.667mg/m</w:t>
            </w:r>
            <w:r>
              <w:rPr>
                <w:rFonts w:hint="eastAsia" w:ascii="Times New Roman" w:eastAsia="宋体"/>
                <w:sz w:val="24"/>
                <w:vertAlign w:val="superscript"/>
                <w:lang w:val="en-US" w:eastAsia="zh-CN"/>
              </w:rPr>
              <w:t>3</w:t>
            </w:r>
            <w:r>
              <w:rPr>
                <w:rFonts w:hint="eastAsia" w:ascii="Times New Roman" w:eastAsia="宋体"/>
                <w:sz w:val="24"/>
                <w:lang w:val="en-US" w:eastAsia="zh-CN"/>
              </w:rPr>
              <w:t>（排放标准限值：200mg/m</w:t>
            </w:r>
            <w:r>
              <w:rPr>
                <w:rFonts w:hint="eastAsia" w:ascii="Times New Roman" w:eastAsia="宋体"/>
                <w:sz w:val="24"/>
                <w:vertAlign w:val="superscript"/>
                <w:lang w:val="en-US" w:eastAsia="zh-CN"/>
              </w:rPr>
              <w:t>3</w:t>
            </w:r>
            <w:r>
              <w:rPr>
                <w:rFonts w:hint="eastAsia" w:ascii="Times New Roman" w:eastAsia="宋体"/>
                <w:sz w:val="24"/>
                <w:lang w:val="en-US" w:eastAsia="zh-CN"/>
              </w:rPr>
              <w:t>），满足《工业炉窑大气污染综合治理方案》（环大气〔2019〕56号）的排放限值；</w:t>
            </w:r>
            <w:r>
              <w:rPr>
                <w:rFonts w:hint="eastAsia"/>
                <w:sz w:val="24"/>
              </w:rPr>
              <w:t>颗粒物</w:t>
            </w:r>
            <w:r>
              <w:rPr>
                <w:rFonts w:hint="eastAsia" w:ascii="Times New Roman" w:eastAsia="宋体"/>
                <w:sz w:val="24"/>
                <w:lang w:val="en-US" w:eastAsia="zh-CN"/>
              </w:rPr>
              <w:t>均未检出</w:t>
            </w:r>
            <w:r>
              <w:rPr>
                <w:rFonts w:hint="eastAsia"/>
                <w:sz w:val="24"/>
              </w:rPr>
              <w:t>（排放标准限值：</w:t>
            </w:r>
            <w:r>
              <w:rPr>
                <w:rFonts w:hint="eastAsia" w:ascii="Times New Roman" w:eastAsia="宋体"/>
                <w:sz w:val="24"/>
                <w:lang w:val="en-US" w:eastAsia="zh-CN"/>
              </w:rPr>
              <w:t>120</w:t>
            </w:r>
            <w:r>
              <w:rPr>
                <w:rFonts w:hint="eastAsia"/>
                <w:sz w:val="24"/>
              </w:rPr>
              <w:t>mg/m</w:t>
            </w:r>
            <w:r>
              <w:rPr>
                <w:rFonts w:hint="eastAsia"/>
                <w:sz w:val="24"/>
                <w:vertAlign w:val="superscript"/>
              </w:rPr>
              <w:t>3</w:t>
            </w:r>
            <w:r>
              <w:rPr>
                <w:rFonts w:hint="eastAsia"/>
                <w:sz w:val="24"/>
              </w:rPr>
              <w:t>）</w:t>
            </w:r>
            <w:r>
              <w:rPr>
                <w:rFonts w:hint="eastAsia" w:eastAsia="宋体"/>
                <w:sz w:val="24"/>
                <w:lang w:eastAsia="zh-CN"/>
              </w:rPr>
              <w:t>，</w:t>
            </w:r>
            <w:r>
              <w:rPr>
                <w:rFonts w:hint="eastAsia"/>
                <w:sz w:val="24"/>
              </w:rPr>
              <w:t>满足《大气污染物综合排放标准》（GB16297-1996)表2新污染源大气污染物排放限值中二级标准的排放限值</w:t>
            </w:r>
            <w:r>
              <w:rPr>
                <w:rFonts w:hint="eastAsia" w:eastAsia="宋体"/>
                <w:sz w:val="24"/>
                <w:lang w:eastAsia="zh-CN"/>
              </w:rPr>
              <w:t>；</w:t>
            </w:r>
          </w:p>
          <w:p w14:paraId="7B01E874">
            <w:pPr>
              <w:keepNext w:val="0"/>
              <w:keepLines w:val="0"/>
              <w:pageBreakBefore w:val="0"/>
              <w:widowControl w:val="0"/>
              <w:kinsoku/>
              <w:wordWrap/>
              <w:overflowPunct w:val="0"/>
              <w:topLinePunct w:val="0"/>
              <w:autoSpaceDE/>
              <w:autoSpaceDN/>
              <w:bidi w:val="0"/>
              <w:adjustRightInd/>
              <w:snapToGrid w:val="0"/>
              <w:spacing w:line="360" w:lineRule="auto"/>
              <w:ind w:left="0" w:firstLine="480" w:firstLineChars="200"/>
              <w:jc w:val="left"/>
              <w:textAlignment w:val="auto"/>
            </w:pPr>
            <w:r>
              <w:rPr>
                <w:rFonts w:ascii="Times New Roman" w:hAnsi="Times New Roman" w:eastAsia="宋体" w:cs="Times New Roman"/>
                <w:kern w:val="2"/>
                <w:sz w:val="24"/>
                <w:szCs w:val="20"/>
                <w:lang w:val="en-US" w:eastAsia="zh-CN" w:bidi="ar-SA"/>
              </w:rPr>
              <w:t>①</w:t>
            </w:r>
            <w:r>
              <w:rPr>
                <w:rFonts w:hint="eastAsia" w:ascii="Times New Roman" w:hAnsi="Times New Roman" w:eastAsia="宋体" w:cs="Times New Roman"/>
                <w:kern w:val="2"/>
                <w:sz w:val="24"/>
                <w:szCs w:val="20"/>
                <w:lang w:val="en-US" w:eastAsia="zh-CN" w:bidi="ar-SA"/>
              </w:rPr>
              <w:t>DA001排气筒中的</w:t>
            </w:r>
            <w:r>
              <w:rPr>
                <w:rFonts w:ascii="Times New Roman" w:hAnsi="Times New Roman" w:eastAsia="宋体" w:cs="Times New Roman"/>
                <w:kern w:val="2"/>
                <w:sz w:val="24"/>
                <w:szCs w:val="20"/>
                <w:lang w:val="en-US" w:eastAsia="zh-CN" w:bidi="ar-SA"/>
              </w:rPr>
              <w:t>颗粒物</w:t>
            </w:r>
            <w:r>
              <w:rPr>
                <w:rFonts w:hint="eastAsia" w:ascii="Times New Roman" w:hAnsi="Times New Roman" w:eastAsia="宋体" w:cs="Times New Roman"/>
                <w:kern w:val="2"/>
                <w:sz w:val="24"/>
                <w:szCs w:val="20"/>
                <w:lang w:val="en-US" w:eastAsia="zh-CN" w:bidi="ar-SA"/>
              </w:rPr>
              <w:t>由布袋除尘器处理，</w:t>
            </w:r>
            <w:r>
              <w:rPr>
                <w:rFonts w:ascii="Times New Roman" w:hAnsi="Times New Roman" w:eastAsia="宋体" w:cs="Times New Roman"/>
                <w:kern w:val="2"/>
                <w:sz w:val="24"/>
                <w:szCs w:val="20"/>
                <w:lang w:val="en-US" w:eastAsia="zh-CN" w:bidi="ar-SA"/>
              </w:rPr>
              <w:t>去除率</w:t>
            </w:r>
            <w:r>
              <w:rPr>
                <w:rFonts w:hint="eastAsia" w:ascii="Times New Roman" w:hAnsi="Times New Roman" w:eastAsia="宋体" w:cs="Times New Roman"/>
                <w:kern w:val="2"/>
                <w:sz w:val="24"/>
                <w:szCs w:val="20"/>
                <w:lang w:val="en-US" w:eastAsia="zh-CN" w:bidi="ar-SA"/>
              </w:rPr>
              <w:t>约</w:t>
            </w:r>
            <w:r>
              <w:rPr>
                <w:rFonts w:ascii="Times New Roman" w:hAnsi="Times New Roman" w:eastAsia="宋体" w:cs="Times New Roman"/>
                <w:kern w:val="2"/>
                <w:sz w:val="24"/>
                <w:szCs w:val="20"/>
                <w:lang w:val="en-US" w:eastAsia="zh-CN" w:bidi="ar-SA"/>
              </w:rPr>
              <w:t>为</w:t>
            </w:r>
            <w:r>
              <w:rPr>
                <w:rFonts w:hint="eastAsia" w:ascii="Times New Roman" w:hAnsi="Times New Roman" w:eastAsia="宋体" w:cs="Times New Roman"/>
                <w:kern w:val="2"/>
                <w:sz w:val="24"/>
                <w:szCs w:val="20"/>
                <w:lang w:val="en-US" w:eastAsia="zh-CN" w:bidi="ar-SA"/>
              </w:rPr>
              <w:t>99.0</w:t>
            </w:r>
            <w:r>
              <w:rPr>
                <w:rFonts w:ascii="Times New Roman" w:hAnsi="Times New Roman" w:eastAsia="宋体" w:cs="Times New Roman"/>
                <w:kern w:val="2"/>
                <w:sz w:val="24"/>
                <w:szCs w:val="20"/>
                <w:lang w:val="en-US" w:eastAsia="zh-CN" w:bidi="ar-SA"/>
              </w:rPr>
              <w:t>%</w:t>
            </w:r>
            <w:r>
              <w:rPr>
                <w:rFonts w:hint="eastAsia" w:ascii="Times New Roman" w:hAnsi="Times New Roman" w:eastAsia="宋体" w:cs="Times New Roman"/>
                <w:kern w:val="2"/>
                <w:sz w:val="24"/>
                <w:szCs w:val="20"/>
                <w:lang w:val="en-US" w:eastAsia="zh-CN" w:bidi="ar-SA"/>
              </w:rPr>
              <w:t>；DA002排气筒中的颗粒物旋风除尘器+布袋除尘器处理处理，去除率约为99.4%；DA003排气筒中的非甲烷总烃、颗粒物由喷淋塔+过滤棉+二级活性炭吸附装置处理，对颗粒物的去除率约为99.6%，对非甲烷总烃的去除率约为80%；DA004排气筒的二甲苯、非甲烷总烃由碱液过滤棉+二级活性炭吸附装置处理，对非甲烷总烃的去除率约为90.3%，对二甲苯的去除率为95.7%；DA006排气筒中非甲烷总烃、二甲苯，对非甲烷总烃的去除率约为88%，处理后的废气满足大气污染物综合排放标准。</w:t>
            </w:r>
          </w:p>
          <w:p w14:paraId="3EE19E8E">
            <w:pPr>
              <w:pStyle w:val="11"/>
              <w:keepNext w:val="0"/>
              <w:keepLines w:val="0"/>
              <w:pageBreakBefore w:val="0"/>
              <w:kinsoku/>
              <w:wordWrap/>
              <w:overflowPunct/>
              <w:topLinePunct w:val="0"/>
              <w:bidi w:val="0"/>
              <w:spacing w:line="360" w:lineRule="auto"/>
              <w:ind w:right="0" w:firstLine="480" w:firstLineChars="200"/>
              <w:textAlignment w:val="auto"/>
              <w:rPr>
                <w:rFonts w:hint="default" w:eastAsia="宋体"/>
                <w:lang w:val="en-US" w:eastAsia="zh-CN"/>
              </w:rPr>
            </w:pPr>
            <w:r>
              <w:rPr>
                <w:rFonts w:hint="eastAsia"/>
                <w:lang w:val="en-US"/>
              </w:rPr>
              <w:fldChar w:fldCharType="begin"/>
            </w:r>
            <w:r>
              <w:rPr>
                <w:rFonts w:hint="eastAsia"/>
                <w:lang w:val="en-US"/>
              </w:rPr>
              <w:instrText xml:space="preserve"> = 2 \* GB3 \* MERGEFORMAT </w:instrText>
            </w:r>
            <w:r>
              <w:rPr>
                <w:rFonts w:hint="eastAsia"/>
                <w:lang w:val="en-US"/>
              </w:rPr>
              <w:fldChar w:fldCharType="separate"/>
            </w:r>
            <w:r>
              <w:t>②</w:t>
            </w:r>
            <w:r>
              <w:rPr>
                <w:rFonts w:hint="eastAsia"/>
                <w:lang w:val="en-US"/>
              </w:rPr>
              <w:fldChar w:fldCharType="end"/>
            </w:r>
            <w:r>
              <w:rPr>
                <w:rFonts w:hint="eastAsia" w:ascii="Times New Roman" w:hAnsi="Times New Roman" w:cs="Times New Roman"/>
                <w:szCs w:val="20"/>
                <w:lang w:val="en-US" w:bidi="ar-SA"/>
              </w:rPr>
              <w:t>总量核算：</w:t>
            </w:r>
            <w:r>
              <w:rPr>
                <w:rFonts w:ascii="Times New Roman" w:hAnsi="Times New Roman" w:cs="Times New Roman"/>
                <w:szCs w:val="20"/>
                <w:lang w:val="en-US" w:bidi="ar-SA"/>
              </w:rPr>
              <w:t>项目验收阶段</w:t>
            </w:r>
            <w:r>
              <w:rPr>
                <w:rFonts w:hint="eastAsia" w:ascii="Times New Roman" w:hAnsi="Times New Roman" w:cs="Times New Roman"/>
                <w:szCs w:val="20"/>
                <w:lang w:val="en-US" w:bidi="ar-SA"/>
              </w:rPr>
              <w:t>颗粒物的排放量为</w:t>
            </w:r>
            <w:r>
              <w:rPr>
                <w:rFonts w:hint="eastAsia" w:ascii="Times New Roman" w:hAnsi="Times New Roman" w:cs="Times New Roman"/>
                <w:szCs w:val="20"/>
                <w:lang w:val="en-US" w:eastAsia="zh-CN" w:bidi="ar-SA"/>
              </w:rPr>
              <w:t>0.364</w:t>
            </w:r>
            <w:r>
              <w:rPr>
                <w:rFonts w:ascii="Times New Roman" w:hAnsi="Times New Roman" w:cs="Times New Roman"/>
                <w:szCs w:val="20"/>
                <w:lang w:val="en-US" w:bidi="ar-SA"/>
              </w:rPr>
              <w:t>t/a</w:t>
            </w:r>
            <w:r>
              <w:rPr>
                <w:rFonts w:hint="eastAsia" w:ascii="Times New Roman" w:hAnsi="Times New Roman" w:cs="Times New Roman"/>
                <w:szCs w:val="20"/>
                <w:lang w:val="en-US" w:bidi="ar-SA"/>
              </w:rPr>
              <w:t>；挥发性有机物</w:t>
            </w:r>
            <w:r>
              <w:rPr>
                <w:rFonts w:hint="eastAsia" w:ascii="Times New Roman" w:hAnsi="Times New Roman" w:cs="Times New Roman"/>
                <w:szCs w:val="20"/>
                <w:lang w:val="en-US" w:eastAsia="zh-CN" w:bidi="ar-SA"/>
              </w:rPr>
              <w:t>（</w:t>
            </w:r>
            <w:r>
              <w:rPr>
                <w:rFonts w:hint="eastAsia" w:ascii="Times New Roman" w:hAnsi="Times New Roman" w:cs="Times New Roman"/>
                <w:szCs w:val="20"/>
                <w:lang w:val="en-US" w:bidi="ar-SA"/>
              </w:rPr>
              <w:t>非甲烷总烃</w:t>
            </w:r>
            <w:r>
              <w:rPr>
                <w:rFonts w:hint="eastAsia" w:ascii="Times New Roman" w:hAnsi="Times New Roman" w:cs="Times New Roman"/>
                <w:szCs w:val="20"/>
                <w:lang w:val="en-US" w:eastAsia="zh-CN" w:bidi="ar-SA"/>
              </w:rPr>
              <w:t>+二甲苯）</w:t>
            </w:r>
            <w:r>
              <w:rPr>
                <w:rFonts w:hint="eastAsia" w:ascii="Times New Roman" w:hAnsi="Times New Roman" w:cs="Times New Roman"/>
                <w:szCs w:val="20"/>
                <w:lang w:val="en-US" w:bidi="ar-SA"/>
              </w:rPr>
              <w:t>的排放量为</w:t>
            </w:r>
            <w:r>
              <w:rPr>
                <w:rFonts w:hint="eastAsia" w:ascii="Times New Roman" w:hAnsi="Times New Roman" w:cs="Times New Roman"/>
                <w:szCs w:val="20"/>
                <w:lang w:val="en-US" w:eastAsia="zh-CN" w:bidi="ar-SA"/>
              </w:rPr>
              <w:t>0.0299</w:t>
            </w:r>
            <w:r>
              <w:rPr>
                <w:rFonts w:ascii="Times New Roman" w:hAnsi="Times New Roman" w:cs="Times New Roman"/>
                <w:szCs w:val="20"/>
                <w:lang w:val="en-US" w:bidi="ar-SA"/>
              </w:rPr>
              <w:t>t/a</w:t>
            </w:r>
            <w:r>
              <w:rPr>
                <w:rFonts w:hint="eastAsia" w:ascii="Times New Roman" w:hAnsi="Times New Roman" w:cs="Times New Roman"/>
                <w:szCs w:val="20"/>
                <w:lang w:val="en-US" w:bidi="ar-SA"/>
              </w:rPr>
              <w:t>；</w:t>
            </w:r>
            <w:r>
              <w:rPr>
                <w:rFonts w:hint="eastAsia" w:ascii="Times New Roman" w:hAnsi="Times New Roman" w:cs="Times New Roman"/>
                <w:szCs w:val="20"/>
                <w:lang w:val="en-US" w:eastAsia="zh-CN" w:bidi="ar-SA"/>
              </w:rPr>
              <w:t>氮氧化物排放量为</w:t>
            </w:r>
            <w:r>
              <w:rPr>
                <w:rFonts w:hint="eastAsia" w:ascii="Times New Roman" w:hAnsi="Times New Roman" w:cs="Times New Roman"/>
                <w:szCs w:val="20"/>
                <w:lang w:val="en-US" w:bidi="ar-SA"/>
              </w:rPr>
              <w:t>；</w:t>
            </w:r>
            <w:r>
              <w:rPr>
                <w:rFonts w:hint="eastAsia" w:ascii="Times New Roman" w:hAnsi="Times New Roman" w:cs="Times New Roman"/>
                <w:szCs w:val="20"/>
                <w:lang w:val="en-US" w:eastAsia="zh-CN" w:bidi="ar-SA"/>
              </w:rPr>
              <w:t>0.0175t/a；二氧化硫排放量为：0.00755t/a；</w:t>
            </w:r>
            <w:r>
              <w:rPr>
                <w:rFonts w:hint="eastAsia" w:ascii="Times New Roman" w:hAnsi="Times New Roman" w:cs="Times New Roman"/>
                <w:szCs w:val="20"/>
                <w:lang w:val="en-US" w:bidi="ar-SA"/>
              </w:rPr>
              <w:t>本项目环评核定总量为</w:t>
            </w:r>
            <w:r>
              <w:rPr>
                <w:rFonts w:hint="eastAsia" w:ascii="Times New Roman" w:hAnsi="Times New Roman" w:cs="Times New Roman"/>
                <w:szCs w:val="20"/>
                <w:lang w:val="en-US" w:eastAsia="zh-CN" w:bidi="ar-SA"/>
              </w:rPr>
              <w:t>烟（粉）尘：1.571t/a，VOCs：0.365t/a，氮氧化物：0.085t/a，二氧化硫：0.012t/a，本次阶段性验收期间二氧化硫总量超环评总量核定表中给出总量，后续企业通过排污权置换二氧化硫排放量来满足企业正常生产。</w:t>
            </w:r>
          </w:p>
          <w:p w14:paraId="708C7A3C">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2.2无组织废气</w:t>
            </w:r>
          </w:p>
          <w:p w14:paraId="583A4908">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rPr>
            </w:pPr>
            <w:r>
              <w:rPr>
                <w:rFonts w:hint="eastAsia"/>
                <w:sz w:val="24"/>
              </w:rPr>
              <w:t>验收监测期间厂界颗粒物均小于0.5mg/m</w:t>
            </w:r>
            <w:r>
              <w:rPr>
                <w:rFonts w:hint="eastAsia"/>
                <w:sz w:val="24"/>
                <w:vertAlign w:val="superscript"/>
              </w:rPr>
              <w:t>3</w:t>
            </w:r>
            <w:r>
              <w:rPr>
                <w:rFonts w:hint="eastAsia"/>
                <w:sz w:val="24"/>
              </w:rPr>
              <w:t>能够满足上海市《大气污染物综合排放标准》DB31/933-2015表3厂界大气污染物监控点浓度限值中相关标准要求。</w:t>
            </w:r>
          </w:p>
          <w:p w14:paraId="4F108DD9">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3噪声监测结论</w:t>
            </w:r>
          </w:p>
          <w:p w14:paraId="491EA4C9">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szCs w:val="24"/>
              </w:rPr>
            </w:pPr>
            <w:r>
              <w:rPr>
                <w:sz w:val="24"/>
                <w:szCs w:val="24"/>
              </w:rPr>
              <w:t>验收监测期间厂区厂界东、南、西、北侧昼间和夜间噪声监测值均符合《工业企业厂界环境噪声排放标准》（GB12348-2008）中的3类标准。</w:t>
            </w:r>
          </w:p>
          <w:p w14:paraId="37A47C86">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4.固废</w:t>
            </w:r>
            <w:r>
              <w:rPr>
                <w:rFonts w:hint="eastAsia"/>
                <w:b/>
                <w:bCs/>
                <w:color w:val="000000" w:themeColor="text1"/>
                <w:sz w:val="24"/>
                <w:szCs w:val="24"/>
                <w14:textFill>
                  <w14:solidFill>
                    <w14:schemeClr w14:val="tx1"/>
                  </w14:solidFill>
                </w14:textFill>
              </w:rPr>
              <w:t>验收</w:t>
            </w:r>
            <w:r>
              <w:rPr>
                <w:b/>
                <w:bCs/>
                <w:sz w:val="24"/>
                <w:szCs w:val="24"/>
              </w:rPr>
              <w:t>结论</w:t>
            </w:r>
          </w:p>
          <w:p w14:paraId="3C4A01CA">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szCs w:val="24"/>
              </w:rPr>
            </w:pPr>
            <w:bookmarkStart w:id="17" w:name="_Hlk58834088"/>
            <w:r>
              <w:rPr>
                <w:rFonts w:hint="eastAsia"/>
                <w:sz w:val="24"/>
                <w:szCs w:val="24"/>
              </w:rPr>
              <w:t>企业已按要求做好项目固体废弃物的污染防治工作，</w:t>
            </w:r>
            <w:r>
              <w:rPr>
                <w:rFonts w:hint="eastAsia"/>
                <w:bCs/>
                <w:sz w:val="24"/>
              </w:rPr>
              <w:t>气化炉炭渣、除尘器收集的粉尘</w:t>
            </w:r>
            <w:r>
              <w:rPr>
                <w:rFonts w:hint="eastAsia"/>
                <w:sz w:val="24"/>
                <w:szCs w:val="24"/>
              </w:rPr>
              <w:t>收集后外售。</w:t>
            </w:r>
            <w:bookmarkEnd w:id="17"/>
          </w:p>
          <w:p w14:paraId="7E336571">
            <w:pPr>
              <w:keepNext w:val="0"/>
              <w:keepLines w:val="0"/>
              <w:pageBreakBefore w:val="0"/>
              <w:widowControl w:val="0"/>
              <w:kinsoku/>
              <w:wordWrap/>
              <w:overflowPunct/>
              <w:topLinePunct w:val="0"/>
              <w:bidi w:val="0"/>
              <w:snapToGrid w:val="0"/>
              <w:spacing w:line="360" w:lineRule="auto"/>
              <w:ind w:right="0" w:firstLine="480" w:firstLineChars="200"/>
              <w:textAlignment w:val="auto"/>
              <w:rPr>
                <w:b/>
                <w:bCs/>
                <w:sz w:val="24"/>
                <w:szCs w:val="24"/>
              </w:rPr>
            </w:pPr>
            <w:r>
              <w:rPr>
                <w:b/>
                <w:bCs/>
                <w:sz w:val="24"/>
                <w:szCs w:val="24"/>
              </w:rPr>
              <w:t>5结论</w:t>
            </w:r>
          </w:p>
          <w:p w14:paraId="14C78FB2">
            <w:pPr>
              <w:keepNext w:val="0"/>
              <w:keepLines w:val="0"/>
              <w:pageBreakBefore w:val="0"/>
              <w:widowControl w:val="0"/>
              <w:kinsoku/>
              <w:wordWrap/>
              <w:overflowPunct/>
              <w:topLinePunct w:val="0"/>
              <w:bidi w:val="0"/>
              <w:snapToGrid w:val="0"/>
              <w:spacing w:line="360" w:lineRule="auto"/>
              <w:ind w:right="0" w:firstLine="480" w:firstLineChars="200"/>
              <w:textAlignment w:val="auto"/>
              <w:rPr>
                <w:sz w:val="24"/>
                <w:szCs w:val="24"/>
              </w:rPr>
            </w:pPr>
            <w:r>
              <w:rPr>
                <w:sz w:val="24"/>
                <w:szCs w:val="24"/>
              </w:rPr>
              <w:t>本项目履行了环保相关手续，选址合理，建设及管理规范，各污染防治设施安装到位并能有效运转，通过检测数据及现场查看情况，符合建设项目环境保护竣工验收条件。</w:t>
            </w:r>
          </w:p>
          <w:p w14:paraId="46E06C04">
            <w:pPr>
              <w:keepNext w:val="0"/>
              <w:keepLines w:val="0"/>
              <w:pageBreakBefore w:val="0"/>
              <w:widowControl w:val="0"/>
              <w:kinsoku/>
              <w:wordWrap/>
              <w:overflowPunct/>
              <w:topLinePunct w:val="0"/>
              <w:bidi w:val="0"/>
              <w:snapToGrid w:val="0"/>
              <w:spacing w:line="360" w:lineRule="auto"/>
              <w:ind w:right="0" w:firstLine="482"/>
              <w:textAlignment w:val="auto"/>
              <w:rPr>
                <w:b/>
                <w:bCs/>
                <w:sz w:val="24"/>
                <w:szCs w:val="24"/>
              </w:rPr>
            </w:pPr>
            <w:r>
              <w:rPr>
                <w:b/>
                <w:bCs/>
                <w:sz w:val="24"/>
                <w:szCs w:val="24"/>
              </w:rPr>
              <w:t>建议以及要求</w:t>
            </w:r>
          </w:p>
          <w:p w14:paraId="2A9CB2D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szCs w:val="24"/>
              </w:rPr>
            </w:pPr>
            <w:r>
              <w:rPr>
                <w:rFonts w:hint="eastAsia"/>
                <w:sz w:val="24"/>
                <w:szCs w:val="24"/>
              </w:rPr>
              <w:t>1、加强对各项污染治理设施的日常运行维护管理，保障设施正常稳定运行，确保各项污染物做好稳定达标排放；</w:t>
            </w:r>
          </w:p>
          <w:p w14:paraId="5884BBD7">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szCs w:val="24"/>
              </w:rPr>
            </w:pPr>
            <w:r>
              <w:rPr>
                <w:rFonts w:hint="eastAsia"/>
                <w:sz w:val="24"/>
                <w:szCs w:val="24"/>
              </w:rPr>
              <w:t>2、企业严格落实安全生产工作制度，加强各类环保设施的管理与维护，确保其长期稳定运行，并严格控制工艺操作参数；</w:t>
            </w:r>
          </w:p>
          <w:p w14:paraId="7726FE9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szCs w:val="24"/>
              </w:rPr>
            </w:pPr>
            <w:r>
              <w:rPr>
                <w:rFonts w:hint="eastAsia"/>
                <w:sz w:val="24"/>
                <w:szCs w:val="24"/>
              </w:rPr>
              <w:t>3、加强环境管理，杜绝生产过程中一切“跑、冒、滴、漏”现象。</w:t>
            </w:r>
          </w:p>
          <w:p w14:paraId="2E02F999">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sz w:val="24"/>
                <w:szCs w:val="24"/>
              </w:rPr>
            </w:pPr>
          </w:p>
        </w:tc>
      </w:tr>
    </w:tbl>
    <w:p w14:paraId="486DFE2C">
      <w:pPr>
        <w:pStyle w:val="24"/>
        <w:spacing w:after="0"/>
        <w:ind w:left="0" w:leftChars="0" w:right="-172" w:firstLine="0" w:firstLineChars="0"/>
        <w:sectPr>
          <w:footerReference r:id="rId8" w:type="default"/>
          <w:pgSz w:w="12240" w:h="15840"/>
          <w:pgMar w:top="283" w:right="1418" w:bottom="283" w:left="1418" w:header="720" w:footer="720" w:gutter="0"/>
          <w:cols w:space="720" w:num="1"/>
          <w:docGrid w:type="linesAndChars" w:linePitch="312" w:charSpace="0"/>
        </w:sectPr>
      </w:pPr>
    </w:p>
    <w:p w14:paraId="268FC326">
      <w:pPr>
        <w:ind w:right="-172" w:firstLine="480"/>
        <w:jc w:val="center"/>
        <w:rPr>
          <w:sz w:val="24"/>
          <w:szCs w:val="24"/>
        </w:rPr>
      </w:pPr>
      <w:r>
        <w:drawing>
          <wp:inline distT="0" distB="0" distL="114300" distR="114300">
            <wp:extent cx="4210050" cy="5968365"/>
            <wp:effectExtent l="0" t="0" r="0"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4210050" cy="5968365"/>
                    </a:xfrm>
                    <a:prstGeom prst="rect">
                      <a:avLst/>
                    </a:prstGeom>
                    <a:noFill/>
                    <a:ln>
                      <a:noFill/>
                    </a:ln>
                  </pic:spPr>
                </pic:pic>
              </a:graphicData>
            </a:graphic>
          </wp:inline>
        </w:drawing>
      </w:r>
    </w:p>
    <w:p w14:paraId="4B213218">
      <w:pPr>
        <w:ind w:right="-172" w:firstLine="480"/>
        <w:rPr>
          <w:sz w:val="24"/>
          <w:szCs w:val="24"/>
        </w:rPr>
        <w:sectPr>
          <w:pgSz w:w="15840" w:h="12240" w:orient="landscape"/>
          <w:pgMar w:top="1418" w:right="283" w:bottom="1418" w:left="283" w:header="720" w:footer="720" w:gutter="0"/>
          <w:cols w:space="720" w:num="1"/>
          <w:docGrid w:type="linesAndChars" w:linePitch="312" w:charSpace="0"/>
        </w:sectPr>
      </w:pPr>
    </w:p>
    <w:p w14:paraId="15EE4D0D">
      <w:pPr>
        <w:ind w:right="-172" w:firstLine="480"/>
        <w:jc w:val="center"/>
        <w:rPr>
          <w:sz w:val="24"/>
          <w:szCs w:val="24"/>
        </w:rPr>
      </w:pPr>
      <w:r>
        <w:drawing>
          <wp:inline distT="0" distB="0" distL="114300" distR="114300">
            <wp:extent cx="7600950" cy="34766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tretch>
                      <a:fillRect/>
                    </a:stretch>
                  </pic:blipFill>
                  <pic:spPr>
                    <a:xfrm>
                      <a:off x="0" y="0"/>
                      <a:ext cx="7600950" cy="3476625"/>
                    </a:xfrm>
                    <a:prstGeom prst="rect">
                      <a:avLst/>
                    </a:prstGeom>
                    <a:noFill/>
                    <a:ln>
                      <a:noFill/>
                    </a:ln>
                  </pic:spPr>
                </pic:pic>
              </a:graphicData>
            </a:graphic>
          </wp:inline>
        </w:drawing>
      </w:r>
    </w:p>
    <w:p w14:paraId="6794FAF6">
      <w:pPr>
        <w:ind w:right="-172" w:firstLine="480"/>
        <w:jc w:val="center"/>
        <w:rPr>
          <w:sz w:val="24"/>
          <w:szCs w:val="24"/>
        </w:rPr>
      </w:pPr>
      <w:r>
        <w:rPr>
          <w:sz w:val="24"/>
          <w:szCs w:val="24"/>
        </w:rPr>
        <w:t>附图2 项目周边概况</w:t>
      </w:r>
    </w:p>
    <w:p w14:paraId="2A896EC9">
      <w:pPr>
        <w:pStyle w:val="21"/>
        <w:rPr>
          <w:sz w:val="24"/>
          <w:szCs w:val="24"/>
        </w:rPr>
      </w:pPr>
    </w:p>
    <w:p w14:paraId="44AD804A">
      <w:pPr>
        <w:pStyle w:val="21"/>
        <w:jc w:val="center"/>
      </w:pPr>
      <w:r>
        <w:drawing>
          <wp:inline distT="0" distB="0" distL="114300" distR="114300">
            <wp:extent cx="7477125" cy="4276725"/>
            <wp:effectExtent l="0" t="0" r="952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5"/>
                    <a:stretch>
                      <a:fillRect/>
                    </a:stretch>
                  </pic:blipFill>
                  <pic:spPr>
                    <a:xfrm>
                      <a:off x="0" y="0"/>
                      <a:ext cx="7477125" cy="4276725"/>
                    </a:xfrm>
                    <a:prstGeom prst="rect">
                      <a:avLst/>
                    </a:prstGeom>
                    <a:noFill/>
                    <a:ln>
                      <a:noFill/>
                    </a:ln>
                  </pic:spPr>
                </pic:pic>
              </a:graphicData>
            </a:graphic>
          </wp:inline>
        </w:drawing>
      </w:r>
    </w:p>
    <w:p w14:paraId="329BE305">
      <w:pPr>
        <w:pStyle w:val="21"/>
        <w:jc w:val="center"/>
      </w:pPr>
    </w:p>
    <w:p w14:paraId="3D9A7140">
      <w:pPr>
        <w:pStyle w:val="21"/>
        <w:jc w:val="center"/>
        <w:rPr>
          <w:rFonts w:hint="default" w:eastAsia="宋体"/>
          <w:lang w:val="en-US" w:eastAsia="zh-CN"/>
        </w:rPr>
        <w:sectPr>
          <w:pgSz w:w="15840" w:h="12240" w:orient="landscape"/>
          <w:pgMar w:top="1418" w:right="283" w:bottom="1418" w:left="283" w:header="720" w:footer="720" w:gutter="0"/>
          <w:cols w:space="720" w:num="1"/>
          <w:docGrid w:type="linesAndChars" w:linePitch="312" w:charSpace="0"/>
        </w:sectPr>
      </w:pPr>
      <w:r>
        <w:rPr>
          <w:rFonts w:hint="eastAsia"/>
          <w:lang w:val="en-US" w:eastAsia="zh-CN"/>
        </w:rPr>
        <w:t>附图3 平面布置图</w:t>
      </w:r>
    </w:p>
    <w:p w14:paraId="0E998B8E">
      <w:pPr>
        <w:ind w:right="-172" w:firstLine="480"/>
        <w:jc w:val="left"/>
        <w:rPr>
          <w:szCs w:val="21"/>
        </w:rPr>
      </w:pPr>
      <w:r>
        <w:rPr>
          <w:sz w:val="24"/>
          <w:szCs w:val="24"/>
        </w:rPr>
        <w:t>附件1 关于</w:t>
      </w:r>
      <w:r>
        <w:rPr>
          <w:rFonts w:hint="eastAsia"/>
          <w:sz w:val="24"/>
          <w:szCs w:val="24"/>
        </w:rPr>
        <w:t>宣城兴旺达精密科技有限公司 年产400万件新能源汽车电池零部件项目</w:t>
      </w:r>
      <w:r>
        <w:rPr>
          <w:sz w:val="24"/>
          <w:szCs w:val="24"/>
        </w:rPr>
        <w:t>报告表审批意见</w:t>
      </w:r>
      <w:r>
        <w:drawing>
          <wp:inline distT="0" distB="0" distL="114300" distR="114300">
            <wp:extent cx="5514975" cy="782955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5514975" cy="7829550"/>
                    </a:xfrm>
                    <a:prstGeom prst="rect">
                      <a:avLst/>
                    </a:prstGeom>
                    <a:noFill/>
                    <a:ln>
                      <a:noFill/>
                    </a:ln>
                  </pic:spPr>
                </pic:pic>
              </a:graphicData>
            </a:graphic>
          </wp:inline>
        </w:drawing>
      </w:r>
      <w:r>
        <w:drawing>
          <wp:inline distT="0" distB="0" distL="114300" distR="114300">
            <wp:extent cx="5543550" cy="7848600"/>
            <wp:effectExtent l="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7"/>
                    <a:stretch>
                      <a:fillRect/>
                    </a:stretch>
                  </pic:blipFill>
                  <pic:spPr>
                    <a:xfrm>
                      <a:off x="0" y="0"/>
                      <a:ext cx="5543550" cy="7848600"/>
                    </a:xfrm>
                    <a:prstGeom prst="rect">
                      <a:avLst/>
                    </a:prstGeom>
                    <a:noFill/>
                    <a:ln>
                      <a:noFill/>
                    </a:ln>
                  </pic:spPr>
                </pic:pic>
              </a:graphicData>
            </a:graphic>
          </wp:inline>
        </w:drawing>
      </w:r>
      <w:r>
        <w:drawing>
          <wp:inline distT="0" distB="0" distL="114300" distR="114300">
            <wp:extent cx="5534025" cy="7791450"/>
            <wp:effectExtent l="0" t="0" r="952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8"/>
                    <a:stretch>
                      <a:fillRect/>
                    </a:stretch>
                  </pic:blipFill>
                  <pic:spPr>
                    <a:xfrm>
                      <a:off x="0" y="0"/>
                      <a:ext cx="5534025" cy="7791450"/>
                    </a:xfrm>
                    <a:prstGeom prst="rect">
                      <a:avLst/>
                    </a:prstGeom>
                    <a:noFill/>
                    <a:ln>
                      <a:noFill/>
                    </a:ln>
                  </pic:spPr>
                </pic:pic>
              </a:graphicData>
            </a:graphic>
          </wp:inline>
        </w:drawing>
      </w:r>
    </w:p>
    <w:p w14:paraId="338B90EA">
      <w:pPr>
        <w:ind w:right="-172" w:firstLine="420"/>
        <w:rPr>
          <w:szCs w:val="21"/>
        </w:rPr>
      </w:pPr>
    </w:p>
    <w:p w14:paraId="6FF85610">
      <w:pPr>
        <w:ind w:right="-172" w:firstLine="420"/>
        <w:rPr>
          <w:szCs w:val="21"/>
        </w:rPr>
        <w:sectPr>
          <w:pgSz w:w="12240" w:h="15840"/>
          <w:pgMar w:top="283" w:right="1418" w:bottom="283" w:left="1418" w:header="720" w:footer="720" w:gutter="0"/>
          <w:cols w:space="720" w:num="1"/>
          <w:docGrid w:type="linesAndChars" w:linePitch="312" w:charSpace="0"/>
        </w:sectPr>
      </w:pPr>
    </w:p>
    <w:p w14:paraId="185EABC2">
      <w:pPr>
        <w:ind w:right="-172" w:firstLine="420"/>
        <w:jc w:val="center"/>
        <w:rPr>
          <w:szCs w:val="21"/>
        </w:rPr>
      </w:pPr>
      <w:r>
        <w:rPr>
          <w:szCs w:val="21"/>
        </w:rPr>
        <w:t>附件3 验收监测报告</w:t>
      </w:r>
    </w:p>
    <w:p w14:paraId="02EFFD4F">
      <w:pPr>
        <w:ind w:right="-172" w:firstLine="420"/>
        <w:jc w:val="center"/>
        <w:rPr>
          <w:szCs w:val="21"/>
        </w:rPr>
      </w:pPr>
    </w:p>
    <w:p w14:paraId="4BD56C48">
      <w:pPr>
        <w:ind w:right="-172" w:firstLine="420"/>
        <w:jc w:val="center"/>
        <w:rPr>
          <w:szCs w:val="21"/>
        </w:rPr>
      </w:pPr>
      <w:r>
        <w:rPr>
          <w:szCs w:val="21"/>
        </w:rPr>
        <w:t>附件4 排污许可证</w:t>
      </w:r>
    </w:p>
    <w:p w14:paraId="5F25A818">
      <w:pPr>
        <w:ind w:right="-172" w:firstLine="420"/>
        <w:jc w:val="center"/>
        <w:rPr>
          <w:szCs w:val="21"/>
        </w:rPr>
        <w:sectPr>
          <w:pgSz w:w="12240" w:h="15840"/>
          <w:pgMar w:top="283" w:right="1418" w:bottom="283" w:left="1418" w:header="720" w:footer="720" w:gutter="0"/>
          <w:cols w:space="720" w:num="1"/>
          <w:docGrid w:type="linesAndChars" w:linePitch="312" w:charSpace="0"/>
        </w:sectPr>
      </w:pPr>
      <w:r>
        <w:drawing>
          <wp:inline distT="0" distB="0" distL="114300" distR="114300">
            <wp:extent cx="5924550" cy="6781800"/>
            <wp:effectExtent l="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9"/>
                    <a:stretch>
                      <a:fillRect/>
                    </a:stretch>
                  </pic:blipFill>
                  <pic:spPr>
                    <a:xfrm>
                      <a:off x="0" y="0"/>
                      <a:ext cx="5924550" cy="6781800"/>
                    </a:xfrm>
                    <a:prstGeom prst="rect">
                      <a:avLst/>
                    </a:prstGeom>
                    <a:noFill/>
                    <a:ln>
                      <a:noFill/>
                    </a:ln>
                  </pic:spPr>
                </pic:pic>
              </a:graphicData>
            </a:graphic>
          </wp:inline>
        </w:drawing>
      </w:r>
    </w:p>
    <w:p w14:paraId="3E7AC97D">
      <w:pPr>
        <w:ind w:right="-172"/>
        <w:rPr>
          <w:sz w:val="20"/>
        </w:rPr>
      </w:pPr>
      <w:bookmarkStart w:id="18" w:name="_GoBack"/>
      <w:bookmarkEnd w:id="18"/>
    </w:p>
    <w:sectPr>
      <w:pgSz w:w="15840" w:h="12240" w:orient="landscape"/>
      <w:pgMar w:top="1418" w:right="283" w:bottom="1418" w:left="283" w:header="720" w:footer="720"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imesNewRomanPSMT">
    <w:altName w:val="等线"/>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1692">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A92BB">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54A92BB">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FFEF">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F1B4D">
                          <w:pPr>
                            <w:pStyle w:val="17"/>
                          </w:pPr>
                          <w:r>
                            <w:t xml:space="preserve">第 </w:t>
                          </w:r>
                          <w:r>
                            <w:fldChar w:fldCharType="begin"/>
                          </w:r>
                          <w:r>
                            <w:instrText xml:space="preserve"> PAGE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B4F1B4D">
                    <w:pPr>
                      <w:pStyle w:val="17"/>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207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2081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DA5BD">
                          <w:pPr>
                            <w:pStyle w:val="17"/>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1pt;mso-position-horizontal:center;mso-position-horizontal-relative:margin;z-index:251659264;mso-width-relative:page;mso-height-relative:page;" filled="f" stroked="f" coordsize="21600,21600" o:gfxdata="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Ku7AvSAAAABAEAAA8AAAAAAAAAAQAgAAAAIgAAAGRycy9kb3ducmV2LnhtbFBLAQIUABQA&#10;AAAIAIdO4kCii+ATLwIAAFYEAAAOAAAAAAAAAAEAIAAAACEBAABkcnMvZTJvRG9jLnhtbFBLBQYA&#10;AAAABgAGAFkBAADCBQAAAAA=&#10;">
              <v:fill on="f" focussize="0,0"/>
              <v:stroke on="f" weight="0.5pt"/>
              <v:imagedata o:title=""/>
              <o:lock v:ext="edit" aspectratio="f"/>
              <v:textbox inset="0mm,0mm,0mm,0mm" style="mso-fit-shape-to-text:t;">
                <w:txbxContent>
                  <w:p w14:paraId="51ADA5BD">
                    <w:pPr>
                      <w:pStyle w:val="17"/>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F6565">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93F45">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6AB9">
    <w:pPr>
      <w:pStyle w:val="1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355E">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46C3E"/>
    <w:multiLevelType w:val="singleLevel"/>
    <w:tmpl w:val="81546C3E"/>
    <w:lvl w:ilvl="0" w:tentative="0">
      <w:start w:val="2"/>
      <w:numFmt w:val="decimal"/>
      <w:suff w:val="nothing"/>
      <w:lvlText w:val="%1、"/>
      <w:lvlJc w:val="left"/>
    </w:lvl>
  </w:abstractNum>
  <w:abstractNum w:abstractNumId="1">
    <w:nsid w:val="85FC3184"/>
    <w:multiLevelType w:val="singleLevel"/>
    <w:tmpl w:val="85FC3184"/>
    <w:lvl w:ilvl="0" w:tentative="0">
      <w:start w:val="1"/>
      <w:numFmt w:val="decimal"/>
      <w:suff w:val="nothing"/>
      <w:lvlText w:val="%1、"/>
      <w:lvlJc w:val="left"/>
    </w:lvl>
  </w:abstractNum>
  <w:abstractNum w:abstractNumId="2">
    <w:nsid w:val="909A9F4A"/>
    <w:multiLevelType w:val="singleLevel"/>
    <w:tmpl w:val="909A9F4A"/>
    <w:lvl w:ilvl="0" w:tentative="0">
      <w:start w:val="1"/>
      <w:numFmt w:val="decimal"/>
      <w:suff w:val="nothing"/>
      <w:lvlText w:val="（%1）"/>
      <w:lvlJc w:val="left"/>
    </w:lvl>
  </w:abstractNum>
  <w:abstractNum w:abstractNumId="3">
    <w:nsid w:val="10E5584F"/>
    <w:multiLevelType w:val="singleLevel"/>
    <w:tmpl w:val="10E5584F"/>
    <w:lvl w:ilvl="0" w:tentative="0">
      <w:start w:val="6"/>
      <w:numFmt w:val="decimal"/>
      <w:suff w:val="nothing"/>
      <w:lvlText w:val="%1、"/>
      <w:lvlJc w:val="left"/>
    </w:lvl>
  </w:abstractNum>
  <w:abstractNum w:abstractNumId="4">
    <w:nsid w:val="1C005320"/>
    <w:multiLevelType w:val="multilevel"/>
    <w:tmpl w:val="1C00532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2537655E"/>
    <w:multiLevelType w:val="multilevel"/>
    <w:tmpl w:val="2537655E"/>
    <w:lvl w:ilvl="0" w:tentative="0">
      <w:start w:val="3"/>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40A9467"/>
    <w:multiLevelType w:val="singleLevel"/>
    <w:tmpl w:val="340A9467"/>
    <w:lvl w:ilvl="0" w:tentative="0">
      <w:start w:val="2"/>
      <w:numFmt w:val="decimal"/>
      <w:suff w:val="nothing"/>
      <w:lvlText w:val="（%1）"/>
      <w:lvlJc w:val="left"/>
    </w:lvl>
  </w:abstractNum>
  <w:abstractNum w:abstractNumId="7">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2"/>
      <w:suff w:val="space"/>
      <w:lvlText w:val="%1.%2"/>
      <w:lvlJc w:val="left"/>
      <w:pPr>
        <w:ind w:left="168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4464CC4F"/>
    <w:multiLevelType w:val="multilevel"/>
    <w:tmpl w:val="4464CC4F"/>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8"/>
  </w:num>
  <w:num w:numId="2">
    <w:abstractNumId w:val="7"/>
  </w:num>
  <w:num w:numId="3">
    <w:abstractNumId w:val="0"/>
  </w:num>
  <w:num w:numId="4">
    <w:abstractNumId w:val="3"/>
  </w:num>
  <w:num w:numId="5">
    <w:abstractNumId w:val="6"/>
  </w:num>
  <w:num w:numId="6">
    <w:abstractNumId w:val="4"/>
  </w:num>
  <w:num w:numId="7">
    <w:abstractNumId w:val="2"/>
  </w:num>
  <w:num w:numId="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MTUzYmY2ZDQyOTk5Mjk5ZDkzNDI1OWI3NjhkZjMifQ=="/>
  </w:docVars>
  <w:rsids>
    <w:rsidRoot w:val="00172A27"/>
    <w:rsid w:val="00033ABA"/>
    <w:rsid w:val="00044E60"/>
    <w:rsid w:val="000774CB"/>
    <w:rsid w:val="00085726"/>
    <w:rsid w:val="00096770"/>
    <w:rsid w:val="000A1AD3"/>
    <w:rsid w:val="000C6BD8"/>
    <w:rsid w:val="000C73A1"/>
    <w:rsid w:val="000C7C89"/>
    <w:rsid w:val="000D2ED4"/>
    <w:rsid w:val="000D3231"/>
    <w:rsid w:val="000D44C1"/>
    <w:rsid w:val="000E1578"/>
    <w:rsid w:val="000F011D"/>
    <w:rsid w:val="000F66A2"/>
    <w:rsid w:val="00104426"/>
    <w:rsid w:val="00107E4E"/>
    <w:rsid w:val="00120E2A"/>
    <w:rsid w:val="00120FD8"/>
    <w:rsid w:val="001218F9"/>
    <w:rsid w:val="00132D42"/>
    <w:rsid w:val="00135BA3"/>
    <w:rsid w:val="001410DD"/>
    <w:rsid w:val="0014354D"/>
    <w:rsid w:val="00154F90"/>
    <w:rsid w:val="0016064C"/>
    <w:rsid w:val="00171E8E"/>
    <w:rsid w:val="00172A27"/>
    <w:rsid w:val="00180B5E"/>
    <w:rsid w:val="00193827"/>
    <w:rsid w:val="00195FAF"/>
    <w:rsid w:val="001A361F"/>
    <w:rsid w:val="001A53F9"/>
    <w:rsid w:val="001B5AD9"/>
    <w:rsid w:val="001D4C8A"/>
    <w:rsid w:val="00213178"/>
    <w:rsid w:val="00214682"/>
    <w:rsid w:val="00215A76"/>
    <w:rsid w:val="002169CC"/>
    <w:rsid w:val="0022538C"/>
    <w:rsid w:val="00234BC6"/>
    <w:rsid w:val="00236D11"/>
    <w:rsid w:val="00242F18"/>
    <w:rsid w:val="00263234"/>
    <w:rsid w:val="002729D7"/>
    <w:rsid w:val="00274489"/>
    <w:rsid w:val="00287677"/>
    <w:rsid w:val="00296EF2"/>
    <w:rsid w:val="002C4604"/>
    <w:rsid w:val="002D6D5C"/>
    <w:rsid w:val="002D731F"/>
    <w:rsid w:val="002E7D6F"/>
    <w:rsid w:val="002F2EFE"/>
    <w:rsid w:val="002F31A8"/>
    <w:rsid w:val="002F3A8F"/>
    <w:rsid w:val="002F60F9"/>
    <w:rsid w:val="00316DAF"/>
    <w:rsid w:val="00316DB5"/>
    <w:rsid w:val="0032562C"/>
    <w:rsid w:val="003261EF"/>
    <w:rsid w:val="0033136E"/>
    <w:rsid w:val="00336502"/>
    <w:rsid w:val="003502C5"/>
    <w:rsid w:val="00355711"/>
    <w:rsid w:val="0037391A"/>
    <w:rsid w:val="003825ED"/>
    <w:rsid w:val="003925C6"/>
    <w:rsid w:val="00396946"/>
    <w:rsid w:val="003A4C06"/>
    <w:rsid w:val="003A59BE"/>
    <w:rsid w:val="003C1C19"/>
    <w:rsid w:val="003D10A1"/>
    <w:rsid w:val="003D241C"/>
    <w:rsid w:val="003E3D0D"/>
    <w:rsid w:val="004020A8"/>
    <w:rsid w:val="004035F6"/>
    <w:rsid w:val="00407FF9"/>
    <w:rsid w:val="00433017"/>
    <w:rsid w:val="00433A96"/>
    <w:rsid w:val="0043419A"/>
    <w:rsid w:val="00436099"/>
    <w:rsid w:val="00442256"/>
    <w:rsid w:val="0044483F"/>
    <w:rsid w:val="00444BAF"/>
    <w:rsid w:val="00445611"/>
    <w:rsid w:val="00445668"/>
    <w:rsid w:val="004521CB"/>
    <w:rsid w:val="004642F5"/>
    <w:rsid w:val="0048033F"/>
    <w:rsid w:val="004A70C7"/>
    <w:rsid w:val="004B0803"/>
    <w:rsid w:val="004B50D5"/>
    <w:rsid w:val="004D681C"/>
    <w:rsid w:val="004D75E7"/>
    <w:rsid w:val="004E06DA"/>
    <w:rsid w:val="004E2F40"/>
    <w:rsid w:val="00500B88"/>
    <w:rsid w:val="0050763E"/>
    <w:rsid w:val="00521027"/>
    <w:rsid w:val="00521C99"/>
    <w:rsid w:val="0052791E"/>
    <w:rsid w:val="0053172A"/>
    <w:rsid w:val="00532C64"/>
    <w:rsid w:val="00533BC3"/>
    <w:rsid w:val="00534BE3"/>
    <w:rsid w:val="00543040"/>
    <w:rsid w:val="0056141F"/>
    <w:rsid w:val="00565521"/>
    <w:rsid w:val="00590F24"/>
    <w:rsid w:val="00594D9A"/>
    <w:rsid w:val="005A47B8"/>
    <w:rsid w:val="005B07CB"/>
    <w:rsid w:val="005C6628"/>
    <w:rsid w:val="005D3EBB"/>
    <w:rsid w:val="005D3EE8"/>
    <w:rsid w:val="005E2CE4"/>
    <w:rsid w:val="005E2D48"/>
    <w:rsid w:val="005E6FCC"/>
    <w:rsid w:val="005F4CA0"/>
    <w:rsid w:val="00601050"/>
    <w:rsid w:val="00602807"/>
    <w:rsid w:val="0062101D"/>
    <w:rsid w:val="006246D8"/>
    <w:rsid w:val="006305E2"/>
    <w:rsid w:val="0063462B"/>
    <w:rsid w:val="00654E00"/>
    <w:rsid w:val="00655176"/>
    <w:rsid w:val="00660BFC"/>
    <w:rsid w:val="00665B48"/>
    <w:rsid w:val="006766C3"/>
    <w:rsid w:val="00690426"/>
    <w:rsid w:val="00691403"/>
    <w:rsid w:val="006927F6"/>
    <w:rsid w:val="006B3D44"/>
    <w:rsid w:val="006B7DAB"/>
    <w:rsid w:val="006C15F4"/>
    <w:rsid w:val="006D6F3B"/>
    <w:rsid w:val="006E60FB"/>
    <w:rsid w:val="006F23BB"/>
    <w:rsid w:val="00702129"/>
    <w:rsid w:val="0070414C"/>
    <w:rsid w:val="007061EA"/>
    <w:rsid w:val="00712EA6"/>
    <w:rsid w:val="00720EA8"/>
    <w:rsid w:val="00735F59"/>
    <w:rsid w:val="00742CA9"/>
    <w:rsid w:val="00745CC3"/>
    <w:rsid w:val="007474A2"/>
    <w:rsid w:val="00754F18"/>
    <w:rsid w:val="00761580"/>
    <w:rsid w:val="0076242C"/>
    <w:rsid w:val="00764132"/>
    <w:rsid w:val="00776A91"/>
    <w:rsid w:val="007819FC"/>
    <w:rsid w:val="00792BA7"/>
    <w:rsid w:val="007A2643"/>
    <w:rsid w:val="007A5482"/>
    <w:rsid w:val="007B6BF5"/>
    <w:rsid w:val="007D3DE4"/>
    <w:rsid w:val="007E1E46"/>
    <w:rsid w:val="007E4206"/>
    <w:rsid w:val="00803A8A"/>
    <w:rsid w:val="008059A4"/>
    <w:rsid w:val="00812315"/>
    <w:rsid w:val="008158EF"/>
    <w:rsid w:val="008205EE"/>
    <w:rsid w:val="008259ED"/>
    <w:rsid w:val="00832CBA"/>
    <w:rsid w:val="00843401"/>
    <w:rsid w:val="00845038"/>
    <w:rsid w:val="008461D1"/>
    <w:rsid w:val="00855F91"/>
    <w:rsid w:val="008612F7"/>
    <w:rsid w:val="0087602F"/>
    <w:rsid w:val="008819D3"/>
    <w:rsid w:val="0089362F"/>
    <w:rsid w:val="00893B03"/>
    <w:rsid w:val="008966B9"/>
    <w:rsid w:val="0089779E"/>
    <w:rsid w:val="008B5E77"/>
    <w:rsid w:val="008D3CBE"/>
    <w:rsid w:val="008F0913"/>
    <w:rsid w:val="008F3D98"/>
    <w:rsid w:val="00901495"/>
    <w:rsid w:val="00903984"/>
    <w:rsid w:val="00915D6F"/>
    <w:rsid w:val="00940C23"/>
    <w:rsid w:val="009444E7"/>
    <w:rsid w:val="00953D6D"/>
    <w:rsid w:val="0096359A"/>
    <w:rsid w:val="00967503"/>
    <w:rsid w:val="00974DD7"/>
    <w:rsid w:val="00982FF9"/>
    <w:rsid w:val="009849F8"/>
    <w:rsid w:val="0099030F"/>
    <w:rsid w:val="00990750"/>
    <w:rsid w:val="0099473B"/>
    <w:rsid w:val="009966DB"/>
    <w:rsid w:val="009A31E1"/>
    <w:rsid w:val="009B2AC8"/>
    <w:rsid w:val="009C3795"/>
    <w:rsid w:val="009D42FB"/>
    <w:rsid w:val="009D4B8F"/>
    <w:rsid w:val="009E1E5B"/>
    <w:rsid w:val="009E2897"/>
    <w:rsid w:val="009E2E0E"/>
    <w:rsid w:val="009F7C9E"/>
    <w:rsid w:val="00A010BF"/>
    <w:rsid w:val="00A07167"/>
    <w:rsid w:val="00A1115A"/>
    <w:rsid w:val="00A26620"/>
    <w:rsid w:val="00A27E49"/>
    <w:rsid w:val="00A30A79"/>
    <w:rsid w:val="00A30D07"/>
    <w:rsid w:val="00A42A02"/>
    <w:rsid w:val="00A570B8"/>
    <w:rsid w:val="00A630E6"/>
    <w:rsid w:val="00A70183"/>
    <w:rsid w:val="00A75E27"/>
    <w:rsid w:val="00A80C46"/>
    <w:rsid w:val="00A81E50"/>
    <w:rsid w:val="00A8522F"/>
    <w:rsid w:val="00AA51EC"/>
    <w:rsid w:val="00AA5208"/>
    <w:rsid w:val="00AA7075"/>
    <w:rsid w:val="00AD1335"/>
    <w:rsid w:val="00AD1D43"/>
    <w:rsid w:val="00AD71CD"/>
    <w:rsid w:val="00AE7A6E"/>
    <w:rsid w:val="00AE7B1B"/>
    <w:rsid w:val="00AF4615"/>
    <w:rsid w:val="00AF593D"/>
    <w:rsid w:val="00AF748F"/>
    <w:rsid w:val="00B007FD"/>
    <w:rsid w:val="00B05F2D"/>
    <w:rsid w:val="00B1283E"/>
    <w:rsid w:val="00B149FC"/>
    <w:rsid w:val="00B166F3"/>
    <w:rsid w:val="00B17A32"/>
    <w:rsid w:val="00B30C07"/>
    <w:rsid w:val="00B4534B"/>
    <w:rsid w:val="00B477D4"/>
    <w:rsid w:val="00B50EAA"/>
    <w:rsid w:val="00B54F2F"/>
    <w:rsid w:val="00B56748"/>
    <w:rsid w:val="00B65680"/>
    <w:rsid w:val="00B72586"/>
    <w:rsid w:val="00B8656D"/>
    <w:rsid w:val="00B92384"/>
    <w:rsid w:val="00B97D39"/>
    <w:rsid w:val="00BB7608"/>
    <w:rsid w:val="00BB7D48"/>
    <w:rsid w:val="00BC6E46"/>
    <w:rsid w:val="00BE11CB"/>
    <w:rsid w:val="00BE3325"/>
    <w:rsid w:val="00C03EA1"/>
    <w:rsid w:val="00C04469"/>
    <w:rsid w:val="00C04AAB"/>
    <w:rsid w:val="00C06638"/>
    <w:rsid w:val="00C253A1"/>
    <w:rsid w:val="00C26842"/>
    <w:rsid w:val="00C421DD"/>
    <w:rsid w:val="00C477DB"/>
    <w:rsid w:val="00C553E9"/>
    <w:rsid w:val="00C67A19"/>
    <w:rsid w:val="00C95A8C"/>
    <w:rsid w:val="00C9629E"/>
    <w:rsid w:val="00CA4944"/>
    <w:rsid w:val="00CA4EC0"/>
    <w:rsid w:val="00CA5F32"/>
    <w:rsid w:val="00CB3193"/>
    <w:rsid w:val="00CC2607"/>
    <w:rsid w:val="00CD7CBA"/>
    <w:rsid w:val="00CF0C90"/>
    <w:rsid w:val="00CF0E05"/>
    <w:rsid w:val="00CF47BC"/>
    <w:rsid w:val="00D02914"/>
    <w:rsid w:val="00D054E4"/>
    <w:rsid w:val="00D1248A"/>
    <w:rsid w:val="00D14088"/>
    <w:rsid w:val="00D33CA5"/>
    <w:rsid w:val="00D46B36"/>
    <w:rsid w:val="00D47B4F"/>
    <w:rsid w:val="00D57358"/>
    <w:rsid w:val="00D63B6A"/>
    <w:rsid w:val="00D65F61"/>
    <w:rsid w:val="00D836DB"/>
    <w:rsid w:val="00D84BF2"/>
    <w:rsid w:val="00D87138"/>
    <w:rsid w:val="00D92B64"/>
    <w:rsid w:val="00DB178B"/>
    <w:rsid w:val="00DD2055"/>
    <w:rsid w:val="00DD5E54"/>
    <w:rsid w:val="00DF0BCD"/>
    <w:rsid w:val="00DF2CEA"/>
    <w:rsid w:val="00E158F3"/>
    <w:rsid w:val="00E218E8"/>
    <w:rsid w:val="00E357C5"/>
    <w:rsid w:val="00E37C83"/>
    <w:rsid w:val="00E433FE"/>
    <w:rsid w:val="00E51AC8"/>
    <w:rsid w:val="00E60065"/>
    <w:rsid w:val="00E75454"/>
    <w:rsid w:val="00E80989"/>
    <w:rsid w:val="00E9068C"/>
    <w:rsid w:val="00E95CBD"/>
    <w:rsid w:val="00EA2BAC"/>
    <w:rsid w:val="00ED1A8C"/>
    <w:rsid w:val="00ED38E4"/>
    <w:rsid w:val="00ED4695"/>
    <w:rsid w:val="00EE66BF"/>
    <w:rsid w:val="00EE7FF2"/>
    <w:rsid w:val="00EF38F4"/>
    <w:rsid w:val="00EF3CDC"/>
    <w:rsid w:val="00EF58DF"/>
    <w:rsid w:val="00F00637"/>
    <w:rsid w:val="00F045DE"/>
    <w:rsid w:val="00F17BF8"/>
    <w:rsid w:val="00F35F63"/>
    <w:rsid w:val="00F514D2"/>
    <w:rsid w:val="00F61290"/>
    <w:rsid w:val="00F64C6C"/>
    <w:rsid w:val="00F74019"/>
    <w:rsid w:val="00F85859"/>
    <w:rsid w:val="00F87968"/>
    <w:rsid w:val="00F945AC"/>
    <w:rsid w:val="00F96FC7"/>
    <w:rsid w:val="00FB39CD"/>
    <w:rsid w:val="00FB62B9"/>
    <w:rsid w:val="00FC1DCD"/>
    <w:rsid w:val="00FE3BA5"/>
    <w:rsid w:val="00FF2A62"/>
    <w:rsid w:val="010D65E7"/>
    <w:rsid w:val="012810B4"/>
    <w:rsid w:val="015E7D77"/>
    <w:rsid w:val="018121FE"/>
    <w:rsid w:val="01B02698"/>
    <w:rsid w:val="023065A3"/>
    <w:rsid w:val="026828BA"/>
    <w:rsid w:val="02B37C11"/>
    <w:rsid w:val="02CE35A2"/>
    <w:rsid w:val="02D97075"/>
    <w:rsid w:val="03053068"/>
    <w:rsid w:val="032A5BAA"/>
    <w:rsid w:val="033D64C9"/>
    <w:rsid w:val="033F17BA"/>
    <w:rsid w:val="03AE3AF3"/>
    <w:rsid w:val="03E70F00"/>
    <w:rsid w:val="03F322A9"/>
    <w:rsid w:val="040E7DF7"/>
    <w:rsid w:val="04420471"/>
    <w:rsid w:val="04633852"/>
    <w:rsid w:val="0495080F"/>
    <w:rsid w:val="04BE2D4C"/>
    <w:rsid w:val="05765EFB"/>
    <w:rsid w:val="058363D7"/>
    <w:rsid w:val="05F2558F"/>
    <w:rsid w:val="06107BD8"/>
    <w:rsid w:val="06142C59"/>
    <w:rsid w:val="065169B7"/>
    <w:rsid w:val="0659769C"/>
    <w:rsid w:val="067949B2"/>
    <w:rsid w:val="06A71A96"/>
    <w:rsid w:val="06FD5A44"/>
    <w:rsid w:val="072A535A"/>
    <w:rsid w:val="07406D98"/>
    <w:rsid w:val="07CC7A85"/>
    <w:rsid w:val="08B1373D"/>
    <w:rsid w:val="095D3F56"/>
    <w:rsid w:val="09C65FA2"/>
    <w:rsid w:val="09E02404"/>
    <w:rsid w:val="09F45E7C"/>
    <w:rsid w:val="0A1E05EA"/>
    <w:rsid w:val="0A263099"/>
    <w:rsid w:val="0A8A2498"/>
    <w:rsid w:val="0A9A2495"/>
    <w:rsid w:val="0AA41414"/>
    <w:rsid w:val="0B2508C2"/>
    <w:rsid w:val="0B74584C"/>
    <w:rsid w:val="0B7C0033"/>
    <w:rsid w:val="0B830972"/>
    <w:rsid w:val="0CCD48BE"/>
    <w:rsid w:val="0CCF2D95"/>
    <w:rsid w:val="0D153B12"/>
    <w:rsid w:val="0D260522"/>
    <w:rsid w:val="0D605732"/>
    <w:rsid w:val="0D6D0A8F"/>
    <w:rsid w:val="0D934D3B"/>
    <w:rsid w:val="0DC60405"/>
    <w:rsid w:val="0DC857B1"/>
    <w:rsid w:val="0DD34156"/>
    <w:rsid w:val="0DED7ED7"/>
    <w:rsid w:val="0DF969DF"/>
    <w:rsid w:val="0E0407B3"/>
    <w:rsid w:val="0E641A67"/>
    <w:rsid w:val="0E813BB2"/>
    <w:rsid w:val="0E990EFC"/>
    <w:rsid w:val="0EA4043A"/>
    <w:rsid w:val="0EB03B03"/>
    <w:rsid w:val="0EBE59F0"/>
    <w:rsid w:val="0EC92E30"/>
    <w:rsid w:val="0EF91869"/>
    <w:rsid w:val="0F203152"/>
    <w:rsid w:val="0F4B48EC"/>
    <w:rsid w:val="0F6F0C17"/>
    <w:rsid w:val="0F840EFA"/>
    <w:rsid w:val="0FE87179"/>
    <w:rsid w:val="0FF2403A"/>
    <w:rsid w:val="102431A3"/>
    <w:rsid w:val="10551EA5"/>
    <w:rsid w:val="10741C20"/>
    <w:rsid w:val="10BD644A"/>
    <w:rsid w:val="10C27402"/>
    <w:rsid w:val="10E102B4"/>
    <w:rsid w:val="10E421F7"/>
    <w:rsid w:val="11006CB4"/>
    <w:rsid w:val="117F1CF2"/>
    <w:rsid w:val="11A149EC"/>
    <w:rsid w:val="11B2489D"/>
    <w:rsid w:val="11C24F8C"/>
    <w:rsid w:val="11D3445B"/>
    <w:rsid w:val="122E3606"/>
    <w:rsid w:val="1265327A"/>
    <w:rsid w:val="12734FF4"/>
    <w:rsid w:val="127402F8"/>
    <w:rsid w:val="12AE501B"/>
    <w:rsid w:val="12B87C26"/>
    <w:rsid w:val="12BF167F"/>
    <w:rsid w:val="12CB1303"/>
    <w:rsid w:val="12DC7767"/>
    <w:rsid w:val="12EE06F0"/>
    <w:rsid w:val="135D36BA"/>
    <w:rsid w:val="13C07A97"/>
    <w:rsid w:val="13DD7ADC"/>
    <w:rsid w:val="14131750"/>
    <w:rsid w:val="143A1DC3"/>
    <w:rsid w:val="14736CF2"/>
    <w:rsid w:val="14C173FE"/>
    <w:rsid w:val="14EF5D19"/>
    <w:rsid w:val="152A05A4"/>
    <w:rsid w:val="15562E71"/>
    <w:rsid w:val="1590059F"/>
    <w:rsid w:val="15B53505"/>
    <w:rsid w:val="15BC4477"/>
    <w:rsid w:val="15D32F45"/>
    <w:rsid w:val="15DF43C7"/>
    <w:rsid w:val="16020A82"/>
    <w:rsid w:val="160B0931"/>
    <w:rsid w:val="163F7520"/>
    <w:rsid w:val="1674589F"/>
    <w:rsid w:val="168A44DD"/>
    <w:rsid w:val="16A633AC"/>
    <w:rsid w:val="16B00D3B"/>
    <w:rsid w:val="16CF4CAA"/>
    <w:rsid w:val="16E7539A"/>
    <w:rsid w:val="170D2487"/>
    <w:rsid w:val="17257999"/>
    <w:rsid w:val="173F2D50"/>
    <w:rsid w:val="176F2E10"/>
    <w:rsid w:val="17924727"/>
    <w:rsid w:val="17E010C6"/>
    <w:rsid w:val="17EB7DAD"/>
    <w:rsid w:val="180128E2"/>
    <w:rsid w:val="18D65145"/>
    <w:rsid w:val="18FE29CF"/>
    <w:rsid w:val="1944077C"/>
    <w:rsid w:val="19872028"/>
    <w:rsid w:val="19BA20B8"/>
    <w:rsid w:val="19C109D2"/>
    <w:rsid w:val="19FB5B8D"/>
    <w:rsid w:val="1A04250E"/>
    <w:rsid w:val="1A072590"/>
    <w:rsid w:val="1A18361C"/>
    <w:rsid w:val="1A326095"/>
    <w:rsid w:val="1A334CF9"/>
    <w:rsid w:val="1A555CD4"/>
    <w:rsid w:val="1AC76EFF"/>
    <w:rsid w:val="1AD25C78"/>
    <w:rsid w:val="1AEE0FF3"/>
    <w:rsid w:val="1B2619A0"/>
    <w:rsid w:val="1B4D3B04"/>
    <w:rsid w:val="1B7764DC"/>
    <w:rsid w:val="1BCF28FA"/>
    <w:rsid w:val="1BE560E6"/>
    <w:rsid w:val="1C213520"/>
    <w:rsid w:val="1C6735AA"/>
    <w:rsid w:val="1D2B4323"/>
    <w:rsid w:val="1DED6B6E"/>
    <w:rsid w:val="1DF51CE6"/>
    <w:rsid w:val="1E326C77"/>
    <w:rsid w:val="1E481B8A"/>
    <w:rsid w:val="1E7D5D5A"/>
    <w:rsid w:val="1EBE0F84"/>
    <w:rsid w:val="1EC82F8B"/>
    <w:rsid w:val="1EFA19A2"/>
    <w:rsid w:val="1F256949"/>
    <w:rsid w:val="1F275B68"/>
    <w:rsid w:val="1F2E38E2"/>
    <w:rsid w:val="1F326B68"/>
    <w:rsid w:val="1F4C5B16"/>
    <w:rsid w:val="1F5D1366"/>
    <w:rsid w:val="1F8044E8"/>
    <w:rsid w:val="1F85090E"/>
    <w:rsid w:val="20971C12"/>
    <w:rsid w:val="20D13E1D"/>
    <w:rsid w:val="20E873A0"/>
    <w:rsid w:val="21023EE5"/>
    <w:rsid w:val="21710F66"/>
    <w:rsid w:val="219A0DBB"/>
    <w:rsid w:val="21BE58A7"/>
    <w:rsid w:val="21DE60F4"/>
    <w:rsid w:val="21E8421C"/>
    <w:rsid w:val="21EE2D00"/>
    <w:rsid w:val="22072C77"/>
    <w:rsid w:val="223202E0"/>
    <w:rsid w:val="225F44D5"/>
    <w:rsid w:val="22B47BC0"/>
    <w:rsid w:val="22D53B1C"/>
    <w:rsid w:val="22E84134"/>
    <w:rsid w:val="22EB3FC4"/>
    <w:rsid w:val="236B11B2"/>
    <w:rsid w:val="23FE71BE"/>
    <w:rsid w:val="240958D2"/>
    <w:rsid w:val="24443260"/>
    <w:rsid w:val="2483022C"/>
    <w:rsid w:val="248E736F"/>
    <w:rsid w:val="24A152B4"/>
    <w:rsid w:val="24A34261"/>
    <w:rsid w:val="24A5047B"/>
    <w:rsid w:val="24C373AA"/>
    <w:rsid w:val="24E30CCB"/>
    <w:rsid w:val="255120D8"/>
    <w:rsid w:val="256C6F12"/>
    <w:rsid w:val="258200D0"/>
    <w:rsid w:val="2583383F"/>
    <w:rsid w:val="25A82BEA"/>
    <w:rsid w:val="25B50AD7"/>
    <w:rsid w:val="25B66DDE"/>
    <w:rsid w:val="25CA1692"/>
    <w:rsid w:val="25CB707A"/>
    <w:rsid w:val="26777EAB"/>
    <w:rsid w:val="26D508AC"/>
    <w:rsid w:val="26ED009F"/>
    <w:rsid w:val="276A05B9"/>
    <w:rsid w:val="279C5BB5"/>
    <w:rsid w:val="27E17743"/>
    <w:rsid w:val="28162DCB"/>
    <w:rsid w:val="281F7254"/>
    <w:rsid w:val="28475064"/>
    <w:rsid w:val="289522DC"/>
    <w:rsid w:val="292E6ABE"/>
    <w:rsid w:val="29482BFC"/>
    <w:rsid w:val="294D2BB7"/>
    <w:rsid w:val="29A842E9"/>
    <w:rsid w:val="29C70319"/>
    <w:rsid w:val="29E13ABE"/>
    <w:rsid w:val="2A336250"/>
    <w:rsid w:val="2AB70EE3"/>
    <w:rsid w:val="2AE61E87"/>
    <w:rsid w:val="2B051814"/>
    <w:rsid w:val="2B324D1E"/>
    <w:rsid w:val="2B6B293F"/>
    <w:rsid w:val="2B846BB3"/>
    <w:rsid w:val="2BFC027B"/>
    <w:rsid w:val="2CAB2F09"/>
    <w:rsid w:val="2CB27B09"/>
    <w:rsid w:val="2CC97600"/>
    <w:rsid w:val="2CE670DA"/>
    <w:rsid w:val="2D1A0603"/>
    <w:rsid w:val="2D7C50C8"/>
    <w:rsid w:val="2DB27F55"/>
    <w:rsid w:val="2E1410E0"/>
    <w:rsid w:val="2E3014D6"/>
    <w:rsid w:val="2E434544"/>
    <w:rsid w:val="2E7806D6"/>
    <w:rsid w:val="2E7D17AC"/>
    <w:rsid w:val="2E842118"/>
    <w:rsid w:val="2ECC6A1D"/>
    <w:rsid w:val="2F005368"/>
    <w:rsid w:val="2F067908"/>
    <w:rsid w:val="2F4D57A4"/>
    <w:rsid w:val="302821EA"/>
    <w:rsid w:val="302B41D8"/>
    <w:rsid w:val="305F6554"/>
    <w:rsid w:val="305F7D9F"/>
    <w:rsid w:val="30812F1D"/>
    <w:rsid w:val="3086532C"/>
    <w:rsid w:val="30902137"/>
    <w:rsid w:val="30990E5F"/>
    <w:rsid w:val="30CB2A0E"/>
    <w:rsid w:val="31245B1A"/>
    <w:rsid w:val="313B601A"/>
    <w:rsid w:val="316A590D"/>
    <w:rsid w:val="316E63BC"/>
    <w:rsid w:val="31A439B1"/>
    <w:rsid w:val="31B751A4"/>
    <w:rsid w:val="31CA6FEB"/>
    <w:rsid w:val="31F67B1D"/>
    <w:rsid w:val="32682A15"/>
    <w:rsid w:val="32943604"/>
    <w:rsid w:val="32950EC6"/>
    <w:rsid w:val="32AA5843"/>
    <w:rsid w:val="33307EBA"/>
    <w:rsid w:val="336E404F"/>
    <w:rsid w:val="33950941"/>
    <w:rsid w:val="33C543BD"/>
    <w:rsid w:val="33D441B3"/>
    <w:rsid w:val="33D76BA2"/>
    <w:rsid w:val="33E01024"/>
    <w:rsid w:val="33E91DBA"/>
    <w:rsid w:val="340C3D9A"/>
    <w:rsid w:val="341207A2"/>
    <w:rsid w:val="34260722"/>
    <w:rsid w:val="34C208FD"/>
    <w:rsid w:val="34E30F65"/>
    <w:rsid w:val="34E5030F"/>
    <w:rsid w:val="34E940DB"/>
    <w:rsid w:val="351B1F37"/>
    <w:rsid w:val="35321615"/>
    <w:rsid w:val="35522FB0"/>
    <w:rsid w:val="358518D0"/>
    <w:rsid w:val="35C734BF"/>
    <w:rsid w:val="35E46651"/>
    <w:rsid w:val="35FF40AE"/>
    <w:rsid w:val="36015EC7"/>
    <w:rsid w:val="360D204B"/>
    <w:rsid w:val="36151A18"/>
    <w:rsid w:val="36A724D4"/>
    <w:rsid w:val="36C01398"/>
    <w:rsid w:val="36C418C4"/>
    <w:rsid w:val="36DE4509"/>
    <w:rsid w:val="36EA0095"/>
    <w:rsid w:val="379A3567"/>
    <w:rsid w:val="37E23D29"/>
    <w:rsid w:val="38135BF9"/>
    <w:rsid w:val="383C70CD"/>
    <w:rsid w:val="38642349"/>
    <w:rsid w:val="38CC58A6"/>
    <w:rsid w:val="391B26B1"/>
    <w:rsid w:val="393A0D20"/>
    <w:rsid w:val="39CE7911"/>
    <w:rsid w:val="39D73B91"/>
    <w:rsid w:val="39EF2FEB"/>
    <w:rsid w:val="39F234CA"/>
    <w:rsid w:val="3A7A45F6"/>
    <w:rsid w:val="3A7A684B"/>
    <w:rsid w:val="3A8C26A7"/>
    <w:rsid w:val="3A8F1746"/>
    <w:rsid w:val="3AD44286"/>
    <w:rsid w:val="3B2F100C"/>
    <w:rsid w:val="3B8C4700"/>
    <w:rsid w:val="3BA445C9"/>
    <w:rsid w:val="3BE42DAE"/>
    <w:rsid w:val="3BE92B6C"/>
    <w:rsid w:val="3C2A36B3"/>
    <w:rsid w:val="3C460065"/>
    <w:rsid w:val="3C90308E"/>
    <w:rsid w:val="3C964F89"/>
    <w:rsid w:val="3D2832C7"/>
    <w:rsid w:val="3D442475"/>
    <w:rsid w:val="3D546949"/>
    <w:rsid w:val="3D5E0465"/>
    <w:rsid w:val="3D942CD7"/>
    <w:rsid w:val="3DA3778A"/>
    <w:rsid w:val="3DFC4E7F"/>
    <w:rsid w:val="3ED2633E"/>
    <w:rsid w:val="3F035A85"/>
    <w:rsid w:val="3F756F22"/>
    <w:rsid w:val="3FB255E7"/>
    <w:rsid w:val="406F23A1"/>
    <w:rsid w:val="408178BE"/>
    <w:rsid w:val="40C56554"/>
    <w:rsid w:val="40F05EC7"/>
    <w:rsid w:val="41314E40"/>
    <w:rsid w:val="41401527"/>
    <w:rsid w:val="419E2142"/>
    <w:rsid w:val="41A75102"/>
    <w:rsid w:val="41F11FF0"/>
    <w:rsid w:val="4259241C"/>
    <w:rsid w:val="42624495"/>
    <w:rsid w:val="428216CB"/>
    <w:rsid w:val="42835F04"/>
    <w:rsid w:val="428E19B3"/>
    <w:rsid w:val="42AD4AF8"/>
    <w:rsid w:val="4302412F"/>
    <w:rsid w:val="43267D27"/>
    <w:rsid w:val="43CD4BC8"/>
    <w:rsid w:val="4456166D"/>
    <w:rsid w:val="44625310"/>
    <w:rsid w:val="44737D67"/>
    <w:rsid w:val="448926CF"/>
    <w:rsid w:val="44E16C97"/>
    <w:rsid w:val="45277827"/>
    <w:rsid w:val="458B60F0"/>
    <w:rsid w:val="45B222C8"/>
    <w:rsid w:val="45BB6DDA"/>
    <w:rsid w:val="45F155CD"/>
    <w:rsid w:val="460A3AE7"/>
    <w:rsid w:val="463B618A"/>
    <w:rsid w:val="465669B8"/>
    <w:rsid w:val="466C2A3D"/>
    <w:rsid w:val="46801675"/>
    <w:rsid w:val="46852D20"/>
    <w:rsid w:val="46F36755"/>
    <w:rsid w:val="47017063"/>
    <w:rsid w:val="471125A0"/>
    <w:rsid w:val="47430126"/>
    <w:rsid w:val="47601A84"/>
    <w:rsid w:val="47D7534A"/>
    <w:rsid w:val="47D91D8D"/>
    <w:rsid w:val="47E5148F"/>
    <w:rsid w:val="47EB26A2"/>
    <w:rsid w:val="47FB7983"/>
    <w:rsid w:val="48265C4D"/>
    <w:rsid w:val="49155047"/>
    <w:rsid w:val="494618BD"/>
    <w:rsid w:val="498C618B"/>
    <w:rsid w:val="498E5EB3"/>
    <w:rsid w:val="49916FD6"/>
    <w:rsid w:val="49953934"/>
    <w:rsid w:val="499F04A2"/>
    <w:rsid w:val="49B519F4"/>
    <w:rsid w:val="49BE1021"/>
    <w:rsid w:val="4A290D52"/>
    <w:rsid w:val="4A8179F8"/>
    <w:rsid w:val="4AC94970"/>
    <w:rsid w:val="4B123BE5"/>
    <w:rsid w:val="4B142BFD"/>
    <w:rsid w:val="4B185C54"/>
    <w:rsid w:val="4B4F664E"/>
    <w:rsid w:val="4B716184"/>
    <w:rsid w:val="4B731403"/>
    <w:rsid w:val="4BC2547A"/>
    <w:rsid w:val="4C1C049B"/>
    <w:rsid w:val="4C5A0FD4"/>
    <w:rsid w:val="4C9141EC"/>
    <w:rsid w:val="4CB204E6"/>
    <w:rsid w:val="4CB7425F"/>
    <w:rsid w:val="4D0339F5"/>
    <w:rsid w:val="4D050444"/>
    <w:rsid w:val="4D831B56"/>
    <w:rsid w:val="4DB35F61"/>
    <w:rsid w:val="4DC01ABA"/>
    <w:rsid w:val="4E2D392A"/>
    <w:rsid w:val="4E9F4E34"/>
    <w:rsid w:val="4ED249AF"/>
    <w:rsid w:val="4EE0127C"/>
    <w:rsid w:val="4F0D3227"/>
    <w:rsid w:val="4F1E630D"/>
    <w:rsid w:val="4F9F68E7"/>
    <w:rsid w:val="4FBC621D"/>
    <w:rsid w:val="4FCB5548"/>
    <w:rsid w:val="50041972"/>
    <w:rsid w:val="5039255E"/>
    <w:rsid w:val="507B60D8"/>
    <w:rsid w:val="511532A5"/>
    <w:rsid w:val="5156444F"/>
    <w:rsid w:val="51700063"/>
    <w:rsid w:val="51FC2507"/>
    <w:rsid w:val="52053B65"/>
    <w:rsid w:val="52175459"/>
    <w:rsid w:val="5264459C"/>
    <w:rsid w:val="52711BF0"/>
    <w:rsid w:val="52B63602"/>
    <w:rsid w:val="52CA4774"/>
    <w:rsid w:val="52CF3CD6"/>
    <w:rsid w:val="52D664F5"/>
    <w:rsid w:val="53394028"/>
    <w:rsid w:val="53594454"/>
    <w:rsid w:val="53A52781"/>
    <w:rsid w:val="53F1045F"/>
    <w:rsid w:val="541303D5"/>
    <w:rsid w:val="541F15FF"/>
    <w:rsid w:val="54674305"/>
    <w:rsid w:val="553C2FAA"/>
    <w:rsid w:val="553D7E00"/>
    <w:rsid w:val="553E2DA1"/>
    <w:rsid w:val="55420922"/>
    <w:rsid w:val="555C794D"/>
    <w:rsid w:val="558576E4"/>
    <w:rsid w:val="55936D3E"/>
    <w:rsid w:val="55AF2929"/>
    <w:rsid w:val="55C0633B"/>
    <w:rsid w:val="55F02FF6"/>
    <w:rsid w:val="56044479"/>
    <w:rsid w:val="567710EF"/>
    <w:rsid w:val="5696263A"/>
    <w:rsid w:val="56C32F1E"/>
    <w:rsid w:val="56E12A0D"/>
    <w:rsid w:val="56E96326"/>
    <w:rsid w:val="56F72230"/>
    <w:rsid w:val="5719244E"/>
    <w:rsid w:val="57527466"/>
    <w:rsid w:val="57541305"/>
    <w:rsid w:val="575E1764"/>
    <w:rsid w:val="57692A8B"/>
    <w:rsid w:val="57E74053"/>
    <w:rsid w:val="57E7707F"/>
    <w:rsid w:val="58371479"/>
    <w:rsid w:val="587753D7"/>
    <w:rsid w:val="588D2B0A"/>
    <w:rsid w:val="589C308F"/>
    <w:rsid w:val="58B01F7A"/>
    <w:rsid w:val="58D75F63"/>
    <w:rsid w:val="58EE7114"/>
    <w:rsid w:val="59182D97"/>
    <w:rsid w:val="596D4B10"/>
    <w:rsid w:val="59A04B5B"/>
    <w:rsid w:val="59BE36AB"/>
    <w:rsid w:val="59E04357"/>
    <w:rsid w:val="5A2A151F"/>
    <w:rsid w:val="5A3F4DB0"/>
    <w:rsid w:val="5A4F1E8C"/>
    <w:rsid w:val="5A930C01"/>
    <w:rsid w:val="5AF8394B"/>
    <w:rsid w:val="5B505541"/>
    <w:rsid w:val="5BDA1B80"/>
    <w:rsid w:val="5C3E0BDA"/>
    <w:rsid w:val="5C3F580E"/>
    <w:rsid w:val="5CB03F13"/>
    <w:rsid w:val="5CC54217"/>
    <w:rsid w:val="5CD10E2D"/>
    <w:rsid w:val="5CD92914"/>
    <w:rsid w:val="5CDF07AF"/>
    <w:rsid w:val="5CF30CB5"/>
    <w:rsid w:val="5D0A6B9C"/>
    <w:rsid w:val="5DDE3607"/>
    <w:rsid w:val="5DE8002E"/>
    <w:rsid w:val="5E0664B1"/>
    <w:rsid w:val="5E086AD1"/>
    <w:rsid w:val="5E4106E6"/>
    <w:rsid w:val="5E7A5B00"/>
    <w:rsid w:val="5E7B325E"/>
    <w:rsid w:val="5EA8045F"/>
    <w:rsid w:val="5EB66437"/>
    <w:rsid w:val="5EE07F1C"/>
    <w:rsid w:val="5EF71AB3"/>
    <w:rsid w:val="5F0431F7"/>
    <w:rsid w:val="5FC17EC7"/>
    <w:rsid w:val="5FD10757"/>
    <w:rsid w:val="5FE02FB1"/>
    <w:rsid w:val="5FE62E42"/>
    <w:rsid w:val="5FFA0927"/>
    <w:rsid w:val="600A4BC0"/>
    <w:rsid w:val="60233685"/>
    <w:rsid w:val="60250675"/>
    <w:rsid w:val="60596295"/>
    <w:rsid w:val="60622C56"/>
    <w:rsid w:val="609129DD"/>
    <w:rsid w:val="60F86154"/>
    <w:rsid w:val="614D57CA"/>
    <w:rsid w:val="615A5B58"/>
    <w:rsid w:val="616D3462"/>
    <w:rsid w:val="6180202A"/>
    <w:rsid w:val="61895805"/>
    <w:rsid w:val="61A53397"/>
    <w:rsid w:val="61A569E0"/>
    <w:rsid w:val="61EC61BE"/>
    <w:rsid w:val="6228295C"/>
    <w:rsid w:val="624316EF"/>
    <w:rsid w:val="62CF4061"/>
    <w:rsid w:val="62E6521F"/>
    <w:rsid w:val="62EC076F"/>
    <w:rsid w:val="62FD714A"/>
    <w:rsid w:val="63152B1B"/>
    <w:rsid w:val="63B2552A"/>
    <w:rsid w:val="64483D56"/>
    <w:rsid w:val="6449364E"/>
    <w:rsid w:val="64964E36"/>
    <w:rsid w:val="64E10E12"/>
    <w:rsid w:val="65356709"/>
    <w:rsid w:val="65493F44"/>
    <w:rsid w:val="6564316B"/>
    <w:rsid w:val="65A15392"/>
    <w:rsid w:val="66042274"/>
    <w:rsid w:val="66162161"/>
    <w:rsid w:val="663E7B8B"/>
    <w:rsid w:val="668F7891"/>
    <w:rsid w:val="66A50E2C"/>
    <w:rsid w:val="66B912B0"/>
    <w:rsid w:val="66EA6A9E"/>
    <w:rsid w:val="6742768A"/>
    <w:rsid w:val="67FC5FC3"/>
    <w:rsid w:val="68166831"/>
    <w:rsid w:val="683F0669"/>
    <w:rsid w:val="68726FFF"/>
    <w:rsid w:val="689C49E5"/>
    <w:rsid w:val="68E76220"/>
    <w:rsid w:val="68F06644"/>
    <w:rsid w:val="68FB77E8"/>
    <w:rsid w:val="69477591"/>
    <w:rsid w:val="696D7842"/>
    <w:rsid w:val="69961435"/>
    <w:rsid w:val="69D5796A"/>
    <w:rsid w:val="69EC4CE4"/>
    <w:rsid w:val="6A433D41"/>
    <w:rsid w:val="6A6E2A28"/>
    <w:rsid w:val="6B2932D8"/>
    <w:rsid w:val="6B5F1D71"/>
    <w:rsid w:val="6B6F018F"/>
    <w:rsid w:val="6B7A6121"/>
    <w:rsid w:val="6B8D015A"/>
    <w:rsid w:val="6B933359"/>
    <w:rsid w:val="6C2771A6"/>
    <w:rsid w:val="6C9404E3"/>
    <w:rsid w:val="6CA74B4D"/>
    <w:rsid w:val="6CB36A8A"/>
    <w:rsid w:val="6D34343E"/>
    <w:rsid w:val="6D351F33"/>
    <w:rsid w:val="6D4C3DE5"/>
    <w:rsid w:val="6DD316E9"/>
    <w:rsid w:val="6DED2F34"/>
    <w:rsid w:val="6E307D4F"/>
    <w:rsid w:val="6F1C38AF"/>
    <w:rsid w:val="6F200350"/>
    <w:rsid w:val="6F680876"/>
    <w:rsid w:val="6F8C597C"/>
    <w:rsid w:val="6FC16A71"/>
    <w:rsid w:val="6FF86A5D"/>
    <w:rsid w:val="6FFE74CC"/>
    <w:rsid w:val="703F45D4"/>
    <w:rsid w:val="709B1944"/>
    <w:rsid w:val="70EF5CAE"/>
    <w:rsid w:val="70F51137"/>
    <w:rsid w:val="711D6040"/>
    <w:rsid w:val="71502910"/>
    <w:rsid w:val="71510787"/>
    <w:rsid w:val="71542301"/>
    <w:rsid w:val="71BC3320"/>
    <w:rsid w:val="72031631"/>
    <w:rsid w:val="721B6EDC"/>
    <w:rsid w:val="72225DEA"/>
    <w:rsid w:val="723D0CEE"/>
    <w:rsid w:val="72A65336"/>
    <w:rsid w:val="72B15C3D"/>
    <w:rsid w:val="72CA5DE6"/>
    <w:rsid w:val="72F474C9"/>
    <w:rsid w:val="73201132"/>
    <w:rsid w:val="73426189"/>
    <w:rsid w:val="73476A7E"/>
    <w:rsid w:val="734B1DC6"/>
    <w:rsid w:val="736E1B74"/>
    <w:rsid w:val="737C169B"/>
    <w:rsid w:val="73905147"/>
    <w:rsid w:val="73A17354"/>
    <w:rsid w:val="73B9037A"/>
    <w:rsid w:val="743B36EA"/>
    <w:rsid w:val="74511300"/>
    <w:rsid w:val="74575801"/>
    <w:rsid w:val="746E3758"/>
    <w:rsid w:val="746F1200"/>
    <w:rsid w:val="74752638"/>
    <w:rsid w:val="748F53C8"/>
    <w:rsid w:val="7499703E"/>
    <w:rsid w:val="74D2096F"/>
    <w:rsid w:val="74F6238A"/>
    <w:rsid w:val="75037F41"/>
    <w:rsid w:val="75165EDD"/>
    <w:rsid w:val="75C551A2"/>
    <w:rsid w:val="76854D0B"/>
    <w:rsid w:val="76AE2D00"/>
    <w:rsid w:val="76D4452B"/>
    <w:rsid w:val="770562E1"/>
    <w:rsid w:val="770621AA"/>
    <w:rsid w:val="771F2EFE"/>
    <w:rsid w:val="77207185"/>
    <w:rsid w:val="7739513E"/>
    <w:rsid w:val="774874C4"/>
    <w:rsid w:val="775F37AE"/>
    <w:rsid w:val="77830875"/>
    <w:rsid w:val="77933457"/>
    <w:rsid w:val="779570D4"/>
    <w:rsid w:val="77D221D2"/>
    <w:rsid w:val="77EE637C"/>
    <w:rsid w:val="78217196"/>
    <w:rsid w:val="78781999"/>
    <w:rsid w:val="78796EDF"/>
    <w:rsid w:val="78900DBA"/>
    <w:rsid w:val="78C72C4F"/>
    <w:rsid w:val="78F53F1C"/>
    <w:rsid w:val="79132AA2"/>
    <w:rsid w:val="795A247F"/>
    <w:rsid w:val="797E1094"/>
    <w:rsid w:val="79940A47"/>
    <w:rsid w:val="79B73A42"/>
    <w:rsid w:val="79C26794"/>
    <w:rsid w:val="79CE0460"/>
    <w:rsid w:val="7A3A2135"/>
    <w:rsid w:val="7A72226E"/>
    <w:rsid w:val="7AA015C6"/>
    <w:rsid w:val="7AA959D8"/>
    <w:rsid w:val="7AB66B86"/>
    <w:rsid w:val="7ABE07EB"/>
    <w:rsid w:val="7B150E47"/>
    <w:rsid w:val="7B1A4F5A"/>
    <w:rsid w:val="7BE06B38"/>
    <w:rsid w:val="7C975269"/>
    <w:rsid w:val="7D380D29"/>
    <w:rsid w:val="7D3A6E64"/>
    <w:rsid w:val="7D8E7BDF"/>
    <w:rsid w:val="7D997FC8"/>
    <w:rsid w:val="7DCD0A53"/>
    <w:rsid w:val="7DD77F40"/>
    <w:rsid w:val="7E6B3BB8"/>
    <w:rsid w:val="7E9957F7"/>
    <w:rsid w:val="7EB37684"/>
    <w:rsid w:val="7F042549"/>
    <w:rsid w:val="7F0D3AEF"/>
    <w:rsid w:val="7F2854A3"/>
    <w:rsid w:val="7FDD72B9"/>
    <w:rsid w:val="7FE80E53"/>
    <w:rsid w:val="7FF36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pPr>
    <w:rPr>
      <w:rFonts w:ascii="Times New Roman" w:hAnsi="Times New Roman" w:eastAsia="宋体" w:cs="Times New Roman"/>
      <w:kern w:val="2"/>
      <w:sz w:val="21"/>
      <w:lang w:val="en-US" w:eastAsia="zh-CN" w:bidi="ar-SA"/>
    </w:rPr>
  </w:style>
  <w:style w:type="paragraph" w:styleId="4">
    <w:name w:val="heading 1"/>
    <w:basedOn w:val="1"/>
    <w:next w:val="1"/>
    <w:link w:val="38"/>
    <w:autoRedefine/>
    <w:qFormat/>
    <w:uiPriority w:val="0"/>
    <w:pPr>
      <w:keepNext/>
      <w:keepLines/>
      <w:spacing w:line="360" w:lineRule="auto"/>
      <w:outlineLvl w:val="0"/>
    </w:pPr>
    <w:rPr>
      <w:b/>
      <w:kern w:val="44"/>
      <w:sz w:val="44"/>
    </w:rPr>
  </w:style>
  <w:style w:type="paragraph" w:styleId="5">
    <w:name w:val="heading 2"/>
    <w:basedOn w:val="1"/>
    <w:next w:val="1"/>
    <w:link w:val="34"/>
    <w:autoRedefine/>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autoRedefine/>
    <w:qFormat/>
    <w:uiPriority w:val="1"/>
    <w:pPr>
      <w:spacing w:beforeAutospacing="1" w:afterAutospacing="1"/>
      <w:jc w:val="left"/>
      <w:outlineLvl w:val="2"/>
    </w:pPr>
    <w:rPr>
      <w:rFonts w:hint="eastAsia" w:ascii="宋体" w:hAnsi="宋体"/>
      <w:b/>
      <w:bCs/>
      <w:kern w:val="0"/>
      <w:sz w:val="27"/>
      <w:szCs w:val="27"/>
    </w:rPr>
  </w:style>
  <w:style w:type="paragraph" w:styleId="7">
    <w:name w:val="heading 4"/>
    <w:basedOn w:val="1"/>
    <w:next w:val="1"/>
    <w:autoRedefine/>
    <w:semiHidden/>
    <w:unhideWhenUsed/>
    <w:qFormat/>
    <w:uiPriority w:val="0"/>
    <w:pPr>
      <w:keepNext/>
      <w:keepLines/>
      <w:numPr>
        <w:ilvl w:val="3"/>
        <w:numId w:val="1"/>
      </w:numPr>
      <w:jc w:val="left"/>
      <w:outlineLvl w:val="3"/>
    </w:pPr>
    <w:rPr>
      <w:b/>
      <w:bCs/>
      <w:sz w:val="24"/>
      <w:szCs w:val="32"/>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autoRedefine/>
    <w:qFormat/>
    <w:uiPriority w:val="0"/>
    <w:rPr>
      <w:rFonts w:ascii="宋体" w:hAnsi="Courier New" w:cs="Courier New"/>
      <w:szCs w:val="21"/>
    </w:rPr>
  </w:style>
  <w:style w:type="paragraph" w:styleId="3">
    <w:name w:val="Salutation"/>
    <w:basedOn w:val="1"/>
    <w:next w:val="1"/>
    <w:qFormat/>
    <w:uiPriority w:val="0"/>
  </w:style>
  <w:style w:type="paragraph" w:styleId="8">
    <w:name w:val="Normal Indent"/>
    <w:basedOn w:val="1"/>
    <w:autoRedefine/>
    <w:qFormat/>
    <w:uiPriority w:val="0"/>
    <w:pPr>
      <w:ind w:firstLine="420" w:firstLineChars="200"/>
    </w:pPr>
  </w:style>
  <w:style w:type="paragraph" w:styleId="9">
    <w:name w:val="caption"/>
    <w:basedOn w:val="1"/>
    <w:next w:val="1"/>
    <w:autoRedefine/>
    <w:qFormat/>
    <w:uiPriority w:val="0"/>
    <w:rPr>
      <w:rFonts w:ascii="Calibri Light" w:hAnsi="Calibri Light" w:eastAsia="黑体"/>
      <w:sz w:val="20"/>
    </w:rPr>
  </w:style>
  <w:style w:type="paragraph" w:styleId="10">
    <w:name w:val="annotation text"/>
    <w:unhideWhenUsed/>
    <w:qFormat/>
    <w:uiPriority w:val="99"/>
    <w:rPr>
      <w:rFonts w:ascii="Times New Roman" w:hAnsi="Times New Roman" w:eastAsia="宋体" w:cs="Times New Roman"/>
      <w:lang w:val="en-US" w:eastAsia="zh-CN" w:bidi="ar-SA"/>
    </w:rPr>
  </w:style>
  <w:style w:type="paragraph" w:styleId="11">
    <w:name w:val="Body Text"/>
    <w:basedOn w:val="1"/>
    <w:next w:val="12"/>
    <w:link w:val="35"/>
    <w:autoRedefine/>
    <w:qFormat/>
    <w:uiPriority w:val="1"/>
    <w:pPr>
      <w:widowControl w:val="0"/>
      <w:autoSpaceDE w:val="0"/>
      <w:autoSpaceDN w:val="0"/>
      <w:jc w:val="left"/>
    </w:pPr>
    <w:rPr>
      <w:rFonts w:ascii="宋体" w:hAnsi="宋体" w:cs="宋体"/>
      <w:kern w:val="0"/>
      <w:sz w:val="24"/>
      <w:szCs w:val="24"/>
      <w:lang w:val="zh-CN" w:bidi="zh-CN"/>
    </w:rPr>
  </w:style>
  <w:style w:type="paragraph" w:customStyle="1" w:styleId="12">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styleId="13">
    <w:name w:val="Body Text Indent"/>
    <w:basedOn w:val="1"/>
    <w:next w:val="14"/>
    <w:link w:val="44"/>
    <w:autoRedefine/>
    <w:qFormat/>
    <w:uiPriority w:val="0"/>
    <w:pPr>
      <w:spacing w:line="460" w:lineRule="exact"/>
      <w:ind w:left="835" w:firstLine="560" w:firstLineChars="200"/>
      <w:jc w:val="left"/>
    </w:pPr>
    <w:rPr>
      <w:rFonts w:ascii="Arial" w:hAnsi="Arial"/>
      <w:spacing w:val="-5"/>
      <w:kern w:val="0"/>
      <w:sz w:val="28"/>
      <w:lang w:bidi="he-IL"/>
    </w:rPr>
  </w:style>
  <w:style w:type="paragraph" w:styleId="14">
    <w:name w:val="Body Text Indent 2"/>
    <w:basedOn w:val="1"/>
    <w:qFormat/>
    <w:uiPriority w:val="0"/>
    <w:pPr>
      <w:spacing w:after="120" w:line="480" w:lineRule="auto"/>
      <w:ind w:left="420" w:leftChars="200"/>
    </w:pPr>
  </w:style>
  <w:style w:type="paragraph" w:styleId="15">
    <w:name w:val="toc 3"/>
    <w:basedOn w:val="1"/>
    <w:next w:val="1"/>
    <w:autoRedefine/>
    <w:unhideWhenUsed/>
    <w:qFormat/>
    <w:uiPriority w:val="39"/>
    <w:pPr>
      <w:spacing w:after="100" w:line="276" w:lineRule="auto"/>
      <w:ind w:left="440"/>
      <w:jc w:val="left"/>
    </w:pPr>
    <w:rPr>
      <w:rFonts w:asciiTheme="minorHAnsi" w:hAnsiTheme="minorHAnsi" w:eastAsiaTheme="minorEastAsia" w:cstheme="minorBidi"/>
      <w:kern w:val="0"/>
      <w:sz w:val="22"/>
      <w:szCs w:val="22"/>
    </w:rPr>
  </w:style>
  <w:style w:type="paragraph" w:styleId="16">
    <w:name w:val="Balloon Text"/>
    <w:basedOn w:val="1"/>
    <w:link w:val="43"/>
    <w:autoRedefine/>
    <w:semiHidden/>
    <w:unhideWhenUsed/>
    <w:qFormat/>
    <w:uiPriority w:val="0"/>
    <w:rPr>
      <w:sz w:val="18"/>
      <w:szCs w:val="18"/>
    </w:rPr>
  </w:style>
  <w:style w:type="paragraph" w:styleId="17">
    <w:name w:val="footer"/>
    <w:basedOn w:val="1"/>
    <w:link w:val="32"/>
    <w:autoRedefine/>
    <w:qFormat/>
    <w:uiPriority w:val="0"/>
    <w:pPr>
      <w:tabs>
        <w:tab w:val="center" w:pos="4153"/>
        <w:tab w:val="right" w:pos="8306"/>
      </w:tabs>
      <w:snapToGrid w:val="0"/>
      <w:jc w:val="left"/>
    </w:pPr>
    <w:rPr>
      <w:sz w:val="18"/>
      <w:szCs w:val="18"/>
    </w:rPr>
  </w:style>
  <w:style w:type="paragraph" w:styleId="18">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spacing w:after="100" w:line="276" w:lineRule="auto"/>
      <w:jc w:val="left"/>
    </w:pPr>
    <w:rPr>
      <w:rFonts w:asciiTheme="minorHAnsi" w:hAnsiTheme="minorHAnsi" w:eastAsiaTheme="minorEastAsia" w:cstheme="minorBidi"/>
      <w:kern w:val="0"/>
      <w:sz w:val="22"/>
      <w:szCs w:val="22"/>
    </w:rPr>
  </w:style>
  <w:style w:type="paragraph" w:styleId="20">
    <w:name w:val="toc 2"/>
    <w:basedOn w:val="1"/>
    <w:next w:val="1"/>
    <w:autoRedefine/>
    <w:unhideWhenUsed/>
    <w:qFormat/>
    <w:uiPriority w:val="39"/>
    <w:pPr>
      <w:spacing w:after="100" w:line="276" w:lineRule="auto"/>
      <w:ind w:left="220"/>
      <w:jc w:val="left"/>
    </w:pPr>
    <w:rPr>
      <w:rFonts w:asciiTheme="minorHAnsi" w:hAnsiTheme="minorHAnsi" w:eastAsiaTheme="minorEastAsia" w:cstheme="minorBidi"/>
      <w:kern w:val="0"/>
      <w:sz w:val="22"/>
      <w:szCs w:val="22"/>
    </w:rPr>
  </w:style>
  <w:style w:type="paragraph" w:styleId="21">
    <w:name w:val="Body Text 2"/>
    <w:basedOn w:val="1"/>
    <w:autoRedefine/>
    <w:qFormat/>
    <w:uiPriority w:val="0"/>
    <w:pPr>
      <w:spacing w:after="120" w:line="480" w:lineRule="auto"/>
    </w:pPr>
  </w:style>
  <w:style w:type="paragraph" w:styleId="22">
    <w:name w:val="Normal (Web)"/>
    <w:basedOn w:val="1"/>
    <w:autoRedefine/>
    <w:qFormat/>
    <w:uiPriority w:val="0"/>
    <w:pPr>
      <w:spacing w:before="100" w:beforeAutospacing="1" w:after="100" w:afterAutospacing="1"/>
      <w:jc w:val="left"/>
    </w:pPr>
    <w:rPr>
      <w:rFonts w:ascii="宋体" w:hAnsi="宋体"/>
      <w:kern w:val="0"/>
      <w:sz w:val="24"/>
      <w:szCs w:val="24"/>
    </w:rPr>
  </w:style>
  <w:style w:type="paragraph" w:styleId="23">
    <w:name w:val="Body Text First Indent"/>
    <w:basedOn w:val="11"/>
    <w:link w:val="39"/>
    <w:autoRedefine/>
    <w:qFormat/>
    <w:uiPriority w:val="0"/>
    <w:pPr>
      <w:widowControl/>
      <w:autoSpaceDE/>
      <w:autoSpaceDN/>
      <w:spacing w:after="120"/>
      <w:ind w:firstLine="420" w:firstLineChars="100"/>
      <w:jc w:val="both"/>
    </w:pPr>
    <w:rPr>
      <w:rFonts w:ascii="Times New Roman" w:hAnsi="Times New Roman" w:cs="Times New Roman"/>
      <w:kern w:val="2"/>
      <w:sz w:val="21"/>
      <w:szCs w:val="20"/>
      <w:lang w:val="en-US" w:bidi="ar-SA"/>
    </w:rPr>
  </w:style>
  <w:style w:type="paragraph" w:styleId="24">
    <w:name w:val="Body Text First Indent 2"/>
    <w:basedOn w:val="13"/>
    <w:next w:val="1"/>
    <w:link w:val="47"/>
    <w:autoRedefine/>
    <w:qFormat/>
    <w:uiPriority w:val="0"/>
    <w:pPr>
      <w:spacing w:after="120" w:line="240" w:lineRule="auto"/>
      <w:ind w:left="420" w:leftChars="200" w:firstLine="420"/>
      <w:jc w:val="both"/>
    </w:pPr>
    <w:rPr>
      <w:rFonts w:ascii="Times New Roman" w:hAnsi="Times New Roman"/>
      <w:spacing w:val="0"/>
      <w:kern w:val="2"/>
      <w:sz w:val="21"/>
      <w:lang w:bidi="ar-SA"/>
    </w:rPr>
  </w:style>
  <w:style w:type="table" w:styleId="26">
    <w:name w:val="Table Grid"/>
    <w:basedOn w:val="2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8">
    <w:name w:val="page number"/>
    <w:basedOn w:val="27"/>
    <w:autoRedefine/>
    <w:qFormat/>
    <w:uiPriority w:val="0"/>
  </w:style>
  <w:style w:type="character" w:styleId="29">
    <w:name w:val="Emphasis"/>
    <w:basedOn w:val="27"/>
    <w:autoRedefine/>
    <w:qFormat/>
    <w:uiPriority w:val="0"/>
    <w:rPr>
      <w:i/>
    </w:rPr>
  </w:style>
  <w:style w:type="character" w:styleId="30">
    <w:name w:val="Hyperlink"/>
    <w:basedOn w:val="27"/>
    <w:autoRedefine/>
    <w:unhideWhenUsed/>
    <w:qFormat/>
    <w:uiPriority w:val="99"/>
    <w:rPr>
      <w:color w:val="0563C1" w:themeColor="hyperlink"/>
      <w:u w:val="single"/>
      <w14:textFill>
        <w14:solidFill>
          <w14:schemeClr w14:val="hlink"/>
        </w14:solidFill>
      </w14:textFill>
    </w:rPr>
  </w:style>
  <w:style w:type="character" w:customStyle="1" w:styleId="31">
    <w:name w:val="页眉 字符"/>
    <w:basedOn w:val="27"/>
    <w:link w:val="18"/>
    <w:autoRedefine/>
    <w:qFormat/>
    <w:uiPriority w:val="0"/>
    <w:rPr>
      <w:kern w:val="2"/>
      <w:sz w:val="18"/>
      <w:szCs w:val="18"/>
    </w:rPr>
  </w:style>
  <w:style w:type="character" w:customStyle="1" w:styleId="32">
    <w:name w:val="页脚 字符"/>
    <w:basedOn w:val="27"/>
    <w:link w:val="17"/>
    <w:autoRedefine/>
    <w:qFormat/>
    <w:uiPriority w:val="0"/>
    <w:rPr>
      <w:kern w:val="2"/>
      <w:sz w:val="18"/>
      <w:szCs w:val="18"/>
    </w:rPr>
  </w:style>
  <w:style w:type="paragraph" w:customStyle="1" w:styleId="33">
    <w:name w:val="Table Paragraph"/>
    <w:basedOn w:val="1"/>
    <w:autoRedefine/>
    <w:qFormat/>
    <w:uiPriority w:val="1"/>
    <w:pPr>
      <w:widowControl w:val="0"/>
      <w:autoSpaceDE w:val="0"/>
      <w:autoSpaceDN w:val="0"/>
      <w:jc w:val="center"/>
    </w:pPr>
    <w:rPr>
      <w:rFonts w:ascii="宋体" w:hAnsi="宋体" w:cs="宋体"/>
      <w:kern w:val="0"/>
      <w:sz w:val="22"/>
      <w:szCs w:val="22"/>
      <w:lang w:val="zh-CN" w:bidi="zh-CN"/>
    </w:rPr>
  </w:style>
  <w:style w:type="character" w:customStyle="1" w:styleId="34">
    <w:name w:val="标题 2 字符"/>
    <w:basedOn w:val="27"/>
    <w:link w:val="5"/>
    <w:autoRedefine/>
    <w:semiHidden/>
    <w:qFormat/>
    <w:uiPriority w:val="0"/>
    <w:rPr>
      <w:rFonts w:asciiTheme="majorHAnsi" w:hAnsiTheme="majorHAnsi" w:eastAsiaTheme="majorEastAsia" w:cstheme="majorBidi"/>
      <w:b/>
      <w:bCs/>
      <w:kern w:val="2"/>
      <w:sz w:val="32"/>
      <w:szCs w:val="32"/>
    </w:rPr>
  </w:style>
  <w:style w:type="character" w:customStyle="1" w:styleId="35">
    <w:name w:val="正文文本 字符"/>
    <w:basedOn w:val="27"/>
    <w:link w:val="11"/>
    <w:autoRedefine/>
    <w:qFormat/>
    <w:uiPriority w:val="1"/>
    <w:rPr>
      <w:rFonts w:ascii="宋体" w:hAnsi="宋体" w:cs="宋体"/>
      <w:sz w:val="24"/>
      <w:szCs w:val="24"/>
      <w:lang w:val="zh-CN" w:bidi="zh-CN"/>
    </w:rPr>
  </w:style>
  <w:style w:type="paragraph" w:customStyle="1" w:styleId="36">
    <w:name w:val="表格正文"/>
    <w:basedOn w:val="1"/>
    <w:autoRedefine/>
    <w:qFormat/>
    <w:uiPriority w:val="0"/>
    <w:pPr>
      <w:widowControl w:val="0"/>
      <w:spacing w:line="360" w:lineRule="exact"/>
      <w:jc w:val="center"/>
    </w:pPr>
    <w:rPr>
      <w:sz w:val="24"/>
      <w:szCs w:val="24"/>
    </w:rPr>
  </w:style>
  <w:style w:type="table" w:customStyle="1" w:styleId="37">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38">
    <w:name w:val="标题 1 字符"/>
    <w:basedOn w:val="27"/>
    <w:link w:val="4"/>
    <w:autoRedefine/>
    <w:qFormat/>
    <w:uiPriority w:val="0"/>
    <w:rPr>
      <w:b/>
      <w:kern w:val="44"/>
      <w:sz w:val="44"/>
    </w:rPr>
  </w:style>
  <w:style w:type="character" w:customStyle="1" w:styleId="39">
    <w:name w:val="正文文本首行缩进 字符"/>
    <w:basedOn w:val="35"/>
    <w:link w:val="23"/>
    <w:autoRedefine/>
    <w:qFormat/>
    <w:uiPriority w:val="0"/>
    <w:rPr>
      <w:rFonts w:ascii="宋体" w:hAnsi="宋体" w:cs="宋体"/>
      <w:kern w:val="2"/>
      <w:sz w:val="21"/>
      <w:szCs w:val="24"/>
      <w:lang w:val="zh-CN" w:bidi="zh-CN"/>
    </w:rPr>
  </w:style>
  <w:style w:type="paragraph" w:customStyle="1" w:styleId="40">
    <w:name w:val="TOC 标题1"/>
    <w:basedOn w:val="4"/>
    <w:next w:val="1"/>
    <w:autoRedefine/>
    <w:semiHidden/>
    <w:unhideWhenUsed/>
    <w:qFormat/>
    <w:uiPriority w:val="39"/>
    <w:pPr>
      <w:spacing w:before="48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paragraph" w:customStyle="1" w:styleId="41">
    <w:name w:val="WPSOffice手动目录 1"/>
    <w:autoRedefine/>
    <w:qFormat/>
    <w:uiPriority w:val="0"/>
    <w:rPr>
      <w:rFonts w:ascii="Times New Roman" w:hAnsi="Times New Roman" w:eastAsia="宋体" w:cs="Times New Roman"/>
      <w:lang w:val="en-US" w:eastAsia="zh-CN" w:bidi="ar-SA"/>
    </w:rPr>
  </w:style>
  <w:style w:type="paragraph" w:styleId="42">
    <w:name w:val="List Paragraph"/>
    <w:basedOn w:val="1"/>
    <w:autoRedefine/>
    <w:qFormat/>
    <w:uiPriority w:val="99"/>
    <w:pPr>
      <w:ind w:firstLine="420" w:firstLineChars="200"/>
    </w:pPr>
  </w:style>
  <w:style w:type="character" w:customStyle="1" w:styleId="43">
    <w:name w:val="批注框文本 字符"/>
    <w:basedOn w:val="27"/>
    <w:link w:val="16"/>
    <w:autoRedefine/>
    <w:semiHidden/>
    <w:qFormat/>
    <w:uiPriority w:val="0"/>
    <w:rPr>
      <w:kern w:val="2"/>
      <w:sz w:val="18"/>
      <w:szCs w:val="18"/>
    </w:rPr>
  </w:style>
  <w:style w:type="character" w:customStyle="1" w:styleId="44">
    <w:name w:val="正文文本缩进 字符"/>
    <w:basedOn w:val="27"/>
    <w:link w:val="13"/>
    <w:autoRedefine/>
    <w:qFormat/>
    <w:uiPriority w:val="0"/>
    <w:rPr>
      <w:rFonts w:ascii="Arial" w:hAnsi="Arial"/>
      <w:spacing w:val="-5"/>
      <w:sz w:val="28"/>
      <w:lang w:bidi="he-IL"/>
    </w:rPr>
  </w:style>
  <w:style w:type="character" w:customStyle="1" w:styleId="45">
    <w:name w:val="aa正文 Char"/>
    <w:link w:val="46"/>
    <w:autoRedefine/>
    <w:qFormat/>
    <w:uiPriority w:val="0"/>
    <w:rPr>
      <w:sz w:val="24"/>
      <w:szCs w:val="24"/>
    </w:rPr>
  </w:style>
  <w:style w:type="paragraph" w:customStyle="1" w:styleId="46">
    <w:name w:val="aa正文"/>
    <w:basedOn w:val="1"/>
    <w:link w:val="45"/>
    <w:autoRedefine/>
    <w:qFormat/>
    <w:uiPriority w:val="0"/>
    <w:pPr>
      <w:widowControl w:val="0"/>
      <w:spacing w:line="360" w:lineRule="auto"/>
      <w:ind w:firstLine="200" w:firstLineChars="200"/>
    </w:pPr>
    <w:rPr>
      <w:kern w:val="0"/>
      <w:sz w:val="24"/>
      <w:szCs w:val="24"/>
    </w:rPr>
  </w:style>
  <w:style w:type="character" w:customStyle="1" w:styleId="47">
    <w:name w:val="正文文本首行缩进 2 字符"/>
    <w:basedOn w:val="44"/>
    <w:link w:val="24"/>
    <w:autoRedefine/>
    <w:qFormat/>
    <w:uiPriority w:val="0"/>
    <w:rPr>
      <w:rFonts w:ascii="Arial" w:hAnsi="Arial"/>
      <w:spacing w:val="-5"/>
      <w:kern w:val="2"/>
      <w:sz w:val="21"/>
      <w:lang w:bidi="he-IL"/>
    </w:rPr>
  </w:style>
  <w:style w:type="paragraph" w:customStyle="1" w:styleId="48">
    <w:name w:val="Body text|1"/>
    <w:basedOn w:val="1"/>
    <w:autoRedefine/>
    <w:qFormat/>
    <w:uiPriority w:val="0"/>
    <w:pPr>
      <w:widowControl w:val="0"/>
      <w:spacing w:line="360" w:lineRule="auto"/>
      <w:ind w:firstLine="400"/>
    </w:pPr>
    <w:rPr>
      <w:rFonts w:ascii="宋体" w:hAnsi="宋体" w:cs="宋体"/>
      <w:sz w:val="28"/>
      <w:szCs w:val="28"/>
      <w:lang w:val="zh-TW" w:eastAsia="zh-TW" w:bidi="zh-TW"/>
    </w:rPr>
  </w:style>
  <w:style w:type="paragraph" w:customStyle="1" w:styleId="49">
    <w:name w:val="表格内容"/>
    <w:basedOn w:val="50"/>
    <w:next w:val="1"/>
    <w:autoRedefine/>
    <w:qFormat/>
    <w:uiPriority w:val="0"/>
    <w:pPr>
      <w:spacing w:line="240" w:lineRule="atLeast"/>
    </w:pPr>
    <w:rPr>
      <w:szCs w:val="22"/>
    </w:rPr>
  </w:style>
  <w:style w:type="paragraph" w:customStyle="1" w:styleId="50">
    <w:name w:val="表格标题"/>
    <w:basedOn w:val="1"/>
    <w:next w:val="49"/>
    <w:autoRedefine/>
    <w:qFormat/>
    <w:uiPriority w:val="0"/>
    <w:pPr>
      <w:jc w:val="center"/>
    </w:pPr>
    <w:rPr>
      <w:b/>
    </w:rPr>
  </w:style>
  <w:style w:type="paragraph" w:customStyle="1" w:styleId="51">
    <w:name w:val="Default"/>
    <w:basedOn w:val="52"/>
    <w:next w:val="53"/>
    <w:autoRedefine/>
    <w:qFormat/>
    <w:uiPriority w:val="0"/>
    <w:pPr>
      <w:widowControl w:val="0"/>
      <w:autoSpaceDE w:val="0"/>
      <w:autoSpaceDN w:val="0"/>
      <w:adjustRightInd w:val="0"/>
    </w:pPr>
    <w:rPr>
      <w:rFonts w:ascii="宋体" w:cs="宋体"/>
      <w:color w:val="000000"/>
      <w:sz w:val="24"/>
      <w:szCs w:val="24"/>
    </w:rPr>
  </w:style>
  <w:style w:type="paragraph" w:customStyle="1" w:styleId="52">
    <w:name w:val="标题2"/>
    <w:basedOn w:val="5"/>
    <w:autoRedefine/>
    <w:qFormat/>
    <w:uiPriority w:val="0"/>
    <w:pPr>
      <w:numPr>
        <w:ilvl w:val="1"/>
        <w:numId w:val="2"/>
      </w:numPr>
      <w:spacing w:before="0" w:after="0" w:line="440" w:lineRule="exact"/>
    </w:pPr>
    <w:rPr>
      <w:kern w:val="0"/>
      <w:sz w:val="28"/>
    </w:rPr>
  </w:style>
  <w:style w:type="paragraph" w:customStyle="1" w:styleId="53">
    <w:name w:val="样式35"/>
    <w:basedOn w:val="1"/>
    <w:autoRedefine/>
    <w:qFormat/>
    <w:uiPriority w:val="0"/>
    <w:pPr>
      <w:adjustRightInd w:val="0"/>
      <w:spacing w:line="312" w:lineRule="auto"/>
      <w:ind w:firstLine="567"/>
    </w:pPr>
    <w:rPr>
      <w:rFonts w:ascii="宋体"/>
      <w:kern w:val="0"/>
      <w:sz w:val="28"/>
    </w:rPr>
  </w:style>
  <w:style w:type="paragraph" w:customStyle="1" w:styleId="54">
    <w:name w:val="1正文"/>
    <w:basedOn w:val="2"/>
    <w:autoRedefine/>
    <w:qFormat/>
    <w:uiPriority w:val="0"/>
    <w:pPr>
      <w:spacing w:line="360" w:lineRule="auto"/>
      <w:ind w:firstLine="200" w:firstLineChars="200"/>
    </w:pPr>
    <w:rPr>
      <w:rFonts w:ascii="Times New Roman" w:hAnsi="Times New Roman" w:cs="Times New Roman"/>
      <w:kern w:val="0"/>
      <w:sz w:val="24"/>
      <w:lang w:val="zh-CN"/>
    </w:rPr>
  </w:style>
  <w:style w:type="paragraph" w:customStyle="1" w:styleId="55">
    <w:name w:val="A环评表格"/>
    <w:basedOn w:val="1"/>
    <w:qFormat/>
    <w:uiPriority w:val="0"/>
    <w:pPr>
      <w:adjustRightInd w:val="0"/>
      <w:snapToGrid w:val="0"/>
      <w:jc w:val="center"/>
    </w:pPr>
    <w:rPr>
      <w:rFonts w:hint="eastAsia"/>
      <w:bCs/>
      <w:szCs w:val="21"/>
      <w:lang w:val="en-GB"/>
    </w:rPr>
  </w:style>
  <w:style w:type="paragraph" w:customStyle="1" w:styleId="56">
    <w:name w:val="A环评表头"/>
    <w:basedOn w:val="1"/>
    <w:qFormat/>
    <w:uiPriority w:val="0"/>
    <w:pPr>
      <w:spacing w:line="360" w:lineRule="auto"/>
      <w:jc w:val="center"/>
    </w:pPr>
    <w:rPr>
      <w:rFonts w:hint="eastAsia" w:ascii="宋体" w:hAnsi="宋体"/>
      <w:b/>
      <w:kern w:val="0"/>
      <w:szCs w:val="21"/>
    </w:rPr>
  </w:style>
  <w:style w:type="paragraph" w:customStyle="1" w:styleId="57">
    <w:name w:val="预案正文"/>
    <w:basedOn w:val="58"/>
    <w:qFormat/>
    <w:uiPriority w:val="0"/>
    <w:pPr>
      <w:widowControl w:val="0"/>
      <w:spacing w:line="360" w:lineRule="auto"/>
      <w:ind w:firstLine="200"/>
    </w:pPr>
    <w:rPr>
      <w:kern w:val="0"/>
      <w:sz w:val="24"/>
      <w:szCs w:val="24"/>
    </w:rPr>
  </w:style>
  <w:style w:type="paragraph" w:customStyle="1" w:styleId="58">
    <w:name w:val="验收正文"/>
    <w:basedOn w:val="1"/>
    <w:autoRedefine/>
    <w:qFormat/>
    <w:uiPriority w:val="0"/>
    <w:pPr>
      <w:ind w:firstLine="560" w:firstLineChars="200"/>
    </w:pPr>
  </w:style>
  <w:style w:type="paragraph" w:customStyle="1" w:styleId="59">
    <w:name w:val="标号正文"/>
    <w:basedOn w:val="1"/>
    <w:next w:val="1"/>
    <w:autoRedefine/>
    <w:qFormat/>
    <w:uiPriority w:val="0"/>
    <w:pPr>
      <w:tabs>
        <w:tab w:val="left" w:pos="1540"/>
      </w:tabs>
      <w:overflowPunct w:val="0"/>
      <w:snapToGrid w:val="0"/>
      <w:spacing w:line="360" w:lineRule="auto"/>
      <w:ind w:firstLine="1040"/>
      <w:jc w:val="left"/>
    </w:pPr>
    <w:rPr>
      <w:rFonts w:ascii="Arial" w:hAnsi="Arial"/>
      <w:sz w:val="24"/>
    </w:rPr>
  </w:style>
  <w:style w:type="paragraph" w:customStyle="1" w:styleId="60">
    <w:name w:val="Table Text"/>
    <w:basedOn w:val="1"/>
    <w:autoRedefine/>
    <w:semiHidden/>
    <w:qFormat/>
    <w:uiPriority w:val="0"/>
    <w:rPr>
      <w:rFonts w:ascii="宋体" w:hAnsi="宋体" w:cs="宋体"/>
      <w:sz w:val="20"/>
      <w:lang w:eastAsia="en-US"/>
    </w:rPr>
  </w:style>
  <w:style w:type="paragraph" w:customStyle="1" w:styleId="61">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oleObject" Target="embeddings/oleObject1.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package" Target="embeddings/Microsoft_Visio___4.vsdx"/><Relationship Id="rId18" Type="http://schemas.openxmlformats.org/officeDocument/2006/relationships/image" Target="media/image6.emf"/><Relationship Id="rId17" Type="http://schemas.openxmlformats.org/officeDocument/2006/relationships/package" Target="embeddings/Microsoft_Visio___3.vsdx"/><Relationship Id="rId16" Type="http://schemas.openxmlformats.org/officeDocument/2006/relationships/image" Target="media/image5.emf"/><Relationship Id="rId15" Type="http://schemas.openxmlformats.org/officeDocument/2006/relationships/package" Target="embeddings/Microsoft_Visio___2.vsdx"/><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image" Target="media/image1.emf"/><Relationship Id="rId10" Type="http://schemas.openxmlformats.org/officeDocument/2006/relationships/package" Target="embeddings/Microsoft_Visio___1.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6B57D2-E0EC-40D3-AB05-86B9BF28355D}">
  <ds:schemaRefs/>
</ds:datastoreItem>
</file>

<file path=docProps/app.xml><?xml version="1.0" encoding="utf-8"?>
<Properties xmlns="http://schemas.openxmlformats.org/officeDocument/2006/extended-properties" xmlns:vt="http://schemas.openxmlformats.org/officeDocument/2006/docPropsVTypes">
  <Template>Normal</Template>
  <Pages>74</Pages>
  <Words>2673</Words>
  <Characters>3247</Characters>
  <Lines>284</Lines>
  <Paragraphs>80</Paragraphs>
  <TotalTime>456</TotalTime>
  <ScaleCrop>false</ScaleCrop>
  <LinksUpToDate>false</LinksUpToDate>
  <CharactersWithSpaces>3318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Au</cp:lastModifiedBy>
  <dcterms:modified xsi:type="dcterms:W3CDTF">2025-06-23T09:41:21Z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FB1581A7046640AA9C4AAA9BFDE2BA85_13</vt:lpwstr>
  </property>
  <property fmtid="{D5CDD505-2E9C-101B-9397-08002B2CF9AE}" pid="4" name="KSOTemplateDocerSaveRecord">
    <vt:lpwstr>eyJoZGlkIjoiNDNmZWVlMTI1ODFjMjUzZmEyMDA2NjQwYTRjZDNiMGEiLCJ1c2VySWQiOiI2NjY1MzI2MjcifQ==</vt:lpwstr>
  </property>
</Properties>
</file>