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C60E9">
      <w:pPr>
        <w:widowControl w:val="0"/>
        <w:numPr>
          <w:ilvl w:val="0"/>
          <w:numId w:val="0"/>
        </w:numPr>
        <w:jc w:val="both"/>
        <w:rPr>
          <w:rFonts w:hint="eastAsia" w:ascii="Times New Roman" w:hAnsi="Times New Roman" w:cs="Times New Roman"/>
          <w:b/>
          <w:bCs/>
          <w:lang w:val="en-US" w:eastAsia="zh-CN"/>
        </w:rPr>
      </w:pPr>
      <w:r>
        <w:rPr>
          <w:rFonts w:hint="eastAsia" w:ascii="黑体" w:hAnsi="黑体" w:eastAsia="楷体" w:cs="黑体"/>
          <w:spacing w:val="20"/>
          <w:sz w:val="44"/>
          <w:szCs w:val="44"/>
        </w:rPr>
        <w:drawing>
          <wp:anchor distT="0" distB="0" distL="114300" distR="114300" simplePos="0" relativeHeight="251659264" behindDoc="1" locked="0" layoutInCell="1" allowOverlap="1">
            <wp:simplePos x="0" y="0"/>
            <wp:positionH relativeFrom="column">
              <wp:posOffset>10160</wp:posOffset>
            </wp:positionH>
            <wp:positionV relativeFrom="paragraph">
              <wp:posOffset>10160</wp:posOffset>
            </wp:positionV>
            <wp:extent cx="1418590" cy="453390"/>
            <wp:effectExtent l="0" t="0" r="3810" b="3810"/>
            <wp:wrapTight wrapText="bothSides">
              <wp:wrapPolygon>
                <wp:start x="21592" y="-2"/>
                <wp:lineTo x="0" y="0"/>
                <wp:lineTo x="0" y="21600"/>
                <wp:lineTo x="21592" y="21602"/>
                <wp:lineTo x="8" y="21602"/>
                <wp:lineTo x="21600" y="21600"/>
                <wp:lineTo x="21600" y="0"/>
                <wp:lineTo x="8" y="-2"/>
                <wp:lineTo x="21592" y="-2"/>
              </wp:wrapPolygon>
            </wp:wrapTight>
            <wp:docPr id="1" name="图片 2" descr="luxcel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luxcell  logo"/>
                    <pic:cNvPicPr>
                      <a:picLocks noChangeAspect="1"/>
                    </pic:cNvPicPr>
                  </pic:nvPicPr>
                  <pic:blipFill>
                    <a:blip r:embed="rId6"/>
                    <a:stretch>
                      <a:fillRect/>
                    </a:stretch>
                  </pic:blipFill>
                  <pic:spPr>
                    <a:xfrm>
                      <a:off x="0" y="0"/>
                      <a:ext cx="1418590" cy="453390"/>
                    </a:xfrm>
                    <a:prstGeom prst="rect">
                      <a:avLst/>
                    </a:prstGeom>
                    <a:noFill/>
                    <a:ln>
                      <a:noFill/>
                    </a:ln>
                  </pic:spPr>
                </pic:pic>
              </a:graphicData>
            </a:graphic>
          </wp:anchor>
        </w:drawing>
      </w:r>
    </w:p>
    <w:p w14:paraId="77FA9581">
      <w:pPr>
        <w:widowControl w:val="0"/>
        <w:numPr>
          <w:ilvl w:val="0"/>
          <w:numId w:val="0"/>
        </w:numPr>
        <w:jc w:val="both"/>
        <w:rPr>
          <w:rFonts w:hint="eastAsia" w:ascii="Times New Roman" w:hAnsi="Times New Roman" w:cs="Times New Roman"/>
          <w:b/>
          <w:bCs/>
          <w:lang w:val="en-US" w:eastAsia="zh-CN"/>
        </w:rPr>
      </w:pPr>
    </w:p>
    <w:p w14:paraId="69A4E4F5">
      <w:pPr>
        <w:widowControl w:val="0"/>
        <w:numPr>
          <w:ilvl w:val="0"/>
          <w:numId w:val="0"/>
        </w:numPr>
        <w:jc w:val="both"/>
        <w:rPr>
          <w:rFonts w:hint="eastAsia" w:ascii="Times New Roman" w:hAnsi="Times New Roman" w:cs="Times New Roman"/>
          <w:b/>
          <w:bCs/>
          <w:lang w:val="en-US" w:eastAsia="zh-CN"/>
        </w:rPr>
      </w:pPr>
    </w:p>
    <w:p w14:paraId="4DEA8DDA">
      <w:pPr>
        <w:widowControl w:val="0"/>
        <w:numPr>
          <w:ilvl w:val="0"/>
          <w:numId w:val="0"/>
        </w:numPr>
        <w:jc w:val="both"/>
        <w:rPr>
          <w:rFonts w:hint="eastAsia" w:ascii="Times New Roman" w:hAnsi="Times New Roman" w:cs="Times New Roman"/>
          <w:b/>
          <w:bCs/>
          <w:lang w:val="en-US" w:eastAsia="zh-CN"/>
        </w:rPr>
      </w:pPr>
    </w:p>
    <w:p w14:paraId="461C8682">
      <w:pPr>
        <w:widowControl w:val="0"/>
        <w:numPr>
          <w:ilvl w:val="0"/>
          <w:numId w:val="0"/>
        </w:numPr>
        <w:jc w:val="both"/>
        <w:rPr>
          <w:rFonts w:hint="eastAsia" w:ascii="Times New Roman" w:hAnsi="Times New Roman" w:cs="Times New Roman"/>
          <w:b/>
          <w:bCs/>
          <w:lang w:val="en-US" w:eastAsia="zh-CN"/>
        </w:rPr>
      </w:pPr>
    </w:p>
    <w:p w14:paraId="51956B78">
      <w:pPr>
        <w:widowControl w:val="0"/>
        <w:numPr>
          <w:ilvl w:val="0"/>
          <w:numId w:val="0"/>
        </w:numPr>
        <w:ind w:left="420" w:leftChars="0"/>
        <w:jc w:val="center"/>
        <w:rPr>
          <w:rFonts w:hint="eastAsia" w:ascii="Times New Roman" w:hAnsi="Times New Roman" w:cs="Times New Roman"/>
          <w:b/>
          <w:bCs/>
          <w:lang w:val="en-US" w:eastAsia="zh-CN"/>
        </w:rPr>
      </w:pPr>
      <w:bookmarkStart w:id="0" w:name="_GoBack"/>
      <w:r>
        <w:rPr>
          <w:rFonts w:hint="eastAsia" w:ascii="Times New Roman" w:hAnsi="Times New Roman" w:cs="Times New Roman"/>
          <w:b/>
          <w:bCs/>
          <w:sz w:val="36"/>
          <w:szCs w:val="36"/>
          <w:lang w:val="en-US" w:eastAsia="zh-CN"/>
        </w:rPr>
        <w:t>胎牛血清（FBS）怎么选？</w:t>
      </w:r>
    </w:p>
    <w:bookmarkEnd w:id="0"/>
    <w:p w14:paraId="5F1108F8">
      <w:pPr>
        <w:widowControl w:val="0"/>
        <w:numPr>
          <w:ilvl w:val="0"/>
          <w:numId w:val="0"/>
        </w:numPr>
        <w:ind w:left="420" w:leftChars="0"/>
        <w:jc w:val="both"/>
        <w:rPr>
          <w:rFonts w:hint="eastAsia" w:ascii="Times New Roman" w:hAnsi="Times New Roman" w:cs="Times New Roman"/>
          <w:b/>
          <w:bCs/>
          <w:lang w:val="en-US" w:eastAsia="zh-CN"/>
        </w:rPr>
      </w:pPr>
    </w:p>
    <w:p w14:paraId="17EB5142">
      <w:pPr>
        <w:widowControl w:val="0"/>
        <w:numPr>
          <w:ilvl w:val="0"/>
          <w:numId w:val="0"/>
        </w:numPr>
        <w:ind w:firstLine="440" w:firstLineChars="200"/>
        <w:jc w:val="both"/>
        <w:rPr>
          <w:rFonts w:hint="eastAsia" w:ascii="Times New Roman" w:hAnsi="Times New Roman" w:cs="Times New Roman"/>
          <w:b w:val="0"/>
          <w:bCs w:val="0"/>
          <w:sz w:val="22"/>
          <w:szCs w:val="22"/>
          <w:lang w:val="en-US" w:eastAsia="zh-CN"/>
        </w:rPr>
      </w:pPr>
      <w:r>
        <w:rPr>
          <w:rFonts w:hint="default" w:ascii="Times New Roman" w:hAnsi="Times New Roman" w:cs="Times New Roman"/>
          <w:b w:val="0"/>
          <w:bCs w:val="0"/>
          <w:sz w:val="22"/>
          <w:szCs w:val="22"/>
          <w:lang w:val="en-US" w:eastAsia="zh-CN"/>
        </w:rPr>
        <w:t>胎牛血清（FBS）是通过从胎牛血浆中去除纤维蛋白</w:t>
      </w:r>
      <w:r>
        <w:rPr>
          <w:rFonts w:hint="eastAsia" w:ascii="Times New Roman" w:hAnsi="Times New Roman" w:cs="Times New Roman"/>
          <w:b w:val="0"/>
          <w:bCs w:val="0"/>
          <w:sz w:val="22"/>
          <w:szCs w:val="22"/>
          <w:lang w:val="en-US" w:eastAsia="zh-CN"/>
        </w:rPr>
        <w:t>等</w:t>
      </w:r>
      <w:r>
        <w:rPr>
          <w:rFonts w:hint="default" w:ascii="Times New Roman" w:hAnsi="Times New Roman" w:cs="Times New Roman"/>
          <w:b w:val="0"/>
          <w:bCs w:val="0"/>
          <w:sz w:val="22"/>
          <w:szCs w:val="22"/>
          <w:lang w:val="en-US" w:eastAsia="zh-CN"/>
        </w:rPr>
        <w:t>而形成的混合物</w:t>
      </w:r>
      <w:r>
        <w:rPr>
          <w:rFonts w:hint="eastAsia" w:ascii="Times New Roman" w:hAnsi="Times New Roman" w:cs="Times New Roman"/>
          <w:b w:val="0"/>
          <w:bCs w:val="0"/>
          <w:sz w:val="22"/>
          <w:szCs w:val="22"/>
          <w:lang w:val="en-US" w:eastAsia="zh-CN"/>
        </w:rPr>
        <w:t>，在体外细胞培养研究中起到重要作用，是最常用的血清之一。作为全球大多数实验室中用于细胞培养的常见补充剂，选择使用品质优越、批次稳定的胎牛血清（FBS）能够在一定程度上提高研究人员的实验进度和效率。因此关于胎牛血清的选择指南可参考如下：</w:t>
      </w:r>
    </w:p>
    <w:p w14:paraId="32F890E6">
      <w:pPr>
        <w:widowControl w:val="0"/>
        <w:numPr>
          <w:ilvl w:val="0"/>
          <w:numId w:val="0"/>
        </w:numPr>
        <w:ind w:firstLine="440" w:firstLineChars="200"/>
        <w:jc w:val="both"/>
        <w:rPr>
          <w:rFonts w:hint="eastAsia" w:ascii="Times New Roman" w:hAnsi="Times New Roman" w:cs="Times New Roman"/>
          <w:b w:val="0"/>
          <w:bCs w:val="0"/>
          <w:sz w:val="22"/>
          <w:szCs w:val="22"/>
          <w:lang w:val="en-US" w:eastAsia="zh-CN"/>
        </w:rPr>
      </w:pPr>
    </w:p>
    <w:p w14:paraId="4E66A243">
      <w:pPr>
        <w:widowControl w:val="0"/>
        <w:numPr>
          <w:ilvl w:val="0"/>
          <w:numId w:val="1"/>
        </w:numPr>
        <w:ind w:firstLine="442" w:firstLineChars="200"/>
        <w:jc w:val="both"/>
        <w:rPr>
          <w:rFonts w:hint="eastAsia"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外观</w:t>
      </w:r>
    </w:p>
    <w:p w14:paraId="569B88F5">
      <w:pPr>
        <w:widowControl w:val="0"/>
        <w:numPr>
          <w:ilvl w:val="0"/>
          <w:numId w:val="2"/>
        </w:numPr>
        <w:ind w:left="420" w:leftChars="0" w:firstLine="0" w:firstLineChars="0"/>
        <w:jc w:val="both"/>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颜色</w:t>
      </w:r>
    </w:p>
    <w:p w14:paraId="5666EEC1">
      <w:pPr>
        <w:keepNext w:val="0"/>
        <w:keepLines w:val="0"/>
        <w:pageBreakBefore w:val="0"/>
        <w:widowControl w:val="0"/>
        <w:numPr>
          <w:ilvl w:val="0"/>
          <w:numId w:val="0"/>
        </w:numPr>
        <w:kinsoku/>
        <w:wordWrap/>
        <w:overflowPunct/>
        <w:topLinePunct w:val="0"/>
        <w:autoSpaceDE/>
        <w:autoSpaceDN/>
        <w:bidi w:val="0"/>
        <w:adjustRightInd/>
        <w:snapToGrid/>
        <w:ind w:left="0" w:leftChars="0"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血清中含有微量的血红蛋白，根据含量的不同，胎牛血清可表现为黄色或红色。我国药典规定</w:t>
      </w:r>
      <w:r>
        <w:rPr>
          <w:rFonts w:hint="default" w:ascii="Times New Roman" w:hAnsi="Times New Roman" w:cs="Times New Roman"/>
          <w:b w:val="0"/>
          <w:bCs w:val="0"/>
          <w:sz w:val="22"/>
          <w:szCs w:val="22"/>
          <w:lang w:eastAsia="zh-CN"/>
        </w:rPr>
        <w:t>血红蛋白含量</w:t>
      </w:r>
      <w:r>
        <w:rPr>
          <w:rFonts w:hint="default" w:ascii="Times New Roman" w:hAnsi="Times New Roman" w:cs="Times New Roman"/>
          <w:b w:val="0"/>
          <w:bCs w:val="0"/>
          <w:sz w:val="22"/>
          <w:szCs w:val="22"/>
          <w:lang w:val="en-US" w:eastAsia="zh-CN"/>
        </w:rPr>
        <w:t>是</w:t>
      </w:r>
      <w:r>
        <w:rPr>
          <w:rFonts w:hint="eastAsia" w:ascii="Times New Roman" w:hAnsi="Times New Roman" w:cs="Times New Roman"/>
          <w:b w:val="0"/>
          <w:bCs w:val="0"/>
          <w:sz w:val="22"/>
          <w:szCs w:val="22"/>
          <w:lang w:val="en-US" w:eastAsia="zh-CN"/>
        </w:rPr>
        <w:t xml:space="preserve"> </w:t>
      </w:r>
      <w:r>
        <w:rPr>
          <w:rFonts w:hint="default" w:ascii="Times New Roman" w:hAnsi="Times New Roman" w:cs="Times New Roman"/>
          <w:b w:val="0"/>
          <w:bCs w:val="0"/>
          <w:sz w:val="22"/>
          <w:szCs w:val="22"/>
          <w:lang w:val="en-US" w:eastAsia="zh-CN"/>
        </w:rPr>
        <w:t>≤</w:t>
      </w:r>
      <w:r>
        <w:rPr>
          <w:rFonts w:hint="eastAsia" w:ascii="Times New Roman" w:hAnsi="Times New Roman" w:cs="Times New Roman"/>
          <w:b w:val="0"/>
          <w:bCs w:val="0"/>
          <w:sz w:val="22"/>
          <w:szCs w:val="22"/>
          <w:lang w:val="en-US" w:eastAsia="zh-CN"/>
        </w:rPr>
        <w:t xml:space="preserve"> </w:t>
      </w:r>
      <w:r>
        <w:rPr>
          <w:rFonts w:hint="default" w:ascii="Times New Roman" w:hAnsi="Times New Roman" w:cs="Times New Roman"/>
          <w:b w:val="0"/>
          <w:bCs w:val="0"/>
          <w:sz w:val="22"/>
          <w:szCs w:val="22"/>
          <w:lang w:val="en-US" w:eastAsia="zh-CN"/>
        </w:rPr>
        <w:t>20 mg/</w:t>
      </w:r>
      <w:r>
        <w:rPr>
          <w:rFonts w:hint="eastAsia" w:ascii="Times New Roman" w:hAnsi="Times New Roman" w:cs="Times New Roman"/>
          <w:b w:val="0"/>
          <w:bCs w:val="0"/>
          <w:sz w:val="22"/>
          <w:szCs w:val="22"/>
          <w:lang w:val="en-US" w:eastAsia="zh-CN"/>
        </w:rPr>
        <w:t>dL</w:t>
      </w:r>
      <w:r>
        <w:rPr>
          <w:rFonts w:hint="default" w:ascii="Times New Roman" w:hAnsi="Times New Roman" w:cs="Times New Roman"/>
          <w:b w:val="0"/>
          <w:bCs w:val="0"/>
          <w:sz w:val="22"/>
          <w:szCs w:val="22"/>
          <w:lang w:val="en-US" w:eastAsia="zh-CN"/>
        </w:rPr>
        <w:t>，只</w:t>
      </w:r>
      <w:r>
        <w:rPr>
          <w:rFonts w:hint="eastAsia" w:ascii="Times New Roman" w:hAnsi="Times New Roman" w:cs="Times New Roman"/>
          <w:b w:val="0"/>
          <w:bCs w:val="0"/>
          <w:sz w:val="22"/>
          <w:szCs w:val="22"/>
          <w:lang w:val="en-US" w:eastAsia="zh-CN"/>
        </w:rPr>
        <w:t>要血红蛋白的含量在药典规定范围内，</w:t>
      </w:r>
      <w:r>
        <w:rPr>
          <w:rFonts w:hint="default" w:ascii="Times New Roman" w:hAnsi="Times New Roman" w:cs="Times New Roman"/>
          <w:b w:val="0"/>
          <w:bCs w:val="0"/>
          <w:sz w:val="22"/>
          <w:szCs w:val="22"/>
          <w:lang w:eastAsia="zh-CN"/>
        </w:rPr>
        <w:t>血清</w:t>
      </w:r>
      <w:r>
        <w:rPr>
          <w:rFonts w:hint="eastAsia" w:ascii="Times New Roman" w:hAnsi="Times New Roman" w:cs="Times New Roman"/>
          <w:b w:val="0"/>
          <w:bCs w:val="0"/>
          <w:sz w:val="22"/>
          <w:szCs w:val="22"/>
          <w:lang w:val="en-US" w:eastAsia="zh-CN"/>
        </w:rPr>
        <w:t>颜色的深浅和品质无关</w:t>
      </w:r>
      <w:r>
        <w:rPr>
          <w:rFonts w:hint="default" w:ascii="Times New Roman" w:hAnsi="Times New Roman" w:cs="Times New Roman"/>
          <w:b w:val="0"/>
          <w:bCs w:val="0"/>
          <w:sz w:val="22"/>
          <w:szCs w:val="22"/>
          <w:lang w:eastAsia="zh-CN"/>
        </w:rPr>
        <w:t>，</w:t>
      </w:r>
      <w:r>
        <w:rPr>
          <w:rFonts w:hint="eastAsia" w:ascii="Times New Roman" w:hAnsi="Times New Roman" w:cs="Times New Roman"/>
          <w:b w:val="0"/>
          <w:bCs w:val="0"/>
          <w:sz w:val="22"/>
          <w:szCs w:val="22"/>
          <w:lang w:val="en-US" w:eastAsia="zh-CN"/>
        </w:rPr>
        <w:t>不影响细胞培养。</w:t>
      </w:r>
    </w:p>
    <w:p w14:paraId="15478DE1">
      <w:pPr>
        <w:keepNext w:val="0"/>
        <w:keepLines w:val="0"/>
        <w:pageBreakBefore w:val="0"/>
        <w:widowControl w:val="0"/>
        <w:numPr>
          <w:ilvl w:val="0"/>
          <w:numId w:val="0"/>
        </w:numPr>
        <w:kinsoku/>
        <w:wordWrap/>
        <w:overflowPunct/>
        <w:topLinePunct w:val="0"/>
        <w:autoSpaceDE/>
        <w:autoSpaceDN/>
        <w:bidi w:val="0"/>
        <w:adjustRightInd/>
        <w:snapToGrid/>
        <w:ind w:left="0" w:leftChars="0" w:right="105" w:rightChars="50" w:firstLine="440" w:firstLineChars="200"/>
        <w:jc w:val="both"/>
        <w:textAlignment w:val="auto"/>
        <w:rPr>
          <w:rFonts w:hint="eastAsia" w:ascii="Times New Roman" w:hAnsi="Times New Roman" w:cs="Times New Roman"/>
          <w:b w:val="0"/>
          <w:bCs w:val="0"/>
          <w:sz w:val="22"/>
          <w:szCs w:val="22"/>
          <w:lang w:val="en-US" w:eastAsia="zh-CN"/>
        </w:rPr>
      </w:pPr>
    </w:p>
    <w:p w14:paraId="462C6F53">
      <w:pPr>
        <w:keepNext w:val="0"/>
        <w:keepLines w:val="0"/>
        <w:pageBreakBefore w:val="0"/>
        <w:widowControl w:val="0"/>
        <w:numPr>
          <w:ilvl w:val="0"/>
          <w:numId w:val="2"/>
        </w:numPr>
        <w:kinsoku/>
        <w:wordWrap/>
        <w:overflowPunct/>
        <w:topLinePunct w:val="0"/>
        <w:autoSpaceDE/>
        <w:autoSpaceDN/>
        <w:bidi w:val="0"/>
        <w:adjustRightInd/>
        <w:snapToGrid/>
        <w:ind w:left="420" w:leftChars="0" w:right="105" w:rightChars="50" w:firstLine="0" w:firstLineChars="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沉淀</w:t>
      </w:r>
    </w:p>
    <w:p w14:paraId="4131962F">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血清在正常使用过程中，会发现有少量絮状沉淀产生。这些沉淀主要是由纤维蛋白凝聚产生，产生沉淀的原因很多，与厂家的加工生产方式密切相关，包括从采血、冷冻、运输到生产可能会经过多次冻融，每次冻融过程，就会析出部分纤维蛋白沉淀，对血清质量没有任何影响。</w:t>
      </w:r>
    </w:p>
    <w:p w14:paraId="5E620987">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default" w:ascii="Times New Roman" w:hAnsi="Times New Roman" w:cs="Times New Roman"/>
          <w:b w:val="0"/>
          <w:bCs w:val="0"/>
          <w:sz w:val="22"/>
          <w:szCs w:val="22"/>
          <w:lang w:val="en-US" w:eastAsia="zh-CN"/>
        </w:rPr>
      </w:pPr>
    </w:p>
    <w:p w14:paraId="14AD46C2">
      <w:pPr>
        <w:keepNext w:val="0"/>
        <w:keepLines w:val="0"/>
        <w:pageBreakBefore w:val="0"/>
        <w:widowControl w:val="0"/>
        <w:numPr>
          <w:ilvl w:val="0"/>
          <w:numId w:val="2"/>
        </w:numPr>
        <w:kinsoku/>
        <w:wordWrap/>
        <w:overflowPunct/>
        <w:topLinePunct w:val="0"/>
        <w:autoSpaceDE/>
        <w:autoSpaceDN/>
        <w:bidi w:val="0"/>
        <w:adjustRightInd/>
        <w:snapToGrid/>
        <w:ind w:left="420" w:leftChars="0" w:right="105" w:rightChars="50" w:firstLine="0" w:firstLineChars="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澄清度</w:t>
      </w:r>
    </w:p>
    <w:p w14:paraId="6B703E28">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进口胎牛血清因为蛋白、脂类等物质的含量低，表现为稀薄、清淡，而国产血清，相对而言更加粘稠，颜色略深。</w:t>
      </w:r>
    </w:p>
    <w:p w14:paraId="393D0F15">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p>
    <w:p w14:paraId="34F3003F">
      <w:pPr>
        <w:keepNext w:val="0"/>
        <w:keepLines w:val="0"/>
        <w:pageBreakBefore w:val="0"/>
        <w:widowControl w:val="0"/>
        <w:numPr>
          <w:ilvl w:val="0"/>
          <w:numId w:val="1"/>
        </w:numPr>
        <w:kinsoku/>
        <w:wordWrap/>
        <w:overflowPunct/>
        <w:topLinePunct w:val="0"/>
        <w:autoSpaceDE/>
        <w:autoSpaceDN/>
        <w:bidi w:val="0"/>
        <w:adjustRightInd/>
        <w:snapToGrid/>
        <w:ind w:left="0" w:leftChars="0" w:right="105" w:rightChars="50" w:firstLine="442" w:firstLineChars="200"/>
        <w:jc w:val="both"/>
        <w:textAlignment w:val="auto"/>
        <w:rPr>
          <w:rFonts w:hint="eastAsia"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主要检测指标</w:t>
      </w:r>
    </w:p>
    <w:p w14:paraId="2426369A">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根据2020版中国药典（3604 新生牛血清）、2020版美国药典（&lt; 90 &gt; FETAL BOVINE SERUM-QUALITY ATIRIBUTES AND FUNCTIONALITY TESTS）血清质量检测标准，主要指标如下：</w:t>
      </w:r>
    </w:p>
    <w:p w14:paraId="473A229E">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p>
    <w:p w14:paraId="63F50C1C">
      <w:pPr>
        <w:keepNext w:val="0"/>
        <w:keepLines w:val="0"/>
        <w:pageBreakBefore w:val="0"/>
        <w:widowControl w:val="0"/>
        <w:numPr>
          <w:ilvl w:val="0"/>
          <w:numId w:val="3"/>
        </w:numPr>
        <w:kinsoku/>
        <w:wordWrap/>
        <w:overflowPunct/>
        <w:topLinePunct w:val="0"/>
        <w:autoSpaceDE/>
        <w:autoSpaceDN/>
        <w:bidi w:val="0"/>
        <w:adjustRightInd/>
        <w:snapToGrid/>
        <w:ind w:right="105" w:rightChars="50" w:firstLine="442" w:firstLineChars="2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病原体相关检测</w:t>
      </w:r>
    </w:p>
    <w:p w14:paraId="555FC327">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3" w:firstLineChars="300"/>
        <w:jc w:val="both"/>
        <w:textAlignment w:val="auto"/>
        <w:rPr>
          <w:rFonts w:hint="default" w:ascii="Times New Roman" w:hAnsi="Times New Roman" w:cs="Times New Roman"/>
          <w:b w:val="0"/>
          <w:bCs w:val="0"/>
          <w:sz w:val="22"/>
          <w:szCs w:val="22"/>
          <w:lang w:val="en-US" w:eastAsia="zh-CN"/>
        </w:rPr>
      </w:pPr>
      <w:r>
        <w:rPr>
          <w:rFonts w:hint="eastAsia" w:ascii="Times New Roman" w:hAnsi="Times New Roman" w:cs="Times New Roman"/>
          <w:b/>
          <w:bCs/>
          <w:sz w:val="22"/>
          <w:szCs w:val="22"/>
          <w:lang w:val="en-US" w:eastAsia="zh-CN"/>
        </w:rPr>
        <w:t>① 细菌、真菌、支原体等微生物</w:t>
      </w:r>
    </w:p>
    <w:p w14:paraId="470EA552">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0" w:firstLineChars="3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随着血清生产条件的改善和提高，细菌、真菌、噬菌体等微生物几乎已能100%控制，而支原体等经过0.1</w:t>
      </w:r>
      <w:r>
        <w:rPr>
          <w:rFonts w:hint="default" w:ascii="Times New Roman" w:hAnsi="Times New Roman" w:cs="Times New Roman"/>
          <w:b w:val="0"/>
          <w:bCs w:val="0"/>
          <w:sz w:val="22"/>
          <w:szCs w:val="22"/>
          <w:lang w:val="en-US" w:eastAsia="zh-CN"/>
        </w:rPr>
        <w:t>μm</w:t>
      </w:r>
      <w:r>
        <w:rPr>
          <w:rFonts w:hint="eastAsia" w:ascii="Times New Roman" w:hAnsi="Times New Roman" w:cs="Times New Roman"/>
          <w:b w:val="0"/>
          <w:bCs w:val="0"/>
          <w:sz w:val="22"/>
          <w:szCs w:val="22"/>
          <w:lang w:val="en-US" w:eastAsia="zh-CN"/>
        </w:rPr>
        <w:t>滤器的过滤，也能清除。按药典的相关规定，应保证血清中未检出细菌、支原体等微生物。因此，可以通过对血清热灭活、γ辐照等处理，进一步减少可能的因微生物引起的低污染水平，最大限度地降低与动物源成分相关的风险。</w:t>
      </w:r>
    </w:p>
    <w:p w14:paraId="506B89A0">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0" w:firstLineChars="300"/>
        <w:jc w:val="both"/>
        <w:textAlignment w:val="auto"/>
        <w:rPr>
          <w:rFonts w:hint="eastAsia" w:ascii="Times New Roman" w:hAnsi="Times New Roman" w:cs="Times New Roman"/>
          <w:b w:val="0"/>
          <w:bCs w:val="0"/>
          <w:sz w:val="22"/>
          <w:szCs w:val="22"/>
          <w:lang w:val="en-US" w:eastAsia="zh-CN"/>
        </w:rPr>
      </w:pPr>
    </w:p>
    <w:p w14:paraId="366AE84F">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3" w:firstLineChars="3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② 牛源病毒</w:t>
      </w:r>
    </w:p>
    <w:p w14:paraId="680A8155">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0" w:firstLineChars="3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中国药典至少应对BVDV、PI-3、BAdV-3、BPV、REO3以及RV病毒进行检查</w:t>
      </w:r>
      <w:r>
        <w:rPr>
          <w:rFonts w:hint="eastAsia" w:ascii="Times New Roman" w:hAnsi="Times New Roman" w:cs="Times New Roman"/>
          <w:b w:val="0"/>
          <w:bCs w:val="0"/>
          <w:color w:val="000000"/>
          <w:sz w:val="22"/>
          <w:szCs w:val="22"/>
          <w:lang w:val="en-US" w:eastAsia="zh-CN"/>
        </w:rPr>
        <w:t>；美国药典则对BVDV、BPV、BAdV-3、BTV、BRSV、REO3、RV和BHV-1/IBR、PI-3病毒检测。检测方法包括</w:t>
      </w:r>
      <w:r>
        <w:rPr>
          <w:rFonts w:hint="eastAsia" w:ascii="Times New Roman" w:hAnsi="Times New Roman" w:cs="Times New Roman"/>
          <w:b w:val="0"/>
          <w:bCs w:val="0"/>
          <w:sz w:val="22"/>
          <w:szCs w:val="22"/>
          <w:lang w:val="en-US" w:eastAsia="zh-CN"/>
        </w:rPr>
        <w:t>观察细胞培养生长情况，以及对几种牛源病毒的免疫荧光抗体法（IFA）检测。</w:t>
      </w:r>
    </w:p>
    <w:p w14:paraId="12132906">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0" w:firstLineChars="300"/>
        <w:jc w:val="both"/>
        <w:textAlignment w:val="auto"/>
        <w:rPr>
          <w:rFonts w:hint="eastAsia" w:ascii="Times New Roman" w:hAnsi="Times New Roman" w:cs="Times New Roman"/>
          <w:b w:val="0"/>
          <w:bCs w:val="0"/>
          <w:sz w:val="22"/>
          <w:szCs w:val="22"/>
          <w:lang w:val="en-US" w:eastAsia="zh-CN"/>
        </w:rPr>
      </w:pPr>
    </w:p>
    <w:p w14:paraId="10F68920">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3" w:firstLineChars="3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 xml:space="preserve">③ </w:t>
      </w:r>
      <w:r>
        <w:rPr>
          <w:rFonts w:hint="default" w:ascii="Times New Roman" w:hAnsi="Times New Roman" w:cs="Times New Roman"/>
          <w:b/>
          <w:bCs/>
          <w:sz w:val="22"/>
          <w:szCs w:val="22"/>
          <w:lang w:val="en-US" w:eastAsia="zh-CN"/>
        </w:rPr>
        <w:t>细菌内毒素</w:t>
      </w:r>
    </w:p>
    <w:p w14:paraId="3A2D9B6F">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0" w:firstLineChars="3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中国药典为＜10 EU/mL，美国药典也为＜10 EU/mL。内毒素是细菌破碎后细胞壁的成分，可量化源血清的革兰氏阴性细菌污染情况。因此内毒素含量的高低可表现出从采血到生产一系列过程中的无菌操作情况。此外，内毒素不能通过过滤去除，并且作为诱变剂会影响细胞生长特性。如果含量极高，预示着血清可能已经污染。</w:t>
      </w:r>
    </w:p>
    <w:p w14:paraId="0FE60680">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3" w:firstLineChars="300"/>
        <w:jc w:val="both"/>
        <w:textAlignment w:val="auto"/>
        <w:rPr>
          <w:rFonts w:hint="eastAsia" w:ascii="Times New Roman" w:hAnsi="Times New Roman" w:cs="Times New Roman"/>
          <w:b/>
          <w:bCs/>
          <w:sz w:val="22"/>
          <w:szCs w:val="22"/>
          <w:lang w:val="en-US" w:eastAsia="zh-CN"/>
        </w:rPr>
      </w:pPr>
    </w:p>
    <w:p w14:paraId="1228080C">
      <w:pPr>
        <w:keepNext w:val="0"/>
        <w:keepLines w:val="0"/>
        <w:pageBreakBefore w:val="0"/>
        <w:widowControl w:val="0"/>
        <w:numPr>
          <w:ilvl w:val="0"/>
          <w:numId w:val="3"/>
        </w:numPr>
        <w:kinsoku/>
        <w:wordWrap/>
        <w:overflowPunct/>
        <w:topLinePunct w:val="0"/>
        <w:autoSpaceDE/>
        <w:autoSpaceDN/>
        <w:bidi w:val="0"/>
        <w:adjustRightInd/>
        <w:snapToGrid/>
        <w:ind w:right="105" w:rightChars="50" w:firstLine="442" w:firstLineChars="2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生理生化指标检测</w:t>
      </w:r>
    </w:p>
    <w:p w14:paraId="484FD4C0">
      <w:pPr>
        <w:keepNext w:val="0"/>
        <w:keepLines w:val="0"/>
        <w:pageBreakBefore w:val="0"/>
        <w:widowControl w:val="0"/>
        <w:numPr>
          <w:ilvl w:val="0"/>
          <w:numId w:val="0"/>
        </w:numPr>
        <w:kinsoku/>
        <w:wordWrap/>
        <w:overflowPunct/>
        <w:topLinePunct w:val="0"/>
        <w:autoSpaceDE/>
        <w:autoSpaceDN/>
        <w:bidi w:val="0"/>
        <w:adjustRightInd/>
        <w:snapToGrid/>
        <w:ind w:left="420" w:leftChars="0" w:right="105" w:rightChars="50" w:firstLine="221" w:firstLineChars="1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① pH</w:t>
      </w:r>
    </w:p>
    <w:p w14:paraId="13FA5CBF">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0" w:firstLineChars="3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血清是支持细胞活力的生理环境的一部分，其pH值范围也能证实血清未掺假。中国药典为7.00-8.50，美国药典为7.00-8.00。国产血清大多高于7.5，进口血清大多低于7.5，具体原因未知，可能与牛龄有关。</w:t>
      </w:r>
    </w:p>
    <w:p w14:paraId="6BD5D8C1">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p>
    <w:p w14:paraId="09B0AEB6">
      <w:pPr>
        <w:keepNext w:val="0"/>
        <w:keepLines w:val="0"/>
        <w:pageBreakBefore w:val="0"/>
        <w:widowControl w:val="0"/>
        <w:numPr>
          <w:ilvl w:val="0"/>
          <w:numId w:val="0"/>
        </w:numPr>
        <w:kinsoku/>
        <w:wordWrap/>
        <w:overflowPunct/>
        <w:topLinePunct w:val="0"/>
        <w:autoSpaceDE/>
        <w:autoSpaceDN/>
        <w:bidi w:val="0"/>
        <w:adjustRightInd/>
        <w:snapToGrid/>
        <w:ind w:left="420" w:leftChars="0" w:right="105" w:rightChars="50" w:firstLine="221" w:firstLineChars="1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 xml:space="preserve">② </w:t>
      </w:r>
      <w:r>
        <w:rPr>
          <w:rFonts w:hint="default" w:ascii="Times New Roman" w:hAnsi="Times New Roman" w:cs="Times New Roman"/>
          <w:b/>
          <w:bCs/>
          <w:sz w:val="22"/>
          <w:szCs w:val="22"/>
          <w:lang w:val="en-US" w:eastAsia="zh-CN"/>
        </w:rPr>
        <w:t>渗透压摩尔浓度</w:t>
      </w:r>
    </w:p>
    <w:p w14:paraId="0CC3FA2B">
      <w:pPr>
        <w:keepNext w:val="0"/>
        <w:keepLines w:val="0"/>
        <w:pageBreakBefore w:val="0"/>
        <w:widowControl w:val="0"/>
        <w:numPr>
          <w:ilvl w:val="0"/>
          <w:numId w:val="0"/>
        </w:numPr>
        <w:kinsoku/>
        <w:wordWrap/>
        <w:overflowPunct/>
        <w:topLinePunct w:val="0"/>
        <w:autoSpaceDE/>
        <w:autoSpaceDN/>
        <w:bidi w:val="0"/>
        <w:adjustRightInd/>
        <w:snapToGrid/>
        <w:ind w:left="420" w:leftChars="0" w:right="105" w:rightChars="50" w:firstLine="220" w:firstLineChars="1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能够反映血清电解质和溶质浓度，确保不被稀释。中国药典为250-330 mOsmol/kg，美国药典为280-360 mOsmol/kg。</w:t>
      </w:r>
    </w:p>
    <w:p w14:paraId="5FA6BDA3">
      <w:pPr>
        <w:keepNext w:val="0"/>
        <w:keepLines w:val="0"/>
        <w:pageBreakBefore w:val="0"/>
        <w:widowControl w:val="0"/>
        <w:numPr>
          <w:ilvl w:val="0"/>
          <w:numId w:val="0"/>
        </w:numPr>
        <w:kinsoku/>
        <w:wordWrap/>
        <w:overflowPunct/>
        <w:topLinePunct w:val="0"/>
        <w:autoSpaceDE/>
        <w:autoSpaceDN/>
        <w:bidi w:val="0"/>
        <w:adjustRightInd/>
        <w:snapToGrid/>
        <w:ind w:left="420" w:leftChars="0" w:right="105" w:rightChars="50" w:firstLine="220" w:firstLineChars="100"/>
        <w:jc w:val="both"/>
        <w:textAlignment w:val="auto"/>
        <w:rPr>
          <w:rFonts w:hint="eastAsia" w:ascii="Times New Roman" w:hAnsi="Times New Roman" w:cs="Times New Roman"/>
          <w:b w:val="0"/>
          <w:bCs w:val="0"/>
          <w:sz w:val="22"/>
          <w:szCs w:val="22"/>
          <w:lang w:val="en-US" w:eastAsia="zh-CN"/>
        </w:rPr>
      </w:pPr>
    </w:p>
    <w:p w14:paraId="7AE26DD9">
      <w:pPr>
        <w:keepNext w:val="0"/>
        <w:keepLines w:val="0"/>
        <w:pageBreakBefore w:val="0"/>
        <w:widowControl w:val="0"/>
        <w:numPr>
          <w:ilvl w:val="0"/>
          <w:numId w:val="0"/>
        </w:numPr>
        <w:kinsoku/>
        <w:wordWrap/>
        <w:overflowPunct/>
        <w:topLinePunct w:val="0"/>
        <w:autoSpaceDE/>
        <w:autoSpaceDN/>
        <w:bidi w:val="0"/>
        <w:adjustRightInd/>
        <w:snapToGrid/>
        <w:ind w:left="420" w:leftChars="0" w:right="105" w:rightChars="50" w:firstLine="221" w:firstLineChars="1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③ 总蛋白</w:t>
      </w:r>
    </w:p>
    <w:p w14:paraId="626C603E">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0" w:firstLineChars="3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是反映牛动物年龄的特征，胎牛血清（FBS）具有最低的蛋白质浓度。中国药典为35-50 g/L（3.5-5.0 g/dL），美国药典为3.0-4.5 g/dL。如果数值偏高，说明采血的牛龄可能偏大；而数值偏低，则表明血清可能有掺水。</w:t>
      </w:r>
    </w:p>
    <w:p w14:paraId="4F021D1E">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val="0"/>
          <w:bCs w:val="0"/>
          <w:sz w:val="22"/>
          <w:szCs w:val="22"/>
          <w:lang w:val="en-US" w:eastAsia="zh-CN"/>
        </w:rPr>
      </w:pPr>
    </w:p>
    <w:p w14:paraId="0B4D8386">
      <w:pPr>
        <w:keepNext w:val="0"/>
        <w:keepLines w:val="0"/>
        <w:pageBreakBefore w:val="0"/>
        <w:widowControl w:val="0"/>
        <w:numPr>
          <w:ilvl w:val="0"/>
          <w:numId w:val="0"/>
        </w:numPr>
        <w:kinsoku/>
        <w:wordWrap/>
        <w:overflowPunct/>
        <w:topLinePunct w:val="0"/>
        <w:autoSpaceDE/>
        <w:autoSpaceDN/>
        <w:bidi w:val="0"/>
        <w:adjustRightInd/>
        <w:snapToGrid/>
        <w:ind w:left="420" w:leftChars="0" w:right="105" w:rightChars="50" w:firstLine="221" w:firstLineChars="1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④ 血红蛋白</w:t>
      </w:r>
    </w:p>
    <w:p w14:paraId="724A8225">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660" w:firstLineChars="3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中国药典为＜200 mg/L (20 mg/dL)，美国药典为＜30 mg/dL。血清的颜色越红，数值越高，反之，数值就越低。这个指标的意义在于能体现出采血过程的严谨规范程度，良好的操作能降低血清的溶血。</w:t>
      </w:r>
    </w:p>
    <w:p w14:paraId="0DD31889">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val="0"/>
          <w:bCs w:val="0"/>
          <w:sz w:val="22"/>
          <w:szCs w:val="22"/>
          <w:lang w:val="en-US" w:eastAsia="zh-CN"/>
        </w:rPr>
      </w:pPr>
    </w:p>
    <w:p w14:paraId="55DD8EA1">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 xml:space="preserve">  ⑤ 其他</w:t>
      </w:r>
    </w:p>
    <w:p w14:paraId="109487EC">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 xml:space="preserve">  胎牛血清（FBS）与其他血清类型相比，具有非常低的</w:t>
      </w:r>
      <w:r>
        <w:rPr>
          <w:rFonts w:hint="default" w:ascii="Times New Roman" w:hAnsi="Times New Roman" w:cs="Times New Roman"/>
          <w:b/>
          <w:bCs/>
          <w:sz w:val="22"/>
          <w:szCs w:val="22"/>
          <w:lang w:val="en-US" w:eastAsia="zh-CN"/>
        </w:rPr>
        <w:t>γ-</w:t>
      </w:r>
      <w:r>
        <w:rPr>
          <w:rFonts w:hint="eastAsia" w:ascii="Times New Roman" w:hAnsi="Times New Roman" w:cs="Times New Roman"/>
          <w:b/>
          <w:bCs/>
          <w:sz w:val="22"/>
          <w:szCs w:val="22"/>
          <w:lang w:val="en-US" w:eastAsia="zh-CN"/>
        </w:rPr>
        <w:t>球蛋白</w:t>
      </w:r>
      <w:r>
        <w:rPr>
          <w:rFonts w:hint="eastAsia" w:ascii="Times New Roman" w:hAnsi="Times New Roman" w:cs="Times New Roman"/>
          <w:b w:val="0"/>
          <w:bCs w:val="0"/>
          <w:sz w:val="22"/>
          <w:szCs w:val="22"/>
          <w:lang w:val="en-US" w:eastAsia="zh-CN"/>
        </w:rPr>
        <w:t>比例；而较高水平</w:t>
      </w:r>
      <w:r>
        <w:rPr>
          <w:rFonts w:hint="default" w:ascii="Times New Roman" w:hAnsi="Times New Roman" w:cs="Times New Roman"/>
          <w:b w:val="0"/>
          <w:bCs w:val="0"/>
          <w:sz w:val="22"/>
          <w:szCs w:val="22"/>
          <w:lang w:val="en-US" w:eastAsia="zh-CN"/>
        </w:rPr>
        <w:t>的</w:t>
      </w:r>
      <w:r>
        <w:rPr>
          <w:rFonts w:hint="default" w:ascii="Times New Roman" w:hAnsi="Times New Roman" w:cs="Times New Roman"/>
          <w:b/>
          <w:bCs/>
          <w:sz w:val="22"/>
          <w:szCs w:val="22"/>
          <w:lang w:val="en-US" w:eastAsia="zh-CN"/>
        </w:rPr>
        <w:t>γ-谷氨酰转移酶（GGT）</w:t>
      </w:r>
      <w:r>
        <w:rPr>
          <w:rFonts w:hint="eastAsia" w:ascii="Times New Roman" w:hAnsi="Times New Roman" w:cs="Times New Roman"/>
          <w:b w:val="0"/>
          <w:bCs w:val="0"/>
          <w:sz w:val="22"/>
          <w:szCs w:val="22"/>
          <w:lang w:val="en-US" w:eastAsia="zh-CN"/>
        </w:rPr>
        <w:t>也是非胎牛血清的标志性指标；一般来说，</w:t>
      </w:r>
      <w:r>
        <w:rPr>
          <w:rFonts w:hint="eastAsia" w:ascii="Times New Roman" w:hAnsi="Times New Roman" w:cs="Times New Roman"/>
          <w:b/>
          <w:bCs/>
          <w:sz w:val="22"/>
          <w:szCs w:val="22"/>
          <w:lang w:val="en-US" w:eastAsia="zh-CN"/>
        </w:rPr>
        <w:t>免疫球蛋白（IgG）</w:t>
      </w:r>
      <w:r>
        <w:rPr>
          <w:rFonts w:hint="eastAsia" w:ascii="Times New Roman" w:hAnsi="Times New Roman" w:cs="Times New Roman"/>
          <w:b w:val="0"/>
          <w:bCs w:val="0"/>
          <w:sz w:val="22"/>
          <w:szCs w:val="22"/>
          <w:lang w:val="en-US" w:eastAsia="zh-CN"/>
        </w:rPr>
        <w:t xml:space="preserve">水平超过300 </w:t>
      </w:r>
      <w:r>
        <w:rPr>
          <w:rFonts w:hint="default" w:ascii="Times New Roman" w:hAnsi="Times New Roman" w:cs="Times New Roman"/>
          <w:b w:val="0"/>
          <w:bCs w:val="0"/>
          <w:sz w:val="22"/>
          <w:szCs w:val="22"/>
          <w:lang w:val="en-US" w:eastAsia="zh-CN"/>
        </w:rPr>
        <w:t>μg/m</w:t>
      </w:r>
      <w:r>
        <w:rPr>
          <w:rFonts w:hint="eastAsia" w:ascii="Times New Roman" w:hAnsi="Times New Roman" w:cs="Times New Roman"/>
          <w:b w:val="0"/>
          <w:bCs w:val="0"/>
          <w:sz w:val="22"/>
          <w:szCs w:val="22"/>
          <w:lang w:val="en-US" w:eastAsia="zh-CN"/>
        </w:rPr>
        <w:t>L，说明可能是胎牛血清（FBS）以外的血清等。</w:t>
      </w:r>
    </w:p>
    <w:p w14:paraId="56D5DCEF">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default" w:ascii="Times New Roman" w:hAnsi="Times New Roman" w:cs="Times New Roman"/>
          <w:b w:val="0"/>
          <w:bCs w:val="0"/>
          <w:sz w:val="22"/>
          <w:szCs w:val="22"/>
          <w:lang w:val="en-US" w:eastAsia="zh-CN"/>
        </w:rPr>
      </w:pPr>
    </w:p>
    <w:p w14:paraId="077E4DB4">
      <w:pPr>
        <w:keepNext w:val="0"/>
        <w:keepLines w:val="0"/>
        <w:pageBreakBefore w:val="0"/>
        <w:widowControl w:val="0"/>
        <w:numPr>
          <w:ilvl w:val="0"/>
          <w:numId w:val="3"/>
        </w:numPr>
        <w:kinsoku/>
        <w:wordWrap/>
        <w:overflowPunct/>
        <w:topLinePunct w:val="0"/>
        <w:autoSpaceDE/>
        <w:autoSpaceDN/>
        <w:bidi w:val="0"/>
        <w:adjustRightInd/>
        <w:snapToGrid/>
        <w:ind w:left="0" w:leftChars="0" w:right="105" w:rightChars="50" w:firstLine="442" w:firstLineChars="200"/>
        <w:jc w:val="both"/>
        <w:textAlignment w:val="auto"/>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血清功能测试</w:t>
      </w:r>
    </w:p>
    <w:p w14:paraId="11478B3E">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中、美药典中都包括有血清对细胞增殖相关的具体功能性检测，包括细胞生长曲线、细胞倍增时间、计数和活力记录、克隆率等的测定。</w:t>
      </w:r>
    </w:p>
    <w:p w14:paraId="65F32035">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val="0"/>
          <w:bCs w:val="0"/>
          <w:sz w:val="22"/>
          <w:szCs w:val="22"/>
          <w:lang w:val="en-US" w:eastAsia="zh-CN"/>
        </w:rPr>
      </w:pPr>
    </w:p>
    <w:p w14:paraId="305380AC">
      <w:pPr>
        <w:keepNext w:val="0"/>
        <w:keepLines w:val="0"/>
        <w:pageBreakBefore w:val="0"/>
        <w:widowControl w:val="0"/>
        <w:numPr>
          <w:ilvl w:val="0"/>
          <w:numId w:val="1"/>
        </w:numPr>
        <w:kinsoku/>
        <w:wordWrap/>
        <w:overflowPunct/>
        <w:topLinePunct w:val="0"/>
        <w:autoSpaceDE/>
        <w:autoSpaceDN/>
        <w:bidi w:val="0"/>
        <w:adjustRightInd/>
        <w:snapToGrid/>
        <w:ind w:left="0" w:leftChars="0" w:right="105" w:rightChars="50" w:firstLine="442" w:firstLineChars="200"/>
        <w:jc w:val="both"/>
        <w:textAlignment w:val="auto"/>
        <w:rPr>
          <w:rFonts w:hint="eastAsia"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血源</w:t>
      </w:r>
    </w:p>
    <w:p w14:paraId="6F54CC23">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产地直接影响到胎牛血清的品质，不同产地的血清，品质也有所差异。由于我国本土的国产血清因地域环境和技术差异等问题，目前在细胞培养领域胎牛血清仍以进口为主，且允许进口的血清产地很少，只有澳大利亚、新西兰、南美（乌拉圭）。目前市场上的血清血源主要分为澳洲、南美和中国。</w:t>
      </w:r>
    </w:p>
    <w:p w14:paraId="2983E0A8">
      <w:pPr>
        <w:keepNext w:val="0"/>
        <w:keepLines w:val="0"/>
        <w:pageBreakBefore w:val="0"/>
        <w:widowControl w:val="0"/>
        <w:numPr>
          <w:ilvl w:val="0"/>
          <w:numId w:val="4"/>
        </w:numPr>
        <w:kinsoku/>
        <w:wordWrap/>
        <w:overflowPunct/>
        <w:topLinePunct w:val="0"/>
        <w:autoSpaceDE/>
        <w:autoSpaceDN/>
        <w:bidi w:val="0"/>
        <w:adjustRightInd/>
        <w:snapToGrid/>
        <w:ind w:right="105" w:rightChars="50" w:firstLine="420"/>
        <w:jc w:val="both"/>
        <w:textAlignment w:val="auto"/>
        <w:rPr>
          <w:rFonts w:hint="default" w:ascii="Times New Roman" w:hAnsi="Times New Roman" w:cs="Times New Roman"/>
          <w:b w:val="0"/>
          <w:bCs w:val="0"/>
          <w:sz w:val="22"/>
          <w:szCs w:val="22"/>
          <w:lang w:val="en-US" w:eastAsia="zh-CN"/>
        </w:rPr>
      </w:pPr>
      <w:r>
        <w:rPr>
          <w:rFonts w:hint="default" w:ascii="Times New Roman" w:hAnsi="Times New Roman" w:cs="Times New Roman"/>
          <w:b w:val="0"/>
          <w:bCs w:val="0"/>
          <w:sz w:val="22"/>
          <w:szCs w:val="22"/>
          <w:lang w:val="en-US" w:eastAsia="zh-CN"/>
        </w:rPr>
        <w:t>澳洲血清，来源主要是澳大利亚和新西兰，于北美血清禁运之后进入中国市场。</w:t>
      </w:r>
      <w:r>
        <w:rPr>
          <w:rFonts w:hint="eastAsia" w:ascii="Times New Roman" w:hAnsi="Times New Roman" w:cs="Times New Roman"/>
          <w:b w:val="0"/>
          <w:bCs w:val="0"/>
          <w:sz w:val="22"/>
          <w:szCs w:val="22"/>
          <w:lang w:val="en-US" w:eastAsia="zh-CN"/>
        </w:rPr>
        <w:t>目前</w:t>
      </w:r>
      <w:r>
        <w:rPr>
          <w:rFonts w:hint="default" w:ascii="Times New Roman" w:hAnsi="Times New Roman" w:cs="Times New Roman"/>
          <w:b w:val="0"/>
          <w:bCs w:val="0"/>
          <w:sz w:val="22"/>
          <w:szCs w:val="22"/>
          <w:lang w:val="en-US" w:eastAsia="zh-CN"/>
        </w:rPr>
        <w:t>公认的质量最优，品质有保证，但由于产量、工艺、运输等原因，价格相对最贵</w:t>
      </w:r>
      <w:r>
        <w:rPr>
          <w:rFonts w:hint="eastAsia" w:ascii="Times New Roman" w:hAnsi="Times New Roman" w:cs="Times New Roman"/>
          <w:b w:val="0"/>
          <w:bCs w:val="0"/>
          <w:sz w:val="22"/>
          <w:szCs w:val="22"/>
          <w:lang w:val="en-US" w:eastAsia="zh-CN"/>
        </w:rPr>
        <w:t>；</w:t>
      </w:r>
    </w:p>
    <w:p w14:paraId="715A95C5">
      <w:pPr>
        <w:keepNext w:val="0"/>
        <w:keepLines w:val="0"/>
        <w:pageBreakBefore w:val="0"/>
        <w:widowControl w:val="0"/>
        <w:numPr>
          <w:ilvl w:val="0"/>
          <w:numId w:val="4"/>
        </w:numPr>
        <w:kinsoku/>
        <w:wordWrap/>
        <w:overflowPunct/>
        <w:topLinePunct w:val="0"/>
        <w:autoSpaceDE/>
        <w:autoSpaceDN/>
        <w:bidi w:val="0"/>
        <w:adjustRightInd/>
        <w:snapToGrid/>
        <w:ind w:right="105" w:rightChars="50" w:firstLine="420"/>
        <w:jc w:val="both"/>
        <w:textAlignment w:val="auto"/>
        <w:rPr>
          <w:rFonts w:hint="default" w:ascii="Times New Roman" w:hAnsi="Times New Roman" w:cs="Times New Roman"/>
          <w:b w:val="0"/>
          <w:bCs w:val="0"/>
          <w:color w:val="FF0000"/>
          <w:sz w:val="22"/>
          <w:szCs w:val="22"/>
          <w:lang w:val="en-US" w:eastAsia="zh-CN"/>
        </w:rPr>
      </w:pPr>
      <w:r>
        <w:rPr>
          <w:rFonts w:hint="default" w:ascii="Times New Roman" w:hAnsi="Times New Roman" w:cs="Times New Roman"/>
          <w:b w:val="0"/>
          <w:bCs w:val="0"/>
          <w:sz w:val="22"/>
          <w:szCs w:val="22"/>
          <w:lang w:val="en-US" w:eastAsia="zh-CN"/>
        </w:rPr>
        <w:t>南美血清，来源主要是乌拉圭，产量较高，整体性价比较高，但不同品牌，其所在地的生产工艺有</w:t>
      </w:r>
      <w:r>
        <w:rPr>
          <w:rFonts w:hint="eastAsia" w:ascii="Times New Roman" w:hAnsi="Times New Roman" w:cs="Times New Roman"/>
          <w:b w:val="0"/>
          <w:bCs w:val="0"/>
          <w:sz w:val="22"/>
          <w:szCs w:val="22"/>
          <w:lang w:val="en-US" w:eastAsia="zh-CN"/>
        </w:rPr>
        <w:t>也</w:t>
      </w:r>
      <w:r>
        <w:rPr>
          <w:rFonts w:hint="default" w:ascii="Times New Roman" w:hAnsi="Times New Roman" w:cs="Times New Roman"/>
          <w:b w:val="0"/>
          <w:bCs w:val="0"/>
          <w:sz w:val="22"/>
          <w:szCs w:val="22"/>
          <w:lang w:val="en-US" w:eastAsia="zh-CN"/>
        </w:rPr>
        <w:t>所区别，导致品质</w:t>
      </w:r>
      <w:r>
        <w:rPr>
          <w:rFonts w:hint="eastAsia" w:ascii="Times New Roman" w:hAnsi="Times New Roman" w:cs="Times New Roman"/>
          <w:b w:val="0"/>
          <w:bCs w:val="0"/>
          <w:sz w:val="22"/>
          <w:szCs w:val="22"/>
          <w:lang w:val="en-US" w:eastAsia="zh-CN"/>
        </w:rPr>
        <w:t>参差</w:t>
      </w:r>
      <w:r>
        <w:rPr>
          <w:rFonts w:hint="default" w:ascii="Times New Roman" w:hAnsi="Times New Roman" w:cs="Times New Roman"/>
          <w:b w:val="0"/>
          <w:bCs w:val="0"/>
          <w:sz w:val="22"/>
          <w:szCs w:val="22"/>
          <w:lang w:val="en-US" w:eastAsia="zh-CN"/>
        </w:rPr>
        <w:t>不齐</w:t>
      </w:r>
      <w:r>
        <w:rPr>
          <w:rFonts w:hint="eastAsia" w:ascii="Times New Roman" w:hAnsi="Times New Roman" w:cs="Times New Roman"/>
          <w:b w:val="0"/>
          <w:bCs w:val="0"/>
          <w:sz w:val="22"/>
          <w:szCs w:val="22"/>
          <w:lang w:val="en-US" w:eastAsia="zh-CN"/>
        </w:rPr>
        <w:t>；</w:t>
      </w:r>
    </w:p>
    <w:p w14:paraId="154BA5BB">
      <w:pPr>
        <w:keepNext w:val="0"/>
        <w:keepLines w:val="0"/>
        <w:pageBreakBefore w:val="0"/>
        <w:widowControl w:val="0"/>
        <w:numPr>
          <w:ilvl w:val="0"/>
          <w:numId w:val="4"/>
        </w:numPr>
        <w:kinsoku/>
        <w:wordWrap/>
        <w:overflowPunct/>
        <w:topLinePunct w:val="0"/>
        <w:autoSpaceDE/>
        <w:autoSpaceDN/>
        <w:bidi w:val="0"/>
        <w:adjustRightInd/>
        <w:snapToGrid/>
        <w:ind w:right="105" w:rightChars="50" w:firstLine="420"/>
        <w:jc w:val="both"/>
        <w:textAlignment w:val="auto"/>
        <w:rPr>
          <w:rFonts w:hint="eastAsia" w:ascii="Times New Roman" w:hAnsi="Times New Roman" w:cs="Times New Roman"/>
          <w:b w:val="0"/>
          <w:bCs w:val="0"/>
          <w:sz w:val="24"/>
          <w:szCs w:val="24"/>
          <w:lang w:val="en-US" w:eastAsia="zh-CN"/>
        </w:rPr>
      </w:pPr>
      <w:r>
        <w:rPr>
          <w:rFonts w:hint="default" w:ascii="Times New Roman" w:hAnsi="Times New Roman" w:cs="Times New Roman"/>
          <w:b w:val="0"/>
          <w:bCs w:val="0"/>
          <w:sz w:val="22"/>
          <w:szCs w:val="22"/>
          <w:lang w:val="en-US" w:eastAsia="zh-CN"/>
        </w:rPr>
        <w:t>国产血清</w:t>
      </w:r>
      <w:r>
        <w:rPr>
          <w:rFonts w:hint="eastAsia" w:ascii="Times New Roman" w:hAnsi="Times New Roman" w:cs="Times New Roman"/>
          <w:b w:val="0"/>
          <w:bCs w:val="0"/>
          <w:sz w:val="22"/>
          <w:szCs w:val="22"/>
          <w:lang w:val="en-US" w:eastAsia="zh-CN"/>
        </w:rPr>
        <w:t>，由于天然环境较差和抗生素的大量使用，使得绝大多数国产血清质量普遍不高，价格也相对较低</w:t>
      </w:r>
      <w:r>
        <w:rPr>
          <w:rFonts w:hint="default" w:ascii="Times New Roman" w:hAnsi="Times New Roman" w:cs="Times New Roman"/>
          <w:b w:val="0"/>
          <w:bCs w:val="0"/>
          <w:sz w:val="22"/>
          <w:szCs w:val="22"/>
          <w:lang w:val="en-US" w:eastAsia="zh-CN"/>
        </w:rPr>
        <w:t>。</w:t>
      </w:r>
    </w:p>
    <w:p w14:paraId="763EC59E">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default" w:ascii="Times New Roman" w:hAnsi="Times New Roman" w:cs="Times New Roman"/>
          <w:b w:val="0"/>
          <w:bCs w:val="0"/>
          <w:sz w:val="22"/>
          <w:szCs w:val="22"/>
          <w:lang w:val="en-US" w:eastAsia="zh-CN"/>
        </w:rPr>
      </w:pPr>
    </w:p>
    <w:p w14:paraId="306BE12C">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2"/>
          <w:szCs w:val="22"/>
          <w:lang w:val="en-US" w:eastAsia="zh-CN"/>
        </w:rPr>
        <w:t>而我们的</w:t>
      </w:r>
      <w:r>
        <w:rPr>
          <w:rFonts w:hint="eastAsia" w:ascii="Times New Roman" w:hAnsi="Times New Roman" w:cs="Times New Roman"/>
          <w:b/>
          <w:bCs/>
          <w:color w:val="000000"/>
          <w:sz w:val="24"/>
          <w:szCs w:val="24"/>
          <w:highlight w:val="none"/>
          <w:lang w:val="en-US" w:eastAsia="zh-CN"/>
        </w:rPr>
        <w:t>LUXCELL品牌胎牛血清</w:t>
      </w:r>
      <w:r>
        <w:rPr>
          <w:rFonts w:hint="eastAsia" w:ascii="Times New Roman" w:hAnsi="Times New Roman" w:cs="Times New Roman"/>
          <w:b/>
          <w:bCs/>
          <w:sz w:val="24"/>
          <w:szCs w:val="24"/>
          <w:lang w:val="en-US" w:eastAsia="zh-CN"/>
        </w:rPr>
        <w:t>（FBS）</w:t>
      </w:r>
      <w:r>
        <w:rPr>
          <w:rFonts w:hint="eastAsia" w:ascii="Times New Roman" w:hAnsi="Times New Roman" w:cs="Times New Roman"/>
          <w:b w:val="0"/>
          <w:bCs w:val="0"/>
          <w:sz w:val="24"/>
          <w:szCs w:val="24"/>
          <w:lang w:val="en-US" w:eastAsia="zh-CN"/>
        </w:rPr>
        <w:t>：</w:t>
      </w:r>
    </w:p>
    <w:p w14:paraId="7FD86FC3">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jc w:val="both"/>
        <w:textAlignment w:val="auto"/>
        <w:rPr>
          <w:rFonts w:hint="eastAsia" w:ascii="Times New Roman" w:hAnsi="Times New Roman" w:cs="Times New Roman"/>
          <w:b w:val="0"/>
          <w:bCs w:val="0"/>
          <w:sz w:val="22"/>
          <w:szCs w:val="22"/>
          <w:lang w:val="en-US" w:eastAsia="zh-CN"/>
        </w:rPr>
      </w:pPr>
    </w:p>
    <w:p w14:paraId="6F41CF5C">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首先，</w:t>
      </w:r>
      <w:r>
        <w:rPr>
          <w:rFonts w:hint="eastAsia" w:ascii="Times New Roman" w:hAnsi="Times New Roman" w:cs="Times New Roman"/>
          <w:b/>
          <w:bCs/>
          <w:color w:val="006400"/>
          <w:sz w:val="22"/>
          <w:szCs w:val="22"/>
          <w:lang w:val="en-US" w:eastAsia="zh-CN"/>
        </w:rPr>
        <w:t>血清来源可追溯</w:t>
      </w:r>
    </w:p>
    <w:p w14:paraId="7ECE8A45">
      <w:pPr>
        <w:keepNext w:val="0"/>
        <w:keepLines w:val="0"/>
        <w:pageBreakBefore w:val="0"/>
        <w:widowControl w:val="0"/>
        <w:numPr>
          <w:ilvl w:val="0"/>
          <w:numId w:val="5"/>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我们的源血均来自国内西南地区肉用牛牧场，非内蒙古非北方地区奶牛牧场，从源头避免了抗生素滥用及残留问题；</w:t>
      </w:r>
    </w:p>
    <w:p w14:paraId="02713677">
      <w:pPr>
        <w:keepNext w:val="0"/>
        <w:keepLines w:val="0"/>
        <w:pageBreakBefore w:val="0"/>
        <w:widowControl w:val="0"/>
        <w:numPr>
          <w:ilvl w:val="0"/>
          <w:numId w:val="5"/>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我们对提供母牛的农场到血液收集和加工进行全程管理，可追溯所有胎牛的供体母牛的养殖农场及检疫合格情况，确保源血的质量；</w:t>
      </w:r>
    </w:p>
    <w:p w14:paraId="35C7EC13">
      <w:pPr>
        <w:keepNext w:val="0"/>
        <w:keepLines w:val="0"/>
        <w:pageBreakBefore w:val="0"/>
        <w:widowControl w:val="0"/>
        <w:numPr>
          <w:ilvl w:val="0"/>
          <w:numId w:val="5"/>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我们血清完整的可追</w:t>
      </w:r>
      <w:r>
        <w:rPr>
          <w:rFonts w:hint="eastAsia" w:ascii="Times New Roman" w:hAnsi="Times New Roman" w:cs="Times New Roman"/>
          <w:b w:val="0"/>
          <w:bCs w:val="0"/>
          <w:color w:val="000000"/>
          <w:sz w:val="22"/>
          <w:szCs w:val="22"/>
          <w:lang w:val="en-US" w:eastAsia="zh-CN"/>
        </w:rPr>
        <w:t>溯性符合cGMP要</w:t>
      </w:r>
      <w:r>
        <w:rPr>
          <w:rFonts w:hint="eastAsia" w:ascii="Times New Roman" w:hAnsi="Times New Roman" w:cs="Times New Roman"/>
          <w:b w:val="0"/>
          <w:bCs w:val="0"/>
          <w:sz w:val="22"/>
          <w:szCs w:val="22"/>
          <w:lang w:val="en-US" w:eastAsia="zh-CN"/>
        </w:rPr>
        <w:t>求。</w:t>
      </w:r>
    </w:p>
    <w:p w14:paraId="7BECEB57">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eastAsia" w:ascii="Times New Roman" w:hAnsi="Times New Roman" w:cs="Times New Roman"/>
          <w:b w:val="0"/>
          <w:bCs w:val="0"/>
          <w:sz w:val="22"/>
          <w:szCs w:val="22"/>
          <w:lang w:val="en-US" w:eastAsia="zh-CN"/>
        </w:rPr>
      </w:pPr>
    </w:p>
    <w:p w14:paraId="7BE9542B">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default"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 xml:space="preserve">    其次，</w:t>
      </w:r>
      <w:r>
        <w:rPr>
          <w:rFonts w:hint="eastAsia" w:ascii="Times New Roman" w:hAnsi="Times New Roman" w:cs="Times New Roman"/>
          <w:b/>
          <w:bCs/>
          <w:color w:val="006400"/>
          <w:sz w:val="22"/>
          <w:szCs w:val="22"/>
          <w:lang w:val="en-US" w:eastAsia="zh-CN"/>
        </w:rPr>
        <w:t>一次性无菌的生产工艺及GMP生产规范</w:t>
      </w:r>
    </w:p>
    <w:p w14:paraId="5A5F0E09">
      <w:pPr>
        <w:keepNext w:val="0"/>
        <w:keepLines w:val="0"/>
        <w:pageBreakBefore w:val="0"/>
        <w:widowControl w:val="0"/>
        <w:numPr>
          <w:ilvl w:val="0"/>
          <w:numId w:val="6"/>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我们的血清是在符合GMP要求的车间生产，采用一次性无菌生产工艺操作；</w:t>
      </w:r>
    </w:p>
    <w:p w14:paraId="78CF2696">
      <w:pPr>
        <w:keepNext w:val="0"/>
        <w:keepLines w:val="0"/>
        <w:pageBreakBefore w:val="0"/>
        <w:widowControl w:val="0"/>
        <w:numPr>
          <w:ilvl w:val="0"/>
          <w:numId w:val="6"/>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通过一次性连续的4 级低至0.1μm孔径的过滤器进行无菌过滤；</w:t>
      </w:r>
    </w:p>
    <w:p w14:paraId="1AA5E2DA">
      <w:pPr>
        <w:keepNext w:val="0"/>
        <w:keepLines w:val="0"/>
        <w:pageBreakBefore w:val="0"/>
        <w:widowControl w:val="0"/>
        <w:numPr>
          <w:ilvl w:val="0"/>
          <w:numId w:val="6"/>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单批次最大处理量达1000L，降低更换血清批次的频率，减小血清批次间差异的影响，降低了人为错误的风险；</w:t>
      </w:r>
    </w:p>
    <w:p w14:paraId="14A8E56E">
      <w:pPr>
        <w:keepNext w:val="0"/>
        <w:keepLines w:val="0"/>
        <w:pageBreakBefore w:val="0"/>
        <w:widowControl w:val="0"/>
        <w:numPr>
          <w:ilvl w:val="0"/>
          <w:numId w:val="6"/>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避免了行业里常用的不锈钢设备的清洗验证的需要，以及可能因清洗不彻底而带来的污染风险。</w:t>
      </w:r>
    </w:p>
    <w:p w14:paraId="4695E9A8">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eastAsia" w:ascii="Times New Roman" w:hAnsi="Times New Roman" w:cs="Times New Roman"/>
          <w:b w:val="0"/>
          <w:bCs w:val="0"/>
          <w:sz w:val="22"/>
          <w:szCs w:val="22"/>
          <w:lang w:val="en-US" w:eastAsia="zh-CN"/>
        </w:rPr>
      </w:pPr>
    </w:p>
    <w:p w14:paraId="2F239AB2">
      <w:pPr>
        <w:keepNext w:val="0"/>
        <w:keepLines w:val="0"/>
        <w:pageBreakBefore w:val="0"/>
        <w:widowControl w:val="0"/>
        <w:numPr>
          <w:ilvl w:val="0"/>
          <w:numId w:val="0"/>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color w:val="000000"/>
          <w:sz w:val="22"/>
          <w:szCs w:val="22"/>
          <w:lang w:val="en-US" w:eastAsia="zh-CN"/>
        </w:rPr>
        <w:t>以及，</w:t>
      </w:r>
      <w:r>
        <w:rPr>
          <w:rFonts w:hint="eastAsia" w:ascii="Times New Roman" w:hAnsi="Times New Roman" w:cs="Times New Roman"/>
          <w:b/>
          <w:bCs/>
          <w:color w:val="006400"/>
          <w:sz w:val="22"/>
          <w:szCs w:val="22"/>
          <w:lang w:val="en-US" w:eastAsia="zh-CN"/>
        </w:rPr>
        <w:t>血清多重质检批次稳定</w:t>
      </w:r>
    </w:p>
    <w:p w14:paraId="5FAA50DD">
      <w:pPr>
        <w:keepNext w:val="0"/>
        <w:keepLines w:val="0"/>
        <w:pageBreakBefore w:val="0"/>
        <w:widowControl w:val="0"/>
        <w:numPr>
          <w:ilvl w:val="0"/>
          <w:numId w:val="7"/>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我们对单包单个源血均进行质检，通过质检的源血方可进入生产；</w:t>
      </w:r>
    </w:p>
    <w:p w14:paraId="0D92488B">
      <w:pPr>
        <w:keepNext w:val="0"/>
        <w:keepLines w:val="0"/>
        <w:pageBreakBefore w:val="0"/>
        <w:widowControl w:val="0"/>
        <w:numPr>
          <w:ilvl w:val="0"/>
          <w:numId w:val="7"/>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血清成品经过造血干细胞、T细胞、间充质细胞、胚胎成纤维细胞、原代细胞、癌细胞株等多种类型细胞质检；</w:t>
      </w:r>
    </w:p>
    <w:p w14:paraId="3488FE16">
      <w:pPr>
        <w:keepNext w:val="0"/>
        <w:keepLines w:val="0"/>
        <w:pageBreakBefore w:val="0"/>
        <w:widowControl w:val="0"/>
        <w:numPr>
          <w:ilvl w:val="0"/>
          <w:numId w:val="7"/>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源血和成品的双重质检极大保障了血清的品质及批次间的稳定性；</w:t>
      </w:r>
    </w:p>
    <w:p w14:paraId="39A48A23">
      <w:pPr>
        <w:keepNext w:val="0"/>
        <w:keepLines w:val="0"/>
        <w:pageBreakBefore w:val="0"/>
        <w:widowControl w:val="0"/>
        <w:numPr>
          <w:ilvl w:val="0"/>
          <w:numId w:val="7"/>
        </w:numPr>
        <w:kinsoku/>
        <w:wordWrap/>
        <w:overflowPunct/>
        <w:topLinePunct w:val="0"/>
        <w:autoSpaceDE/>
        <w:autoSpaceDN/>
        <w:bidi w:val="0"/>
        <w:adjustRightInd/>
        <w:snapToGrid/>
        <w:ind w:right="105" w:rightChars="50" w:firstLine="440" w:firstLineChars="20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通过造血干细胞质检的血清可满足绝大部分其它类型细胞的培养需求。</w:t>
      </w:r>
    </w:p>
    <w:p w14:paraId="48B79DB9">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eastAsia" w:ascii="Times New Roman" w:hAnsi="Times New Roman" w:cs="Times New Roman"/>
          <w:b w:val="0"/>
          <w:bCs w:val="0"/>
          <w:sz w:val="22"/>
          <w:szCs w:val="22"/>
          <w:lang w:val="en-US" w:eastAsia="zh-CN"/>
        </w:rPr>
      </w:pPr>
    </w:p>
    <w:p w14:paraId="0954F6C5">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eastAsia"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 xml:space="preserve">    最后，我们还可提供</w:t>
      </w:r>
      <w:r>
        <w:rPr>
          <w:rFonts w:hint="eastAsia" w:ascii="Times New Roman" w:hAnsi="Times New Roman" w:cs="Times New Roman"/>
          <w:b/>
          <w:bCs/>
          <w:color w:val="006400"/>
          <w:sz w:val="22"/>
          <w:szCs w:val="22"/>
          <w:lang w:val="en-US" w:eastAsia="zh-CN"/>
        </w:rPr>
        <w:t>特优级辐照血清</w:t>
      </w:r>
    </w:p>
    <w:p w14:paraId="596288AA">
      <w:pPr>
        <w:keepNext w:val="0"/>
        <w:keepLines w:val="0"/>
        <w:pageBreakBefore w:val="0"/>
        <w:widowControl w:val="0"/>
        <w:numPr>
          <w:ilvl w:val="0"/>
          <w:numId w:val="8"/>
        </w:numPr>
        <w:kinsoku/>
        <w:wordWrap/>
        <w:overflowPunct/>
        <w:topLinePunct w:val="0"/>
        <w:autoSpaceDE/>
        <w:autoSpaceDN/>
        <w:bidi w:val="0"/>
        <w:adjustRightInd/>
        <w:snapToGrid/>
        <w:ind w:right="105" w:rightChars="50" w:firstLine="440" w:firstLineChars="200"/>
        <w:jc w:val="both"/>
        <w:textAlignment w:val="auto"/>
        <w:rPr>
          <w:rFonts w:hint="default"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血清经γ射线辐照处理是非常常见，是最有效的病原体灭活方法之一，能够最大限度地降低与动物源成分相关的风险；</w:t>
      </w:r>
    </w:p>
    <w:p w14:paraId="401C5E08">
      <w:pPr>
        <w:keepNext w:val="0"/>
        <w:keepLines w:val="0"/>
        <w:pageBreakBefore w:val="0"/>
        <w:widowControl w:val="0"/>
        <w:numPr>
          <w:ilvl w:val="0"/>
          <w:numId w:val="8"/>
        </w:numPr>
        <w:kinsoku/>
        <w:wordWrap/>
        <w:overflowPunct/>
        <w:topLinePunct w:val="0"/>
        <w:autoSpaceDE/>
        <w:autoSpaceDN/>
        <w:bidi w:val="0"/>
        <w:adjustRightInd/>
        <w:snapToGrid/>
        <w:ind w:right="105" w:rightChars="50" w:firstLine="440" w:firstLineChars="200"/>
        <w:jc w:val="both"/>
        <w:textAlignment w:val="auto"/>
        <w:rPr>
          <w:rFonts w:hint="default" w:ascii="Times New Roman" w:hAnsi="Times New Roman" w:cs="Times New Roman"/>
          <w:b w:val="0"/>
          <w:bCs w:val="0"/>
          <w:sz w:val="22"/>
          <w:szCs w:val="22"/>
          <w:lang w:val="en-US" w:eastAsia="zh-CN"/>
        </w:rPr>
      </w:pPr>
      <w:r>
        <w:rPr>
          <w:rFonts w:hint="eastAsia" w:ascii="Times New Roman" w:hAnsi="Times New Roman" w:cs="Times New Roman"/>
          <w:b w:val="0"/>
          <w:bCs w:val="0"/>
          <w:sz w:val="22"/>
          <w:szCs w:val="22"/>
          <w:lang w:val="en-US" w:eastAsia="zh-CN"/>
        </w:rPr>
        <w:t>我们的特优级辐照血清已被验证能够保持细胞生长能力，为客户提供更高的保证，满足更高的要求。</w:t>
      </w:r>
    </w:p>
    <w:p w14:paraId="22BA837D">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default" w:ascii="Times New Roman" w:hAnsi="Times New Roman" w:cs="Times New Roman"/>
          <w:b w:val="0"/>
          <w:bCs w:val="0"/>
          <w:lang w:val="en-US" w:eastAsia="zh-CN"/>
        </w:rPr>
      </w:pPr>
    </w:p>
    <w:p w14:paraId="30658041">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default" w:ascii="Times New Roman" w:hAnsi="Times New Roman" w:cs="Times New Roman"/>
          <w:b w:val="0"/>
          <w:bCs w:val="0"/>
          <w:lang w:val="en-US" w:eastAsia="zh-CN"/>
        </w:rPr>
      </w:pPr>
    </w:p>
    <w:p w14:paraId="12BF89A6">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default" w:ascii="Times New Roman" w:hAnsi="Times New Roman" w:cs="Times New Roman"/>
          <w:b w:val="0"/>
          <w:bCs w:val="0"/>
          <w:lang w:val="en-US" w:eastAsia="zh-CN"/>
        </w:rPr>
      </w:pPr>
    </w:p>
    <w:p w14:paraId="416ABCFA">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default" w:ascii="Times New Roman" w:hAnsi="Times New Roman" w:cs="Times New Roman"/>
          <w:b w:val="0"/>
          <w:bCs w:val="0"/>
          <w:lang w:val="en-US" w:eastAsia="zh-CN"/>
        </w:rPr>
      </w:pPr>
    </w:p>
    <w:p w14:paraId="37523C42">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default" w:ascii="Times New Roman" w:hAnsi="Times New Roman" w:cs="Times New Roman"/>
          <w:b w:val="0"/>
          <w:bCs w:val="0"/>
          <w:lang w:val="en-US" w:eastAsia="zh-CN"/>
        </w:rPr>
      </w:pPr>
    </w:p>
    <w:p w14:paraId="00786D69">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default" w:ascii="Times New Roman" w:hAnsi="Times New Roman" w:cs="Times New Roman"/>
          <w:b w:val="0"/>
          <w:bCs w:val="0"/>
          <w:lang w:val="en-US" w:eastAsia="zh-CN"/>
        </w:rPr>
      </w:pPr>
    </w:p>
    <w:p w14:paraId="127967DE">
      <w:pPr>
        <w:keepNext w:val="0"/>
        <w:keepLines w:val="0"/>
        <w:pageBreakBefore w:val="0"/>
        <w:widowControl w:val="0"/>
        <w:numPr>
          <w:ilvl w:val="0"/>
          <w:numId w:val="0"/>
        </w:numPr>
        <w:kinsoku/>
        <w:wordWrap/>
        <w:overflowPunct/>
        <w:topLinePunct w:val="0"/>
        <w:autoSpaceDE/>
        <w:autoSpaceDN/>
        <w:bidi w:val="0"/>
        <w:adjustRightInd/>
        <w:snapToGrid/>
        <w:ind w:right="105" w:rightChars="50"/>
        <w:jc w:val="both"/>
        <w:textAlignment w:val="auto"/>
        <w:rPr>
          <w:rFonts w:hint="default" w:ascii="Times New Roman" w:hAnsi="Times New Roman" w:cs="Times New Roman"/>
          <w:b w:val="0"/>
          <w:bCs w:val="0"/>
          <w:lang w:val="en-US" w:eastAsia="zh-CN"/>
        </w:rPr>
      </w:pPr>
    </w:p>
    <w:p w14:paraId="156AB1ED">
      <w:pPr>
        <w:widowControl w:val="0"/>
        <w:numPr>
          <w:ilvl w:val="0"/>
          <w:numId w:val="0"/>
        </w:numPr>
        <w:jc w:val="both"/>
        <w:rPr>
          <w:rFonts w:hint="default" w:ascii="Times New Roman" w:hAnsi="Times New Roman" w:cs="Times New Roman"/>
          <w:b w:val="0"/>
          <w:bCs w:val="0"/>
          <w:lang w:val="en-US" w:eastAsia="zh-CN"/>
        </w:rPr>
      </w:pPr>
    </w:p>
    <w:sectPr>
      <w:headerReference r:id="rId3" w:type="default"/>
      <w:footerReference r:id="rId4" w:type="default"/>
      <w:pgSz w:w="11906" w:h="16838"/>
      <w:pgMar w:top="1440" w:right="1800" w:bottom="1440" w:left="1800" w:header="964" w:footer="123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3AAF2">
    <w:pPr>
      <w:pStyle w:val="2"/>
      <w:pBdr>
        <w:top w:val="single" w:color="auto" w:sz="4" w:space="0"/>
      </w:pBd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8F20BAF">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Jom5dHdAQAAvgMAAA4AAAAAAAAA&#10;AQAgAAAAHgEAAGRycy9lMm9Eb2MueG1sUEsFBgAAAAAGAAYAWQEAAG0FAAAAAA==&#10;">
              <v:fill on="f" focussize="0,0"/>
              <v:stroke on="f"/>
              <v:imagedata o:title=""/>
              <o:lock v:ext="edit" aspectratio="f"/>
              <v:textbox inset="0mm,0mm,0mm,0mm" style="mso-fit-shape-to-text:t;">
                <w:txbxContent>
                  <w:p w14:paraId="68F20BAF">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r>
      <w:rPr>
        <w:rFonts w:hint="default" w:ascii="Arial" w:hAnsi="Arial" w:cs="Arial"/>
      </w:rPr>
      <w:fldChar w:fldCharType="begin"/>
    </w:r>
    <w:r>
      <w:rPr>
        <w:rFonts w:hint="default" w:ascii="Arial" w:hAnsi="Arial" w:cs="Arial"/>
      </w:rPr>
      <w:instrText xml:space="preserve"> HYPERLINK "http://www.luxcellsci.com" </w:instrText>
    </w:r>
    <w:r>
      <w:rPr>
        <w:rFonts w:hint="default" w:ascii="Arial" w:hAnsi="Arial" w:cs="Arial"/>
      </w:rPr>
      <w:fldChar w:fldCharType="separate"/>
    </w:r>
    <w:r>
      <w:rPr>
        <w:rStyle w:val="6"/>
        <w:rFonts w:hint="default" w:ascii="Arial" w:hAnsi="Arial" w:cs="Arial"/>
      </w:rPr>
      <w:t>www.luxcellsci.com</w:t>
    </w:r>
    <w:r>
      <w:rPr>
        <w:rFonts w:hint="default" w:ascii="Arial" w:hAnsi="Arial" w:cs="Arial"/>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B9518">
    <w:pPr>
      <w:pStyle w:val="3"/>
      <w:pBdr>
        <w:bottom w:val="none" w:color="auto" w:sz="0" w:space="1"/>
      </w:pBdr>
      <w:jc w:val="center"/>
      <w:rPr>
        <w:rFonts w:hint="default" w:ascii="Times New Roman" w:hAnsi="Times New Roman" w:cs="Times New Roman"/>
      </w:rPr>
    </w:pPr>
  </w:p>
  <w:p w14:paraId="32112B8E">
    <w:pPr>
      <w:pStyle w:val="3"/>
      <w:pBdr>
        <w:bottom w:val="single" w:color="auto" w:sz="4" w:space="1"/>
      </w:pBdr>
      <w:jc w:val="center"/>
    </w:pPr>
    <w:r>
      <w:rPr>
        <w:rFonts w:hint="default" w:ascii="Times New Roman" w:hAnsi="Times New Roman" w:cs="Times New Roman"/>
      </w:rPr>
      <w:t>L</w:t>
    </w:r>
    <w:r>
      <w:rPr>
        <w:rFonts w:hint="eastAsia" w:ascii="Times New Roman" w:hAnsi="Times New Roman" w:cs="Times New Roman"/>
        <w:lang w:val="en-US" w:eastAsia="zh-CN"/>
      </w:rPr>
      <w:t>uxcell</w:t>
    </w:r>
    <w:r>
      <w:rPr>
        <w:rFonts w:hint="default" w:ascii="Times New Roman" w:hAnsi="Times New Roman" w:cs="Times New Roman"/>
      </w:rPr>
      <w:t xml:space="preserve"> Biotechnology Jiangsu Co.</w:t>
    </w:r>
    <w:r>
      <w:rPr>
        <w:rFonts w:hint="eastAsia" w:ascii="Times New Roman" w:hAnsi="Times New Roman" w:cs="Times New Roman"/>
        <w:lang w:val="en-US" w:eastAsia="zh-CN"/>
      </w:rPr>
      <w:t xml:space="preserve">, </w:t>
    </w:r>
    <w:r>
      <w:rPr>
        <w:rFonts w:hint="default" w:ascii="Times New Roman" w:hAnsi="Times New Roman" w:cs="Times New Roman"/>
      </w:rPr>
      <w:t>Ltd.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3AB681"/>
    <w:multiLevelType w:val="singleLevel"/>
    <w:tmpl w:val="943AB681"/>
    <w:lvl w:ilvl="0" w:tentative="0">
      <w:start w:val="1"/>
      <w:numFmt w:val="decimal"/>
      <w:suff w:val="nothing"/>
      <w:lvlText w:val="%1）"/>
      <w:lvlJc w:val="left"/>
    </w:lvl>
  </w:abstractNum>
  <w:abstractNum w:abstractNumId="1">
    <w:nsid w:val="AB9A3D19"/>
    <w:multiLevelType w:val="singleLevel"/>
    <w:tmpl w:val="AB9A3D19"/>
    <w:lvl w:ilvl="0" w:tentative="0">
      <w:start w:val="1"/>
      <w:numFmt w:val="decimal"/>
      <w:suff w:val="nothing"/>
      <w:lvlText w:val="%1）"/>
      <w:lvlJc w:val="left"/>
    </w:lvl>
  </w:abstractNum>
  <w:abstractNum w:abstractNumId="2">
    <w:nsid w:val="DEA3F5C7"/>
    <w:multiLevelType w:val="singleLevel"/>
    <w:tmpl w:val="DEA3F5C7"/>
    <w:lvl w:ilvl="0" w:tentative="0">
      <w:start w:val="1"/>
      <w:numFmt w:val="decimal"/>
      <w:suff w:val="nothing"/>
      <w:lvlText w:val="%1）"/>
      <w:lvlJc w:val="left"/>
    </w:lvl>
  </w:abstractNum>
  <w:abstractNum w:abstractNumId="3">
    <w:nsid w:val="FA92F18D"/>
    <w:multiLevelType w:val="singleLevel"/>
    <w:tmpl w:val="FA92F18D"/>
    <w:lvl w:ilvl="0" w:tentative="0">
      <w:start w:val="1"/>
      <w:numFmt w:val="decimal"/>
      <w:suff w:val="space"/>
      <w:lvlText w:val="%1."/>
      <w:lvlJc w:val="left"/>
      <w:pPr>
        <w:ind w:left="420" w:firstLine="0"/>
      </w:pPr>
    </w:lvl>
  </w:abstractNum>
  <w:abstractNum w:abstractNumId="4">
    <w:nsid w:val="16C11FCE"/>
    <w:multiLevelType w:val="singleLevel"/>
    <w:tmpl w:val="16C11FCE"/>
    <w:lvl w:ilvl="0" w:tentative="0">
      <w:start w:val="1"/>
      <w:numFmt w:val="decimal"/>
      <w:suff w:val="space"/>
      <w:lvlText w:val="%1."/>
      <w:lvlJc w:val="left"/>
      <w:rPr>
        <w:rFonts w:hint="default"/>
        <w:color w:val="000000"/>
      </w:rPr>
    </w:lvl>
  </w:abstractNum>
  <w:abstractNum w:abstractNumId="5">
    <w:nsid w:val="181DBD48"/>
    <w:multiLevelType w:val="singleLevel"/>
    <w:tmpl w:val="181DBD48"/>
    <w:lvl w:ilvl="0" w:tentative="0">
      <w:start w:val="1"/>
      <w:numFmt w:val="decimal"/>
      <w:suff w:val="space"/>
      <w:lvlText w:val="%1."/>
      <w:lvlJc w:val="left"/>
    </w:lvl>
  </w:abstractNum>
  <w:abstractNum w:abstractNumId="6">
    <w:nsid w:val="54C083F4"/>
    <w:multiLevelType w:val="singleLevel"/>
    <w:tmpl w:val="54C083F4"/>
    <w:lvl w:ilvl="0" w:tentative="0">
      <w:start w:val="1"/>
      <w:numFmt w:val="chineseCounting"/>
      <w:suff w:val="nothing"/>
      <w:lvlText w:val="%1、"/>
      <w:lvlJc w:val="left"/>
      <w:rPr>
        <w:rFonts w:hint="eastAsia"/>
      </w:rPr>
    </w:lvl>
  </w:abstractNum>
  <w:abstractNum w:abstractNumId="7">
    <w:nsid w:val="7D59B32A"/>
    <w:multiLevelType w:val="singleLevel"/>
    <w:tmpl w:val="7D59B32A"/>
    <w:lvl w:ilvl="0" w:tentative="0">
      <w:start w:val="1"/>
      <w:numFmt w:val="decimal"/>
      <w:suff w:val="nothing"/>
      <w:lvlText w:val="%1）"/>
      <w:lvlJc w:val="left"/>
    </w:lvl>
  </w:abstractNum>
  <w:num w:numId="1">
    <w:abstractNumId w:val="6"/>
  </w:num>
  <w:num w:numId="2">
    <w:abstractNumId w:val="3"/>
  </w:num>
  <w:num w:numId="3">
    <w:abstractNumId w:val="5"/>
  </w:num>
  <w:num w:numId="4">
    <w:abstractNumId w:val="4"/>
  </w:num>
  <w:num w:numId="5">
    <w:abstractNumId w:val="1"/>
  </w:num>
  <w:num w:numId="6">
    <w:abstractNumId w:val="7"/>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YjA1ZTk1NTY3MTgzZWRjY2QwNzllMDM4YjY1NjgifQ=="/>
  </w:docVars>
  <w:rsids>
    <w:rsidRoot w:val="00000000"/>
    <w:rsid w:val="00135135"/>
    <w:rsid w:val="01AC75F0"/>
    <w:rsid w:val="0204567E"/>
    <w:rsid w:val="02924A37"/>
    <w:rsid w:val="03CF5817"/>
    <w:rsid w:val="04455AD9"/>
    <w:rsid w:val="04A15406"/>
    <w:rsid w:val="052F3123"/>
    <w:rsid w:val="058D14E6"/>
    <w:rsid w:val="05BD626F"/>
    <w:rsid w:val="06141C07"/>
    <w:rsid w:val="06AC1E40"/>
    <w:rsid w:val="073836D3"/>
    <w:rsid w:val="07AF3996"/>
    <w:rsid w:val="07CA4C73"/>
    <w:rsid w:val="081C4A74"/>
    <w:rsid w:val="08DF02AB"/>
    <w:rsid w:val="092B34F0"/>
    <w:rsid w:val="09772BD9"/>
    <w:rsid w:val="09C63218"/>
    <w:rsid w:val="0A0106F5"/>
    <w:rsid w:val="0A310FDA"/>
    <w:rsid w:val="0A481E7F"/>
    <w:rsid w:val="0AB85A42"/>
    <w:rsid w:val="0ADF4592"/>
    <w:rsid w:val="0B0C7351"/>
    <w:rsid w:val="0B745622"/>
    <w:rsid w:val="0B7C0033"/>
    <w:rsid w:val="0C0B7609"/>
    <w:rsid w:val="0C1464BD"/>
    <w:rsid w:val="0C1B5A9E"/>
    <w:rsid w:val="0D076022"/>
    <w:rsid w:val="0E87566C"/>
    <w:rsid w:val="0F3B6457"/>
    <w:rsid w:val="0F582B65"/>
    <w:rsid w:val="0F753717"/>
    <w:rsid w:val="10134CDE"/>
    <w:rsid w:val="103B078D"/>
    <w:rsid w:val="10795489"/>
    <w:rsid w:val="10D80401"/>
    <w:rsid w:val="115A7068"/>
    <w:rsid w:val="116577BB"/>
    <w:rsid w:val="125E66E4"/>
    <w:rsid w:val="12767ED2"/>
    <w:rsid w:val="12887C05"/>
    <w:rsid w:val="1331204B"/>
    <w:rsid w:val="13AE71F7"/>
    <w:rsid w:val="14467430"/>
    <w:rsid w:val="148937C0"/>
    <w:rsid w:val="149208C7"/>
    <w:rsid w:val="15783F61"/>
    <w:rsid w:val="15D62A35"/>
    <w:rsid w:val="15F829AC"/>
    <w:rsid w:val="160A26DF"/>
    <w:rsid w:val="16300397"/>
    <w:rsid w:val="16C531D6"/>
    <w:rsid w:val="170B4961"/>
    <w:rsid w:val="170D692B"/>
    <w:rsid w:val="18E84F59"/>
    <w:rsid w:val="18F02060"/>
    <w:rsid w:val="18F90F15"/>
    <w:rsid w:val="19597C05"/>
    <w:rsid w:val="19EA2F53"/>
    <w:rsid w:val="1AA749A0"/>
    <w:rsid w:val="1B1C0EEA"/>
    <w:rsid w:val="1B475817"/>
    <w:rsid w:val="1B542D7A"/>
    <w:rsid w:val="1B5F527B"/>
    <w:rsid w:val="1BAD248A"/>
    <w:rsid w:val="1BEF65FF"/>
    <w:rsid w:val="1C0876C1"/>
    <w:rsid w:val="1D012A8E"/>
    <w:rsid w:val="1D361655"/>
    <w:rsid w:val="1DFB74DD"/>
    <w:rsid w:val="1E786D7F"/>
    <w:rsid w:val="1E85149C"/>
    <w:rsid w:val="1F316F2E"/>
    <w:rsid w:val="1F7806D4"/>
    <w:rsid w:val="1F83778A"/>
    <w:rsid w:val="1FA871F0"/>
    <w:rsid w:val="1FBA6126"/>
    <w:rsid w:val="1FC251FC"/>
    <w:rsid w:val="20564E9E"/>
    <w:rsid w:val="20BD6CCC"/>
    <w:rsid w:val="20C718F8"/>
    <w:rsid w:val="2136082C"/>
    <w:rsid w:val="215D04AF"/>
    <w:rsid w:val="218E0668"/>
    <w:rsid w:val="218E2416"/>
    <w:rsid w:val="22486A69"/>
    <w:rsid w:val="2254540E"/>
    <w:rsid w:val="22590C76"/>
    <w:rsid w:val="225F7DEC"/>
    <w:rsid w:val="22602004"/>
    <w:rsid w:val="22A87507"/>
    <w:rsid w:val="22CC58EC"/>
    <w:rsid w:val="22D12F02"/>
    <w:rsid w:val="22E91FFA"/>
    <w:rsid w:val="23952182"/>
    <w:rsid w:val="23971A56"/>
    <w:rsid w:val="23AB3753"/>
    <w:rsid w:val="23CD5478"/>
    <w:rsid w:val="24247062"/>
    <w:rsid w:val="256A4F48"/>
    <w:rsid w:val="25746EB1"/>
    <w:rsid w:val="26A050C5"/>
    <w:rsid w:val="26CC799E"/>
    <w:rsid w:val="272C33F1"/>
    <w:rsid w:val="27533EE6"/>
    <w:rsid w:val="279D33B3"/>
    <w:rsid w:val="28996270"/>
    <w:rsid w:val="28A32C4B"/>
    <w:rsid w:val="28D92B11"/>
    <w:rsid w:val="28D948BF"/>
    <w:rsid w:val="28E03E9F"/>
    <w:rsid w:val="2A2953D2"/>
    <w:rsid w:val="2A622692"/>
    <w:rsid w:val="2AE17A5A"/>
    <w:rsid w:val="2B5C5333"/>
    <w:rsid w:val="2B82123D"/>
    <w:rsid w:val="2BDA2E28"/>
    <w:rsid w:val="2C016606"/>
    <w:rsid w:val="2C7C3EDF"/>
    <w:rsid w:val="2D3A16A4"/>
    <w:rsid w:val="2D3C541C"/>
    <w:rsid w:val="2E750BE6"/>
    <w:rsid w:val="2FA14169"/>
    <w:rsid w:val="2FDD4C94"/>
    <w:rsid w:val="2FE14059"/>
    <w:rsid w:val="2FE778C1"/>
    <w:rsid w:val="3080086A"/>
    <w:rsid w:val="315274E4"/>
    <w:rsid w:val="31BB5C2C"/>
    <w:rsid w:val="31F91B2E"/>
    <w:rsid w:val="32186458"/>
    <w:rsid w:val="33294694"/>
    <w:rsid w:val="333A23FE"/>
    <w:rsid w:val="33A37FA3"/>
    <w:rsid w:val="33CA3782"/>
    <w:rsid w:val="344C063B"/>
    <w:rsid w:val="34B13687"/>
    <w:rsid w:val="350D601C"/>
    <w:rsid w:val="35134CB4"/>
    <w:rsid w:val="353A66E5"/>
    <w:rsid w:val="35487054"/>
    <w:rsid w:val="355A6D87"/>
    <w:rsid w:val="355E6877"/>
    <w:rsid w:val="356C76A4"/>
    <w:rsid w:val="369E4A52"/>
    <w:rsid w:val="36E56B24"/>
    <w:rsid w:val="372E04CB"/>
    <w:rsid w:val="377A101B"/>
    <w:rsid w:val="37CE222E"/>
    <w:rsid w:val="386D0B7F"/>
    <w:rsid w:val="394F6F0D"/>
    <w:rsid w:val="39754FD7"/>
    <w:rsid w:val="39822409"/>
    <w:rsid w:val="39A64F49"/>
    <w:rsid w:val="3A751F6D"/>
    <w:rsid w:val="3BC82C9D"/>
    <w:rsid w:val="3C2D2B00"/>
    <w:rsid w:val="3C4B567C"/>
    <w:rsid w:val="3D647AF2"/>
    <w:rsid w:val="3DC15BF5"/>
    <w:rsid w:val="3E1C2E2C"/>
    <w:rsid w:val="3E402793"/>
    <w:rsid w:val="3F214472"/>
    <w:rsid w:val="3F43088C"/>
    <w:rsid w:val="3FB86B84"/>
    <w:rsid w:val="3FFD0A3B"/>
    <w:rsid w:val="405D772B"/>
    <w:rsid w:val="409A272E"/>
    <w:rsid w:val="40A9471F"/>
    <w:rsid w:val="40D479EE"/>
    <w:rsid w:val="41A5138A"/>
    <w:rsid w:val="41B454CC"/>
    <w:rsid w:val="41BA09EA"/>
    <w:rsid w:val="42C35F6C"/>
    <w:rsid w:val="42FC76D0"/>
    <w:rsid w:val="430345BA"/>
    <w:rsid w:val="432A0910"/>
    <w:rsid w:val="4537679D"/>
    <w:rsid w:val="45592BB7"/>
    <w:rsid w:val="46222FA9"/>
    <w:rsid w:val="47D93B3C"/>
    <w:rsid w:val="481F52D5"/>
    <w:rsid w:val="48B3438D"/>
    <w:rsid w:val="49586878"/>
    <w:rsid w:val="49BC1967"/>
    <w:rsid w:val="4A2F038B"/>
    <w:rsid w:val="4A3239D7"/>
    <w:rsid w:val="4A4F27DB"/>
    <w:rsid w:val="4B1650A7"/>
    <w:rsid w:val="4B4E65EF"/>
    <w:rsid w:val="4B652C23"/>
    <w:rsid w:val="4BC52D55"/>
    <w:rsid w:val="4C4C5224"/>
    <w:rsid w:val="4C871DB8"/>
    <w:rsid w:val="4C8A18A8"/>
    <w:rsid w:val="4CFF2296"/>
    <w:rsid w:val="4D3B0DF4"/>
    <w:rsid w:val="4DCA6E50"/>
    <w:rsid w:val="4F035942"/>
    <w:rsid w:val="4F05790C"/>
    <w:rsid w:val="4F9A0054"/>
    <w:rsid w:val="4FA90297"/>
    <w:rsid w:val="4FE70DC0"/>
    <w:rsid w:val="502344EE"/>
    <w:rsid w:val="508605D9"/>
    <w:rsid w:val="50C35389"/>
    <w:rsid w:val="511B6F73"/>
    <w:rsid w:val="51410C1C"/>
    <w:rsid w:val="51E11F6A"/>
    <w:rsid w:val="52734B8D"/>
    <w:rsid w:val="52B4767F"/>
    <w:rsid w:val="52E87329"/>
    <w:rsid w:val="5338205E"/>
    <w:rsid w:val="53456529"/>
    <w:rsid w:val="536966BB"/>
    <w:rsid w:val="53CB1124"/>
    <w:rsid w:val="547370C6"/>
    <w:rsid w:val="54B55930"/>
    <w:rsid w:val="54F71AA5"/>
    <w:rsid w:val="550A5C7C"/>
    <w:rsid w:val="5552317F"/>
    <w:rsid w:val="55A7171D"/>
    <w:rsid w:val="56CD51B3"/>
    <w:rsid w:val="56E36785"/>
    <w:rsid w:val="57030BD5"/>
    <w:rsid w:val="5728063B"/>
    <w:rsid w:val="574F5BC8"/>
    <w:rsid w:val="57DD4F82"/>
    <w:rsid w:val="58580AAD"/>
    <w:rsid w:val="58694A68"/>
    <w:rsid w:val="58AE2DC2"/>
    <w:rsid w:val="58E660B8"/>
    <w:rsid w:val="59DD395F"/>
    <w:rsid w:val="59EA1BD8"/>
    <w:rsid w:val="5A132EDD"/>
    <w:rsid w:val="5A6C083F"/>
    <w:rsid w:val="5A9A1850"/>
    <w:rsid w:val="5AD563E4"/>
    <w:rsid w:val="5C001B87"/>
    <w:rsid w:val="5C4C26D6"/>
    <w:rsid w:val="5CA65666"/>
    <w:rsid w:val="5CB10B9C"/>
    <w:rsid w:val="5CB63FF4"/>
    <w:rsid w:val="5CE45005"/>
    <w:rsid w:val="5D683540"/>
    <w:rsid w:val="5D7275F5"/>
    <w:rsid w:val="5DB449D7"/>
    <w:rsid w:val="5E145476"/>
    <w:rsid w:val="5E7D126D"/>
    <w:rsid w:val="5F81792A"/>
    <w:rsid w:val="603D5158"/>
    <w:rsid w:val="603F57E2"/>
    <w:rsid w:val="60E530F9"/>
    <w:rsid w:val="60FF065F"/>
    <w:rsid w:val="615A3AE7"/>
    <w:rsid w:val="61AE798F"/>
    <w:rsid w:val="61ED495B"/>
    <w:rsid w:val="62D86DCD"/>
    <w:rsid w:val="62F615EE"/>
    <w:rsid w:val="635F7193"/>
    <w:rsid w:val="63E61662"/>
    <w:rsid w:val="641E2BAA"/>
    <w:rsid w:val="6421269A"/>
    <w:rsid w:val="64326656"/>
    <w:rsid w:val="65515201"/>
    <w:rsid w:val="65B01F28"/>
    <w:rsid w:val="66372649"/>
    <w:rsid w:val="66C3024F"/>
    <w:rsid w:val="67D839B8"/>
    <w:rsid w:val="67E10ABE"/>
    <w:rsid w:val="6828049B"/>
    <w:rsid w:val="688B27D8"/>
    <w:rsid w:val="6961726C"/>
    <w:rsid w:val="6A2922A9"/>
    <w:rsid w:val="6A6D03E7"/>
    <w:rsid w:val="6B8754D9"/>
    <w:rsid w:val="6C2E004A"/>
    <w:rsid w:val="6C44161C"/>
    <w:rsid w:val="6C847C6A"/>
    <w:rsid w:val="6D0F39D8"/>
    <w:rsid w:val="6D463172"/>
    <w:rsid w:val="6D4F0278"/>
    <w:rsid w:val="6D552B1A"/>
    <w:rsid w:val="6D967C55"/>
    <w:rsid w:val="6DB66549"/>
    <w:rsid w:val="6DF901E4"/>
    <w:rsid w:val="6E4904B7"/>
    <w:rsid w:val="6F7044D6"/>
    <w:rsid w:val="705F6A24"/>
    <w:rsid w:val="71B20DD6"/>
    <w:rsid w:val="724F0D1A"/>
    <w:rsid w:val="72AB5F51"/>
    <w:rsid w:val="72F1592E"/>
    <w:rsid w:val="7315786E"/>
    <w:rsid w:val="732E26DE"/>
    <w:rsid w:val="735A7977"/>
    <w:rsid w:val="73974727"/>
    <w:rsid w:val="73B9644B"/>
    <w:rsid w:val="74534AF2"/>
    <w:rsid w:val="747B5DF7"/>
    <w:rsid w:val="74982505"/>
    <w:rsid w:val="77F9150C"/>
    <w:rsid w:val="785E6684"/>
    <w:rsid w:val="7880578A"/>
    <w:rsid w:val="7892370F"/>
    <w:rsid w:val="78A53442"/>
    <w:rsid w:val="78D45AD6"/>
    <w:rsid w:val="78DB6E64"/>
    <w:rsid w:val="78F87A16"/>
    <w:rsid w:val="79A7441D"/>
    <w:rsid w:val="7A3727C0"/>
    <w:rsid w:val="7A6F5AB6"/>
    <w:rsid w:val="7AC73B44"/>
    <w:rsid w:val="7AD65B35"/>
    <w:rsid w:val="7AE244DA"/>
    <w:rsid w:val="7B6C51D3"/>
    <w:rsid w:val="7BF02C26"/>
    <w:rsid w:val="7CD95DB0"/>
    <w:rsid w:val="7D8E0949"/>
    <w:rsid w:val="7DD00F61"/>
    <w:rsid w:val="7E244E09"/>
    <w:rsid w:val="7E6B0C8A"/>
    <w:rsid w:val="7F2A28F3"/>
    <w:rsid w:val="7FA06711"/>
    <w:rsid w:val="7FA77AA0"/>
    <w:rsid w:val="7FF058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2270</Words>
  <Characters>2537</Characters>
  <Lines>0</Lines>
  <Paragraphs>0</Paragraphs>
  <TotalTime>0</TotalTime>
  <ScaleCrop>false</ScaleCrop>
  <LinksUpToDate>false</LinksUpToDate>
  <CharactersWithSpaces>2583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2024-07-12T01:35:31Z</dcterms:created>
  <dc:creator>lenovo</dc:creator>
  <cp:lastModifiedBy>dorothyyy</cp:lastModifiedBy>
  <dcterms:modified xsi:type="dcterms:W3CDTF">2024-12-13T08:40:35Z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5D6E595BE8844B0B8909F3917A8EE18F_13</vt:lpwstr>
  </property>
</Properties>
</file>