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5000" w:type="pct"/>
        <w:jc w:val="center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2207"/>
        <w:gridCol w:w="817"/>
        <w:gridCol w:w="4136"/>
        <w:gridCol w:w="1155"/>
        <w:gridCol w:w="1290"/>
      </w:tblGrid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宋体"/>
                <w:b/>
                <w:bCs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default"/>
                <w:b/>
                <w:bCs/>
                <w:color w:val="auto"/>
                <w:sz w:val="36"/>
                <w:szCs w:val="36"/>
              </w:rPr>
              <w:t>运维服务考核评价</w:t>
            </w:r>
            <w:r>
              <w:rPr>
                <w:rFonts w:hint="eastAsia"/>
                <w:b/>
                <w:bCs/>
                <w:color w:val="auto"/>
                <w:sz w:val="36"/>
                <w:szCs w:val="36"/>
                <w:lang w:val="en-US" w:eastAsia="zh-CN"/>
              </w:rPr>
              <w:t>表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627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3260" w:type="pct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闽江学院附属中学微信公众平台</w:t>
            </w:r>
            <w:r>
              <w:rPr>
                <w:b/>
                <w:color w:val="auto"/>
                <w:sz w:val="24"/>
                <w:lang w:eastAsia="zh-CN"/>
              </w:rPr>
              <w:t>运维服务项目</w:t>
            </w:r>
          </w:p>
        </w:tc>
        <w:tc>
          <w:tcPr>
            <w:tcW w:w="52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  <w:szCs w:val="24"/>
              </w:rPr>
              <w:t>评价周期</w:t>
            </w: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27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  <w:szCs w:val="24"/>
              </w:rPr>
              <w:t>运维单位</w:t>
            </w:r>
          </w:p>
        </w:tc>
        <w:tc>
          <w:tcPr>
            <w:tcW w:w="4372" w:type="pct"/>
            <w:gridSpan w:val="5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xx单位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27" w:type="pct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  <w:szCs w:val="24"/>
              </w:rPr>
              <w:t>考核内容</w:t>
            </w:r>
          </w:p>
        </w:tc>
        <w:tc>
          <w:tcPr>
            <w:tcW w:w="1005" w:type="pct"/>
            <w:vMerge w:val="restar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  <w:szCs w:val="24"/>
              </w:rPr>
              <w:t>主要指标</w:t>
            </w:r>
          </w:p>
        </w:tc>
        <w:tc>
          <w:tcPr>
            <w:tcW w:w="372" w:type="pct"/>
            <w:vMerge w:val="restar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  <w:szCs w:val="24"/>
              </w:rPr>
              <w:t>分值</w:t>
            </w:r>
          </w:p>
        </w:tc>
        <w:tc>
          <w:tcPr>
            <w:tcW w:w="1883" w:type="pct"/>
            <w:vMerge w:val="restar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  <w:szCs w:val="24"/>
              </w:rPr>
              <w:t>评价说明</w:t>
            </w:r>
          </w:p>
        </w:tc>
        <w:tc>
          <w:tcPr>
            <w:tcW w:w="52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  <w:szCs w:val="24"/>
              </w:rPr>
              <w:t>评价</w:t>
            </w:r>
          </w:p>
        </w:tc>
        <w:tc>
          <w:tcPr>
            <w:tcW w:w="586" w:type="pct"/>
            <w:vMerge w:val="restar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  <w:szCs w:val="24"/>
              </w:rPr>
              <w:t>评价得分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2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</w:rPr>
            </w:pPr>
          </w:p>
        </w:tc>
        <w:tc>
          <w:tcPr>
            <w:tcW w:w="1005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</w:rPr>
            </w:pPr>
          </w:p>
        </w:tc>
        <w:tc>
          <w:tcPr>
            <w:tcW w:w="372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</w:rPr>
            </w:pPr>
          </w:p>
        </w:tc>
        <w:tc>
          <w:tcPr>
            <w:tcW w:w="1883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</w:rPr>
            </w:pPr>
          </w:p>
        </w:tc>
        <w:tc>
          <w:tcPr>
            <w:tcW w:w="52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  <w:szCs w:val="24"/>
              </w:rPr>
              <w:t>部门</w:t>
            </w:r>
          </w:p>
        </w:tc>
        <w:tc>
          <w:tcPr>
            <w:tcW w:w="586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27" w:type="pct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人员管理（20分）</w:t>
            </w:r>
          </w:p>
        </w:tc>
        <w:tc>
          <w:tcPr>
            <w:tcW w:w="1005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人员稳定性</w:t>
            </w:r>
          </w:p>
        </w:tc>
        <w:tc>
          <w:tcPr>
            <w:tcW w:w="372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10</w:t>
            </w:r>
          </w:p>
        </w:tc>
        <w:tc>
          <w:tcPr>
            <w:tcW w:w="1883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除了采购方要求的，三个月之内最多更换一人。超出的，本项不得分。</w:t>
            </w:r>
          </w:p>
        </w:tc>
        <w:tc>
          <w:tcPr>
            <w:tcW w:w="526" w:type="pct"/>
            <w:vMerge w:val="restar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2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</w:rPr>
            </w:pPr>
          </w:p>
        </w:tc>
        <w:tc>
          <w:tcPr>
            <w:tcW w:w="1005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人员管理规范性</w:t>
            </w:r>
          </w:p>
        </w:tc>
        <w:tc>
          <w:tcPr>
            <w:tcW w:w="372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10</w:t>
            </w:r>
          </w:p>
        </w:tc>
        <w:tc>
          <w:tcPr>
            <w:tcW w:w="1883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严格遵守采购方的管理规定，未出现违规情况，得10分；基本遵守，得6-8分；不遵守，得0分。</w:t>
            </w:r>
          </w:p>
        </w:tc>
        <w:tc>
          <w:tcPr>
            <w:tcW w:w="526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</w:rPr>
            </w:pP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27" w:type="pct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工作质量（70分）</w:t>
            </w:r>
          </w:p>
        </w:tc>
        <w:tc>
          <w:tcPr>
            <w:tcW w:w="1005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服务请求响应速度</w:t>
            </w:r>
          </w:p>
        </w:tc>
        <w:tc>
          <w:tcPr>
            <w:tcW w:w="372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883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在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收到服务请求后能够立即做出响应，并能够快速识别问题并提出有效的解决方案。</w:t>
            </w:r>
          </w:p>
        </w:tc>
        <w:tc>
          <w:tcPr>
            <w:tcW w:w="526" w:type="pct"/>
            <w:vMerge w:val="restar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2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005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服务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人员专业水平</w:t>
            </w:r>
          </w:p>
        </w:tc>
        <w:tc>
          <w:tcPr>
            <w:tcW w:w="372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10</w:t>
            </w:r>
          </w:p>
        </w:tc>
        <w:tc>
          <w:tcPr>
            <w:tcW w:w="1883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具有很强的专业技术水平，可以根据用户的需求提供相应的解决方案（6～10）；了解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需求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，能给予一些建议（3～6）；对专业技术方面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具有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不足，还需要进一步提高（0～3）</w:t>
            </w:r>
          </w:p>
        </w:tc>
        <w:tc>
          <w:tcPr>
            <w:tcW w:w="526" w:type="pct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2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005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数据同步服务</w:t>
            </w:r>
          </w:p>
        </w:tc>
        <w:tc>
          <w:tcPr>
            <w:tcW w:w="372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883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能按照要求快速响应并完成数据同步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，得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0分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完成数据同步但响应时间超过一周，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得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分；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未能完成数据同步或出现错误带来不良影响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，得0分。</w:t>
            </w:r>
          </w:p>
        </w:tc>
        <w:tc>
          <w:tcPr>
            <w:tcW w:w="526" w:type="pct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2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005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Calibri" w:hAnsi="Calibri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大数据分析报告</w:t>
            </w:r>
          </w:p>
        </w:tc>
        <w:tc>
          <w:tcPr>
            <w:tcW w:w="372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Calibri" w:hAnsi="Calibri" w:eastAsia="宋体" w:cs="Times New Roman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10</w:t>
            </w:r>
          </w:p>
        </w:tc>
        <w:tc>
          <w:tcPr>
            <w:tcW w:w="1883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Calibri" w:hAnsi="Calibri" w:eastAsia="宋体" w:cs="Times New Roman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每学期输出一份大数据报告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，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大数据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报告需在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学期开学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前提交，未提交不得分。</w:t>
            </w:r>
          </w:p>
        </w:tc>
        <w:tc>
          <w:tcPr>
            <w:tcW w:w="526" w:type="pct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2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005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周末和节假日服务</w:t>
            </w:r>
          </w:p>
        </w:tc>
        <w:tc>
          <w:tcPr>
            <w:tcW w:w="372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883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能在周末和节假日积极响应进行推送服务。</w:t>
            </w:r>
          </w:p>
        </w:tc>
        <w:tc>
          <w:tcPr>
            <w:tcW w:w="526" w:type="pct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2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005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网络安全维护</w:t>
            </w:r>
          </w:p>
        </w:tc>
        <w:tc>
          <w:tcPr>
            <w:tcW w:w="372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883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根据意识形态责任制落实要求，做好网络信息安全工作，维护信息发布的政治性和权威性。</w:t>
            </w:r>
          </w:p>
        </w:tc>
        <w:tc>
          <w:tcPr>
            <w:tcW w:w="526" w:type="pct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2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</w:rPr>
            </w:pPr>
          </w:p>
        </w:tc>
        <w:tc>
          <w:tcPr>
            <w:tcW w:w="1005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紧急事件处理情况</w:t>
            </w:r>
          </w:p>
        </w:tc>
        <w:tc>
          <w:tcPr>
            <w:tcW w:w="372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883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故障响应及到达现场，超过规定时间的，每次扣2分；故障修复超过规定时间的，视情况而定，每次扣2-10分。</w:t>
            </w:r>
          </w:p>
        </w:tc>
        <w:tc>
          <w:tcPr>
            <w:tcW w:w="526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</w:rPr>
            </w:pP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27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服务态度及沟通能力（10分）</w:t>
            </w:r>
          </w:p>
        </w:tc>
        <w:tc>
          <w:tcPr>
            <w:tcW w:w="1005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工作配合程度、沟通及时性、积极主动性</w:t>
            </w:r>
          </w:p>
        </w:tc>
        <w:tc>
          <w:tcPr>
            <w:tcW w:w="372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883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服务态度好，沟通能力强（6～10）；服务态度或沟通能力一般（3～6）；服务态度或沟通能力较差（0～3）</w:t>
            </w:r>
          </w:p>
        </w:tc>
        <w:tc>
          <w:tcPr>
            <w:tcW w:w="526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</w:rPr>
            </w:pP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627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加分项</w:t>
            </w:r>
          </w:p>
        </w:tc>
        <w:tc>
          <w:tcPr>
            <w:tcW w:w="1005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提出合理化建议或对工作手段进行改进被采纳</w:t>
            </w:r>
          </w:p>
        </w:tc>
        <w:tc>
          <w:tcPr>
            <w:tcW w:w="372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__</w:t>
            </w:r>
          </w:p>
        </w:tc>
        <w:tc>
          <w:tcPr>
            <w:tcW w:w="1883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每</w:t>
            </w:r>
            <w:r>
              <w:rPr>
                <w:rFonts w:ascii="宋体" w:hAnsi="宋体" w:cs="宋体"/>
                <w:color w:val="auto"/>
                <w:sz w:val="24"/>
                <w:szCs w:val="24"/>
                <w:lang w:eastAsia="zh-CN"/>
              </w:rPr>
              <w:t>年度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加分最多不得超过10分</w:t>
            </w:r>
          </w:p>
        </w:tc>
        <w:tc>
          <w:tcPr>
            <w:tcW w:w="526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</w:rPr>
            </w:pP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3887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评价部门：          评价人：          评价日期：</w:t>
            </w:r>
          </w:p>
        </w:tc>
        <w:tc>
          <w:tcPr>
            <w:tcW w:w="52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考核评价总得分</w:t>
            </w: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887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项目负责人签名：                                  日期：</w:t>
            </w:r>
          </w:p>
        </w:tc>
        <w:tc>
          <w:tcPr>
            <w:tcW w:w="52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586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</w:rPr>
            </w:pPr>
          </w:p>
        </w:tc>
      </w:tr>
    </w:tbl>
    <w:p>
      <w:pPr>
        <w:rPr>
          <w:color w:val="auto"/>
        </w:rPr>
      </w:pPr>
    </w:p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4B104"/>
    <w:multiLevelType w:val="multilevel"/>
    <w:tmpl w:val="D754B104"/>
    <w:lvl w:ilvl="0" w:tentative="0">
      <w:start w:val="1"/>
      <w:numFmt w:val="chineseCountingThousand"/>
      <w:pStyle w:val="2"/>
      <w:lvlText w:val="第%1章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1" w:tentative="0">
      <w:start w:val="1"/>
      <w:numFmt w:val="chineseCountingThousand"/>
      <w:pStyle w:val="3"/>
      <w:lvlText w:val="第%2节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2" w:tentative="0">
      <w:start w:val="1"/>
      <w:numFmt w:val="decimal"/>
      <w:lvlRestart w:val="1"/>
      <w:pStyle w:val="4"/>
      <w:isLgl/>
      <w:lvlText w:val="%1.%2.%3"/>
      <w:lvlJc w:val="left"/>
      <w:pPr>
        <w:ind w:left="0" w:firstLine="0"/>
      </w:pPr>
      <w:rPr>
        <w:rFonts w:hint="eastAsia" w:ascii="宋体" w:hAnsi="宋体" w:eastAsia="宋体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8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pStyle w:val="5"/>
      <w:isLgl/>
      <w:lvlText w:val="%1.%2.%3.%4"/>
      <w:lvlJc w:val="left"/>
      <w:pPr>
        <w:ind w:left="0" w:firstLine="0"/>
      </w:pPr>
      <w:rPr>
        <w:rFonts w:hint="eastAsia" w:ascii="宋体" w:hAnsi="宋体" w:eastAsia="宋体" w:cs="Arial"/>
        <w:b/>
        <w:i w:val="0"/>
        <w:sz w:val="24"/>
      </w:rPr>
    </w:lvl>
    <w:lvl w:ilvl="4" w:tentative="0">
      <w:start w:val="1"/>
      <w:numFmt w:val="decimal"/>
      <w:pStyle w:val="6"/>
      <w:isLgl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7"/>
      <w:isLgl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OTRhOTQ3OTg5N2Y4NWY1Y2E1MzRiNjQ1YmVkZTIifQ=="/>
  </w:docVars>
  <w:rsids>
    <w:rsidRoot w:val="46BA42A0"/>
    <w:rsid w:val="00FF3FB9"/>
    <w:rsid w:val="04FF27D3"/>
    <w:rsid w:val="09955F08"/>
    <w:rsid w:val="0D3D5EE8"/>
    <w:rsid w:val="124D097B"/>
    <w:rsid w:val="26154EB4"/>
    <w:rsid w:val="281D775F"/>
    <w:rsid w:val="2AF34F9E"/>
    <w:rsid w:val="33F46A50"/>
    <w:rsid w:val="342D3D10"/>
    <w:rsid w:val="45676DA7"/>
    <w:rsid w:val="46BA42A0"/>
    <w:rsid w:val="4A4A4B72"/>
    <w:rsid w:val="4DF61518"/>
    <w:rsid w:val="4FBB7FCB"/>
    <w:rsid w:val="4FE87012"/>
    <w:rsid w:val="593E7E74"/>
    <w:rsid w:val="5CFB3663"/>
    <w:rsid w:val="70057314"/>
    <w:rsid w:val="76367314"/>
    <w:rsid w:val="7C635AEE"/>
    <w:rsid w:val="7C740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autoRedefine/>
    <w:qFormat/>
    <w:uiPriority w:val="0"/>
    <w:pPr>
      <w:keepNext/>
      <w:keepLines/>
      <w:numPr>
        <w:ilvl w:val="0"/>
        <w:numId w:val="1"/>
      </w:numPr>
      <w:spacing w:before="360" w:after="240"/>
      <w:ind w:firstLineChars="0"/>
      <w:outlineLvl w:val="0"/>
    </w:pPr>
    <w:rPr>
      <w:rFonts w:ascii="宋体" w:hAnsi="宋体" w:eastAsia="黑体"/>
      <w:b/>
      <w:bCs/>
      <w:kern w:val="44"/>
      <w:sz w:val="32"/>
      <w:szCs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numPr>
        <w:ilvl w:val="2"/>
        <w:numId w:val="1"/>
      </w:numPr>
      <w:spacing w:before="0" w:beforeAutospacing="1" w:after="0" w:afterAutospacing="1"/>
      <w:jc w:val="left"/>
      <w:outlineLvl w:val="2"/>
    </w:pPr>
    <w:rPr>
      <w:rFonts w:hint="eastAsia" w:ascii="宋体" w:hAnsi="宋体" w:eastAsia="黑体" w:cs="宋体"/>
      <w:b/>
      <w:bCs/>
      <w:kern w:val="0"/>
      <w:sz w:val="28"/>
      <w:szCs w:val="27"/>
      <w:lang w:bidi="ar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autoRedefine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autoRedefine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autoRedefine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autoRedefine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ody Text"/>
    <w:basedOn w:val="1"/>
    <w:next w:val="1"/>
    <w:autoRedefine/>
    <w:qFormat/>
    <w:uiPriority w:val="0"/>
    <w:rPr>
      <w:rFonts w:ascii="宋体" w:hAnsi="宋体"/>
      <w:b/>
      <w:bCs/>
      <w:sz w:val="28"/>
    </w:rPr>
  </w:style>
  <w:style w:type="character" w:customStyle="1" w:styleId="13">
    <w:name w:val="标题 1 Char1"/>
    <w:basedOn w:val="12"/>
    <w:link w:val="2"/>
    <w:autoRedefine/>
    <w:qFormat/>
    <w:uiPriority w:val="0"/>
    <w:rPr>
      <w:rFonts w:ascii="宋体" w:hAnsi="宋体" w:eastAsia="黑体"/>
      <w:b/>
      <w:bCs/>
      <w:kern w:val="44"/>
      <w:sz w:val="32"/>
      <w:szCs w:val="44"/>
    </w:rPr>
  </w:style>
  <w:style w:type="paragraph" w:customStyle="1" w:styleId="14">
    <w:name w:val="null3"/>
    <w:autoRedefine/>
    <w:qFormat/>
    <w:uiPriority w:val="0"/>
    <w:rPr>
      <w:rFonts w:hint="eastAsia" w:ascii="Calibri" w:hAnsi="Calibri" w:eastAsia="宋体" w:cs="Times New Roman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2024-03-27T14:26:00Z</dcterms:created>
  <dc:creator>A.小妮子</dc:creator>
  <cp:lastModifiedBy>晓明</cp:lastModifiedBy>
  <dcterms:modified xsi:type="dcterms:W3CDTF">2024-03-29T07:57:05Z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2BD64A23435E4EFDB2A103ED0A00613F_13</vt:lpwstr>
  </property>
</Properties>
</file>