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6A32E5">
      <w:pPr>
        <w:jc w:val="center"/>
        <w:rPr>
          <w:rFonts w:hint="eastAsia" w:ascii="黑体" w:hAnsi="黑体" w:eastAsia="黑体" w:cs="黑体"/>
          <w:b/>
          <w:color w:val="000000" w:themeColor="text1"/>
          <w:sz w:val="13"/>
          <w:szCs w:val="13"/>
        </w:rPr>
      </w:pPr>
      <w:r>
        <w:rPr>
          <w:rFonts w:hint="eastAsia" w:ascii="黑体" w:hAnsi="黑体" w:eastAsia="黑体" w:cs="黑体"/>
          <w:b/>
          <w:color w:val="000000" w:themeColor="text1"/>
          <w:sz w:val="32"/>
          <w:szCs w:val="32"/>
        </w:rPr>
        <w:t>百分百公司前门外立面广告更换工程招标评定规则</w:t>
      </w:r>
    </w:p>
    <w:p w14:paraId="108816B2">
      <w:pPr>
        <w:jc w:val="center"/>
        <w:rPr>
          <w:rFonts w:hint="eastAsia" w:ascii="黑体" w:hAnsi="黑体" w:eastAsia="黑体" w:cs="黑体"/>
          <w:b/>
          <w:color w:val="000000" w:themeColor="text1"/>
          <w:sz w:val="13"/>
          <w:szCs w:val="13"/>
        </w:rPr>
      </w:pPr>
    </w:p>
    <w:p w14:paraId="7434E809">
      <w:pPr>
        <w:spacing w:line="500" w:lineRule="exact"/>
        <w:ind w:firstLine="560" w:firstLineChars="200"/>
        <w:rPr>
          <w:rFonts w:hint="eastAsia" w:ascii="黑体" w:hAnsi="黑体" w:eastAsia="黑体" w:cs="黑体"/>
          <w:color w:val="000000" w:themeColor="text1"/>
          <w:sz w:val="28"/>
          <w:szCs w:val="28"/>
        </w:rPr>
      </w:pPr>
      <w:r>
        <w:rPr>
          <w:rFonts w:hint="eastAsia" w:ascii="黑体" w:hAnsi="黑体" w:eastAsia="黑体" w:cs="黑体"/>
          <w:color w:val="000000" w:themeColor="text1"/>
          <w:sz w:val="28"/>
          <w:szCs w:val="28"/>
        </w:rPr>
        <w:t>根据有关要求和规定，为充分体现公开、公平、公正的选择投标单位，百分百公司就前门外立面广告更换工程邀请具有广告设计装饰设计、施工经验的单位参与，故制订如下规则。</w:t>
      </w:r>
    </w:p>
    <w:p w14:paraId="6A48F0B9">
      <w:pPr>
        <w:spacing w:line="500" w:lineRule="exact"/>
        <w:ind w:firstLine="560" w:firstLineChars="200"/>
        <w:rPr>
          <w:rFonts w:hint="eastAsia" w:ascii="黑体" w:hAnsi="黑体" w:eastAsia="黑体" w:cs="黑体"/>
          <w:color w:val="000000" w:themeColor="text1"/>
          <w:sz w:val="28"/>
          <w:szCs w:val="28"/>
        </w:rPr>
      </w:pPr>
      <w:r>
        <w:rPr>
          <w:rFonts w:hint="eastAsia" w:ascii="黑体" w:hAnsi="黑体" w:eastAsia="黑体" w:cs="黑体"/>
          <w:color w:val="000000" w:themeColor="text1"/>
          <w:sz w:val="28"/>
          <w:szCs w:val="28"/>
        </w:rPr>
        <w:t>一、评定小组成员：百分百公司中层领导及相关人员。</w:t>
      </w:r>
    </w:p>
    <w:p w14:paraId="2A240DB5">
      <w:pPr>
        <w:spacing w:line="500" w:lineRule="exact"/>
        <w:ind w:firstLine="560" w:firstLineChars="200"/>
        <w:rPr>
          <w:rFonts w:hint="eastAsia" w:ascii="黑体" w:hAnsi="黑体" w:eastAsia="黑体" w:cs="黑体"/>
          <w:color w:val="000000" w:themeColor="text1"/>
          <w:sz w:val="28"/>
          <w:szCs w:val="28"/>
        </w:rPr>
      </w:pPr>
      <w:r>
        <w:rPr>
          <w:rFonts w:hint="eastAsia" w:ascii="黑体" w:hAnsi="黑体" w:eastAsia="黑体" w:cs="黑体"/>
          <w:color w:val="000000" w:themeColor="text1"/>
          <w:sz w:val="28"/>
          <w:szCs w:val="28"/>
        </w:rPr>
        <w:t>二、评定办法</w:t>
      </w:r>
    </w:p>
    <w:p w14:paraId="4005A216">
      <w:pPr>
        <w:spacing w:line="500" w:lineRule="exact"/>
        <w:ind w:firstLine="560" w:firstLineChars="200"/>
        <w:rPr>
          <w:rFonts w:hint="eastAsia" w:ascii="黑体" w:hAnsi="黑体" w:eastAsia="黑体" w:cs="黑体"/>
          <w:color w:val="000000" w:themeColor="text1"/>
          <w:sz w:val="28"/>
          <w:szCs w:val="28"/>
        </w:rPr>
      </w:pPr>
      <w:r>
        <w:rPr>
          <w:rFonts w:hint="eastAsia" w:ascii="黑体" w:hAnsi="黑体" w:eastAsia="黑体" w:cs="黑体"/>
          <w:sz w:val="28"/>
          <w:szCs w:val="28"/>
        </w:rPr>
        <w:t>20</w:t>
      </w:r>
      <w:r>
        <w:rPr>
          <w:rFonts w:hint="eastAsia" w:ascii="黑体" w:hAnsi="黑体" w:eastAsia="黑体" w:cs="黑体"/>
          <w:sz w:val="28"/>
          <w:szCs w:val="28"/>
        </w:rPr>
        <w:t>2</w:t>
      </w:r>
      <w:r>
        <w:rPr>
          <w:rFonts w:hint="eastAsia" w:ascii="黑体" w:hAnsi="黑体" w:eastAsia="黑体" w:cs="黑体"/>
          <w:sz w:val="28"/>
          <w:szCs w:val="28"/>
          <w:lang w:val="en-US" w:eastAsia="zh-CN"/>
        </w:rPr>
        <w:t>5</w:t>
      </w:r>
      <w:r>
        <w:rPr>
          <w:rFonts w:hint="eastAsia" w:ascii="黑体" w:hAnsi="黑体" w:eastAsia="黑体" w:cs="黑体"/>
          <w:sz w:val="28"/>
          <w:szCs w:val="28"/>
        </w:rPr>
        <w:t>年</w:t>
      </w:r>
      <w:r>
        <w:rPr>
          <w:rFonts w:hint="eastAsia" w:ascii="黑体" w:hAnsi="黑体" w:eastAsia="黑体" w:cs="黑体"/>
          <w:sz w:val="28"/>
          <w:szCs w:val="28"/>
          <w:lang w:val="en-US" w:eastAsia="zh-CN"/>
        </w:rPr>
        <w:t>3</w:t>
      </w:r>
      <w:r>
        <w:rPr>
          <w:rFonts w:hint="eastAsia" w:ascii="黑体" w:hAnsi="黑体" w:eastAsia="黑体" w:cs="黑体"/>
          <w:sz w:val="28"/>
          <w:szCs w:val="28"/>
        </w:rPr>
        <w:t>月</w:t>
      </w:r>
      <w:r>
        <w:rPr>
          <w:rFonts w:hint="eastAsia" w:ascii="黑体" w:hAnsi="黑体" w:eastAsia="黑体" w:cs="黑体"/>
          <w:sz w:val="28"/>
          <w:szCs w:val="28"/>
          <w:lang w:val="en-US" w:eastAsia="zh-CN"/>
        </w:rPr>
        <w:t>25</w:t>
      </w:r>
      <w:r>
        <w:rPr>
          <w:rFonts w:hint="eastAsia" w:ascii="黑体" w:hAnsi="黑体" w:eastAsia="黑体" w:cs="黑体"/>
          <w:sz w:val="28"/>
          <w:szCs w:val="28"/>
        </w:rPr>
        <w:t>日9：3</w:t>
      </w:r>
      <w:r>
        <w:rPr>
          <w:rFonts w:hint="eastAsia" w:ascii="黑体" w:hAnsi="黑体" w:eastAsia="黑体" w:cs="黑体"/>
          <w:sz w:val="28"/>
          <w:szCs w:val="28"/>
        </w:rPr>
        <w:t>0</w:t>
      </w:r>
      <w:r>
        <w:rPr>
          <w:rFonts w:hint="eastAsia" w:ascii="黑体" w:hAnsi="黑体" w:eastAsia="黑体" w:cs="黑体"/>
          <w:sz w:val="28"/>
          <w:szCs w:val="28"/>
        </w:rPr>
        <w:t>分，</w:t>
      </w:r>
      <w:r>
        <w:rPr>
          <w:rFonts w:hint="eastAsia" w:ascii="黑体" w:hAnsi="黑体" w:eastAsia="黑体" w:cs="黑体"/>
          <w:color w:val="000000" w:themeColor="text1"/>
          <w:sz w:val="28"/>
          <w:szCs w:val="28"/>
        </w:rPr>
        <w:t>在百分百公司</w:t>
      </w:r>
      <w:r>
        <w:rPr>
          <w:rFonts w:hint="eastAsia" w:ascii="黑体" w:hAnsi="黑体" w:eastAsia="黑体" w:cs="黑体"/>
          <w:color w:val="000000" w:themeColor="text1"/>
          <w:sz w:val="28"/>
          <w:szCs w:val="28"/>
          <w:lang w:val="en-US" w:eastAsia="zh-CN"/>
        </w:rPr>
        <w:t>七</w:t>
      </w:r>
      <w:r>
        <w:rPr>
          <w:rFonts w:hint="eastAsia" w:ascii="黑体" w:hAnsi="黑体" w:eastAsia="黑体" w:cs="黑体"/>
          <w:color w:val="000000" w:themeColor="text1"/>
          <w:sz w:val="28"/>
          <w:szCs w:val="28"/>
        </w:rPr>
        <w:t>楼会议室，评定小组现场拆封各单位投递的标书，采用最低报价胜出原则进行评定。</w:t>
      </w:r>
    </w:p>
    <w:p w14:paraId="6BCB0F6C">
      <w:pPr>
        <w:spacing w:line="500" w:lineRule="exact"/>
        <w:ind w:firstLine="560" w:firstLineChars="200"/>
        <w:rPr>
          <w:rFonts w:hint="eastAsia" w:ascii="黑体" w:hAnsi="黑体" w:eastAsia="黑体" w:cs="黑体"/>
          <w:color w:val="000000" w:themeColor="text1"/>
          <w:sz w:val="28"/>
          <w:szCs w:val="28"/>
          <w:highlight w:val="none"/>
        </w:rPr>
      </w:pPr>
      <w:r>
        <w:rPr>
          <w:rFonts w:hint="eastAsia" w:ascii="黑体" w:hAnsi="黑体" w:eastAsia="黑体" w:cs="黑体"/>
          <w:color w:val="000000" w:themeColor="text1"/>
          <w:sz w:val="28"/>
          <w:szCs w:val="28"/>
          <w:highlight w:val="none"/>
        </w:rPr>
        <w:t>三、投标单位资格要求</w:t>
      </w:r>
    </w:p>
    <w:p w14:paraId="378B2B76">
      <w:pPr>
        <w:spacing w:line="500" w:lineRule="exact"/>
        <w:ind w:firstLine="560" w:firstLineChars="200"/>
        <w:rPr>
          <w:rFonts w:hint="eastAsia" w:ascii="黑体" w:hAnsi="黑体" w:eastAsia="黑体" w:cs="黑体"/>
          <w:color w:val="000000" w:themeColor="text1"/>
          <w:sz w:val="28"/>
          <w:szCs w:val="28"/>
          <w:highlight w:val="none"/>
        </w:rPr>
      </w:pPr>
      <w:r>
        <w:rPr>
          <w:rFonts w:hint="eastAsia" w:ascii="黑体" w:hAnsi="黑体" w:eastAsia="黑体" w:cs="黑体"/>
          <w:color w:val="000000" w:themeColor="text1"/>
          <w:sz w:val="28"/>
          <w:szCs w:val="28"/>
          <w:highlight w:val="none"/>
        </w:rPr>
        <w:t>1</w:t>
      </w:r>
      <w:r>
        <w:rPr>
          <w:rFonts w:hint="eastAsia" w:ascii="黑体" w:hAnsi="黑体" w:eastAsia="黑体" w:cs="黑体"/>
          <w:color w:val="000000" w:themeColor="text1"/>
          <w:sz w:val="28"/>
          <w:szCs w:val="28"/>
          <w:highlight w:val="none"/>
        </w:rPr>
        <w:t>、参与投标的单位必须符合国家的相关规定且合法经营，提供</w:t>
      </w:r>
      <w:r>
        <w:rPr>
          <w:rFonts w:hint="eastAsia" w:ascii="黑体" w:hAnsi="黑体" w:eastAsia="黑体" w:cs="黑体"/>
          <w:color w:val="000000" w:themeColor="text1"/>
          <w:sz w:val="28"/>
          <w:szCs w:val="28"/>
          <w:highlight w:val="none"/>
          <w:lang w:val="en-US" w:eastAsia="zh-CN"/>
        </w:rPr>
        <w:t>近两年</w:t>
      </w:r>
      <w:r>
        <w:rPr>
          <w:rFonts w:hint="eastAsia" w:ascii="黑体" w:hAnsi="黑体" w:eastAsia="黑体" w:cs="黑体"/>
          <w:sz w:val="28"/>
          <w:szCs w:val="28"/>
          <w:highlight w:val="none"/>
        </w:rPr>
        <w:t>来相似规格的户外广告工程案例。</w:t>
      </w:r>
    </w:p>
    <w:p w14:paraId="7B28495B">
      <w:pPr>
        <w:spacing w:line="500" w:lineRule="exact"/>
        <w:ind w:firstLine="560" w:firstLineChars="200"/>
        <w:rPr>
          <w:rFonts w:hint="eastAsia" w:ascii="黑体" w:hAnsi="黑体" w:eastAsia="黑体" w:cs="黑体"/>
          <w:color w:val="000000" w:themeColor="text1"/>
          <w:sz w:val="28"/>
          <w:szCs w:val="28"/>
          <w:highlight w:val="none"/>
        </w:rPr>
      </w:pPr>
      <w:r>
        <w:rPr>
          <w:rFonts w:hint="eastAsia" w:ascii="黑体" w:hAnsi="黑体" w:eastAsia="黑体" w:cs="黑体"/>
          <w:color w:val="000000" w:themeColor="text1"/>
          <w:sz w:val="28"/>
          <w:szCs w:val="28"/>
          <w:highlight w:val="none"/>
        </w:rPr>
        <w:t>2、投标书必须密封送交，密封袋上标明单位，并在密封处加盖投标单位公章。</w:t>
      </w:r>
    </w:p>
    <w:p w14:paraId="08006D81">
      <w:pPr>
        <w:spacing w:line="500" w:lineRule="exact"/>
        <w:ind w:firstLine="560" w:firstLineChars="200"/>
        <w:rPr>
          <w:rFonts w:hint="eastAsia" w:ascii="黑体" w:hAnsi="黑体" w:eastAsia="黑体" w:cs="黑体"/>
          <w:color w:val="000000" w:themeColor="text1"/>
          <w:sz w:val="28"/>
          <w:szCs w:val="28"/>
          <w:highlight w:val="none"/>
        </w:rPr>
      </w:pPr>
      <w:r>
        <w:rPr>
          <w:rFonts w:hint="eastAsia" w:ascii="黑体" w:hAnsi="黑体" w:eastAsia="黑体" w:cs="黑体"/>
          <w:color w:val="000000" w:themeColor="text1"/>
          <w:sz w:val="28"/>
          <w:szCs w:val="28"/>
          <w:highlight w:val="none"/>
        </w:rPr>
        <w:t>3、投标书含法人授权委托书和经办人身份证复印件及年审过的营业执照复印件、工程报价表、本工程要求的“广告小样”和</w:t>
      </w:r>
      <w:r>
        <w:rPr>
          <w:rFonts w:hint="eastAsia" w:ascii="黑体" w:hAnsi="黑体" w:eastAsia="黑体" w:cs="黑体"/>
          <w:sz w:val="28"/>
          <w:szCs w:val="28"/>
          <w:highlight w:val="none"/>
          <w:lang w:val="en-US" w:eastAsia="zh-CN"/>
        </w:rPr>
        <w:t>近两</w:t>
      </w:r>
      <w:r>
        <w:rPr>
          <w:rFonts w:hint="eastAsia" w:ascii="黑体" w:hAnsi="黑体" w:eastAsia="黑体" w:cs="黑体"/>
          <w:sz w:val="28"/>
          <w:szCs w:val="28"/>
          <w:highlight w:val="none"/>
        </w:rPr>
        <w:t>年以来相似本工程规格的户外广告工程案例</w:t>
      </w:r>
      <w:r>
        <w:rPr>
          <w:rFonts w:hint="eastAsia" w:ascii="黑体" w:hAnsi="黑体" w:eastAsia="黑体" w:cs="黑体"/>
          <w:color w:val="000000" w:themeColor="text1"/>
          <w:sz w:val="28"/>
          <w:szCs w:val="28"/>
          <w:highlight w:val="none"/>
        </w:rPr>
        <w:t>合同。以上资料均须盖投标单位公章。</w:t>
      </w:r>
    </w:p>
    <w:p w14:paraId="359C4221">
      <w:pPr>
        <w:spacing w:line="500" w:lineRule="exact"/>
        <w:ind w:left="560"/>
        <w:rPr>
          <w:rFonts w:hint="eastAsia" w:ascii="黑体" w:hAnsi="黑体" w:eastAsia="黑体" w:cs="黑体"/>
          <w:color w:val="000000" w:themeColor="text1"/>
          <w:sz w:val="28"/>
          <w:szCs w:val="28"/>
          <w:highlight w:val="none"/>
        </w:rPr>
      </w:pPr>
      <w:r>
        <w:rPr>
          <w:rFonts w:hint="eastAsia" w:ascii="黑体" w:hAnsi="黑体" w:eastAsia="黑体" w:cs="黑体"/>
          <w:color w:val="000000" w:themeColor="text1"/>
          <w:sz w:val="28"/>
          <w:szCs w:val="28"/>
          <w:highlight w:val="none"/>
        </w:rPr>
        <w:t>四、工程要求</w:t>
      </w:r>
    </w:p>
    <w:p w14:paraId="12ADB97D">
      <w:pPr>
        <w:pStyle w:val="2"/>
        <w:spacing w:line="360" w:lineRule="auto"/>
        <w:ind w:firstLine="560"/>
        <w:rPr>
          <w:rFonts w:hint="eastAsia" w:ascii="黑体" w:hAnsi="黑体" w:eastAsia="黑体" w:cs="黑体"/>
          <w:color w:val="000000" w:themeColor="text1"/>
          <w:spacing w:val="20"/>
          <w:sz w:val="28"/>
          <w:szCs w:val="28"/>
          <w:highlight w:val="none"/>
          <w:lang w:eastAsia="zh-CN"/>
        </w:rPr>
      </w:pPr>
      <w:r>
        <w:rPr>
          <w:rFonts w:hint="eastAsia" w:ascii="黑体" w:hAnsi="黑体" w:eastAsia="黑体" w:cs="黑体"/>
          <w:color w:val="000000" w:themeColor="text1"/>
          <w:sz w:val="28"/>
          <w:szCs w:val="28"/>
          <w:highlight w:val="none"/>
        </w:rPr>
        <w:t>1、</w:t>
      </w:r>
      <w:r>
        <w:rPr>
          <w:rFonts w:hint="eastAsia" w:ascii="黑体" w:hAnsi="黑体" w:eastAsia="黑体" w:cs="黑体"/>
          <w:color w:val="000000" w:themeColor="text1"/>
          <w:spacing w:val="20"/>
          <w:sz w:val="28"/>
          <w:szCs w:val="28"/>
          <w:highlight w:val="none"/>
        </w:rPr>
        <w:t>广告规格、数量、内容及材料要求（此表仅做参考，以现场复核尺寸为准）</w:t>
      </w:r>
      <w:r>
        <w:rPr>
          <w:rFonts w:hint="eastAsia" w:ascii="黑体" w:hAnsi="黑体" w:eastAsia="黑体" w:cs="黑体"/>
          <w:color w:val="000000" w:themeColor="text1"/>
          <w:spacing w:val="20"/>
          <w:sz w:val="28"/>
          <w:szCs w:val="28"/>
          <w:highlight w:val="none"/>
          <w:lang w:eastAsia="zh-CN"/>
        </w:rPr>
        <w:t>；</w:t>
      </w:r>
    </w:p>
    <w:tbl>
      <w:tblPr>
        <w:tblStyle w:val="6"/>
        <w:tblW w:w="9039" w:type="dxa"/>
        <w:tblInd w:w="-35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1418"/>
        <w:gridCol w:w="1417"/>
        <w:gridCol w:w="1276"/>
        <w:gridCol w:w="1276"/>
        <w:gridCol w:w="2835"/>
      </w:tblGrid>
      <w:tr w14:paraId="0CDBF23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75" w:hRule="atLeast"/>
        </w:trPr>
        <w:tc>
          <w:tcPr>
            <w:tcW w:w="817" w:type="dxa"/>
            <w:vAlign w:val="center"/>
          </w:tcPr>
          <w:p w14:paraId="00CB8F90">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序号</w:t>
            </w:r>
          </w:p>
        </w:tc>
        <w:tc>
          <w:tcPr>
            <w:tcW w:w="1418" w:type="dxa"/>
            <w:vAlign w:val="center"/>
          </w:tcPr>
          <w:p w14:paraId="714AFD8E">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宽约（米）</w:t>
            </w:r>
          </w:p>
        </w:tc>
        <w:tc>
          <w:tcPr>
            <w:tcW w:w="1417" w:type="dxa"/>
            <w:vAlign w:val="center"/>
          </w:tcPr>
          <w:p w14:paraId="654A86A9">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高约（米）</w:t>
            </w:r>
          </w:p>
        </w:tc>
        <w:tc>
          <w:tcPr>
            <w:tcW w:w="1276" w:type="dxa"/>
            <w:vAlign w:val="center"/>
          </w:tcPr>
          <w:p w14:paraId="19E21A5C">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广告牌</w:t>
            </w:r>
          </w:p>
          <w:p w14:paraId="563191E9">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数量</w:t>
            </w:r>
          </w:p>
        </w:tc>
        <w:tc>
          <w:tcPr>
            <w:tcW w:w="1276" w:type="dxa"/>
            <w:vAlign w:val="center"/>
          </w:tcPr>
          <w:p w14:paraId="5D1A53BE">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面积约</w:t>
            </w:r>
          </w:p>
          <w:p w14:paraId="360A7C0B">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（平米）</w:t>
            </w:r>
          </w:p>
        </w:tc>
        <w:tc>
          <w:tcPr>
            <w:tcW w:w="2835" w:type="dxa"/>
            <w:vAlign w:val="center"/>
          </w:tcPr>
          <w:p w14:paraId="4BFD08D0">
            <w:pPr>
              <w:pStyle w:val="2"/>
              <w:spacing w:line="360" w:lineRule="auto"/>
              <w:ind w:firstLine="280" w:firstLineChars="100"/>
              <w:jc w:val="both"/>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材料及工艺要求</w:t>
            </w:r>
          </w:p>
        </w:tc>
      </w:tr>
      <w:tr w14:paraId="6F6A6BC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17" w:hRule="atLeast"/>
        </w:trPr>
        <w:tc>
          <w:tcPr>
            <w:tcW w:w="817" w:type="dxa"/>
            <w:vAlign w:val="center"/>
          </w:tcPr>
          <w:p w14:paraId="4E8C1D4D">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 xml:space="preserve">1 </w:t>
            </w:r>
          </w:p>
        </w:tc>
        <w:tc>
          <w:tcPr>
            <w:tcW w:w="1418" w:type="dxa"/>
            <w:vAlign w:val="center"/>
          </w:tcPr>
          <w:p w14:paraId="00093160">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4.68</w:t>
            </w:r>
          </w:p>
        </w:tc>
        <w:tc>
          <w:tcPr>
            <w:tcW w:w="1417" w:type="dxa"/>
            <w:vAlign w:val="center"/>
          </w:tcPr>
          <w:p w14:paraId="5E5B1E15">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9.68</w:t>
            </w:r>
          </w:p>
        </w:tc>
        <w:tc>
          <w:tcPr>
            <w:tcW w:w="1276" w:type="dxa"/>
            <w:vAlign w:val="center"/>
          </w:tcPr>
          <w:p w14:paraId="7EC92D43">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lang w:val="en-US" w:eastAsia="zh-CN"/>
              </w:rPr>
              <w:t>5</w:t>
            </w:r>
            <w:r>
              <w:rPr>
                <w:rFonts w:hint="eastAsia" w:ascii="黑体" w:hAnsi="黑体" w:eastAsia="黑体" w:cs="黑体"/>
                <w:color w:val="000000" w:themeColor="text1"/>
                <w:spacing w:val="20"/>
                <w:kern w:val="0"/>
                <w:sz w:val="24"/>
                <w:szCs w:val="24"/>
                <w:highlight w:val="none"/>
              </w:rPr>
              <w:t>幅</w:t>
            </w:r>
          </w:p>
        </w:tc>
        <w:tc>
          <w:tcPr>
            <w:tcW w:w="1276" w:type="dxa"/>
            <w:vAlign w:val="center"/>
          </w:tcPr>
          <w:p w14:paraId="4F8F0605">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lang w:val="en-US" w:eastAsia="zh-CN"/>
              </w:rPr>
              <w:t>223.50</w:t>
            </w:r>
          </w:p>
        </w:tc>
        <w:tc>
          <w:tcPr>
            <w:tcW w:w="2835" w:type="dxa"/>
            <w:vAlign w:val="center"/>
          </w:tcPr>
          <w:p w14:paraId="0226607D">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户外高清加厚灯布（1200DPI）喷绘工艺</w:t>
            </w:r>
          </w:p>
        </w:tc>
      </w:tr>
      <w:tr w14:paraId="5F8D9F5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vAlign w:val="center"/>
          </w:tcPr>
          <w:p w14:paraId="51CE11F2">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2</w:t>
            </w:r>
          </w:p>
        </w:tc>
        <w:tc>
          <w:tcPr>
            <w:tcW w:w="1418" w:type="dxa"/>
            <w:vAlign w:val="center"/>
          </w:tcPr>
          <w:p w14:paraId="515F4391">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5.68</w:t>
            </w:r>
          </w:p>
        </w:tc>
        <w:tc>
          <w:tcPr>
            <w:tcW w:w="1417" w:type="dxa"/>
            <w:vAlign w:val="center"/>
          </w:tcPr>
          <w:p w14:paraId="738219DB">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10.63</w:t>
            </w:r>
          </w:p>
        </w:tc>
        <w:tc>
          <w:tcPr>
            <w:tcW w:w="1276" w:type="dxa"/>
            <w:vAlign w:val="center"/>
          </w:tcPr>
          <w:p w14:paraId="5EED9B8B">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1副</w:t>
            </w:r>
          </w:p>
        </w:tc>
        <w:tc>
          <w:tcPr>
            <w:tcW w:w="1276" w:type="dxa"/>
            <w:vAlign w:val="center"/>
          </w:tcPr>
          <w:p w14:paraId="27742475">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60.38</w:t>
            </w:r>
          </w:p>
        </w:tc>
        <w:tc>
          <w:tcPr>
            <w:tcW w:w="2835" w:type="dxa"/>
            <w:vAlign w:val="center"/>
          </w:tcPr>
          <w:p w14:paraId="22755D54">
            <w:pPr>
              <w:pStyle w:val="2"/>
              <w:spacing w:line="360" w:lineRule="auto"/>
              <w:jc w:val="center"/>
              <w:rPr>
                <w:rFonts w:hint="eastAsia" w:ascii="黑体" w:hAnsi="黑体" w:eastAsia="黑体" w:cs="黑体"/>
                <w:color w:val="000000" w:themeColor="text1"/>
                <w:spacing w:val="20"/>
                <w:kern w:val="0"/>
                <w:sz w:val="24"/>
                <w:szCs w:val="24"/>
                <w:highlight w:val="none"/>
              </w:rPr>
            </w:pPr>
            <w:r>
              <w:rPr>
                <w:rFonts w:hint="eastAsia" w:ascii="黑体" w:hAnsi="黑体" w:eastAsia="黑体" w:cs="黑体"/>
                <w:color w:val="000000" w:themeColor="text1"/>
                <w:spacing w:val="20"/>
                <w:kern w:val="0"/>
                <w:sz w:val="24"/>
                <w:szCs w:val="24"/>
                <w:highlight w:val="none"/>
              </w:rPr>
              <w:t>户外高清加厚灯布（1200DPI）喷绘工艺</w:t>
            </w:r>
          </w:p>
        </w:tc>
      </w:tr>
    </w:tbl>
    <w:p w14:paraId="280F9DA5">
      <w:pPr>
        <w:spacing w:line="500" w:lineRule="exact"/>
        <w:ind w:firstLine="560" w:firstLineChars="200"/>
        <w:rPr>
          <w:rFonts w:hint="default" w:ascii="黑体" w:hAnsi="黑体" w:eastAsia="黑体" w:cs="黑体"/>
          <w:color w:val="000000" w:themeColor="text1"/>
          <w:sz w:val="28"/>
          <w:szCs w:val="28"/>
          <w:highlight w:val="none"/>
          <w:lang w:val="en-US" w:eastAsia="zh-CN"/>
        </w:rPr>
      </w:pPr>
      <w:r>
        <w:rPr>
          <w:rFonts w:hint="eastAsia" w:ascii="黑体" w:hAnsi="黑体" w:eastAsia="黑体" w:cs="黑体"/>
          <w:color w:val="000000" w:themeColor="text1"/>
          <w:sz w:val="28"/>
          <w:szCs w:val="28"/>
          <w:highlight w:val="none"/>
        </w:rPr>
        <w:t>2、</w:t>
      </w:r>
      <w:r>
        <w:rPr>
          <w:rFonts w:hint="eastAsia" w:ascii="黑体" w:hAnsi="黑体" w:eastAsia="黑体" w:cs="黑体"/>
          <w:color w:val="000000" w:themeColor="text1"/>
          <w:sz w:val="28"/>
          <w:szCs w:val="28"/>
          <w:highlight w:val="none"/>
          <w:lang w:val="en-US" w:eastAsia="zh-CN"/>
        </w:rPr>
        <w:t>新制作的广告不允许有拼接情况（整张独立画面）；</w:t>
      </w:r>
    </w:p>
    <w:p w14:paraId="1E90E5E7">
      <w:pPr>
        <w:spacing w:line="500" w:lineRule="exact"/>
        <w:ind w:firstLine="560" w:firstLineChars="200"/>
        <w:rPr>
          <w:rFonts w:hint="eastAsia" w:ascii="黑体" w:hAnsi="黑体" w:eastAsia="黑体" w:cs="黑体"/>
          <w:color w:val="000000" w:themeColor="text1"/>
          <w:sz w:val="28"/>
          <w:szCs w:val="28"/>
          <w:lang w:eastAsia="zh-CN"/>
        </w:rPr>
      </w:pPr>
      <w:r>
        <w:rPr>
          <w:rFonts w:hint="eastAsia" w:ascii="黑体" w:hAnsi="黑体" w:eastAsia="黑体" w:cs="黑体"/>
          <w:color w:val="000000" w:themeColor="text1"/>
          <w:sz w:val="28"/>
          <w:szCs w:val="28"/>
          <w:highlight w:val="none"/>
          <w:lang w:val="en-US" w:eastAsia="zh-CN"/>
        </w:rPr>
        <w:t>3、</w:t>
      </w:r>
      <w:r>
        <w:rPr>
          <w:rFonts w:hint="eastAsia" w:ascii="黑体" w:hAnsi="黑体" w:eastAsia="黑体" w:cs="黑体"/>
          <w:color w:val="000000" w:themeColor="text1"/>
          <w:sz w:val="28"/>
          <w:szCs w:val="28"/>
          <w:highlight w:val="none"/>
        </w:rPr>
        <w:t>为了保证安全，广告边框重新打螺孔固定，不得用原来的螺</w:t>
      </w:r>
      <w:r>
        <w:rPr>
          <w:rFonts w:hint="eastAsia" w:ascii="黑体" w:hAnsi="黑体" w:eastAsia="黑体" w:cs="黑体"/>
          <w:color w:val="000000" w:themeColor="text1"/>
          <w:sz w:val="28"/>
          <w:szCs w:val="28"/>
        </w:rPr>
        <w:t>孔固定</w:t>
      </w:r>
      <w:r>
        <w:rPr>
          <w:rFonts w:hint="eastAsia" w:ascii="黑体" w:hAnsi="黑体" w:eastAsia="黑体" w:cs="黑体"/>
          <w:color w:val="000000" w:themeColor="text1"/>
          <w:sz w:val="28"/>
          <w:szCs w:val="28"/>
          <w:lang w:eastAsia="zh-CN"/>
        </w:rPr>
        <w:t>；</w:t>
      </w:r>
    </w:p>
    <w:p w14:paraId="376F31D7">
      <w:pPr>
        <w:spacing w:line="500" w:lineRule="exact"/>
        <w:ind w:firstLine="560" w:firstLineChars="200"/>
        <w:rPr>
          <w:rFonts w:hint="eastAsia" w:ascii="黑体" w:hAnsi="黑体" w:eastAsia="黑体" w:cs="黑体"/>
          <w:color w:val="000000" w:themeColor="text1"/>
          <w:sz w:val="28"/>
          <w:szCs w:val="28"/>
          <w:lang w:eastAsia="zh-CN"/>
        </w:rPr>
      </w:pPr>
      <w:r>
        <w:rPr>
          <w:rFonts w:hint="eastAsia" w:ascii="黑体" w:hAnsi="黑体" w:eastAsia="黑体" w:cs="黑体"/>
          <w:color w:val="000000" w:themeColor="text1"/>
          <w:sz w:val="28"/>
          <w:szCs w:val="28"/>
          <w:lang w:val="en-US" w:eastAsia="zh-CN"/>
        </w:rPr>
        <w:t>4</w:t>
      </w:r>
      <w:r>
        <w:rPr>
          <w:rFonts w:hint="eastAsia" w:ascii="黑体" w:hAnsi="黑体" w:eastAsia="黑体" w:cs="黑体"/>
          <w:color w:val="000000" w:themeColor="text1"/>
          <w:sz w:val="28"/>
          <w:szCs w:val="28"/>
        </w:rPr>
        <w:t>、安装后新旧螺孔打耐候胶封闭防水</w:t>
      </w:r>
      <w:r>
        <w:rPr>
          <w:rFonts w:hint="eastAsia" w:ascii="黑体" w:hAnsi="黑体" w:eastAsia="黑体" w:cs="黑体"/>
          <w:color w:val="000000" w:themeColor="text1"/>
          <w:sz w:val="28"/>
          <w:szCs w:val="28"/>
          <w:lang w:eastAsia="zh-CN"/>
        </w:rPr>
        <w:t>；</w:t>
      </w:r>
    </w:p>
    <w:p w14:paraId="35CBF874">
      <w:pPr>
        <w:spacing w:line="500" w:lineRule="exact"/>
        <w:ind w:firstLine="560" w:firstLineChars="200"/>
        <w:rPr>
          <w:rFonts w:hint="eastAsia" w:ascii="黑体" w:hAnsi="黑体" w:eastAsia="黑体" w:cs="黑体"/>
          <w:color w:val="000000" w:themeColor="text1"/>
          <w:sz w:val="28"/>
          <w:szCs w:val="28"/>
          <w:lang w:eastAsia="zh-CN"/>
        </w:rPr>
      </w:pPr>
      <w:r>
        <w:rPr>
          <w:rFonts w:hint="eastAsia" w:ascii="黑体" w:hAnsi="黑体" w:eastAsia="黑体" w:cs="黑体"/>
          <w:color w:val="000000" w:themeColor="text1"/>
          <w:sz w:val="28"/>
          <w:szCs w:val="28"/>
          <w:lang w:val="en-US" w:eastAsia="zh-CN"/>
        </w:rPr>
        <w:t>5</w:t>
      </w:r>
      <w:r>
        <w:rPr>
          <w:rFonts w:hint="eastAsia" w:ascii="黑体" w:hAnsi="黑体" w:eastAsia="黑体" w:cs="黑体"/>
          <w:color w:val="000000" w:themeColor="text1"/>
          <w:sz w:val="28"/>
          <w:szCs w:val="28"/>
        </w:rPr>
        <w:t>、拆换广告不得损坏其它设备设施，如有损坏照价赔偿</w:t>
      </w:r>
      <w:r>
        <w:rPr>
          <w:rFonts w:hint="eastAsia" w:ascii="黑体" w:hAnsi="黑体" w:eastAsia="黑体" w:cs="黑体"/>
          <w:color w:val="000000" w:themeColor="text1"/>
          <w:sz w:val="28"/>
          <w:szCs w:val="28"/>
          <w:lang w:eastAsia="zh-CN"/>
        </w:rPr>
        <w:t>；</w:t>
      </w:r>
    </w:p>
    <w:p w14:paraId="0F737C6F">
      <w:pPr>
        <w:spacing w:line="500" w:lineRule="exact"/>
        <w:ind w:firstLine="560" w:firstLineChars="200"/>
        <w:rPr>
          <w:rFonts w:hint="eastAsia" w:ascii="黑体" w:hAnsi="黑体" w:eastAsia="黑体" w:cs="黑体"/>
          <w:color w:val="000000" w:themeColor="text1"/>
          <w:sz w:val="28"/>
          <w:szCs w:val="28"/>
          <w:lang w:eastAsia="zh-CN"/>
        </w:rPr>
      </w:pPr>
      <w:r>
        <w:rPr>
          <w:rFonts w:hint="eastAsia" w:ascii="黑体" w:hAnsi="黑体" w:eastAsia="黑体" w:cs="黑体"/>
          <w:color w:val="000000" w:themeColor="text1"/>
          <w:sz w:val="28"/>
          <w:szCs w:val="28"/>
          <w:lang w:val="en-US" w:eastAsia="zh-CN"/>
        </w:rPr>
        <w:t>6</w:t>
      </w:r>
      <w:r>
        <w:rPr>
          <w:rFonts w:hint="eastAsia" w:ascii="黑体" w:hAnsi="黑体" w:eastAsia="黑体" w:cs="黑体"/>
          <w:color w:val="000000" w:themeColor="text1"/>
          <w:sz w:val="28"/>
          <w:szCs w:val="28"/>
        </w:rPr>
        <w:t>、本工程施工期间，施工单位对施工工人、行人及工程本身的安全负责</w:t>
      </w:r>
      <w:r>
        <w:rPr>
          <w:rFonts w:hint="eastAsia" w:ascii="黑体" w:hAnsi="黑体" w:eastAsia="黑体" w:cs="黑体"/>
          <w:color w:val="000000" w:themeColor="text1"/>
          <w:sz w:val="28"/>
          <w:szCs w:val="28"/>
          <w:lang w:eastAsia="zh-CN"/>
        </w:rPr>
        <w:t>；</w:t>
      </w:r>
    </w:p>
    <w:p w14:paraId="1F8368BC">
      <w:pPr>
        <w:spacing w:line="500" w:lineRule="exact"/>
        <w:ind w:firstLine="560" w:firstLineChars="200"/>
        <w:rPr>
          <w:rFonts w:hint="eastAsia" w:ascii="黑体" w:hAnsi="黑体" w:eastAsia="黑体" w:cs="黑体"/>
          <w:color w:val="000000" w:themeColor="text1"/>
          <w:sz w:val="28"/>
          <w:szCs w:val="28"/>
        </w:rPr>
      </w:pPr>
      <w:r>
        <w:rPr>
          <w:rFonts w:hint="eastAsia" w:ascii="黑体" w:hAnsi="黑体" w:eastAsia="黑体" w:cs="黑体"/>
          <w:color w:val="000000" w:themeColor="text1"/>
          <w:sz w:val="28"/>
          <w:szCs w:val="28"/>
          <w:lang w:val="en-US" w:eastAsia="zh-CN"/>
        </w:rPr>
        <w:t>7</w:t>
      </w:r>
      <w:r>
        <w:rPr>
          <w:rFonts w:hint="eastAsia" w:ascii="黑体" w:hAnsi="黑体" w:eastAsia="黑体" w:cs="黑体"/>
          <w:color w:val="000000" w:themeColor="text1"/>
          <w:sz w:val="28"/>
          <w:szCs w:val="28"/>
        </w:rPr>
        <w:t>、工程报价不得产生增项，如有增项由施工方负担。</w:t>
      </w:r>
    </w:p>
    <w:p w14:paraId="648D372C">
      <w:pPr>
        <w:pStyle w:val="8"/>
        <w:spacing w:line="500" w:lineRule="exact"/>
        <w:ind w:left="420" w:leftChars="200" w:firstLine="140" w:firstLineChars="50"/>
        <w:rPr>
          <w:rFonts w:hint="eastAsia" w:ascii="黑体" w:hAnsi="黑体" w:eastAsia="黑体" w:cs="黑体"/>
          <w:color w:val="000000" w:themeColor="text1"/>
          <w:sz w:val="28"/>
          <w:szCs w:val="28"/>
        </w:rPr>
      </w:pPr>
      <w:r>
        <w:rPr>
          <w:rFonts w:hint="eastAsia" w:ascii="黑体" w:hAnsi="黑体" w:eastAsia="黑体" w:cs="黑体"/>
          <w:color w:val="000000" w:themeColor="text1"/>
          <w:sz w:val="28"/>
          <w:szCs w:val="28"/>
        </w:rPr>
        <w:t>五、价格要求</w:t>
      </w:r>
    </w:p>
    <w:p w14:paraId="335F8AB5">
      <w:pPr>
        <w:spacing w:line="500" w:lineRule="exact"/>
        <w:ind w:firstLine="560" w:firstLineChars="200"/>
        <w:rPr>
          <w:rFonts w:hint="eastAsia" w:ascii="黑体" w:hAnsi="黑体" w:eastAsia="黑体" w:cs="黑体"/>
          <w:color w:val="000000" w:themeColor="text1"/>
          <w:sz w:val="28"/>
          <w:szCs w:val="28"/>
        </w:rPr>
      </w:pPr>
      <w:r>
        <w:rPr>
          <w:rFonts w:hint="eastAsia" w:ascii="黑体" w:hAnsi="黑体" w:eastAsia="黑体" w:cs="黑体"/>
          <w:color w:val="000000" w:themeColor="text1"/>
          <w:sz w:val="28"/>
          <w:szCs w:val="28"/>
        </w:rPr>
        <w:t>广告更换制作</w:t>
      </w:r>
      <w:r>
        <w:rPr>
          <w:rFonts w:hint="eastAsia" w:ascii="黑体" w:hAnsi="黑体" w:eastAsia="黑体" w:cs="黑体"/>
          <w:color w:val="000000" w:themeColor="text1"/>
          <w:sz w:val="28"/>
          <w:szCs w:val="28"/>
          <w:lang w:val="en-US" w:eastAsia="zh-CN"/>
        </w:rPr>
        <w:t>安装费</w:t>
      </w:r>
      <w:r>
        <w:rPr>
          <w:rFonts w:hint="eastAsia" w:ascii="黑体" w:hAnsi="黑体" w:eastAsia="黑体" w:cs="黑体"/>
          <w:color w:val="000000" w:themeColor="text1"/>
          <w:sz w:val="28"/>
          <w:szCs w:val="28"/>
        </w:rPr>
        <w:t>必须低于标的价</w:t>
      </w:r>
      <w:r>
        <w:rPr>
          <w:rFonts w:hint="eastAsia" w:ascii="黑体" w:hAnsi="黑体" w:eastAsia="黑体" w:cs="黑体"/>
          <w:color w:val="000000" w:themeColor="text1"/>
          <w:sz w:val="28"/>
          <w:szCs w:val="28"/>
        </w:rPr>
        <w:t>1</w:t>
      </w:r>
      <w:r>
        <w:rPr>
          <w:rFonts w:hint="eastAsia" w:ascii="黑体" w:hAnsi="黑体" w:eastAsia="黑体" w:cs="黑体"/>
          <w:color w:val="000000" w:themeColor="text1"/>
          <w:sz w:val="28"/>
          <w:szCs w:val="28"/>
          <w:lang w:val="en-US" w:eastAsia="zh-CN"/>
        </w:rPr>
        <w:t>8</w:t>
      </w:r>
      <w:r>
        <w:rPr>
          <w:rFonts w:hint="eastAsia" w:ascii="黑体" w:hAnsi="黑体" w:eastAsia="黑体" w:cs="黑体"/>
          <w:color w:val="000000" w:themeColor="text1"/>
          <w:sz w:val="28"/>
          <w:szCs w:val="28"/>
        </w:rPr>
        <w:t>000</w:t>
      </w:r>
      <w:r>
        <w:rPr>
          <w:rFonts w:hint="eastAsia" w:ascii="黑体" w:hAnsi="黑体" w:eastAsia="黑体" w:cs="黑体"/>
          <w:color w:val="000000" w:themeColor="text1"/>
          <w:sz w:val="28"/>
          <w:szCs w:val="28"/>
        </w:rPr>
        <w:t>元（含工人保险费、材料费、安装费和税费等）。</w:t>
      </w:r>
    </w:p>
    <w:p w14:paraId="6807F8DD">
      <w:pPr>
        <w:pStyle w:val="8"/>
        <w:spacing w:line="500" w:lineRule="exact"/>
        <w:ind w:left="420" w:leftChars="200" w:firstLine="140" w:firstLineChars="50"/>
        <w:rPr>
          <w:rFonts w:hint="eastAsia" w:ascii="黑体" w:hAnsi="黑体" w:eastAsia="黑体" w:cs="黑体"/>
          <w:color w:val="000000" w:themeColor="text1"/>
          <w:sz w:val="28"/>
          <w:szCs w:val="28"/>
        </w:rPr>
      </w:pPr>
      <w:r>
        <w:rPr>
          <w:rFonts w:hint="eastAsia" w:ascii="黑体" w:hAnsi="黑体" w:eastAsia="黑体" w:cs="黑体"/>
          <w:color w:val="000000" w:themeColor="text1"/>
          <w:sz w:val="28"/>
          <w:szCs w:val="28"/>
        </w:rPr>
        <w:t>六、评定办法</w:t>
      </w:r>
    </w:p>
    <w:p w14:paraId="37B70BD4">
      <w:pPr>
        <w:spacing w:line="500" w:lineRule="exact"/>
        <w:ind w:firstLine="560" w:firstLineChars="200"/>
        <w:rPr>
          <w:rFonts w:hint="eastAsia" w:ascii="黑体" w:hAnsi="黑体" w:eastAsia="黑体" w:cs="黑体"/>
          <w:color w:val="000000" w:themeColor="text1"/>
          <w:sz w:val="28"/>
          <w:szCs w:val="28"/>
        </w:rPr>
      </w:pPr>
      <w:r>
        <w:rPr>
          <w:rFonts w:hint="eastAsia" w:ascii="黑体" w:hAnsi="黑体" w:eastAsia="黑体" w:cs="黑体"/>
          <w:color w:val="000000" w:themeColor="text1"/>
          <w:sz w:val="28"/>
          <w:szCs w:val="28"/>
        </w:rPr>
        <w:t>1、报价最低的一家单位胜出。</w:t>
      </w:r>
    </w:p>
    <w:p w14:paraId="38073EAA">
      <w:pPr>
        <w:spacing w:line="240" w:lineRule="atLeast"/>
        <w:ind w:firstLine="560" w:firstLineChars="200"/>
        <w:rPr>
          <w:rFonts w:hint="eastAsia" w:ascii="黑体" w:hAnsi="黑体" w:eastAsia="黑体" w:cs="黑体"/>
          <w:sz w:val="28"/>
          <w:szCs w:val="28"/>
        </w:rPr>
      </w:pPr>
      <w:r>
        <w:rPr>
          <w:rFonts w:hint="eastAsia" w:ascii="黑体" w:hAnsi="黑体" w:eastAsia="黑体" w:cs="黑体"/>
          <w:color w:val="000000" w:themeColor="text1"/>
          <w:sz w:val="28"/>
          <w:szCs w:val="28"/>
        </w:rPr>
        <w:t>2、报价最低价如有两家或两家以上单位相同时，</w:t>
      </w:r>
      <w:r>
        <w:rPr>
          <w:rFonts w:hint="eastAsia" w:ascii="黑体" w:hAnsi="黑体" w:eastAsia="黑体" w:cs="黑体"/>
          <w:sz w:val="28"/>
          <w:szCs w:val="28"/>
        </w:rPr>
        <w:t>提交户外广告安装案例数最多者为第二优先选择。</w:t>
      </w:r>
    </w:p>
    <w:p w14:paraId="0C10C46A">
      <w:pPr>
        <w:spacing w:line="240" w:lineRule="atLeast"/>
        <w:ind w:firstLine="560" w:firstLineChars="200"/>
        <w:rPr>
          <w:rFonts w:hint="eastAsia" w:ascii="黑体" w:hAnsi="黑体" w:eastAsia="黑体" w:cs="黑体"/>
          <w:sz w:val="28"/>
          <w:szCs w:val="28"/>
        </w:rPr>
      </w:pPr>
      <w:r>
        <w:rPr>
          <w:rFonts w:hint="eastAsia" w:ascii="黑体" w:hAnsi="黑体" w:eastAsia="黑体" w:cs="黑体"/>
          <w:sz w:val="28"/>
          <w:szCs w:val="28"/>
        </w:rPr>
        <w:t>3、以上同等条件下存在两家报价</w:t>
      </w:r>
      <w:bookmarkStart w:id="0" w:name="_GoBack"/>
      <w:bookmarkEnd w:id="0"/>
      <w:r>
        <w:rPr>
          <w:rFonts w:hint="eastAsia" w:ascii="黑体" w:hAnsi="黑体" w:eastAsia="黑体" w:cs="黑体"/>
          <w:sz w:val="28"/>
          <w:szCs w:val="28"/>
        </w:rPr>
        <w:t>单位相同时，</w:t>
      </w:r>
      <w:r>
        <w:rPr>
          <w:rFonts w:hint="eastAsia" w:ascii="黑体" w:hAnsi="黑体" w:eastAsia="黑体" w:cs="黑体"/>
          <w:sz w:val="28"/>
          <w:szCs w:val="28"/>
          <w:lang w:val="en-US" w:eastAsia="zh-CN"/>
        </w:rPr>
        <w:t>由评标小组成员对相同单位进行综合讨论，性价比最高的为中标单位。</w:t>
      </w:r>
    </w:p>
    <w:p w14:paraId="63A6ECB2">
      <w:pPr>
        <w:spacing w:line="500" w:lineRule="exact"/>
        <w:rPr>
          <w:rFonts w:hint="eastAsia" w:ascii="黑体" w:hAnsi="黑体" w:eastAsia="黑体" w:cs="黑体"/>
          <w:color w:val="000000" w:themeColor="text1"/>
          <w:sz w:val="28"/>
          <w:szCs w:val="28"/>
        </w:rPr>
      </w:pPr>
    </w:p>
    <w:p w14:paraId="736F9027">
      <w:pPr>
        <w:spacing w:line="500" w:lineRule="exact"/>
        <w:rPr>
          <w:rFonts w:hint="eastAsia" w:ascii="黑体" w:hAnsi="黑体" w:eastAsia="黑体" w:cs="黑体"/>
          <w:color w:val="000000" w:themeColor="text1"/>
          <w:sz w:val="28"/>
          <w:szCs w:val="28"/>
        </w:rPr>
      </w:pPr>
    </w:p>
    <w:p w14:paraId="48B1C193">
      <w:pPr>
        <w:spacing w:line="500" w:lineRule="exact"/>
        <w:ind w:firstLine="4480" w:firstLineChars="1600"/>
        <w:rPr>
          <w:rFonts w:hint="eastAsia" w:ascii="黑体" w:hAnsi="黑体" w:eastAsia="黑体" w:cs="黑体"/>
          <w:color w:val="000000" w:themeColor="text1"/>
          <w:sz w:val="28"/>
          <w:szCs w:val="28"/>
        </w:rPr>
      </w:pPr>
      <w:r>
        <w:rPr>
          <w:rFonts w:hint="eastAsia" w:ascii="黑体" w:hAnsi="黑体" w:eastAsia="黑体" w:cs="黑体"/>
          <w:color w:val="000000" w:themeColor="text1"/>
          <w:sz w:val="28"/>
          <w:szCs w:val="28"/>
        </w:rPr>
        <w:t>珠海市百分百商业有限公司</w:t>
      </w:r>
    </w:p>
    <w:p w14:paraId="2CA87E1D">
      <w:pPr>
        <w:spacing w:line="500" w:lineRule="exact"/>
        <w:rPr>
          <w:rFonts w:hint="eastAsia" w:ascii="黑体" w:hAnsi="黑体" w:eastAsia="黑体" w:cs="黑体"/>
          <w:color w:val="000000" w:themeColor="text1"/>
          <w:sz w:val="28"/>
          <w:szCs w:val="28"/>
        </w:rPr>
      </w:pPr>
      <w:r>
        <w:rPr>
          <w:rFonts w:hint="eastAsia" w:ascii="黑体" w:hAnsi="黑体" w:eastAsia="黑体" w:cs="黑体"/>
          <w:color w:val="000000" w:themeColor="text1"/>
          <w:sz w:val="28"/>
          <w:szCs w:val="28"/>
        </w:rPr>
        <w:t xml:space="preserve">                                     </w:t>
      </w:r>
      <w:r>
        <w:rPr>
          <w:rFonts w:hint="eastAsia" w:ascii="黑体" w:hAnsi="黑体" w:eastAsia="黑体" w:cs="黑体"/>
          <w:color w:val="000000" w:themeColor="text1"/>
          <w:sz w:val="28"/>
          <w:szCs w:val="28"/>
        </w:rPr>
        <w:t>20</w:t>
      </w:r>
      <w:r>
        <w:rPr>
          <w:rFonts w:hint="eastAsia" w:ascii="黑体" w:hAnsi="黑体" w:eastAsia="黑体" w:cs="黑体"/>
          <w:color w:val="000000" w:themeColor="text1"/>
          <w:sz w:val="28"/>
          <w:szCs w:val="28"/>
        </w:rPr>
        <w:t>2</w:t>
      </w:r>
      <w:r>
        <w:rPr>
          <w:rFonts w:hint="eastAsia" w:ascii="黑体" w:hAnsi="黑体" w:eastAsia="黑体" w:cs="黑体"/>
          <w:color w:val="000000" w:themeColor="text1"/>
          <w:sz w:val="28"/>
          <w:szCs w:val="28"/>
          <w:lang w:val="en-US" w:eastAsia="zh-CN"/>
        </w:rPr>
        <w:t>5</w:t>
      </w:r>
      <w:r>
        <w:rPr>
          <w:rFonts w:hint="eastAsia" w:ascii="黑体" w:hAnsi="黑体" w:eastAsia="黑体" w:cs="黑体"/>
          <w:color w:val="000000" w:themeColor="text1"/>
          <w:sz w:val="28"/>
          <w:szCs w:val="28"/>
        </w:rPr>
        <w:t>年</w:t>
      </w:r>
      <w:r>
        <w:rPr>
          <w:rFonts w:hint="eastAsia" w:ascii="黑体" w:hAnsi="黑体" w:eastAsia="黑体" w:cs="黑体"/>
          <w:color w:val="000000" w:themeColor="text1"/>
          <w:sz w:val="28"/>
          <w:szCs w:val="28"/>
          <w:lang w:val="en-US" w:eastAsia="zh-CN"/>
        </w:rPr>
        <w:t>3</w:t>
      </w:r>
      <w:r>
        <w:rPr>
          <w:rFonts w:hint="eastAsia" w:ascii="黑体" w:hAnsi="黑体" w:eastAsia="黑体" w:cs="黑体"/>
          <w:color w:val="000000" w:themeColor="text1"/>
          <w:sz w:val="28"/>
          <w:szCs w:val="28"/>
        </w:rPr>
        <w:t>月</w:t>
      </w:r>
      <w:r>
        <w:rPr>
          <w:rFonts w:hint="eastAsia" w:ascii="黑体" w:hAnsi="黑体" w:eastAsia="黑体" w:cs="黑体"/>
          <w:color w:val="000000" w:themeColor="text1"/>
          <w:sz w:val="28"/>
          <w:szCs w:val="28"/>
          <w:lang w:val="en-US" w:eastAsia="zh-CN"/>
        </w:rPr>
        <w:t>18</w:t>
      </w:r>
      <w:r>
        <w:rPr>
          <w:rFonts w:hint="eastAsia" w:ascii="黑体" w:hAnsi="黑体" w:eastAsia="黑体" w:cs="黑体"/>
          <w:color w:val="000000" w:themeColor="text1"/>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RkNTQ5MTFkZTFmMDhlYjAyYTBjNjEyNGIyNTIyNzgifQ=="/>
  </w:docVars>
  <w:rsids>
    <w:rsidRoot w:val="006D3FD7"/>
    <w:rsid w:val="000012FB"/>
    <w:rsid w:val="000075CC"/>
    <w:rsid w:val="00010705"/>
    <w:rsid w:val="000113A8"/>
    <w:rsid w:val="00012A45"/>
    <w:rsid w:val="00020348"/>
    <w:rsid w:val="00040BC1"/>
    <w:rsid w:val="00050F9D"/>
    <w:rsid w:val="000579E6"/>
    <w:rsid w:val="0006348D"/>
    <w:rsid w:val="000B66D3"/>
    <w:rsid w:val="000B7E45"/>
    <w:rsid w:val="000C6880"/>
    <w:rsid w:val="000D3947"/>
    <w:rsid w:val="000E707C"/>
    <w:rsid w:val="000F44D2"/>
    <w:rsid w:val="001027CE"/>
    <w:rsid w:val="00115874"/>
    <w:rsid w:val="0012160E"/>
    <w:rsid w:val="0012369B"/>
    <w:rsid w:val="001243F7"/>
    <w:rsid w:val="00133019"/>
    <w:rsid w:val="00144082"/>
    <w:rsid w:val="00153E27"/>
    <w:rsid w:val="00157F45"/>
    <w:rsid w:val="001645A7"/>
    <w:rsid w:val="00184EE2"/>
    <w:rsid w:val="001B2EF5"/>
    <w:rsid w:val="001B4B4C"/>
    <w:rsid w:val="001C4404"/>
    <w:rsid w:val="001C6D36"/>
    <w:rsid w:val="001E0FFD"/>
    <w:rsid w:val="001F6D72"/>
    <w:rsid w:val="0021291B"/>
    <w:rsid w:val="00213A04"/>
    <w:rsid w:val="00215C67"/>
    <w:rsid w:val="00230CA5"/>
    <w:rsid w:val="0023157B"/>
    <w:rsid w:val="0023348F"/>
    <w:rsid w:val="002515C7"/>
    <w:rsid w:val="00265D54"/>
    <w:rsid w:val="002770A4"/>
    <w:rsid w:val="002933D7"/>
    <w:rsid w:val="00296539"/>
    <w:rsid w:val="002D4C8A"/>
    <w:rsid w:val="002D7B65"/>
    <w:rsid w:val="002E5776"/>
    <w:rsid w:val="00332550"/>
    <w:rsid w:val="0034181D"/>
    <w:rsid w:val="003553D1"/>
    <w:rsid w:val="00356B1D"/>
    <w:rsid w:val="00360B9D"/>
    <w:rsid w:val="00361735"/>
    <w:rsid w:val="003678E9"/>
    <w:rsid w:val="0037024F"/>
    <w:rsid w:val="00380D3D"/>
    <w:rsid w:val="00382A7C"/>
    <w:rsid w:val="0039356D"/>
    <w:rsid w:val="00395FB4"/>
    <w:rsid w:val="003A3BF0"/>
    <w:rsid w:val="003A61CC"/>
    <w:rsid w:val="003C36EC"/>
    <w:rsid w:val="003E054B"/>
    <w:rsid w:val="003E1922"/>
    <w:rsid w:val="003F68EE"/>
    <w:rsid w:val="0040315E"/>
    <w:rsid w:val="00405AE6"/>
    <w:rsid w:val="00417BB2"/>
    <w:rsid w:val="004271A4"/>
    <w:rsid w:val="00431034"/>
    <w:rsid w:val="0044500E"/>
    <w:rsid w:val="0048118B"/>
    <w:rsid w:val="004838F0"/>
    <w:rsid w:val="004A1BB8"/>
    <w:rsid w:val="004B2B63"/>
    <w:rsid w:val="004C0AAE"/>
    <w:rsid w:val="004C67FA"/>
    <w:rsid w:val="004C76B2"/>
    <w:rsid w:val="004F3D73"/>
    <w:rsid w:val="00503375"/>
    <w:rsid w:val="00504E62"/>
    <w:rsid w:val="0051540F"/>
    <w:rsid w:val="00530CC1"/>
    <w:rsid w:val="00553483"/>
    <w:rsid w:val="005B1F01"/>
    <w:rsid w:val="005C0F23"/>
    <w:rsid w:val="00600A58"/>
    <w:rsid w:val="00616153"/>
    <w:rsid w:val="00622CE9"/>
    <w:rsid w:val="00634316"/>
    <w:rsid w:val="006732CF"/>
    <w:rsid w:val="006747C2"/>
    <w:rsid w:val="00690B2F"/>
    <w:rsid w:val="00691598"/>
    <w:rsid w:val="0069300D"/>
    <w:rsid w:val="0069382F"/>
    <w:rsid w:val="006A6620"/>
    <w:rsid w:val="006B077E"/>
    <w:rsid w:val="006B3885"/>
    <w:rsid w:val="006D3FD7"/>
    <w:rsid w:val="006E7D10"/>
    <w:rsid w:val="0070245B"/>
    <w:rsid w:val="007304B3"/>
    <w:rsid w:val="00734926"/>
    <w:rsid w:val="007364E8"/>
    <w:rsid w:val="0073753A"/>
    <w:rsid w:val="00755C09"/>
    <w:rsid w:val="00760EF7"/>
    <w:rsid w:val="00790193"/>
    <w:rsid w:val="007B3709"/>
    <w:rsid w:val="007B7F85"/>
    <w:rsid w:val="007C16BE"/>
    <w:rsid w:val="007C27E7"/>
    <w:rsid w:val="007E231A"/>
    <w:rsid w:val="007F08C1"/>
    <w:rsid w:val="007F20C6"/>
    <w:rsid w:val="007F7032"/>
    <w:rsid w:val="0081369D"/>
    <w:rsid w:val="00815A0C"/>
    <w:rsid w:val="00820F63"/>
    <w:rsid w:val="00822635"/>
    <w:rsid w:val="00826BB6"/>
    <w:rsid w:val="00834EA6"/>
    <w:rsid w:val="00844F27"/>
    <w:rsid w:val="00847EEA"/>
    <w:rsid w:val="00851772"/>
    <w:rsid w:val="008617F9"/>
    <w:rsid w:val="00881F1D"/>
    <w:rsid w:val="00886043"/>
    <w:rsid w:val="008B003C"/>
    <w:rsid w:val="008D58C0"/>
    <w:rsid w:val="008F4B41"/>
    <w:rsid w:val="00903B3F"/>
    <w:rsid w:val="00913E9A"/>
    <w:rsid w:val="00944303"/>
    <w:rsid w:val="00965B6F"/>
    <w:rsid w:val="009662E0"/>
    <w:rsid w:val="00970B95"/>
    <w:rsid w:val="00976AC5"/>
    <w:rsid w:val="00976D09"/>
    <w:rsid w:val="009C6EDC"/>
    <w:rsid w:val="00A01BD8"/>
    <w:rsid w:val="00A041F7"/>
    <w:rsid w:val="00A0763C"/>
    <w:rsid w:val="00A139D6"/>
    <w:rsid w:val="00A458F3"/>
    <w:rsid w:val="00A47FF9"/>
    <w:rsid w:val="00A569FE"/>
    <w:rsid w:val="00A67619"/>
    <w:rsid w:val="00A73743"/>
    <w:rsid w:val="00A73FCA"/>
    <w:rsid w:val="00A85E9C"/>
    <w:rsid w:val="00A93D55"/>
    <w:rsid w:val="00A965D1"/>
    <w:rsid w:val="00AA54C2"/>
    <w:rsid w:val="00AC3CE9"/>
    <w:rsid w:val="00AF3EFA"/>
    <w:rsid w:val="00AF7AE4"/>
    <w:rsid w:val="00B00960"/>
    <w:rsid w:val="00B03F4B"/>
    <w:rsid w:val="00B04556"/>
    <w:rsid w:val="00B05EC8"/>
    <w:rsid w:val="00B06826"/>
    <w:rsid w:val="00B2388F"/>
    <w:rsid w:val="00B3487A"/>
    <w:rsid w:val="00B53C29"/>
    <w:rsid w:val="00B70D56"/>
    <w:rsid w:val="00B90F35"/>
    <w:rsid w:val="00BC768E"/>
    <w:rsid w:val="00BD34A4"/>
    <w:rsid w:val="00BF2C99"/>
    <w:rsid w:val="00C123D4"/>
    <w:rsid w:val="00C21385"/>
    <w:rsid w:val="00C62F1F"/>
    <w:rsid w:val="00C67E62"/>
    <w:rsid w:val="00C76448"/>
    <w:rsid w:val="00CB3893"/>
    <w:rsid w:val="00CD0805"/>
    <w:rsid w:val="00CF031B"/>
    <w:rsid w:val="00D100BD"/>
    <w:rsid w:val="00D1758C"/>
    <w:rsid w:val="00D45707"/>
    <w:rsid w:val="00D64B9D"/>
    <w:rsid w:val="00D703FA"/>
    <w:rsid w:val="00D77C70"/>
    <w:rsid w:val="00D809BC"/>
    <w:rsid w:val="00DA432F"/>
    <w:rsid w:val="00DA4C39"/>
    <w:rsid w:val="00DA57FB"/>
    <w:rsid w:val="00DB4D0F"/>
    <w:rsid w:val="00DD3C2E"/>
    <w:rsid w:val="00DE730D"/>
    <w:rsid w:val="00DF008E"/>
    <w:rsid w:val="00DF42DB"/>
    <w:rsid w:val="00DF7672"/>
    <w:rsid w:val="00E002B6"/>
    <w:rsid w:val="00E447A4"/>
    <w:rsid w:val="00E458AC"/>
    <w:rsid w:val="00E55B7C"/>
    <w:rsid w:val="00E62802"/>
    <w:rsid w:val="00E65CE2"/>
    <w:rsid w:val="00E77277"/>
    <w:rsid w:val="00EB5F6F"/>
    <w:rsid w:val="00EB6774"/>
    <w:rsid w:val="00EC393A"/>
    <w:rsid w:val="00EC4739"/>
    <w:rsid w:val="00EC6F9C"/>
    <w:rsid w:val="00F037C6"/>
    <w:rsid w:val="00F065A8"/>
    <w:rsid w:val="00F31E0F"/>
    <w:rsid w:val="00F44D40"/>
    <w:rsid w:val="00F4559C"/>
    <w:rsid w:val="00F47A2B"/>
    <w:rsid w:val="00F5297A"/>
    <w:rsid w:val="00F75182"/>
    <w:rsid w:val="00F91FFE"/>
    <w:rsid w:val="00F97ACB"/>
    <w:rsid w:val="00FA3831"/>
    <w:rsid w:val="00FE5DD9"/>
    <w:rsid w:val="01730582"/>
    <w:rsid w:val="31286C13"/>
    <w:rsid w:val="3B6B3A9C"/>
    <w:rsid w:val="425F14D5"/>
    <w:rsid w:val="47A3636C"/>
    <w:rsid w:val="5C8A31FF"/>
    <w:rsid w:val="636B5B38"/>
    <w:rsid w:val="6E3C62A2"/>
    <w:rsid w:val="6FC73E37"/>
    <w:rsid w:val="7A6935FC"/>
    <w:rsid w:val="7EC81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9"/>
    <w:qFormat/>
    <w:uiPriority w:val="0"/>
    <w:rPr>
      <w:rFonts w:ascii="宋体" w:hAnsi="Courier New" w:eastAsia="宋体" w:cs="Courier New"/>
      <w:szCs w:val="21"/>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rPr>
      <w:rFonts w:ascii="Times New Roman" w:hAnsi="Times New Roman" w:eastAsia="宋体" w:cs="Times New Roman"/>
      <w:kern w:val="0"/>
      <w:sz w:val="20"/>
      <w:szCs w:val="20"/>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8">
    <w:name w:val="List Paragraph"/>
    <w:basedOn w:val="1"/>
    <w:qFormat/>
    <w:uiPriority w:val="34"/>
    <w:pPr>
      <w:ind w:firstLine="420" w:firstLineChars="200"/>
    </w:pPr>
  </w:style>
  <w:style w:type="character" w:customStyle="1" w:styleId="9">
    <w:name w:val="纯文本 字符"/>
    <w:basedOn w:val="7"/>
    <w:link w:val="2"/>
    <w:qFormat/>
    <w:uiPriority w:val="0"/>
    <w:rPr>
      <w:rFonts w:ascii="宋体" w:hAnsi="Courier New" w:eastAsia="宋体" w:cs="Courier New"/>
      <w:szCs w:val="21"/>
    </w:rPr>
  </w:style>
  <w:style w:type="character" w:customStyle="1" w:styleId="10">
    <w:name w:val="页眉 字符"/>
    <w:basedOn w:val="7"/>
    <w:link w:val="4"/>
    <w:semiHidden/>
    <w:qFormat/>
    <w:uiPriority w:val="99"/>
    <w:rPr>
      <w:sz w:val="18"/>
      <w:szCs w:val="18"/>
    </w:rPr>
  </w:style>
  <w:style w:type="character" w:customStyle="1" w:styleId="11">
    <w:name w:val="页脚 字符"/>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珠海九铭电子有限公司</Company>
  <Pages>2</Pages>
  <Words>791</Words>
  <Characters>838</Characters>
  <Lines>6</Lines>
  <Paragraphs>1</Paragraphs>
  <TotalTime>10</TotalTime>
  <ScaleCrop>false</ScaleCrop>
  <LinksUpToDate>false</LinksUpToDate>
  <CharactersWithSpaces>876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2015-07-08T03:29:00Z</dcterms:created>
  <dc:creator>赵俊涛</dc:creator>
  <cp:lastModifiedBy>赵俊涛</cp:lastModifiedBy>
  <dcterms:modified xsi:type="dcterms:W3CDTF">2025-03-18T06:29:43Z</dcterms:modified>
  <cp:revision>333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69A5459D82D646CFAD04010D837F5E4C</vt:lpwstr>
  </property>
  <property fmtid="{D5CDD505-2E9C-101B-9397-08002B2CF9AE}" pid="4" name="KSOTemplateDocerSaveRecord">
    <vt:lpwstr>eyJoZGlkIjoiYzA1ZGRiZTJhMzEzODhhZTE5Njc1MzRlNDg2NmRiMjQiLCJ1c2VySWQiOiI4MTU0MDI3MDkifQ==</vt:lpwstr>
  </property>
</Properties>
</file>