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05" w:rsidRDefault="00791305" w:rsidP="00791305">
      <w:pPr>
        <w:snapToGrid w:val="0"/>
        <w:spacing w:line="600" w:lineRule="exact"/>
        <w:rPr>
          <w:rFonts w:ascii="黑体" w:eastAsia="黑体" w:hAnsi="黑体" w:cs="黑体" w:hint="eastAsia"/>
          <w:bCs/>
          <w:kern w:val="44"/>
          <w:sz w:val="32"/>
          <w:szCs w:val="32"/>
          <w:shd w:val="clear" w:color="auto" w:fill="F9F9F9"/>
          <w:lang w:bidi="ar"/>
        </w:rPr>
      </w:pPr>
      <w:r>
        <w:rPr>
          <w:rFonts w:ascii="黑体" w:eastAsia="黑体" w:hAnsi="黑体" w:cs="黑体" w:hint="eastAsia"/>
          <w:bCs/>
          <w:kern w:val="44"/>
          <w:sz w:val="32"/>
          <w:szCs w:val="32"/>
          <w:shd w:val="clear" w:color="auto" w:fill="F9F9F9"/>
          <w:lang w:bidi="ar"/>
        </w:rPr>
        <w:t>附件</w:t>
      </w:r>
    </w:p>
    <w:p w:rsidR="00791305" w:rsidRDefault="00791305" w:rsidP="00791305">
      <w:pPr>
        <w:snapToGrid w:val="0"/>
        <w:spacing w:line="600" w:lineRule="exact"/>
        <w:jc w:val="center"/>
        <w:rPr>
          <w:rFonts w:hint="eastAsia"/>
          <w:b/>
          <w:kern w:val="44"/>
          <w:sz w:val="44"/>
          <w:szCs w:val="44"/>
          <w:shd w:val="clear" w:color="auto" w:fill="F9F9F9"/>
          <w:lang w:bidi="ar"/>
        </w:rPr>
      </w:pPr>
    </w:p>
    <w:p w:rsidR="00791305" w:rsidRDefault="00791305" w:rsidP="00791305">
      <w:pPr>
        <w:snapToGrid w:val="0"/>
        <w:spacing w:line="600" w:lineRule="exact"/>
        <w:jc w:val="center"/>
        <w:rPr>
          <w:rFonts w:hint="eastAsia"/>
          <w:b/>
          <w:kern w:val="44"/>
          <w:sz w:val="44"/>
          <w:szCs w:val="44"/>
          <w:shd w:val="clear" w:color="auto" w:fill="F9F9F9"/>
          <w:lang w:bidi="ar"/>
        </w:rPr>
      </w:pPr>
      <w:r>
        <w:rPr>
          <w:rFonts w:hint="eastAsia"/>
          <w:b/>
          <w:kern w:val="44"/>
          <w:sz w:val="44"/>
          <w:szCs w:val="44"/>
          <w:shd w:val="clear" w:color="auto" w:fill="F9F9F9"/>
          <w:lang w:bidi="ar"/>
        </w:rPr>
        <w:t>科技部关于发布国家重点研发计划</w:t>
      </w:r>
    </w:p>
    <w:p w:rsidR="00791305" w:rsidRDefault="00791305" w:rsidP="00791305">
      <w:pPr>
        <w:snapToGrid w:val="0"/>
        <w:spacing w:line="600" w:lineRule="exact"/>
        <w:jc w:val="center"/>
        <w:rPr>
          <w:rFonts w:hint="eastAsia"/>
          <w:b/>
          <w:kern w:val="44"/>
          <w:sz w:val="44"/>
          <w:szCs w:val="44"/>
          <w:shd w:val="clear" w:color="auto" w:fill="F9F9F9"/>
          <w:lang w:bidi="ar"/>
        </w:rPr>
      </w:pPr>
      <w:r>
        <w:rPr>
          <w:rFonts w:hint="eastAsia"/>
          <w:b/>
          <w:kern w:val="44"/>
          <w:sz w:val="44"/>
          <w:szCs w:val="44"/>
          <w:shd w:val="clear" w:color="auto" w:fill="F9F9F9"/>
          <w:lang w:bidi="ar"/>
        </w:rPr>
        <w:t>“绿色生物制造”等重点专项2022年度项目</w:t>
      </w:r>
    </w:p>
    <w:p w:rsidR="00791305" w:rsidRDefault="00791305" w:rsidP="00791305">
      <w:pPr>
        <w:snapToGrid w:val="0"/>
        <w:spacing w:line="600" w:lineRule="exact"/>
        <w:jc w:val="center"/>
        <w:rPr>
          <w:rFonts w:hint="eastAsia"/>
          <w:b/>
          <w:kern w:val="44"/>
          <w:sz w:val="44"/>
          <w:szCs w:val="44"/>
          <w:lang w:bidi="ar"/>
        </w:rPr>
      </w:pPr>
      <w:r>
        <w:rPr>
          <w:rFonts w:hint="eastAsia"/>
          <w:b/>
          <w:kern w:val="44"/>
          <w:sz w:val="44"/>
          <w:szCs w:val="44"/>
          <w:shd w:val="clear" w:color="auto" w:fill="F9F9F9"/>
          <w:lang w:bidi="ar"/>
        </w:rPr>
        <w:t>申报指南的通知</w:t>
      </w:r>
    </w:p>
    <w:p w:rsidR="00791305" w:rsidRDefault="00791305" w:rsidP="00791305">
      <w:pPr>
        <w:shd w:val="clear" w:color="auto" w:fill="FFFFFF"/>
        <w:snapToGrid w:val="0"/>
        <w:spacing w:line="600" w:lineRule="exact"/>
        <w:jc w:val="center"/>
        <w:rPr>
          <w:rFonts w:ascii="楷体_GB2312" w:eastAsia="楷体_GB2312" w:hAnsi="楷体_GB2312" w:cs="楷体_GB2312" w:hint="eastAsia"/>
          <w:sz w:val="32"/>
          <w:szCs w:val="32"/>
          <w:lang w:bidi="ar"/>
        </w:rPr>
      </w:pPr>
      <w:r>
        <w:rPr>
          <w:rFonts w:ascii="楷体_GB2312" w:eastAsia="楷体_GB2312" w:hAnsi="楷体_GB2312" w:cs="楷体_GB2312" w:hint="eastAsia"/>
          <w:sz w:val="32"/>
          <w:szCs w:val="32"/>
          <w:shd w:val="clear" w:color="auto" w:fill="FFFFFF"/>
          <w:lang w:bidi="ar"/>
        </w:rPr>
        <w:t>国科发资〔2022〕111号</w:t>
      </w:r>
    </w:p>
    <w:p w:rsidR="00791305" w:rsidRDefault="00791305" w:rsidP="00791305">
      <w:pPr>
        <w:shd w:val="clear" w:color="auto" w:fill="FFFFFF"/>
        <w:snapToGrid w:val="0"/>
        <w:spacing w:line="600" w:lineRule="exact"/>
        <w:jc w:val="left"/>
        <w:rPr>
          <w:rFonts w:ascii="仿宋_GB2312" w:eastAsia="仿宋_GB2312" w:hAnsi="仿宋_GB2312" w:cs="仿宋_GB2312" w:hint="eastAsia"/>
          <w:sz w:val="32"/>
          <w:szCs w:val="32"/>
          <w:shd w:val="clear" w:color="auto" w:fill="FFFFFF"/>
          <w:lang w:bidi="ar"/>
        </w:rPr>
      </w:pPr>
      <w:bookmarkStart w:id="0" w:name="_GoBack"/>
      <w:bookmarkEnd w:id="0"/>
    </w:p>
    <w:p w:rsidR="00791305" w:rsidRDefault="00791305" w:rsidP="00791305">
      <w:pPr>
        <w:shd w:val="clear" w:color="auto" w:fill="FFFFFF"/>
        <w:snapToGrid w:val="0"/>
        <w:spacing w:line="600" w:lineRule="exact"/>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shd w:val="clear" w:color="auto" w:fill="FFFFFF"/>
          <w:lang w:bidi="ar"/>
        </w:rPr>
        <w:t>各省、自治区、直辖市及计划单列市科技厅（委、局），新疆生产建设兵团科技局，国务院各有关部门，各有关单位：</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国家重点研发计划深入贯彻落实党中央关于科技创新的决策部署，坚持“四个面向”总要求，积极探索“揭榜挂帅”等科技管理改革举措，全面提升科研投入绩效。根据《国家重点研发计划管理暂行办法》和组织管理相关要求，现将“绿色生物制造”等重点专项2022年度项目申报指南予以公布，请根据指南要求组织项目申报工作。有关事项通知如下。</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黑体" w:eastAsia="黑体" w:hAnsi="黑体" w:cs="黑体" w:hint="eastAsia"/>
          <w:sz w:val="32"/>
          <w:szCs w:val="32"/>
          <w:shd w:val="clear" w:color="auto" w:fill="FFFFFF"/>
          <w:lang w:bidi="ar"/>
        </w:rPr>
        <w:t>一、项目组织申报工作流程</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 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2. 整合优势创新团队，并积极吸纳女性科研人员参与项目研发，聚焦指南任务，强化基础研究、共性关键技术研发和典型应用示范各项任务间的统筹衔接，集中力量，联合攻关。鼓励有</w:t>
      </w:r>
      <w:r>
        <w:rPr>
          <w:rFonts w:ascii="仿宋_GB2312" w:eastAsia="仿宋_GB2312" w:hAnsi="仿宋_GB2312" w:cs="仿宋_GB2312" w:hint="eastAsia"/>
          <w:sz w:val="32"/>
          <w:szCs w:val="32"/>
          <w:shd w:val="clear" w:color="auto" w:fill="FFFFFF"/>
          <w:lang w:bidi="ar"/>
        </w:rPr>
        <w:lastRenderedPageBreak/>
        <w:t>能力的女性科研人员作为项目（课题）负责人领衔担纲承担任务。</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3. 国家重点研发计划项目申报过程分为预申报、正式申报两个环节，具体工作流程如下。</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日到预申报书受理截止日不少于50天。</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预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等要求，加强对申报材料审核把关，杜绝夸大不实，甚至弄虚作假。</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预申报书须经相关单位推荐。各推荐单位加强对所推荐的项目申报材料审核把关，按时将推荐项目通过国科管系统统一报送。</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专业机构受理预申报书并组织首轮评审。为确保合理的竞争度，对于非定向申报的单个指南方向，若申报团队数量不多于拟支持的项目数量，该指南方向不启动后续项目评审立项程</w:t>
      </w:r>
      <w:r>
        <w:rPr>
          <w:rFonts w:ascii="仿宋_GB2312" w:eastAsia="仿宋_GB2312" w:hAnsi="仿宋_GB2312" w:cs="仿宋_GB2312" w:hint="eastAsia"/>
          <w:sz w:val="32"/>
          <w:szCs w:val="32"/>
          <w:shd w:val="clear" w:color="auto" w:fill="FFFFFF"/>
          <w:lang w:bidi="ar"/>
        </w:rPr>
        <w:lastRenderedPageBreak/>
        <w:t>序，择期重新研究发布指南。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——填写正式申报书。对于通过首轮评审和直接进入答辩评审的项目申请，通过国科管系统填写并提交项目正式申报书，正式申报书受理时间为30天。</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专业机构受理正式申报书并组织答辩评审。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关键节点考核评估，根据评估结果确定后续支持方式。</w:t>
      </w:r>
    </w:p>
    <w:p w:rsidR="00791305" w:rsidRDefault="00791305" w:rsidP="00791305">
      <w:pPr>
        <w:shd w:val="clear" w:color="auto" w:fill="FFFFFF"/>
        <w:snapToGrid w:val="0"/>
        <w:spacing w:line="600" w:lineRule="exact"/>
        <w:ind w:firstLineChars="200" w:firstLine="640"/>
        <w:rPr>
          <w:rFonts w:ascii="黑体" w:eastAsia="黑体" w:hAnsi="黑体" w:cs="黑体" w:hint="eastAsia"/>
          <w:kern w:val="2"/>
          <w:sz w:val="32"/>
          <w:szCs w:val="32"/>
        </w:rPr>
      </w:pPr>
      <w:r>
        <w:rPr>
          <w:rFonts w:ascii="黑体" w:eastAsia="黑体" w:hAnsi="黑体" w:cs="黑体" w:hint="eastAsia"/>
          <w:sz w:val="32"/>
          <w:szCs w:val="32"/>
          <w:shd w:val="clear" w:color="auto" w:fill="FFFFFF"/>
          <w:lang w:bidi="ar"/>
        </w:rPr>
        <w:t>二、组织申报的推荐单位</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 国务院有关部门科技主管司局；</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2. 各省、自治区、直辖市、计划单列市及新疆生产建设兵团科技主管部门；</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3. 原工业部门转制成立的行业协会；</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4. 纳入科技部试点范围并且评估结果为A类的产业技术创新战略联盟，以及纳入科技部、财政部开展的科技服务业创新发展行业试点联盟。</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lastRenderedPageBreak/>
        <w:t>各推荐单位应在本单位职能和业务范围内推荐，并对所推荐项目的真实性等负责。推荐单位名单在国科管系统上公开发布。</w:t>
      </w:r>
    </w:p>
    <w:p w:rsidR="00791305" w:rsidRDefault="00791305" w:rsidP="00791305">
      <w:pPr>
        <w:shd w:val="clear" w:color="auto" w:fill="FFFFFF"/>
        <w:snapToGrid w:val="0"/>
        <w:spacing w:line="600" w:lineRule="exact"/>
        <w:ind w:firstLineChars="200" w:firstLine="640"/>
        <w:rPr>
          <w:rFonts w:ascii="黑体" w:eastAsia="黑体" w:hAnsi="黑体" w:cs="黑体" w:hint="eastAsia"/>
          <w:kern w:val="2"/>
          <w:sz w:val="32"/>
          <w:szCs w:val="32"/>
        </w:rPr>
      </w:pPr>
      <w:r>
        <w:rPr>
          <w:rFonts w:ascii="黑体" w:eastAsia="黑体" w:hAnsi="黑体" w:cs="黑体" w:hint="eastAsia"/>
          <w:sz w:val="32"/>
          <w:szCs w:val="32"/>
          <w:shd w:val="clear" w:color="auto" w:fill="FFFFFF"/>
          <w:lang w:bidi="ar"/>
        </w:rPr>
        <w:t>三、申报资格要求</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 项目牵头申报单位和参与单位应为中国大陆境内注册的科研院所、高等学校和企业等，具有独立法人资格，注册时间为2021年6月30日前，有较强的科技研发能力和条件，运行管理规范。国家机关不得牵头或参与申报。</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项目牵头申报单位、参与单位以及团队成员诚信状况良好，无在惩戒执行期内的科研严重失信行为记录和相关社会领域信用“黑名单”记录。</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申报单位同一个项目只能通过单个推荐单位申报，不得多头申报和重复申报。</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2. 项目（课题）负责人须具有高级职称或博士学位，1962年1月1日以后出生，每年用于项目的工作时间不得少于6个月。</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3. 项目（课题）负责人原则上应为该项目（课题）主体研究思路的提出者和实际主持研究的科技人员。中央和地方各级国家机关的公务人员（包括行使科技计划管理职能的其他人员）不得申报项目（课题）。</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4. 项目（课题）负责人限申报1个项目（课题）；国家科技重大专项、国家重点研发计划、科技创新2030—重大项目的在研项目负责人不得牵头或参与申报项目（课题），课题负责人</w:t>
      </w:r>
      <w:r>
        <w:rPr>
          <w:rFonts w:ascii="仿宋_GB2312" w:eastAsia="仿宋_GB2312" w:hAnsi="仿宋_GB2312" w:cs="仿宋_GB2312" w:hint="eastAsia"/>
          <w:sz w:val="32"/>
          <w:szCs w:val="32"/>
          <w:shd w:val="clear" w:color="auto" w:fill="FFFFFF"/>
          <w:lang w:bidi="ar"/>
        </w:rPr>
        <w:lastRenderedPageBreak/>
        <w:t>可参与申报项目（课题）。</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项目（课题）负责人、项目骨干的申报项目（课题）和国家科技重大专项、国家重点研发计划、科技创新2030—重大项目在研项目（课题）总数不得超过2个。国家科技重大专项、国家重点研发计划、科技创新2030—重大项目的在研项目（课题）负责人和项目骨干不得因申报新项目而退出在研项目；退出项目研发团队后，在原项目执行期内原则上不得牵头或参与申报新的国家重点研发计划项目。</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项目任务书执行期（包括延期后的执行期）到2022年12月31日之前的在研项目（含任务或课题）不在限项范围内。</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5. 参与重点专项实施方案或本年度项目指南编制的专家，原则上不能申报该重点专项项目（课题）。</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6. 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7. 申报项目受理后，原则上不能更改申报单位和负责人。</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8. 项目具体申报要求详见各申报指南，有特殊规定的，从其规定。</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各申报单位在正式提交项目申报书前可利用国科管系统查询相关科研人员承担国家科技重大专项、国家重点研发计划重点专项、科技创新2030—重大项目在研项目（含任务或课题）情况，避免重复申报。</w:t>
      </w:r>
    </w:p>
    <w:p w:rsidR="00791305" w:rsidRDefault="00791305" w:rsidP="00791305">
      <w:pPr>
        <w:shd w:val="clear" w:color="auto" w:fill="FFFFFF"/>
        <w:snapToGrid w:val="0"/>
        <w:spacing w:line="600" w:lineRule="exact"/>
        <w:ind w:firstLineChars="200" w:firstLine="640"/>
        <w:rPr>
          <w:rFonts w:ascii="黑体" w:eastAsia="黑体" w:hAnsi="黑体" w:cs="黑体" w:hint="eastAsia"/>
          <w:kern w:val="2"/>
          <w:sz w:val="32"/>
          <w:szCs w:val="32"/>
        </w:rPr>
      </w:pPr>
      <w:r>
        <w:rPr>
          <w:rFonts w:ascii="黑体" w:eastAsia="黑体" w:hAnsi="黑体" w:cs="黑体" w:hint="eastAsia"/>
          <w:sz w:val="32"/>
          <w:szCs w:val="32"/>
          <w:shd w:val="clear" w:color="auto" w:fill="FFFFFF"/>
          <w:lang w:bidi="ar"/>
        </w:rPr>
        <w:lastRenderedPageBreak/>
        <w:t>四、项目管理改革举措</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 关于“揭榜挂帅”项目。为切实提升科研投入绩效、强化重大创新成果的“实战性”，重点研发计划聚焦高质量发展亟需、应用导向鲜明、最终用户明确的攻关任务，设立“揭榜挂帅”项目。突出最终用户作用，实施签订“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2. 关于青年科学家项目。为给青年科研人员创造更多机会组织实施国家目标导向的重大研发任务，重点研发计划设立青年科学家项目。根据领域和专项特点，采取专设青年科学家项目或项目下专设青年科学家课题等多种方式。青年科学家项目不下设课题，原则上不再组织预算评估，鼓励青年科学家大胆探索更具创新性和颠覆性的新方法、新路径，更好服务于专项总体目标的实现。</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3. 关于技术就绪度（TRL）管理。针对技术体系清晰、定量考核指标明确的相关任务方向，“十四五”重点研发计划探索实行技术就绪度管理。申报指南中将明确技术就绪度要求，并在后续的评审立项、考核评估中纳入技术就绪度指标，科学设定里程碑考核节点，严格把控项目实施进展和风险，确保成果高质量产出。</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4. 关于科技型中小企业项目。为进一步强化企业创新主体</w:t>
      </w:r>
      <w:r>
        <w:rPr>
          <w:rFonts w:ascii="仿宋_GB2312" w:eastAsia="仿宋_GB2312" w:hAnsi="仿宋_GB2312" w:cs="仿宋_GB2312" w:hint="eastAsia"/>
          <w:sz w:val="32"/>
          <w:szCs w:val="32"/>
          <w:shd w:val="clear" w:color="auto" w:fill="FFFFFF"/>
          <w:lang w:bidi="ar"/>
        </w:rPr>
        <w:lastRenderedPageBreak/>
        <w:t>地位，加快科技型中小企业创新能力提升，在部分重点专项指南中试点设立科技型中小企业项目，要求由科研能力强的科技型中小企业牵头申报。项目下不设课题，实行定额资助，原则上不再组织预算评估，在验收时将对技术指标完成和成果应用情况进行同步考核。</w:t>
      </w:r>
    </w:p>
    <w:p w:rsidR="00791305" w:rsidRDefault="00791305" w:rsidP="00791305">
      <w:pPr>
        <w:shd w:val="clear" w:color="auto" w:fill="FFFFFF"/>
        <w:snapToGrid w:val="0"/>
        <w:spacing w:line="600" w:lineRule="exact"/>
        <w:ind w:firstLineChars="200" w:firstLine="640"/>
        <w:rPr>
          <w:rFonts w:ascii="黑体" w:eastAsia="黑体" w:hAnsi="黑体" w:cs="黑体" w:hint="eastAsia"/>
          <w:kern w:val="2"/>
          <w:sz w:val="32"/>
          <w:szCs w:val="32"/>
        </w:rPr>
      </w:pPr>
      <w:r>
        <w:rPr>
          <w:rFonts w:ascii="黑体" w:eastAsia="黑体" w:hAnsi="黑体" w:cs="黑体" w:hint="eastAsia"/>
          <w:sz w:val="32"/>
          <w:szCs w:val="32"/>
          <w:shd w:val="clear" w:color="auto" w:fill="FFFFFF"/>
          <w:lang w:bidi="ar"/>
        </w:rPr>
        <w:t>五、具体申报方式</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 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可根据情况通知补交。</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项目申报单位网上填报预申报书的受理时间为：2022年5月23日8:00至6月23日16:00。进入答辩评审环节的申报项目，由申报单位按要求填报正式申报书，并通过国科管系统提交，具体时间和有关要求另行通知。</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2. 组织推荐。请各推荐单位于2022年6月27日16:00前通过国科管系统逐项确认推荐项目，并将加盖推荐单位公章的推荐函以电子扫描件上传。</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3. 技术咨询电话及邮箱：</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010-58882999（中继线），program@istic.ac.cn</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4. 业务咨询电话：</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（1）“绿色生物制造”重点专项咨询电话：010-88225166，010-88225167</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lastRenderedPageBreak/>
        <w:t>（2）“前沿生物技术”重点专项咨询电话：010-88225179，010-88225178</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（3）“主动健康和人口老龄化科技应对”重点专项咨询电话：010-88387236，010-88387156</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（4）“中医药现代化”重点专项咨询电话：010-88225195，010-88225189</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（5）“常见多发病防治研究”重点专项咨询电话：010-88225068，010-88225156</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（6）“病原学与防疫技术体系研究”重点专项咨询电话：010-88387191</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（7）“生物与信息融合（BT与IT融合）”重点专项咨询电话：010-88225057，010-88225137</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（8）“生物安全关键技术研究”重点专项咨询电话：010-88225136，010-88225138</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（9）“生育健康及妇女儿童健康保障”重点专项咨询电话：010-88387278</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（10）“诊疗装备与生物医用材料”重点专项咨询电话：010-88225070，010-88225137</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（11）“长江黄河等重点流域水资源与水环境综合治理”重点专项咨询电话：010-58884861</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（12）“战略性矿产资源开发利用”重点专项咨询电话：010-58884885</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（13）“社会治理与智慧社会科技支撑”重点专项咨询电话：</w:t>
      </w:r>
      <w:r>
        <w:rPr>
          <w:rFonts w:ascii="仿宋_GB2312" w:eastAsia="仿宋_GB2312" w:hAnsi="仿宋_GB2312" w:cs="仿宋_GB2312" w:hint="eastAsia"/>
          <w:sz w:val="32"/>
          <w:szCs w:val="32"/>
          <w:shd w:val="clear" w:color="auto" w:fill="FFFFFF"/>
          <w:lang w:bidi="ar"/>
        </w:rPr>
        <w:lastRenderedPageBreak/>
        <w:t>010-58884826</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（14）“国家质量基础设施体系”重点专项咨询电话：010-58884898</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lang w:bidi="ar"/>
        </w:rPr>
        <w:t>（15）“基础科研条件与重大科学仪器设备研发”重点专项咨询电话：010-58884882</w:t>
      </w:r>
    </w:p>
    <w:p w:rsidR="00791305" w:rsidRDefault="00791305" w:rsidP="00791305">
      <w:pPr>
        <w:shd w:val="clear" w:color="auto" w:fill="FFFFFF"/>
        <w:snapToGrid w:val="0"/>
        <w:spacing w:line="600" w:lineRule="exact"/>
        <w:ind w:firstLineChars="200"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请登录系统，在“公开公示-申报指南（2022）”菜单栏中查看申报指南材料。</w:t>
      </w:r>
    </w:p>
    <w:p w:rsidR="00A43446" w:rsidRPr="00791305" w:rsidRDefault="00A43446"/>
    <w:sectPr w:rsidR="00A43446" w:rsidRPr="00791305" w:rsidSect="00791305">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05"/>
    <w:rsid w:val="00791305"/>
    <w:rsid w:val="00A4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416C8-0B7A-466C-A6F0-38FE426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305"/>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791305"/>
    <w:pPr>
      <w:widowControl/>
      <w:spacing w:after="160" w:line="240" w:lineRule="exact"/>
      <w:jc w:val="left"/>
    </w:pPr>
    <w:rPr>
      <w:rFonts w:ascii="Arial" w:eastAsia="Times New Roman" w:hAnsi="Arial" w:cs="Verdana"/>
      <w:b/>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2022-06-07T07:50:00Z</dcterms:created>
  <dcterms:modified xsi:type="dcterms:W3CDTF">2022-06-07T07:52:00Z</dcterms:modified>
</cp:coreProperties>
</file>