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ED1FC">
      <w:pPr>
        <w:pStyle w:val="36"/>
        <w:ind w:firstLine="480"/>
        <w:jc w:val="center"/>
        <w:rPr>
          <w:rFonts w:hint="eastAsia" w:ascii="Times New Roman" w:hAnsi="Times New Roman" w:cs="Times New Roman" w:eastAsiaTheme="minorEastAsia"/>
          <w:b w:val="0"/>
          <w:bCs w:val="0"/>
          <w:color w:val="0D0D0D" w:themeColor="text1" w:themeTint="F2"/>
          <w:kern w:val="2"/>
          <w:sz w:val="24"/>
          <w:szCs w:val="24"/>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4"/>
          <w:szCs w:val="24"/>
          <w:highlight w:val="none"/>
          <w:lang w:val="en-US" w:eastAsia="zh-CN"/>
          <w14:textFill>
            <w14:solidFill>
              <w14:schemeClr w14:val="tx1">
                <w14:lumMod w14:val="95000"/>
                <w14:lumOff w14:val="5000"/>
              </w14:schemeClr>
            </w14:solidFill>
          </w14:textFill>
        </w:rPr>
        <w:t xml:space="preserve"> </w:t>
      </w:r>
    </w:p>
    <w:sdt>
      <w:sdtPr>
        <w:rPr>
          <w:rFonts w:ascii="Times New Roman" w:hAnsi="Times New Roman" w:cs="Times New Roman" w:eastAsiaTheme="minorEastAsia"/>
          <w:b w:val="0"/>
          <w:bCs w:val="0"/>
          <w:color w:val="0D0D0D" w:themeColor="text1" w:themeTint="F2"/>
          <w:kern w:val="2"/>
          <w:sz w:val="24"/>
          <w:szCs w:val="24"/>
          <w:highlight w:val="none"/>
          <w:lang w:val="zh-CN"/>
          <w14:textFill>
            <w14:solidFill>
              <w14:schemeClr w14:val="tx1">
                <w14:lumMod w14:val="95000"/>
                <w14:lumOff w14:val="5000"/>
              </w14:schemeClr>
            </w14:solidFill>
          </w14:textFill>
        </w:rPr>
        <w:id w:val="-940919911"/>
        <w:docPartObj>
          <w:docPartGallery w:val="Table of Contents"/>
          <w:docPartUnique/>
        </w:docPartObj>
      </w:sdtPr>
      <w:sdtEndPr>
        <w:rPr>
          <w:rFonts w:ascii="Times New Roman" w:hAnsi="Times New Roman" w:cs="Times New Roman" w:eastAsiaTheme="minorEastAsia"/>
          <w:b w:val="0"/>
          <w:bCs w:val="0"/>
          <w:color w:val="0D0D0D" w:themeColor="text1" w:themeTint="F2"/>
          <w:kern w:val="2"/>
          <w:sz w:val="24"/>
          <w:szCs w:val="24"/>
          <w:highlight w:val="none"/>
          <w:lang w:val="zh-CN"/>
          <w14:textFill>
            <w14:solidFill>
              <w14:schemeClr w14:val="tx1">
                <w14:lumMod w14:val="95000"/>
                <w14:lumOff w14:val="5000"/>
              </w14:schemeClr>
            </w14:solidFill>
          </w14:textFill>
        </w:rPr>
      </w:sdtEndPr>
      <w:sdtContent>
        <w:p w14:paraId="7CFFB99A">
          <w:pPr>
            <w:pStyle w:val="36"/>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lang w:val="zh-CN"/>
              <w14:textFill>
                <w14:solidFill>
                  <w14:schemeClr w14:val="tx1">
                    <w14:lumMod w14:val="95000"/>
                    <w14:lumOff w14:val="5000"/>
                  </w14:schemeClr>
                </w14:solidFill>
              </w14:textFill>
            </w:rPr>
            <w:t>目   录</w:t>
          </w:r>
        </w:p>
        <w:p w14:paraId="172B9EBF">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TOC \o "1-3" \h \z \u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"_Toc60227343"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表1项目基本情况</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_Toc60227343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215D03CC">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"_Toc60227344"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表2放射源</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_Toc60227344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124706D6">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"_Toc60227345"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表3非密封放射性物质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_Toc60227345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08B5DDB5">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"_Toc60227346"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表4射线装置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_Toc60227346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6B94FF33">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"_Toc60227347"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表5废弃物（重点是放射性废弃物）</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_Toc60227347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17</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1C8A5086">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"_Toc60227348"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表6评价依据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_Toc60227348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18</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09361BE5">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"_Toc60227349"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表7保护目标及评价标准</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_Toc60227349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1AB9A61B">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"_Toc60227350"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表8环境质量和辐射现状</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_Toc60227350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14DE7530">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"_Toc60227351"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表9项目工程分析与源项</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_Toc60227351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23301C6F">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"_Toc60227352"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表10辐射安全与防护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_Toc60227352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39</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63F05001">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"_Toc60227353"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表11环境影响分析</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_Toc60227353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67D27BB3">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"_Toc60227354"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表12辐射安全管理</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_Toc60227354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75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25814EA0">
          <w:pPr>
            <w:pStyle w:val="14"/>
            <w:tabs>
              <w:tab w:val="right" w:leader="dot" w:pos="8296"/>
            </w:tabs>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color w:val="0D0D0D" w:themeColor="text1" w:themeTint="F2"/>
              <w:highlight w:val="none"/>
              <w14:textFill>
                <w14:solidFill>
                  <w14:schemeClr w14:val="tx1">
                    <w14:lumMod w14:val="95000"/>
                    <w14:lumOff w14:val="5000"/>
                  </w14:schemeClr>
                </w14:solidFill>
              </w14:textFill>
            </w:rPr>
            <w:fldChar w:fldCharType="begin"/>
          </w:r>
          <w:r>
            <w:rPr>
              <w:color w:val="0D0D0D" w:themeColor="text1" w:themeTint="F2"/>
              <w:highlight w:val="none"/>
              <w14:textFill>
                <w14:solidFill>
                  <w14:schemeClr w14:val="tx1">
                    <w14:lumMod w14:val="95000"/>
                    <w14:lumOff w14:val="5000"/>
                  </w14:schemeClr>
                </w14:solidFill>
              </w14:textFill>
            </w:rPr>
            <w:instrText xml:space="preserve"> HYPERLINK \l "_Toc60227355" </w:instrText>
          </w:r>
          <w:r>
            <w:rPr>
              <w:color w:val="0D0D0D" w:themeColor="text1" w:themeTint="F2"/>
              <w:highlight w:val="none"/>
              <w14:textFill>
                <w14:solidFill>
                  <w14:schemeClr w14:val="tx1">
                    <w14:lumMod w14:val="95000"/>
                    <w14:lumOff w14:val="5000"/>
                  </w14:schemeClr>
                </w14:solidFill>
              </w14:textFill>
            </w:rPr>
            <w:fldChar w:fldCharType="separate"/>
          </w:r>
          <w:r>
            <w:rPr>
              <w:rStyle w:val="24"/>
              <w:rFonts w:ascii="Times New Roman" w:hAnsi="Times New Roman" w:cs="Times New Roman" w:eastAsiaTheme="minorEastAsia"/>
              <w:bCs/>
              <w:color w:val="0D0D0D" w:themeColor="text1" w:themeTint="F2"/>
              <w:spacing w:val="2"/>
              <w:highlight w:val="none"/>
              <w14:textFill>
                <w14:solidFill>
                  <w14:schemeClr w14:val="tx1">
                    <w14:lumMod w14:val="95000"/>
                    <w14:lumOff w14:val="5000"/>
                  </w14:schemeClr>
                </w14:solidFill>
              </w14:textFill>
            </w:rPr>
            <w:t>表13结论与建议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b/>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begin"/>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instrText xml:space="preserve"> PAGEREF _Toc60227355 \h </w:instrTex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separate"/>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88</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fldChar w:fldCharType="end"/>
          </w:r>
        </w:p>
        <w:p w14:paraId="7245AF67">
          <w:pPr>
            <w:ind w:firstLine="482"/>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lang w:val="zh-CN"/>
              <w14:textFill>
                <w14:solidFill>
                  <w14:schemeClr w14:val="tx1">
                    <w14:lumMod w14:val="95000"/>
                    <w14:lumOff w14:val="5000"/>
                  </w14:schemeClr>
                </w14:solidFill>
              </w14:textFill>
            </w:rPr>
            <w:fldChar w:fldCharType="end"/>
          </w:r>
        </w:p>
      </w:sdtContent>
    </w:sdt>
    <w:p w14:paraId="14CD1C8F">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79E613EE">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bookmarkStart w:id="90" w:name="_GoBack"/>
      <w:bookmarkEnd w:id="90"/>
    </w:p>
    <w:p w14:paraId="2436C656">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32C6BC75">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07E6ABF3">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43DA2A1B">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5E826C47">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77A14BF9">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18E8110C">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26F96BE8">
      <w:pPr>
        <w:pStyle w:val="10"/>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t>附表：</w:t>
      </w:r>
    </w:p>
    <w:p w14:paraId="4685B047">
      <w:pPr>
        <w:pStyle w:val="1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附表1</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三同时措施一览表</w:t>
      </w:r>
    </w:p>
    <w:p w14:paraId="3B1A59C1">
      <w:pPr>
        <w:pStyle w:val="10"/>
        <w:rPr>
          <w:rFonts w:ascii="Times New Roman" w:hAnsi="Times New Roman" w:eastAsiaTheme="minorEastAsia"/>
          <w:bCs/>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bCs/>
          <w:color w:val="0D0D0D" w:themeColor="text1" w:themeTint="F2"/>
          <w:sz w:val="24"/>
          <w:szCs w:val="24"/>
          <w:highlight w:val="none"/>
          <w14:textFill>
            <w14:solidFill>
              <w14:schemeClr w14:val="tx1">
                <w14:lumMod w14:val="95000"/>
                <w14:lumOff w14:val="5000"/>
              </w14:schemeClr>
            </w14:solidFill>
          </w14:textFill>
        </w:rPr>
        <w:t>附表</w:t>
      </w:r>
      <w:r>
        <w:rPr>
          <w:rFonts w:hint="eastAsia" w:ascii="Times New Roman" w:hAnsi="Times New Roman" w:eastAsiaTheme="minorEastAsia"/>
          <w:bCs/>
          <w:color w:val="0D0D0D" w:themeColor="text1" w:themeTint="F2"/>
          <w:sz w:val="24"/>
          <w:szCs w:val="24"/>
          <w:highlight w:val="none"/>
          <w14:textFill>
            <w14:solidFill>
              <w14:schemeClr w14:val="tx1">
                <w14:lumMod w14:val="95000"/>
                <w14:lumOff w14:val="5000"/>
              </w14:schemeClr>
            </w14:solidFill>
          </w14:textFill>
        </w:rPr>
        <w:t>2</w:t>
      </w:r>
      <w:r>
        <w:rPr>
          <w:rFonts w:ascii="Times New Roman" w:hAnsi="Times New Roman" w:eastAsiaTheme="minorEastAsia"/>
          <w:bCs/>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bCs/>
          <w:color w:val="0D0D0D" w:themeColor="text1" w:themeTint="F2"/>
          <w:sz w:val="24"/>
          <w:szCs w:val="24"/>
          <w:highlight w:val="none"/>
          <w14:textFill>
            <w14:solidFill>
              <w14:schemeClr w14:val="tx1">
                <w14:lumMod w14:val="95000"/>
                <w14:lumOff w14:val="5000"/>
              </w14:schemeClr>
            </w14:solidFill>
          </w14:textFill>
        </w:rPr>
        <w:t>基础信息表</w:t>
      </w:r>
    </w:p>
    <w:p w14:paraId="088525C0">
      <w:pPr>
        <w:pStyle w:val="10"/>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t>附件：</w:t>
      </w:r>
    </w:p>
    <w:p w14:paraId="1E15D779">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 xml:space="preserve">：委托书 </w:t>
      </w:r>
    </w:p>
    <w:p w14:paraId="4E8806FE">
      <w:pPr>
        <w:pStyle w:val="10"/>
        <w:rPr>
          <w:rFonts w:hint="default"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附件2：项目备案证</w:t>
      </w:r>
    </w:p>
    <w:p w14:paraId="46F811C7">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事业单位法人证书</w:t>
      </w:r>
    </w:p>
    <w:p w14:paraId="35CECA72">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：医疗机构执业许可证</w:t>
      </w:r>
    </w:p>
    <w:p w14:paraId="5939585F">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装置技术信息</w:t>
      </w:r>
    </w:p>
    <w:p w14:paraId="08001001">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：辐射安全许可证</w:t>
      </w:r>
    </w:p>
    <w:p w14:paraId="48F571DE">
      <w:pPr>
        <w:pStyle w:val="10"/>
        <w:rPr>
          <w:rFonts w:hint="default"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7</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昆明市中医医院（呈贡医院）环评批复及补充环评批复</w:t>
      </w:r>
    </w:p>
    <w:p w14:paraId="21ED64CF">
      <w:pPr>
        <w:pStyle w:val="10"/>
        <w:rPr>
          <w:rFonts w:hint="default"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8</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昆明市中医医院（呈贡医院）竣工环境保护验收文件</w:t>
      </w:r>
    </w:p>
    <w:p w14:paraId="3C69F805">
      <w:pPr>
        <w:pStyle w:val="10"/>
        <w:rPr>
          <w:rFonts w:hint="default"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9</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医院排污许可证</w:t>
      </w:r>
    </w:p>
    <w:p w14:paraId="0572A187">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：项目辐射现状本底监测</w:t>
      </w:r>
    </w:p>
    <w:p w14:paraId="19AB5D23">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11</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铅玻璃检测报告</w:t>
      </w:r>
    </w:p>
    <w:p w14:paraId="5E20B7D1">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12</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医院辐射安全管理制度</w:t>
      </w:r>
    </w:p>
    <w:p w14:paraId="2838BE4B">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13</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年年度评估报告</w:t>
      </w:r>
    </w:p>
    <w:p w14:paraId="23E91645">
      <w:pPr>
        <w:pStyle w:val="1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bookmarkStart w:id="0" w:name="OLE_LINK233"/>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14</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：医疗废物处置</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合同</w:t>
      </w:r>
    </w:p>
    <w:bookmarkEnd w:id="0"/>
    <w:p w14:paraId="4008126F">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15</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：两级审核表及项目进度表</w:t>
      </w:r>
    </w:p>
    <w:p w14:paraId="10B7FD1A">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16</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：技术咨询合同</w:t>
      </w:r>
    </w:p>
    <w:p w14:paraId="7D757A93">
      <w:pPr>
        <w:pStyle w:val="1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附件</w:t>
      </w:r>
      <w:r>
        <w:rPr>
          <w:rFonts w:hint="eastAsia" w:ascii="Times New Roman" w:hAnsi="Times New Roman" w:cs="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17</w:t>
      </w:r>
      <w:r>
        <w:rPr>
          <w:rFonts w:hint="eastAsia"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t>：公示截图</w:t>
      </w:r>
    </w:p>
    <w:p w14:paraId="2C90CD15">
      <w:pPr>
        <w:pStyle w:val="10"/>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b/>
          <w:color w:val="0D0D0D" w:themeColor="text1" w:themeTint="F2"/>
          <w:sz w:val="24"/>
          <w:szCs w:val="24"/>
          <w:highlight w:val="none"/>
          <w14:textFill>
            <w14:solidFill>
              <w14:schemeClr w14:val="tx1">
                <w14:lumMod w14:val="95000"/>
                <w14:lumOff w14:val="5000"/>
              </w14:schemeClr>
            </w14:solidFill>
          </w14:textFill>
        </w:rPr>
        <w:t>附图：</w:t>
      </w:r>
    </w:p>
    <w:p w14:paraId="503E9ADB">
      <w:pPr>
        <w:pStyle w:val="1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 xml:space="preserve">附图1：项目地理位置图 </w:t>
      </w:r>
    </w:p>
    <w:p w14:paraId="38A15EA7">
      <w:pPr>
        <w:pStyle w:val="1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附图2：医院平面布置及评价范围图</w:t>
      </w:r>
    </w:p>
    <w:p w14:paraId="1A9460DC">
      <w:pPr>
        <w:pStyle w:val="1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附图3：</w:t>
      </w:r>
      <w:bookmarkStart w:id="1" w:name="OLE_LINK235"/>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医技楼3楼</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平面布置图</w:t>
      </w:r>
      <w:bookmarkEnd w:id="1"/>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 xml:space="preserve"> </w:t>
      </w:r>
    </w:p>
    <w:p w14:paraId="0AA0BA46">
      <w:pPr>
        <w:pStyle w:val="1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附图</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4</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医技楼5楼</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平面布置图</w:t>
      </w:r>
    </w:p>
    <w:p w14:paraId="134C4503">
      <w:pPr>
        <w:pStyle w:val="10"/>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附图</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5</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项目总平面布置图</w:t>
      </w:r>
    </w:p>
    <w:p w14:paraId="35B9E0B3">
      <w:pPr>
        <w:pStyle w:val="10"/>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附图6：项目两区划分及运行路线图</w:t>
      </w:r>
    </w:p>
    <w:p w14:paraId="0C403C07">
      <w:pPr>
        <w:ind w:firstLine="480"/>
        <w:rPr>
          <w:color w:val="0D0D0D" w:themeColor="text1" w:themeTint="F2"/>
          <w:highlight w:val="none"/>
          <w14:textFill>
            <w14:solidFill>
              <w14:schemeClr w14:val="tx1">
                <w14:lumMod w14:val="95000"/>
                <w14:lumOff w14:val="5000"/>
              </w14:schemeClr>
            </w14:solidFill>
          </w14:textFill>
        </w:rPr>
      </w:pPr>
    </w:p>
    <w:p w14:paraId="4CAD5C76">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bookmarkStart w:id="2" w:name="_Toc60227343"/>
      <w:bookmarkStart w:id="3" w:name="_Toc60227344"/>
    </w:p>
    <w:p w14:paraId="4410CC24">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表1项目基本情况</w:t>
      </w:r>
      <w:bookmarkEnd w:id="2"/>
    </w:p>
    <w:tbl>
      <w:tblPr>
        <w:tblStyle w:val="22"/>
        <w:tblW w:w="931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1269"/>
        <w:gridCol w:w="684"/>
        <w:gridCol w:w="896"/>
        <w:gridCol w:w="370"/>
        <w:gridCol w:w="1294"/>
        <w:gridCol w:w="2201"/>
        <w:gridCol w:w="869"/>
      </w:tblGrid>
      <w:tr w14:paraId="7EF61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32" w:type="dxa"/>
            <w:vAlign w:val="center"/>
          </w:tcPr>
          <w:p w14:paraId="5EACB983">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建设项目名称</w:t>
            </w:r>
          </w:p>
        </w:tc>
        <w:tc>
          <w:tcPr>
            <w:tcW w:w="7583" w:type="dxa"/>
            <w:gridSpan w:val="7"/>
            <w:vAlign w:val="center"/>
          </w:tcPr>
          <w:p w14:paraId="2A9FB4CA">
            <w:pPr>
              <w:spacing w:line="360" w:lineRule="auto"/>
              <w:ind w:firstLine="0" w:firstLineChars="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lang w:eastAsia="zh-CN"/>
                <w14:textFill>
                  <w14:solidFill>
                    <w14:schemeClr w14:val="tx1">
                      <w14:lumMod w14:val="95000"/>
                      <w14:lumOff w14:val="5000"/>
                    </w14:schemeClr>
                  </w14:solidFill>
                </w14:textFill>
              </w:rPr>
              <w:t>昆明市中医医院呈贡医院新增移动C臂X射线机核技术利用项目</w:t>
            </w:r>
          </w:p>
        </w:tc>
      </w:tr>
      <w:tr w14:paraId="03DC1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14:paraId="507C3F3C">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建设单位</w:t>
            </w:r>
          </w:p>
        </w:tc>
        <w:tc>
          <w:tcPr>
            <w:tcW w:w="7583" w:type="dxa"/>
            <w:gridSpan w:val="7"/>
            <w:vAlign w:val="center"/>
          </w:tcPr>
          <w:p w14:paraId="0F280528">
            <w:pPr>
              <w:spacing w:line="360" w:lineRule="auto"/>
              <w:ind w:firstLine="0" w:firstLineChars="0"/>
              <w:rPr>
                <w:rFonts w:hint="default" w:ascii="Times New Roman" w:hAnsi="Times New Roman" w:cs="Times New Roman" w:eastAsiaTheme="minorEastAsia"/>
                <w:color w:val="0D0D0D" w:themeColor="text1" w:themeTint="F2"/>
                <w:highlight w:val="none"/>
                <w:lang w:val="en-US"/>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lang w:val="en-US" w:eastAsia="zh-CN"/>
                <w14:textFill>
                  <w14:solidFill>
                    <w14:schemeClr w14:val="tx1">
                      <w14:lumMod w14:val="95000"/>
                      <w14:lumOff w14:val="5000"/>
                    </w14:schemeClr>
                  </w14:solidFill>
                </w14:textFill>
              </w:rPr>
              <w:t>昆明市中医医院</w:t>
            </w:r>
          </w:p>
        </w:tc>
      </w:tr>
      <w:tr w14:paraId="5F19E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14:paraId="2C0EF64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法人代表</w:t>
            </w:r>
          </w:p>
        </w:tc>
        <w:tc>
          <w:tcPr>
            <w:tcW w:w="3219" w:type="dxa"/>
            <w:gridSpan w:val="4"/>
            <w:vAlign w:val="center"/>
          </w:tcPr>
          <w:p w14:paraId="1A213F1F">
            <w:pPr>
              <w:spacing w:line="360" w:lineRule="auto"/>
              <w:ind w:firstLine="0"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付义</w:t>
            </w:r>
          </w:p>
        </w:tc>
        <w:tc>
          <w:tcPr>
            <w:tcW w:w="1294" w:type="dxa"/>
            <w:vAlign w:val="center"/>
          </w:tcPr>
          <w:p w14:paraId="125F71C0">
            <w:pPr>
              <w:spacing w:line="360" w:lineRule="auto"/>
              <w:ind w:firstLine="0"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联系电话</w:t>
            </w:r>
          </w:p>
        </w:tc>
        <w:tc>
          <w:tcPr>
            <w:tcW w:w="3070" w:type="dxa"/>
            <w:gridSpan w:val="2"/>
            <w:vAlign w:val="center"/>
          </w:tcPr>
          <w:p w14:paraId="6C309587">
            <w:pPr>
              <w:spacing w:line="360" w:lineRule="auto"/>
              <w:ind w:firstLine="0"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0871-63805250</w:t>
            </w:r>
          </w:p>
        </w:tc>
      </w:tr>
      <w:tr w14:paraId="7C2A7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32" w:type="dxa"/>
            <w:vAlign w:val="center"/>
          </w:tcPr>
          <w:p w14:paraId="7D7D128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注册地址</w:t>
            </w:r>
          </w:p>
        </w:tc>
        <w:tc>
          <w:tcPr>
            <w:tcW w:w="7583" w:type="dxa"/>
            <w:gridSpan w:val="7"/>
            <w:vAlign w:val="center"/>
          </w:tcPr>
          <w:p w14:paraId="33DEDB31">
            <w:pPr>
              <w:spacing w:line="360" w:lineRule="auto"/>
              <w:ind w:firstLine="0"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lang w:val="en-US" w:eastAsia="zh-CN"/>
                <w14:textFill>
                  <w14:solidFill>
                    <w14:schemeClr w14:val="tx1">
                      <w14:lumMod w14:val="95000"/>
                      <w14:lumOff w14:val="5000"/>
                    </w14:schemeClr>
                  </w14:solidFill>
                </w14:textFill>
              </w:rPr>
              <w:t>昆明市呈贡区余华街道办事处祥园街2628号</w:t>
            </w:r>
          </w:p>
        </w:tc>
      </w:tr>
      <w:tr w14:paraId="3AFB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14:paraId="2C3BCA1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项目建设地点</w:t>
            </w:r>
          </w:p>
        </w:tc>
        <w:tc>
          <w:tcPr>
            <w:tcW w:w="7583" w:type="dxa"/>
            <w:gridSpan w:val="7"/>
            <w:vAlign w:val="center"/>
          </w:tcPr>
          <w:p w14:paraId="5E93B0D2">
            <w:pPr>
              <w:spacing w:line="360" w:lineRule="auto"/>
              <w:ind w:firstLine="0" w:firstLineChars="0"/>
              <w:rPr>
                <w:rFonts w:hint="default" w:ascii="Times New Roman" w:hAnsi="Times New Roman" w:cs="Times New Roman" w:eastAsiaTheme="minorEastAsia"/>
                <w:color w:val="0D0D0D" w:themeColor="text1" w:themeTint="F2"/>
                <w:highlight w:val="none"/>
                <w:lang w:val="en-US"/>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lang w:val="en-US" w:eastAsia="zh-CN"/>
                <w14:textFill>
                  <w14:solidFill>
                    <w14:schemeClr w14:val="tx1">
                      <w14:lumMod w14:val="95000"/>
                      <w14:lumOff w14:val="5000"/>
                    </w14:schemeClr>
                  </w14:solidFill>
                </w14:textFill>
              </w:rPr>
              <w:t>昆明市呈贡区余华街道办事处祥园街2628号昆明市中医医院（呈贡医院）医技楼4楼介入手术室</w:t>
            </w:r>
          </w:p>
        </w:tc>
      </w:tr>
      <w:tr w14:paraId="04B0D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14:paraId="0263E96E">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立项审批部门</w:t>
            </w:r>
          </w:p>
        </w:tc>
        <w:tc>
          <w:tcPr>
            <w:tcW w:w="3219" w:type="dxa"/>
            <w:gridSpan w:val="4"/>
            <w:vAlign w:val="center"/>
          </w:tcPr>
          <w:p w14:paraId="7A01A55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呈贡区发展和改革局（呈贡区粮食和物资储备局）</w:t>
            </w:r>
          </w:p>
        </w:tc>
        <w:tc>
          <w:tcPr>
            <w:tcW w:w="1294" w:type="dxa"/>
            <w:vAlign w:val="center"/>
          </w:tcPr>
          <w:p w14:paraId="28537E8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备案号</w:t>
            </w:r>
          </w:p>
        </w:tc>
        <w:tc>
          <w:tcPr>
            <w:tcW w:w="3070" w:type="dxa"/>
            <w:gridSpan w:val="2"/>
            <w:vAlign w:val="center"/>
          </w:tcPr>
          <w:p w14:paraId="7725494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2507-530114-04-03-333024</w:t>
            </w:r>
          </w:p>
        </w:tc>
      </w:tr>
      <w:tr w14:paraId="6AA35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732" w:type="dxa"/>
            <w:vAlign w:val="center"/>
          </w:tcPr>
          <w:p w14:paraId="02943786">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建设项目总投资</w:t>
            </w:r>
          </w:p>
        </w:tc>
        <w:tc>
          <w:tcPr>
            <w:tcW w:w="1953" w:type="dxa"/>
            <w:gridSpan w:val="2"/>
            <w:vAlign w:val="center"/>
          </w:tcPr>
          <w:p w14:paraId="35F1E8A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564</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万元</w:t>
            </w:r>
          </w:p>
        </w:tc>
        <w:tc>
          <w:tcPr>
            <w:tcW w:w="1266" w:type="dxa"/>
            <w:gridSpan w:val="2"/>
            <w:vAlign w:val="center"/>
          </w:tcPr>
          <w:p w14:paraId="765CFEE9">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项目环保投资</w:t>
            </w:r>
          </w:p>
        </w:tc>
        <w:tc>
          <w:tcPr>
            <w:tcW w:w="1294" w:type="dxa"/>
            <w:vAlign w:val="center"/>
          </w:tcPr>
          <w:p w14:paraId="478BAB20">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53.9</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万元</w:t>
            </w:r>
          </w:p>
        </w:tc>
        <w:tc>
          <w:tcPr>
            <w:tcW w:w="2201" w:type="dxa"/>
            <w:vAlign w:val="center"/>
          </w:tcPr>
          <w:p w14:paraId="3565691B">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投资比例（环保投资/总投资）%</w:t>
            </w:r>
          </w:p>
        </w:tc>
        <w:tc>
          <w:tcPr>
            <w:tcW w:w="869" w:type="dxa"/>
            <w:vAlign w:val="center"/>
          </w:tcPr>
          <w:p w14:paraId="22646485">
            <w:pPr>
              <w:spacing w:line="360" w:lineRule="auto"/>
              <w:ind w:firstLine="0"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9.56</w:t>
            </w:r>
          </w:p>
        </w:tc>
      </w:tr>
      <w:tr w14:paraId="0FA2C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14:paraId="046F51F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项目性质</w:t>
            </w:r>
          </w:p>
        </w:tc>
        <w:tc>
          <w:tcPr>
            <w:tcW w:w="7583" w:type="dxa"/>
            <w:gridSpan w:val="7"/>
            <w:vAlign w:val="center"/>
          </w:tcPr>
          <w:p w14:paraId="2384842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52"/>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新建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改建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扩建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其它</w:t>
            </w:r>
          </w:p>
        </w:tc>
      </w:tr>
      <w:tr w14:paraId="3CC9B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732" w:type="dxa"/>
            <w:vMerge w:val="restart"/>
            <w:vAlign w:val="center"/>
          </w:tcPr>
          <w:p w14:paraId="302859E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应用类型</w:t>
            </w:r>
          </w:p>
        </w:tc>
        <w:tc>
          <w:tcPr>
            <w:tcW w:w="1269" w:type="dxa"/>
            <w:vMerge w:val="restart"/>
            <w:vAlign w:val="center"/>
          </w:tcPr>
          <w:p w14:paraId="47EB91DB">
            <w:pPr>
              <w:spacing w:line="360" w:lineRule="auto"/>
              <w:ind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放射源</w:t>
            </w:r>
          </w:p>
        </w:tc>
        <w:tc>
          <w:tcPr>
            <w:tcW w:w="1580" w:type="dxa"/>
            <w:gridSpan w:val="2"/>
            <w:vAlign w:val="center"/>
          </w:tcPr>
          <w:p w14:paraId="49451348">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销售</w:t>
            </w:r>
          </w:p>
        </w:tc>
        <w:tc>
          <w:tcPr>
            <w:tcW w:w="4734" w:type="dxa"/>
            <w:gridSpan w:val="4"/>
            <w:vAlign w:val="center"/>
          </w:tcPr>
          <w:p w14:paraId="11525CF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Ⅰ</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Ⅲ</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Ⅳ</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Ⅴ</w:t>
            </w:r>
          </w:p>
        </w:tc>
      </w:tr>
      <w:tr w14:paraId="65E62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732" w:type="dxa"/>
            <w:vMerge w:val="continue"/>
            <w:vAlign w:val="center"/>
          </w:tcPr>
          <w:p w14:paraId="3D70D18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continue"/>
            <w:vAlign w:val="center"/>
          </w:tcPr>
          <w:p w14:paraId="4B6ADA2C">
            <w:pPr>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80" w:type="dxa"/>
            <w:gridSpan w:val="2"/>
            <w:vAlign w:val="center"/>
          </w:tcPr>
          <w:p w14:paraId="2A2DAE49">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w:t>
            </w:r>
          </w:p>
        </w:tc>
        <w:tc>
          <w:tcPr>
            <w:tcW w:w="4734" w:type="dxa"/>
            <w:gridSpan w:val="4"/>
            <w:vAlign w:val="center"/>
          </w:tcPr>
          <w:p w14:paraId="5D127F03">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Ⅰ（医疗使用）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Ⅲ</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Ⅳ</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Ⅴ</w:t>
            </w:r>
          </w:p>
        </w:tc>
      </w:tr>
      <w:tr w14:paraId="6FBB9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732" w:type="dxa"/>
            <w:vMerge w:val="continue"/>
            <w:vAlign w:val="center"/>
          </w:tcPr>
          <w:p w14:paraId="1B25567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restart"/>
            <w:vAlign w:val="center"/>
          </w:tcPr>
          <w:p w14:paraId="1CB9824B">
            <w:pPr>
              <w:spacing w:line="360" w:lineRule="auto"/>
              <w:ind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非密封放射线物质</w:t>
            </w:r>
          </w:p>
        </w:tc>
        <w:tc>
          <w:tcPr>
            <w:tcW w:w="1580" w:type="dxa"/>
            <w:gridSpan w:val="2"/>
            <w:vAlign w:val="center"/>
          </w:tcPr>
          <w:p w14:paraId="4CEA96C6">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生产</w:t>
            </w:r>
          </w:p>
        </w:tc>
        <w:tc>
          <w:tcPr>
            <w:tcW w:w="4734" w:type="dxa"/>
            <w:gridSpan w:val="4"/>
            <w:vAlign w:val="center"/>
          </w:tcPr>
          <w:p w14:paraId="0C7217A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制备PET用放射性药物</w:t>
            </w:r>
          </w:p>
        </w:tc>
      </w:tr>
      <w:tr w14:paraId="7E47D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732" w:type="dxa"/>
            <w:vMerge w:val="continue"/>
            <w:vAlign w:val="center"/>
          </w:tcPr>
          <w:p w14:paraId="174FBEA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continue"/>
            <w:vAlign w:val="center"/>
          </w:tcPr>
          <w:p w14:paraId="51B7C66E">
            <w:pPr>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80" w:type="dxa"/>
            <w:gridSpan w:val="2"/>
            <w:vAlign w:val="center"/>
          </w:tcPr>
          <w:p w14:paraId="7C4FB1C8">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销售</w:t>
            </w:r>
          </w:p>
        </w:tc>
        <w:tc>
          <w:tcPr>
            <w:tcW w:w="4734" w:type="dxa"/>
            <w:gridSpan w:val="4"/>
            <w:vAlign w:val="center"/>
          </w:tcPr>
          <w:p w14:paraId="6256E7B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tc>
      </w:tr>
      <w:tr w14:paraId="0BB2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732" w:type="dxa"/>
            <w:vMerge w:val="continue"/>
            <w:vAlign w:val="center"/>
          </w:tcPr>
          <w:p w14:paraId="7CBD9C0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continue"/>
            <w:vAlign w:val="center"/>
          </w:tcPr>
          <w:p w14:paraId="43DE9522">
            <w:pPr>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80" w:type="dxa"/>
            <w:gridSpan w:val="2"/>
            <w:vAlign w:val="center"/>
          </w:tcPr>
          <w:p w14:paraId="4A46331C">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w:t>
            </w:r>
          </w:p>
        </w:tc>
        <w:tc>
          <w:tcPr>
            <w:tcW w:w="4734" w:type="dxa"/>
            <w:gridSpan w:val="4"/>
            <w:vAlign w:val="center"/>
          </w:tcPr>
          <w:p w14:paraId="5A3B011A">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乙</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丙</w:t>
            </w:r>
          </w:p>
        </w:tc>
      </w:tr>
      <w:tr w14:paraId="411F9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732" w:type="dxa"/>
            <w:vMerge w:val="continue"/>
            <w:vAlign w:val="center"/>
          </w:tcPr>
          <w:p w14:paraId="0E8B9A4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restart"/>
            <w:vAlign w:val="center"/>
          </w:tcPr>
          <w:p w14:paraId="4D10E449">
            <w:pPr>
              <w:spacing w:line="360" w:lineRule="auto"/>
              <w:ind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射线装置</w:t>
            </w:r>
          </w:p>
        </w:tc>
        <w:tc>
          <w:tcPr>
            <w:tcW w:w="1580" w:type="dxa"/>
            <w:gridSpan w:val="2"/>
            <w:vAlign w:val="center"/>
          </w:tcPr>
          <w:p w14:paraId="431A5CC8">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生产</w:t>
            </w:r>
          </w:p>
        </w:tc>
        <w:tc>
          <w:tcPr>
            <w:tcW w:w="4734" w:type="dxa"/>
            <w:gridSpan w:val="4"/>
            <w:vAlign w:val="center"/>
          </w:tcPr>
          <w:p w14:paraId="305464E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Ⅲ</w:t>
            </w:r>
          </w:p>
        </w:tc>
      </w:tr>
      <w:tr w14:paraId="23400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732" w:type="dxa"/>
            <w:vMerge w:val="continue"/>
            <w:vAlign w:val="center"/>
          </w:tcPr>
          <w:p w14:paraId="3B92F95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continue"/>
            <w:vAlign w:val="center"/>
          </w:tcPr>
          <w:p w14:paraId="444C4042">
            <w:pPr>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80" w:type="dxa"/>
            <w:gridSpan w:val="2"/>
            <w:vAlign w:val="center"/>
          </w:tcPr>
          <w:p w14:paraId="1F3B6CA8">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销售</w:t>
            </w:r>
          </w:p>
        </w:tc>
        <w:tc>
          <w:tcPr>
            <w:tcW w:w="4734" w:type="dxa"/>
            <w:gridSpan w:val="4"/>
            <w:vAlign w:val="center"/>
          </w:tcPr>
          <w:p w14:paraId="5864E46F">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Ⅲ</w:t>
            </w:r>
          </w:p>
        </w:tc>
      </w:tr>
      <w:tr w14:paraId="3E2C1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732" w:type="dxa"/>
            <w:vMerge w:val="continue"/>
            <w:vAlign w:val="center"/>
          </w:tcPr>
          <w:p w14:paraId="5ABD139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Merge w:val="continue"/>
            <w:vAlign w:val="center"/>
          </w:tcPr>
          <w:p w14:paraId="31CA26F0">
            <w:pPr>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80" w:type="dxa"/>
            <w:gridSpan w:val="2"/>
            <w:vAlign w:val="center"/>
          </w:tcPr>
          <w:p w14:paraId="4059ED6E">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52"/>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w:t>
            </w:r>
          </w:p>
        </w:tc>
        <w:tc>
          <w:tcPr>
            <w:tcW w:w="4734" w:type="dxa"/>
            <w:gridSpan w:val="4"/>
            <w:vAlign w:val="center"/>
          </w:tcPr>
          <w:p w14:paraId="25C5A0F7">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52"/>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ym w:font="Wingdings 2" w:char="00A3"/>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Ⅲ</w:t>
            </w:r>
          </w:p>
        </w:tc>
      </w:tr>
      <w:tr w14:paraId="4575F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1732" w:type="dxa"/>
            <w:vMerge w:val="continue"/>
            <w:vAlign w:val="center"/>
          </w:tcPr>
          <w:p w14:paraId="1272C8E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69" w:type="dxa"/>
            <w:vAlign w:val="center"/>
          </w:tcPr>
          <w:p w14:paraId="6B759C34">
            <w:pPr>
              <w:spacing w:line="360" w:lineRule="auto"/>
              <w:ind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其他</w:t>
            </w:r>
          </w:p>
        </w:tc>
        <w:tc>
          <w:tcPr>
            <w:tcW w:w="6314" w:type="dxa"/>
            <w:gridSpan w:val="6"/>
            <w:vAlign w:val="center"/>
          </w:tcPr>
          <w:p w14:paraId="3E3A381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tc>
      </w:tr>
      <w:tr w14:paraId="4C182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15" w:type="dxa"/>
            <w:gridSpan w:val="8"/>
          </w:tcPr>
          <w:p w14:paraId="2728D830">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项目概述</w:t>
            </w:r>
          </w:p>
          <w:p w14:paraId="4A0799B5">
            <w:pPr>
              <w:tabs>
                <w:tab w:val="left" w:pos="2395"/>
              </w:tabs>
              <w:spacing w:line="360" w:lineRule="auto"/>
              <w:ind w:firstLine="0" w:firstLineChars="0"/>
              <w:jc w:val="left"/>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1、建设单位简介</w:t>
            </w:r>
          </w:p>
          <w:p w14:paraId="7731F759">
            <w:pPr>
              <w:spacing w:line="360" w:lineRule="auto"/>
              <w:ind w:firstLine="476"/>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昆明市中医医院呈贡医院</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位于</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昆明市呈贡区余华街道办事处祥园街2628号</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，占地</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124.05</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亩，总建筑面积</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125949.3</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平方米。是呈贡区首家大型中医医院，也是云南省目前规模最大的一所中医医院。具有医疗、教学、科研、预防保健、康复、中医养生食疗、社区服务、特需医疗服务等功能。医院以突出中医特色的专科专病建设为发展主线，以“院有专科，科有专病，病有专药”为目标，重点打造康复、中医门诊、针灸等中医专科，并建立起中医、中西医结合的专家群体，能医能研，形成了中医中药为优势的中西医结合治疗、专科专病突出的治疗特色。</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医院设置临床科室有：急诊科、内科、外科、妇产科、儿科、中医科、耳鼻喉科、眼科、皮肤科、麻醉科、康复科、预防保健科、口腔科、老年病科、干部保健中心等；设置医技科室有：药剂科、检验科、放射科、手术室、病理科、输血科、核医学、电生理科、内镜诊疗中心等。</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目前医院设置病床</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1000</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张，</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员工总人数560</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人，</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其中医务人员总数420</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人。</w:t>
            </w:r>
          </w:p>
          <w:p w14:paraId="5D4B13EB">
            <w:pPr>
              <w:tabs>
                <w:tab w:val="left" w:pos="2395"/>
              </w:tabs>
              <w:spacing w:line="360" w:lineRule="auto"/>
              <w:ind w:firstLine="0" w:firstLineChars="0"/>
              <w:jc w:val="left"/>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2</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、任务由来</w:t>
            </w:r>
          </w:p>
          <w:p w14:paraId="1752B1C6">
            <w:pPr>
              <w:spacing w:line="360" w:lineRule="auto"/>
              <w:ind w:firstLine="476"/>
              <w:rPr>
                <w:rFonts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pPr>
            <w:r>
              <w:rPr>
                <w:rFonts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为更好地满足患者多层次、多方位、高质量和文明便利的就诊需求，</w:t>
            </w:r>
            <w:bookmarkStart w:id="4" w:name="OLE_LINK226"/>
            <w:r>
              <w:rPr>
                <w:rFonts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根据医院规划，医院</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利用</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医技楼4楼</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原有的</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医疗用房</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改建为1间</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介入手术室</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及配套辅助用房，并进行防辐射装修后，新增1台</w:t>
            </w:r>
            <w:bookmarkEnd w:id="4"/>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移动式C型臂X射线机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，型</w:t>
            </w:r>
            <w:bookmarkStart w:id="5" w:name="OLE_LINK204"/>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号</w:t>
            </w:r>
            <w:bookmarkEnd w:id="5"/>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为北京通用电气华伦医疗设备有限公司（下文简称“北京通用”）的GEOEC ONE CFD</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根据《关于发布&lt;射线装置分类&gt;的公告》，用于心血管介入术、外周血管介入术、神经介入术等的X射线装置，以及含具备数字减影（移动C臂X射线机）血管造影工程的设备属于血管造影用X射线装置，属于Ⅱ类射线装置。昆明市中医医院（呈贡医院）已建成运行多年，相关设施完善，本项目供水、供电依托医院已有设施接入；工作人员及病人产生的废水依托昆明市中医医院（呈贡医院）已建污水处理站处理达标后排入项目区北侧的祥丰街城市污水管网；生活垃圾由医院现有的垃圾桶集中收集后委托环卫部门定期清运；手术产生的医疗废物经收集后暂存于依托的昆明市中医医院（呈贡医院）医疗废物暂存间，定期交由云南正晓环保投资有限公司清运处置。因此，本项目依托昆明市中医医院（呈贡医院）进行建设是可行的。</w:t>
            </w:r>
          </w:p>
          <w:p w14:paraId="079E954F">
            <w:pPr>
              <w:spacing w:line="360" w:lineRule="auto"/>
              <w:ind w:firstLine="480"/>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为加强核技术应用医疗设备的辐射环境管理，防止辐射污染和意外事故的发生，确保相关医疗设备的使用不对周围环境和工作人员及公众产生不良影响，同时也为了给辐射安全许可证办理提供依据。根据《中华人民共和国环境保护法》、《中华人民共和国环境影响评价法》、《中华人民共和国放射性污染防治法》、《放射性同位素与射线装置安全和防护条例》、《建设项目环境保护管理条例》和《放射性同位素与射线装置安全许可管理办法》等相关法律法规要求，</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本项目新增移动式C型臂X射线机</w:t>
            </w: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须进行环境影响评价，编制环境影响评价文件。</w:t>
            </w:r>
          </w:p>
          <w:p w14:paraId="07562530">
            <w:pPr>
              <w:spacing w:line="360" w:lineRule="auto"/>
              <w:ind w:firstLine="480"/>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根据中华人民共和国生态环境部第16号令《建设项目环境影响评价分类管理名录》(2021年版)，本项目属于“五十五、核与辐射”中“第172、核技术利用建设项目—使用II类射线装置的，应编制环境影响报告表”。</w:t>
            </w:r>
          </w:p>
          <w:p w14:paraId="1EBEB49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我公司接受</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昆明市中医医院</w:t>
            </w: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的委托后，通过现场勘察、收集资料等工作，结合本项目的特点，按照《辐射环境保护管理导则核技术利用建设项目环境影响评价文件的内容和格式》（HJ10.1-2016）的要求，编制完成《</w:t>
            </w:r>
            <w:r>
              <w:rPr>
                <w:rFonts w:hint="eastAsia" w:ascii="Times New Roman" w:hAnsi="Times New Roman" w:cs="Times New Roman"/>
                <w:color w:val="0D0D0D" w:themeColor="text1" w:themeTint="F2"/>
                <w:highlight w:val="none"/>
                <w:lang w:eastAsia="zh-CN"/>
                <w14:textFill>
                  <w14:solidFill>
                    <w14:schemeClr w14:val="tx1">
                      <w14:lumMod w14:val="95000"/>
                      <w14:lumOff w14:val="5000"/>
                    </w14:schemeClr>
                  </w14:solidFill>
                </w14:textFill>
              </w:rPr>
              <w:t>昆明市中医医院呈贡医院新增移动C臂X射线机核技术利用项目</w:t>
            </w:r>
            <w:r>
              <w:rPr>
                <w:rFonts w:hint="default"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环境影响报告表》，供建设单位上报审批。</w:t>
            </w:r>
          </w:p>
          <w:p w14:paraId="78EFE42F">
            <w:pPr>
              <w:tabs>
                <w:tab w:val="left" w:pos="2395"/>
              </w:tabs>
              <w:spacing w:line="360" w:lineRule="auto"/>
              <w:ind w:firstLine="0" w:firstLineChars="0"/>
              <w:jc w:val="left"/>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3</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、建设项目概况</w:t>
            </w:r>
          </w:p>
          <w:p w14:paraId="3850968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（1）项目名称：</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昆明市中医医院呈贡医院新增移动C臂X射线机核技术利用项目</w:t>
            </w:r>
          </w:p>
          <w:p w14:paraId="058104CF">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（2）建设单位：</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w:t>
            </w:r>
          </w:p>
          <w:p w14:paraId="2087CAD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（3）建设性质：</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新建</w:t>
            </w:r>
          </w:p>
          <w:p w14:paraId="00C88BF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（4）建设地点：</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昆明市呈贡区余华街道办事处祥园街2628号昆明市中医医院（呈贡医院）医技楼4楼介入手术室</w:t>
            </w:r>
          </w:p>
          <w:p w14:paraId="33B3BAEE">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4</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、建设内容及规模</w:t>
            </w:r>
          </w:p>
          <w:p w14:paraId="035D0B3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布置于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昆明市中医医院（呈贡医院）医技楼4楼介入手术室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占地面积</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136.54</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highlight w:val="none"/>
                <w:vertAlign w:val="superscript"/>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，主要</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包</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含</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1间、</w:t>
            </w:r>
            <w:bookmarkStart w:id="6" w:name="OLE_LINK37"/>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控制室1间</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bookmarkStart w:id="7" w:name="OLE_LINK8"/>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前室1间</w:t>
            </w:r>
            <w:bookmarkEnd w:id="6"/>
            <w:bookmarkEnd w:id="7"/>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医护人员</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通道、</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患者</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通道、污物通道</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bookmarkStart w:id="8" w:name="OLE_LINK9"/>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本项目医护人员办公室、更衣室、仪器室、药品室、麻醉耗材库、无菌物品库房、术后苏醒室、污物清洗收集室、污物间等位于本楼层，与其他手术室共用</w:t>
            </w:r>
            <w:bookmarkEnd w:id="8"/>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bookmarkStart w:id="9" w:name="OLE_LINK19"/>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医护人员由项目区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侧</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医护通道</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进入，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经更衣室、洁净走廊后进入控制室及介入</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手术室；病人由项目区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北侧患者通道进入，经换床间、洁净通道、前室后进入介入</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手术室就诊，术后原路返回；术后污物</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从介入手术室东侧经污物清洗收集室打包后</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通过</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东南侧污物电梯离开</w:t>
            </w:r>
            <w:bookmarkEnd w:id="9"/>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共</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层（</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地上4层、地下2层</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）。拟配备的</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型号为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北京通用</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GEOEC ONE CFD</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，最大管电压为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KV，最大管电流为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mA，属于Ⅱ类射线装置。</w:t>
            </w:r>
          </w:p>
          <w:p w14:paraId="6933192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bookmarkStart w:id="10" w:name="OLE_LINK146"/>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医技楼4楼</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原有</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医疗用房的基础上进行改造，项目将利用改造后的医疗用房布置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1间</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及配套辅助用房</w:t>
            </w:r>
            <w:bookmarkEnd w:id="10"/>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，进行辐射防护装修后用于安置本项目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，现项目尚未进行</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房间改造，也未进行</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防辐射装修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，设备安装。本项目所产生废水与固废均依托医院已建的环保措施进行处理。项目建设内容见表1-1。</w:t>
            </w:r>
          </w:p>
          <w:p w14:paraId="6B261FE8">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表1-1    项目</w:t>
            </w: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组成表及可能产生的环境问题</w:t>
            </w:r>
          </w:p>
          <w:tbl>
            <w:tblPr>
              <w:tblStyle w:val="21"/>
              <w:tblW w:w="8989"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995"/>
              <w:gridCol w:w="5115"/>
              <w:gridCol w:w="1082"/>
              <w:gridCol w:w="1048"/>
            </w:tblGrid>
            <w:tr w14:paraId="69909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749" w:type="dxa"/>
                  <w:vMerge w:val="restart"/>
                  <w:vAlign w:val="center"/>
                </w:tcPr>
                <w:p w14:paraId="0287251D">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工程类别</w:t>
                  </w:r>
                </w:p>
              </w:tc>
              <w:tc>
                <w:tcPr>
                  <w:tcW w:w="995" w:type="dxa"/>
                  <w:vMerge w:val="restart"/>
                  <w:vAlign w:val="center"/>
                </w:tcPr>
                <w:p w14:paraId="7EFAB1B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工程名称</w:t>
                  </w:r>
                </w:p>
              </w:tc>
              <w:tc>
                <w:tcPr>
                  <w:tcW w:w="5115" w:type="dxa"/>
                  <w:vMerge w:val="restart"/>
                  <w:vAlign w:val="center"/>
                </w:tcPr>
                <w:p w14:paraId="38D58DE1">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工程内容及规模</w:t>
                  </w:r>
                </w:p>
              </w:tc>
              <w:tc>
                <w:tcPr>
                  <w:tcW w:w="2130" w:type="dxa"/>
                  <w:gridSpan w:val="2"/>
                  <w:vAlign w:val="center"/>
                </w:tcPr>
                <w:p w14:paraId="62DEE2CE">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可能产生的环境问题</w:t>
                  </w:r>
                </w:p>
              </w:tc>
            </w:tr>
            <w:tr w14:paraId="09D26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9" w:type="dxa"/>
                  <w:vMerge w:val="continue"/>
                  <w:vAlign w:val="center"/>
                </w:tcPr>
                <w:p w14:paraId="5469FF1D">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Merge w:val="continue"/>
                  <w:vAlign w:val="center"/>
                </w:tcPr>
                <w:p w14:paraId="617FEE4A">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5115" w:type="dxa"/>
                  <w:vMerge w:val="continue"/>
                  <w:vAlign w:val="center"/>
                </w:tcPr>
                <w:p w14:paraId="77808F0E">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82" w:type="dxa"/>
                  <w:vAlign w:val="center"/>
                </w:tcPr>
                <w:p w14:paraId="71DB7D9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施工期</w:t>
                  </w:r>
                </w:p>
              </w:tc>
              <w:tc>
                <w:tcPr>
                  <w:tcW w:w="1048" w:type="dxa"/>
                  <w:vAlign w:val="center"/>
                </w:tcPr>
                <w:p w14:paraId="1F42298F">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运行期</w:t>
                  </w:r>
                </w:p>
              </w:tc>
            </w:tr>
            <w:tr w14:paraId="1568E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49" w:type="dxa"/>
                  <w:vMerge w:val="restart"/>
                  <w:vAlign w:val="center"/>
                </w:tcPr>
                <w:p w14:paraId="6B1F1E85">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主体工程</w:t>
                  </w:r>
                </w:p>
              </w:tc>
              <w:tc>
                <w:tcPr>
                  <w:tcW w:w="995" w:type="dxa"/>
                  <w:vAlign w:val="center"/>
                </w:tcPr>
                <w:p w14:paraId="06F107F3">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介入</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手术室</w:t>
                  </w:r>
                </w:p>
              </w:tc>
              <w:tc>
                <w:tcPr>
                  <w:tcW w:w="5115" w:type="dxa"/>
                  <w:vAlign w:val="center"/>
                </w:tcPr>
                <w:p w14:paraId="0DF94E4B">
                  <w:pPr>
                    <w:widowControl/>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拟</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在医院医技楼4楼介入手术室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新增1台</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型号为</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北京通用</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的</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GEOEC ONE CFD</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，最大管电压为</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kV，最大管电流为</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mA，属于Ⅱ类射线装置。</w:t>
                  </w:r>
                </w:p>
                <w:p w14:paraId="2AFE4D19">
                  <w:pPr>
                    <w:widowControl/>
                    <w:adjustRightInd w:val="0"/>
                    <w:snapToGrid w:val="0"/>
                    <w:ind w:firstLine="420"/>
                    <w:jc w:val="left"/>
                    <w:rPr>
                      <w:rFonts w:hint="default" w:ascii="Times New Roman" w:hAnsi="Times New Roman" w:cs="Times New Roman" w:eastAsiaTheme="minorEastAsia"/>
                      <w:color w:val="0D0D0D" w:themeColor="text1" w:themeTint="F2"/>
                      <w:sz w:val="21"/>
                      <w:szCs w:val="21"/>
                      <w:highlight w:val="yellow"/>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拟建的</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有效使用面积为</w:t>
                  </w:r>
                  <w:bookmarkStart w:id="11" w:name="OLE_LINK73"/>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69.23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hint="default"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bookmarkEnd w:id="11"/>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，长×宽×高=</w:t>
                  </w:r>
                  <w:bookmarkStart w:id="12" w:name="OLE_LINK13"/>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9.75m×7.10m×4.2m</w:t>
                  </w:r>
                  <w:bookmarkEnd w:id="12"/>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1CF59DD3">
                  <w:pPr>
                    <w:widowControl/>
                    <w:adjustRightInd w:val="0"/>
                    <w:snapToGrid w:val="0"/>
                    <w:ind w:firstLine="422"/>
                    <w:jc w:val="left"/>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13" w:name="OLE_LINK72"/>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墙体</w:t>
                  </w:r>
                  <w:bookmarkStart w:id="14" w:name="OLE_LINK227"/>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w:t>
                  </w:r>
                  <w:bookmarkEnd w:id="14"/>
                  <w:bookmarkStart w:id="15" w:name="OLE_LINK61"/>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50mm厚玻镁彩钢板+</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4mm厚铅板</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满铺，综合防护水平折合</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4.0</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mm铅当量</w:t>
                  </w:r>
                  <w:bookmarkEnd w:id="15"/>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32EF91F0">
                  <w:pPr>
                    <w:widowControl/>
                    <w:adjustRightInd w:val="0"/>
                    <w:snapToGrid w:val="0"/>
                    <w:ind w:firstLine="422"/>
                    <w:jc w:val="left"/>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16" w:name="OLE_LINK57"/>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屋顶：</w:t>
                  </w:r>
                  <w:bookmarkStart w:id="17" w:name="OLE_LINK228"/>
                  <w:bookmarkStart w:id="18" w:name="OLE_LINK62"/>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0mm厚混凝</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3mm厚铅板屋顶满铺，综合防护水平折合</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4.89</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mm铅当量防护水平</w:t>
                  </w:r>
                  <w:bookmarkEnd w:id="17"/>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bookmarkEnd w:id="16"/>
                  <w:bookmarkEnd w:id="18"/>
                </w:p>
                <w:p w14:paraId="1D709D28">
                  <w:pPr>
                    <w:widowControl/>
                    <w:adjustRightInd w:val="0"/>
                    <w:snapToGrid w:val="0"/>
                    <w:ind w:firstLine="422"/>
                    <w:jc w:val="left"/>
                    <w:rPr>
                      <w:rFonts w:hint="default" w:ascii="Times New Roman" w:hAnsi="Times New Roman" w:cs="Times New Roman" w:eastAsiaTheme="minorEastAsia"/>
                      <w:b/>
                      <w:bCs/>
                      <w:color w:val="0D0D0D" w:themeColor="text1" w:themeTint="F2"/>
                      <w:sz w:val="21"/>
                      <w:szCs w:val="21"/>
                      <w:highlight w:val="yellow"/>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sz w:val="21"/>
                      <w:szCs w:val="21"/>
                      <w:highlight w:val="none"/>
                      <w:lang w:val="en-US" w:eastAsia="zh-CN"/>
                      <w14:textFill>
                        <w14:solidFill>
                          <w14:schemeClr w14:val="tx1">
                            <w14:lumMod w14:val="95000"/>
                            <w14:lumOff w14:val="5000"/>
                          </w14:schemeClr>
                        </w14:solidFill>
                      </w14:textFill>
                    </w:rPr>
                    <w:t>地面</w:t>
                  </w:r>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w:t>
                  </w:r>
                  <w:bookmarkStart w:id="19" w:name="OLE_LINK229"/>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b w:val="0"/>
                      <w:bCs w:val="0"/>
                      <w:color w:val="0D0D0D" w:themeColor="text1" w:themeTint="F2"/>
                      <w:sz w:val="21"/>
                      <w:szCs w:val="21"/>
                      <w:highlight w:val="none"/>
                      <w14:textFill>
                        <w14:solidFill>
                          <w14:schemeClr w14:val="tx1">
                            <w14:lumMod w14:val="95000"/>
                            <w14:lumOff w14:val="5000"/>
                          </w14:schemeClr>
                        </w14:solidFill>
                      </w14:textFill>
                    </w:rPr>
                    <w:t>0mm厚混凝土+</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30</w:t>
                  </w:r>
                  <w:r>
                    <w:rPr>
                      <w:rFonts w:hint="default" w:ascii="Times New Roman" w:hAnsi="Times New Roman" w:cs="Times New Roman" w:eastAsiaTheme="minorEastAsia"/>
                      <w:b w:val="0"/>
                      <w:bCs w:val="0"/>
                      <w:color w:val="0D0D0D" w:themeColor="text1" w:themeTint="F2"/>
                      <w:sz w:val="21"/>
                      <w:szCs w:val="21"/>
                      <w:highlight w:val="none"/>
                      <w14:textFill>
                        <w14:solidFill>
                          <w14:schemeClr w14:val="tx1">
                            <w14:lumMod w14:val="95000"/>
                            <w14:lumOff w14:val="5000"/>
                          </w14:schemeClr>
                        </w14:solidFill>
                      </w14:textFill>
                    </w:rPr>
                    <w:t>mm</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厚硫酸钡防护涂料层</w:t>
                  </w:r>
                  <w:r>
                    <w:rPr>
                      <w:rFonts w:hint="default" w:ascii="Times New Roman" w:hAnsi="Times New Roman" w:cs="Times New Roman" w:eastAsiaTheme="minorEastAsia"/>
                      <w:b w:val="0"/>
                      <w:bCs w:val="0"/>
                      <w:color w:val="0D0D0D" w:themeColor="text1" w:themeTint="F2"/>
                      <w:sz w:val="21"/>
                      <w:szCs w:val="21"/>
                      <w:highlight w:val="none"/>
                      <w14:textFill>
                        <w14:solidFill>
                          <w14:schemeClr w14:val="tx1">
                            <w14:lumMod w14:val="95000"/>
                            <w14:lumOff w14:val="5000"/>
                          </w14:schemeClr>
                        </w14:solidFill>
                      </w14:textFill>
                    </w:rPr>
                    <w:t>，综合防护水平折合</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4.51</w:t>
                  </w:r>
                  <w:r>
                    <w:rPr>
                      <w:rFonts w:hint="default" w:ascii="Times New Roman" w:hAnsi="Times New Roman" w:cs="Times New Roman" w:eastAsiaTheme="minorEastAsia"/>
                      <w:b w:val="0"/>
                      <w:bCs w:val="0"/>
                      <w:color w:val="0D0D0D" w:themeColor="text1" w:themeTint="F2"/>
                      <w:sz w:val="21"/>
                      <w:szCs w:val="21"/>
                      <w:highlight w:val="none"/>
                      <w14:textFill>
                        <w14:solidFill>
                          <w14:schemeClr w14:val="tx1">
                            <w14:lumMod w14:val="95000"/>
                            <w14:lumOff w14:val="5000"/>
                          </w14:schemeClr>
                        </w14:solidFill>
                      </w14:textFill>
                    </w:rPr>
                    <w:t>mm铅当量防护水平</w:t>
                  </w:r>
                  <w:bookmarkEnd w:id="19"/>
                  <w:r>
                    <w:rPr>
                      <w:rFonts w:hint="default" w:ascii="Times New Roman" w:hAnsi="Times New Roman" w:cs="Times New Roman" w:eastAsiaTheme="minorEastAsia"/>
                      <w:b w:val="0"/>
                      <w:bCs w:val="0"/>
                      <w:color w:val="0D0D0D" w:themeColor="text1" w:themeTint="F2"/>
                      <w:sz w:val="21"/>
                      <w:szCs w:val="21"/>
                      <w:highlight w:val="none"/>
                      <w14:textFill>
                        <w14:solidFill>
                          <w14:schemeClr w14:val="tx1">
                            <w14:lumMod w14:val="95000"/>
                            <w14:lumOff w14:val="5000"/>
                          </w14:schemeClr>
                        </w14:solidFill>
                      </w14:textFill>
                    </w:rPr>
                    <w:t>。</w:t>
                  </w:r>
                </w:p>
                <w:p w14:paraId="5C089E73">
                  <w:pPr>
                    <w:widowControl/>
                    <w:adjustRightInd w:val="0"/>
                    <w:snapToGrid w:val="0"/>
                    <w:ind w:firstLine="422"/>
                    <w:jc w:val="left"/>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防护门（</w:t>
                  </w:r>
                  <w:r>
                    <w:rPr>
                      <w:rFonts w:hint="eastAsia" w:ascii="Times New Roman" w:hAnsi="Times New Roman" w:cs="Times New Roman" w:eastAsiaTheme="minorEastAsia"/>
                      <w:b/>
                      <w:bCs/>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default"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套）：</w:t>
                  </w:r>
                  <w:bookmarkStart w:id="20" w:name="OLE_LINK206"/>
                  <w:bookmarkStart w:id="21" w:name="OLE_LINK106"/>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控制室防护门1套、患者通道防护门1套</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均为</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50mm厚的</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电动推拉</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防护铅门，</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设脚踏式开关、防夹装置</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防护门均</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内置4mm铅板；污物通道防护门1套为50mm厚的</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电动推拉防护铅门</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设手压式开关、自动闭门装置，防护门</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内置4mm铅板，</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3道防护门</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综合防护水平折合</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均为</w:t>
                  </w: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4.0mm铅当量防护水平</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bookmarkEnd w:id="20"/>
                <w:bookmarkEnd w:id="21"/>
                <w:p w14:paraId="7060AD4F">
                  <w:pPr>
                    <w:widowControl/>
                    <w:adjustRightInd w:val="0"/>
                    <w:snapToGrid w:val="0"/>
                    <w:ind w:firstLine="422"/>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观察窗：</w:t>
                  </w:r>
                  <w:bookmarkStart w:id="22" w:name="OLE_LINK230"/>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位于机房</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侧墙体（</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长</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m、高</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），采用20mm厚铅玻璃，综合防护水平折合</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4.0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mm铅当量防护水平</w:t>
                  </w:r>
                  <w:bookmarkEnd w:id="22"/>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790CEFE6">
                  <w:pPr>
                    <w:widowControl/>
                    <w:adjustRightInd w:val="0"/>
                    <w:snapToGrid w:val="0"/>
                    <w:ind w:firstLine="422"/>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操作位：</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床侧铅帘具有0.5mm铅当量防护水平，防护屏蔽吊架铅板具有0.5mm铅当量防护水平。</w:t>
                  </w:r>
                  <w:bookmarkEnd w:id="13"/>
                </w:p>
              </w:tc>
              <w:tc>
                <w:tcPr>
                  <w:tcW w:w="1082" w:type="dxa"/>
                  <w:vMerge w:val="restart"/>
                  <w:vAlign w:val="center"/>
                </w:tcPr>
                <w:p w14:paraId="13A59D36">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施工废水、扬尘、建筑垃圾、装修废气、施工机械噪声等以及安装调试中的噪声、包装废物、X射线、臭氧</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及氮氧化物</w:t>
                  </w:r>
                </w:p>
              </w:tc>
              <w:tc>
                <w:tcPr>
                  <w:tcW w:w="1048" w:type="dxa"/>
                  <w:vAlign w:val="center"/>
                </w:tcPr>
                <w:p w14:paraId="2096843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X射线、少量臭氧及氮氧化物、生活垃圾、医疗废物、生活污水、医疗废水等。</w:t>
                  </w:r>
                </w:p>
              </w:tc>
            </w:tr>
            <w:tr w14:paraId="05F14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49" w:type="dxa"/>
                  <w:vMerge w:val="continue"/>
                  <w:vAlign w:val="center"/>
                </w:tcPr>
                <w:p w14:paraId="0F84737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5B61D07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控制室</w:t>
                  </w:r>
                </w:p>
              </w:tc>
              <w:tc>
                <w:tcPr>
                  <w:tcW w:w="5115" w:type="dxa"/>
                  <w:vAlign w:val="center"/>
                </w:tcPr>
                <w:p w14:paraId="71E4A484">
                  <w:pPr>
                    <w:widowControl/>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拟建控制室1间：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建筑</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面积</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26.64</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，长×宽×高=</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10.05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2.70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p>
              </w:tc>
              <w:tc>
                <w:tcPr>
                  <w:tcW w:w="1082" w:type="dxa"/>
                  <w:vMerge w:val="continue"/>
                  <w:vAlign w:val="center"/>
                </w:tcPr>
                <w:p w14:paraId="7DFE1A72">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48" w:type="dxa"/>
                  <w:vAlign w:val="center"/>
                </w:tcPr>
                <w:p w14:paraId="482080CD">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生活垃圾</w:t>
                  </w:r>
                </w:p>
              </w:tc>
            </w:tr>
            <w:tr w14:paraId="2D5E7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49" w:type="dxa"/>
                  <w:vMerge w:val="restart"/>
                  <w:vAlign w:val="center"/>
                </w:tcPr>
                <w:p w14:paraId="4172EBD3">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辅助工程</w:t>
                  </w:r>
                </w:p>
              </w:tc>
              <w:tc>
                <w:tcPr>
                  <w:tcW w:w="995" w:type="dxa"/>
                  <w:vAlign w:val="center"/>
                </w:tcPr>
                <w:p w14:paraId="064BAD00">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其他辅助用房</w:t>
                  </w:r>
                </w:p>
              </w:tc>
              <w:tc>
                <w:tcPr>
                  <w:tcW w:w="5115" w:type="dxa"/>
                  <w:vAlign w:val="center"/>
                </w:tcPr>
                <w:p w14:paraId="69AFB58F">
                  <w:pPr>
                    <w:widowControl/>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前室1间，建筑面积21.56m</w:t>
                  </w:r>
                  <w:r>
                    <w:rPr>
                      <w:rFonts w:hint="eastAsia" w:ascii="Times New Roman" w:hAnsi="Times New Roman" w:cs="Times New Roman" w:eastAsiaTheme="minorEastAsia"/>
                      <w:color w:val="0D0D0D" w:themeColor="text1" w:themeTint="F2"/>
                      <w:sz w:val="21"/>
                      <w:szCs w:val="21"/>
                      <w:highlight w:val="none"/>
                      <w:vertAlign w:val="superscript"/>
                      <w:lang w:val="en-US" w:eastAsia="zh-CN"/>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w:t>
                  </w:r>
                </w:p>
              </w:tc>
              <w:tc>
                <w:tcPr>
                  <w:tcW w:w="1082" w:type="dxa"/>
                  <w:vMerge w:val="continue"/>
                  <w:vAlign w:val="center"/>
                </w:tcPr>
                <w:p w14:paraId="32108C69">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48" w:type="dxa"/>
                  <w:vAlign w:val="center"/>
                </w:tcPr>
                <w:p w14:paraId="24BC8667">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405D1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9" w:type="dxa"/>
                  <w:vMerge w:val="continue"/>
                  <w:vAlign w:val="center"/>
                </w:tcPr>
                <w:p w14:paraId="0124972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49264E49">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通风系统</w:t>
                  </w:r>
                </w:p>
              </w:tc>
              <w:tc>
                <w:tcPr>
                  <w:tcW w:w="5115" w:type="dxa"/>
                  <w:vAlign w:val="center"/>
                </w:tcPr>
                <w:p w14:paraId="18F54B94">
                  <w:pPr>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内采用上进下排的通风系统。</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进风管道从</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西侧穿墙引入，</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进风口位于</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手术室西南侧</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吊顶处；</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排风口设于</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侧墙上，排风口离地约0.2m处，</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通过</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排风管</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由东侧穿墙引出</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经东南侧排风井引至楼顶排放，</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进风量及出风量为</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00m</w:t>
                  </w:r>
                  <w:r>
                    <w:rPr>
                      <w:rFonts w:hint="default"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项目进、排风管道采用水平倾斜45度穿墙</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mm铅皮对风管与墙面防护层搭接，搭接长度为30cm，</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并对介入手术室防护墙体两侧延伸1m的管道</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采用3mm铅皮包裹进行屏蔽补偿</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经过铅皮等防护措施处理后，能够有效防止射线直接从风管照射出机房</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82" w:type="dxa"/>
                  <w:vMerge w:val="continue"/>
                  <w:vAlign w:val="center"/>
                </w:tcPr>
                <w:p w14:paraId="12BE0CA6">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48" w:type="dxa"/>
                  <w:vAlign w:val="center"/>
                </w:tcPr>
                <w:p w14:paraId="71FB5047">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噪声</w:t>
                  </w:r>
                </w:p>
              </w:tc>
            </w:tr>
            <w:tr w14:paraId="08894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Merge w:val="continue"/>
                  <w:vAlign w:val="center"/>
                </w:tcPr>
                <w:p w14:paraId="785DA1AD">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65A0FC45">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电缆系统</w:t>
                  </w:r>
                </w:p>
              </w:tc>
              <w:tc>
                <w:tcPr>
                  <w:tcW w:w="5115" w:type="dxa"/>
                  <w:vAlign w:val="center"/>
                </w:tcPr>
                <w:p w14:paraId="36E6769A">
                  <w:pPr>
                    <w:adjustRightInd w:val="0"/>
                    <w:snapToGrid w:val="0"/>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23" w:name="OLE_LINK254"/>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项目控制电缆从设备基座下方设置电缆沟(</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0m</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m宽×</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0m</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m深)，</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介入手术室电缆沟从手术室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侧中部水平倾斜45度穿过屏蔽墙进入控制室。穿墙位置从介入手术室300mm处至控制室300mm处电缆沟顶部铺设一层3mm厚铅皮，上方再用5mm厚钢板做盖板，</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穿墙弯折部分电缆外用</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mm铅皮包裹电缆，</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其余空间使用硫酸钡填充</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并增设错位铅板屏蔽</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拟采用的屏蔽防护措施满足《放射诊断放射防护要求》（GBZ130-2020）中的屏蔽防护要求</w:t>
                  </w:r>
                  <w:bookmarkEnd w:id="23"/>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1082" w:type="dxa"/>
                  <w:vMerge w:val="continue"/>
                  <w:vAlign w:val="center"/>
                </w:tcPr>
                <w:p w14:paraId="600C4DF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48" w:type="dxa"/>
                  <w:vAlign w:val="center"/>
                </w:tcPr>
                <w:p w14:paraId="6473B72B">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58DA3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Merge w:val="restart"/>
                  <w:vAlign w:val="center"/>
                </w:tcPr>
                <w:p w14:paraId="0C424EED">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公用工程</w:t>
                  </w:r>
                </w:p>
              </w:tc>
              <w:tc>
                <w:tcPr>
                  <w:tcW w:w="995" w:type="dxa"/>
                  <w:vAlign w:val="center"/>
                </w:tcPr>
                <w:p w14:paraId="2BEFFB2A">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供水</w:t>
                  </w:r>
                </w:p>
              </w:tc>
              <w:tc>
                <w:tcPr>
                  <w:tcW w:w="5115" w:type="dxa"/>
                  <w:vAlign w:val="center"/>
                </w:tcPr>
                <w:p w14:paraId="248CA21B">
                  <w:pPr>
                    <w:autoSpaceDE w:val="0"/>
                    <w:autoSpaceDN w:val="0"/>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供水依托医院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供水设施接入</w:t>
                  </w:r>
                </w:p>
              </w:tc>
              <w:tc>
                <w:tcPr>
                  <w:tcW w:w="1082" w:type="dxa"/>
                  <w:vAlign w:val="center"/>
                </w:tcPr>
                <w:p w14:paraId="77995F5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2989DBD9">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17B8C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Merge w:val="continue"/>
                  <w:vAlign w:val="center"/>
                </w:tcPr>
                <w:p w14:paraId="56B6FA2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0593B28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供电</w:t>
                  </w:r>
                </w:p>
              </w:tc>
              <w:tc>
                <w:tcPr>
                  <w:tcW w:w="5115" w:type="dxa"/>
                  <w:vAlign w:val="center"/>
                </w:tcPr>
                <w:p w14:paraId="76B4D22F">
                  <w:pPr>
                    <w:autoSpaceDE w:val="0"/>
                    <w:autoSpaceDN w:val="0"/>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供电依托医院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供电设施接入</w:t>
                  </w:r>
                </w:p>
              </w:tc>
              <w:tc>
                <w:tcPr>
                  <w:tcW w:w="1082" w:type="dxa"/>
                  <w:vAlign w:val="center"/>
                </w:tcPr>
                <w:p w14:paraId="0B22131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4FBD8F33">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1A0FD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9" w:type="dxa"/>
                  <w:vMerge w:val="continue"/>
                  <w:vAlign w:val="center"/>
                </w:tcPr>
                <w:p w14:paraId="5942541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7A5E091F">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通道</w:t>
                  </w:r>
                </w:p>
              </w:tc>
              <w:tc>
                <w:tcPr>
                  <w:tcW w:w="5115" w:type="dxa"/>
                  <w:vAlign w:val="center"/>
                </w:tcPr>
                <w:p w14:paraId="39DC88CE">
                  <w:pPr>
                    <w:autoSpaceDE w:val="0"/>
                    <w:autoSpaceDN w:val="0"/>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分别设置有医护人员通道、病人通道、污物通道</w:t>
                  </w:r>
                </w:p>
              </w:tc>
              <w:tc>
                <w:tcPr>
                  <w:tcW w:w="1082" w:type="dxa"/>
                  <w:vAlign w:val="center"/>
                </w:tcPr>
                <w:p w14:paraId="201A4AA6">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2C88C0C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38396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49" w:type="dxa"/>
                  <w:vMerge w:val="restart"/>
                  <w:vAlign w:val="center"/>
                </w:tcPr>
                <w:p w14:paraId="4D56F4C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环保工程</w:t>
                  </w:r>
                </w:p>
              </w:tc>
              <w:tc>
                <w:tcPr>
                  <w:tcW w:w="995" w:type="dxa"/>
                  <w:vAlign w:val="center"/>
                </w:tcPr>
                <w:p w14:paraId="4E0741EB">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污水、医疗废水</w:t>
                  </w:r>
                </w:p>
              </w:tc>
              <w:tc>
                <w:tcPr>
                  <w:tcW w:w="5115" w:type="dxa"/>
                  <w:vAlign w:val="center"/>
                </w:tcPr>
                <w:p w14:paraId="2E95EAE5">
                  <w:pPr>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项目生活污水及医疗废水依托</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昆明市中医医院</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已建的污水处理站预处理达标后排入</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祥丰街城市污水管网</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，最终排入</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呈贡污水处理厂</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82" w:type="dxa"/>
                  <w:vAlign w:val="center"/>
                </w:tcPr>
                <w:p w14:paraId="1C69439E">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7A6FEA4C">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06411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Merge w:val="continue"/>
                  <w:vAlign w:val="center"/>
                </w:tcPr>
                <w:p w14:paraId="39195147">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637323D1">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医疗废物</w:t>
                  </w:r>
                </w:p>
              </w:tc>
              <w:tc>
                <w:tcPr>
                  <w:tcW w:w="5115" w:type="dxa"/>
                  <w:vAlign w:val="center"/>
                </w:tcPr>
                <w:p w14:paraId="746EECA6">
                  <w:pPr>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本项目医疗废物采用专门的收集容器收集后，</w:t>
                  </w:r>
                  <w:bookmarkStart w:id="24" w:name="_Hlk201067762"/>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依托</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已建的医疗废物暂存间</w:t>
                  </w:r>
                  <w:bookmarkEnd w:id="24"/>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，定期交由</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进行收运处置。</w:t>
                  </w:r>
                </w:p>
              </w:tc>
              <w:tc>
                <w:tcPr>
                  <w:tcW w:w="1082" w:type="dxa"/>
                  <w:vAlign w:val="center"/>
                </w:tcPr>
                <w:p w14:paraId="12B6D461">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6E8D37C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51C22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Merge w:val="continue"/>
                  <w:vAlign w:val="center"/>
                </w:tcPr>
                <w:p w14:paraId="7A4C3028">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5" w:type="dxa"/>
                  <w:vAlign w:val="center"/>
                </w:tcPr>
                <w:p w14:paraId="3496099E">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生活垃圾</w:t>
                  </w:r>
                </w:p>
              </w:tc>
              <w:tc>
                <w:tcPr>
                  <w:tcW w:w="5115" w:type="dxa"/>
                  <w:vAlign w:val="center"/>
                </w:tcPr>
                <w:p w14:paraId="29F676B6">
                  <w:pPr>
                    <w:widowControl/>
                    <w:adjustRightInd w:val="0"/>
                    <w:snapToGrid w:val="0"/>
                    <w:ind w:firstLine="42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本项目工作人员产生的生活垃圾集中收集后依托医院生活垃圾收集系统统一清运。</w:t>
                  </w:r>
                </w:p>
              </w:tc>
              <w:tc>
                <w:tcPr>
                  <w:tcW w:w="1082" w:type="dxa"/>
                  <w:vAlign w:val="center"/>
                </w:tcPr>
                <w:p w14:paraId="138C5305">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48" w:type="dxa"/>
                  <w:vAlign w:val="center"/>
                </w:tcPr>
                <w:p w14:paraId="559EECF4">
                  <w:pPr>
                    <w:widowControl/>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bl>
          <w:p w14:paraId="2FE8C063">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5</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、设备情况</w:t>
            </w:r>
          </w:p>
          <w:p w14:paraId="1A20AEDD">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表1-2    </w:t>
            </w:r>
            <w:r>
              <w:rPr>
                <w:rFonts w:hint="default" w:ascii="Times New Roman" w:hAnsi="Times New Roman" w:cs="Times New Roman" w:eastAsiaTheme="minorEastAsia"/>
                <w:b/>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主要技术参数</w:t>
            </w:r>
          </w:p>
          <w:tbl>
            <w:tblPr>
              <w:tblStyle w:val="22"/>
              <w:tblW w:w="89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780"/>
              <w:gridCol w:w="1533"/>
              <w:gridCol w:w="1254"/>
              <w:gridCol w:w="992"/>
              <w:gridCol w:w="992"/>
              <w:gridCol w:w="1134"/>
              <w:gridCol w:w="1305"/>
            </w:tblGrid>
            <w:tr w14:paraId="4223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999" w:type="dxa"/>
                  <w:vMerge w:val="restart"/>
                  <w:vAlign w:val="center"/>
                </w:tcPr>
                <w:p w14:paraId="0BBF21BC">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w:t>
                  </w:r>
                </w:p>
                <w:p w14:paraId="2DE0DE20">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名称</w:t>
                  </w:r>
                </w:p>
              </w:tc>
              <w:tc>
                <w:tcPr>
                  <w:tcW w:w="780" w:type="dxa"/>
                  <w:vMerge w:val="restart"/>
                  <w:vAlign w:val="center"/>
                </w:tcPr>
                <w:p w14:paraId="7003E67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数量</w:t>
                  </w:r>
                </w:p>
              </w:tc>
              <w:tc>
                <w:tcPr>
                  <w:tcW w:w="1533" w:type="dxa"/>
                  <w:vMerge w:val="restart"/>
                  <w:vAlign w:val="center"/>
                </w:tcPr>
                <w:p w14:paraId="135E6520">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规格（型号）</w:t>
                  </w:r>
                </w:p>
              </w:tc>
              <w:tc>
                <w:tcPr>
                  <w:tcW w:w="1254" w:type="dxa"/>
                  <w:vMerge w:val="restart"/>
                  <w:vAlign w:val="center"/>
                </w:tcPr>
                <w:p w14:paraId="1633B4DA">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生产厂家</w:t>
                  </w:r>
                </w:p>
              </w:tc>
              <w:tc>
                <w:tcPr>
                  <w:tcW w:w="1984" w:type="dxa"/>
                  <w:gridSpan w:val="2"/>
                  <w:vAlign w:val="center"/>
                </w:tcPr>
                <w:p w14:paraId="08CE76C2">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主要技术参数</w:t>
                  </w:r>
                </w:p>
              </w:tc>
              <w:tc>
                <w:tcPr>
                  <w:tcW w:w="1134" w:type="dxa"/>
                  <w:vMerge w:val="restart"/>
                  <w:vAlign w:val="center"/>
                </w:tcPr>
                <w:p w14:paraId="0D00D51C">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出束方向</w:t>
                  </w:r>
                </w:p>
              </w:tc>
              <w:tc>
                <w:tcPr>
                  <w:tcW w:w="1305" w:type="dxa"/>
                  <w:vMerge w:val="restart"/>
                  <w:vAlign w:val="center"/>
                </w:tcPr>
                <w:p w14:paraId="25DAEDA8">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用途</w:t>
                  </w:r>
                </w:p>
              </w:tc>
            </w:tr>
            <w:tr w14:paraId="2DBA8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dxa"/>
                  <w:vMerge w:val="continue"/>
                  <w:vAlign w:val="center"/>
                </w:tcPr>
                <w:p w14:paraId="4AB3D1F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80" w:type="dxa"/>
                  <w:vMerge w:val="continue"/>
                  <w:vAlign w:val="center"/>
                </w:tcPr>
                <w:p w14:paraId="6FA7AC22">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533" w:type="dxa"/>
                  <w:vMerge w:val="continue"/>
                  <w:vAlign w:val="center"/>
                </w:tcPr>
                <w:p w14:paraId="6BA3639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54" w:type="dxa"/>
                  <w:vMerge w:val="continue"/>
                  <w:vAlign w:val="center"/>
                </w:tcPr>
                <w:p w14:paraId="49E30A1E">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92" w:type="dxa"/>
                  <w:vAlign w:val="center"/>
                </w:tcPr>
                <w:p w14:paraId="5782691E">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最大管电压</w:t>
                  </w:r>
                </w:p>
              </w:tc>
              <w:tc>
                <w:tcPr>
                  <w:tcW w:w="992" w:type="dxa"/>
                  <w:vAlign w:val="center"/>
                </w:tcPr>
                <w:p w14:paraId="253B88D5">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最大管电流</w:t>
                  </w:r>
                </w:p>
              </w:tc>
              <w:tc>
                <w:tcPr>
                  <w:tcW w:w="1134" w:type="dxa"/>
                  <w:vMerge w:val="continue"/>
                  <w:vAlign w:val="center"/>
                </w:tcPr>
                <w:p w14:paraId="280F4FF8">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305" w:type="dxa"/>
                  <w:vMerge w:val="continue"/>
                  <w:vAlign w:val="center"/>
                </w:tcPr>
                <w:p w14:paraId="70590011">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6E89A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999" w:type="dxa"/>
                  <w:vAlign w:val="center"/>
                </w:tcPr>
                <w:p w14:paraId="705CA930">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bookmarkStart w:id="25" w:name="OLE_LINK221" w:colFirst="0" w:colLast="3"/>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移动式C型臂X射线机</w:t>
                  </w:r>
                </w:p>
              </w:tc>
              <w:tc>
                <w:tcPr>
                  <w:tcW w:w="780" w:type="dxa"/>
                  <w:vAlign w:val="center"/>
                </w:tcPr>
                <w:p w14:paraId="35517CB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1台</w:t>
                  </w:r>
                </w:p>
              </w:tc>
              <w:tc>
                <w:tcPr>
                  <w:tcW w:w="1533" w:type="dxa"/>
                  <w:vAlign w:val="center"/>
                </w:tcPr>
                <w:p w14:paraId="1D75AA8A">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GEOEC ONE CFD</w:t>
                  </w:r>
                </w:p>
              </w:tc>
              <w:tc>
                <w:tcPr>
                  <w:tcW w:w="1254" w:type="dxa"/>
                  <w:vAlign w:val="center"/>
                </w:tcPr>
                <w:p w14:paraId="6DAF45EC">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北京通用电气华伦医疗设备有限公司</w:t>
                  </w:r>
                </w:p>
              </w:tc>
              <w:tc>
                <w:tcPr>
                  <w:tcW w:w="992" w:type="dxa"/>
                  <w:vAlign w:val="center"/>
                </w:tcPr>
                <w:p w14:paraId="7E7659B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kV</w:t>
                  </w:r>
                </w:p>
              </w:tc>
              <w:tc>
                <w:tcPr>
                  <w:tcW w:w="992" w:type="dxa"/>
                  <w:vAlign w:val="center"/>
                </w:tcPr>
                <w:p w14:paraId="22EE818C">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mA</w:t>
                  </w:r>
                </w:p>
              </w:tc>
              <w:tc>
                <w:tcPr>
                  <w:tcW w:w="1134" w:type="dxa"/>
                  <w:vAlign w:val="center"/>
                </w:tcPr>
                <w:p w14:paraId="7C2D8EF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由下往上</w:t>
                  </w:r>
                </w:p>
              </w:tc>
              <w:tc>
                <w:tcPr>
                  <w:tcW w:w="1305" w:type="dxa"/>
                  <w:vAlign w:val="center"/>
                </w:tcPr>
                <w:p w14:paraId="4747AF4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影像诊断和介入治疗</w:t>
                  </w:r>
                </w:p>
              </w:tc>
            </w:tr>
            <w:bookmarkEnd w:id="25"/>
          </w:tbl>
          <w:p w14:paraId="37FC45F3">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根据医院提供的资料，本项目</w:t>
            </w:r>
            <w:r>
              <w:rPr>
                <w:rFonts w:hint="default"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使用科室</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为外科</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，设备拟使用情况见表1-3、表1-4。</w:t>
            </w:r>
          </w:p>
          <w:p w14:paraId="7116C667">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表1-3    </w:t>
            </w:r>
            <w:r>
              <w:rPr>
                <w:rFonts w:hint="eastAsia" w:ascii="Times New Roman" w:hAnsi="Times New Roman" w:cs="Times New Roman" w:eastAsiaTheme="minorEastAsia"/>
                <w:b/>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拟使用情况</w:t>
            </w:r>
          </w:p>
          <w:tbl>
            <w:tblPr>
              <w:tblStyle w:val="22"/>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134"/>
              <w:gridCol w:w="1081"/>
              <w:gridCol w:w="1186"/>
              <w:gridCol w:w="1287"/>
              <w:gridCol w:w="1305"/>
              <w:gridCol w:w="1275"/>
            </w:tblGrid>
            <w:tr w14:paraId="289A8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749" w:type="dxa"/>
                  <w:vMerge w:val="restart"/>
                  <w:tcBorders>
                    <w:bottom w:val="single" w:color="auto" w:sz="4" w:space="0"/>
                  </w:tcBorders>
                  <w:vAlign w:val="center"/>
                </w:tcPr>
                <w:p w14:paraId="1169D37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26" w:name="OLE_LINK224"/>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科室</w:t>
                  </w:r>
                </w:p>
              </w:tc>
              <w:tc>
                <w:tcPr>
                  <w:tcW w:w="1134" w:type="dxa"/>
                  <w:vMerge w:val="restart"/>
                  <w:tcBorders>
                    <w:bottom w:val="single" w:color="auto" w:sz="4" w:space="0"/>
                  </w:tcBorders>
                  <w:vAlign w:val="center"/>
                </w:tcPr>
                <w:p w14:paraId="5F62460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单台手术平均时间（h）</w:t>
                  </w:r>
                </w:p>
              </w:tc>
              <w:tc>
                <w:tcPr>
                  <w:tcW w:w="2267" w:type="dxa"/>
                  <w:gridSpan w:val="2"/>
                  <w:tcBorders>
                    <w:bottom w:val="single" w:color="auto" w:sz="4" w:space="0"/>
                  </w:tcBorders>
                  <w:vAlign w:val="center"/>
                </w:tcPr>
                <w:p w14:paraId="41BF385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单台手术平均曝光时间（min）</w:t>
                  </w:r>
                </w:p>
              </w:tc>
              <w:tc>
                <w:tcPr>
                  <w:tcW w:w="1287" w:type="dxa"/>
                  <w:vMerge w:val="restart"/>
                  <w:vAlign w:val="center"/>
                </w:tcPr>
                <w:p w14:paraId="18BBD27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年手术台数（台）</w:t>
                  </w:r>
                </w:p>
              </w:tc>
              <w:tc>
                <w:tcPr>
                  <w:tcW w:w="2580" w:type="dxa"/>
                  <w:gridSpan w:val="2"/>
                  <w:tcBorders>
                    <w:bottom w:val="single" w:color="auto" w:sz="4" w:space="0"/>
                  </w:tcBorders>
                  <w:vAlign w:val="center"/>
                </w:tcPr>
                <w:p w14:paraId="5C6122E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年出束时间（h）</w:t>
                  </w:r>
                </w:p>
              </w:tc>
            </w:tr>
            <w:tr w14:paraId="66C0C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749" w:type="dxa"/>
                  <w:vMerge w:val="continue"/>
                  <w:vAlign w:val="center"/>
                </w:tcPr>
                <w:p w14:paraId="36D2CC0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34" w:type="dxa"/>
                  <w:vMerge w:val="continue"/>
                  <w:vAlign w:val="center"/>
                </w:tcPr>
                <w:p w14:paraId="4B7443C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81" w:type="dxa"/>
                  <w:vAlign w:val="center"/>
                </w:tcPr>
                <w:p w14:paraId="6D227F5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减影</w:t>
                  </w:r>
                </w:p>
              </w:tc>
              <w:tc>
                <w:tcPr>
                  <w:tcW w:w="1186" w:type="dxa"/>
                  <w:vAlign w:val="center"/>
                </w:tcPr>
                <w:p w14:paraId="6D75DD4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透视</w:t>
                  </w:r>
                </w:p>
              </w:tc>
              <w:tc>
                <w:tcPr>
                  <w:tcW w:w="1287" w:type="dxa"/>
                  <w:vMerge w:val="continue"/>
                  <w:vAlign w:val="center"/>
                </w:tcPr>
                <w:p w14:paraId="66E932B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305" w:type="dxa"/>
                  <w:vAlign w:val="center"/>
                </w:tcPr>
                <w:p w14:paraId="598C0484">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减影</w:t>
                  </w:r>
                </w:p>
              </w:tc>
              <w:tc>
                <w:tcPr>
                  <w:tcW w:w="1275" w:type="dxa"/>
                  <w:vAlign w:val="center"/>
                </w:tcPr>
                <w:p w14:paraId="7FFE92CA">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透视</w:t>
                  </w:r>
                </w:p>
              </w:tc>
            </w:tr>
            <w:tr w14:paraId="267DB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exact"/>
                <w:jc w:val="center"/>
              </w:trPr>
              <w:tc>
                <w:tcPr>
                  <w:tcW w:w="1749" w:type="dxa"/>
                  <w:vAlign w:val="center"/>
                </w:tcPr>
                <w:p w14:paraId="080A832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外科</w:t>
                  </w:r>
                </w:p>
              </w:tc>
              <w:tc>
                <w:tcPr>
                  <w:tcW w:w="1134" w:type="dxa"/>
                  <w:vAlign w:val="center"/>
                </w:tcPr>
                <w:p w14:paraId="36BBCA97">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1.5</w:t>
                  </w:r>
                </w:p>
              </w:tc>
              <w:tc>
                <w:tcPr>
                  <w:tcW w:w="1081" w:type="dxa"/>
                  <w:vAlign w:val="center"/>
                </w:tcPr>
                <w:p w14:paraId="63656760">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1186" w:type="dxa"/>
                  <w:vAlign w:val="center"/>
                </w:tcPr>
                <w:p w14:paraId="4E41227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1287" w:type="dxa"/>
                  <w:vAlign w:val="center"/>
                </w:tcPr>
                <w:p w14:paraId="61D21D31">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800</w:t>
                  </w:r>
                </w:p>
              </w:tc>
              <w:tc>
                <w:tcPr>
                  <w:tcW w:w="1305" w:type="dxa"/>
                  <w:shd w:val="clear" w:color="auto" w:fill="auto"/>
                  <w:vAlign w:val="center"/>
                </w:tcPr>
                <w:p w14:paraId="2675889E">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1275" w:type="dxa"/>
                  <w:shd w:val="clear" w:color="auto" w:fill="auto"/>
                  <w:vAlign w:val="center"/>
                </w:tcPr>
                <w:p w14:paraId="6C3FCB2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r>
            <w:tr w14:paraId="75905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150" w:type="dxa"/>
                  <w:gridSpan w:val="4"/>
                  <w:vAlign w:val="center"/>
                </w:tcPr>
                <w:p w14:paraId="39ABD598">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合计</w:t>
                  </w:r>
                </w:p>
              </w:tc>
              <w:tc>
                <w:tcPr>
                  <w:tcW w:w="1287" w:type="dxa"/>
                  <w:vAlign w:val="center"/>
                </w:tcPr>
                <w:p w14:paraId="4780B02A">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800</w:t>
                  </w:r>
                </w:p>
              </w:tc>
              <w:tc>
                <w:tcPr>
                  <w:tcW w:w="2580" w:type="dxa"/>
                  <w:gridSpan w:val="2"/>
                  <w:shd w:val="clear" w:color="auto" w:fill="auto"/>
                  <w:vAlign w:val="center"/>
                </w:tcPr>
                <w:p w14:paraId="0038A5CA">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220</w:t>
                  </w:r>
                </w:p>
              </w:tc>
            </w:tr>
            <w:bookmarkEnd w:id="26"/>
          </w:tbl>
          <w:p w14:paraId="0C703D7B">
            <w:pPr>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表1-4    </w:t>
            </w:r>
            <w:r>
              <w:rPr>
                <w:rFonts w:hint="eastAsia" w:ascii="Times New Roman" w:hAnsi="Times New Roman" w:cs="Times New Roman" w:eastAsiaTheme="minorEastAsia"/>
                <w:b/>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拟运行情况</w:t>
            </w:r>
          </w:p>
          <w:tbl>
            <w:tblPr>
              <w:tblStyle w:val="22"/>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1797"/>
              <w:gridCol w:w="1797"/>
              <w:gridCol w:w="1797"/>
              <w:gridCol w:w="1797"/>
            </w:tblGrid>
            <w:tr w14:paraId="648F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957" w:type="dxa"/>
                  <w:vMerge w:val="restart"/>
                  <w:vAlign w:val="center"/>
                </w:tcPr>
                <w:p w14:paraId="196443E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设备名称</w:t>
                  </w:r>
                </w:p>
              </w:tc>
              <w:tc>
                <w:tcPr>
                  <w:tcW w:w="3594" w:type="dxa"/>
                  <w:gridSpan w:val="2"/>
                  <w:vAlign w:val="center"/>
                </w:tcPr>
                <w:p w14:paraId="2C62714D">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减影</w:t>
                  </w:r>
                </w:p>
              </w:tc>
              <w:tc>
                <w:tcPr>
                  <w:tcW w:w="3594" w:type="dxa"/>
                  <w:gridSpan w:val="2"/>
                  <w:vAlign w:val="center"/>
                </w:tcPr>
                <w:p w14:paraId="43CA732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透视</w:t>
                  </w:r>
                </w:p>
              </w:tc>
            </w:tr>
            <w:tr w14:paraId="24E9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957" w:type="dxa"/>
                  <w:vMerge w:val="continue"/>
                  <w:vAlign w:val="center"/>
                </w:tcPr>
                <w:p w14:paraId="04DA242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797" w:type="dxa"/>
                  <w:vAlign w:val="center"/>
                </w:tcPr>
                <w:p w14:paraId="4EB460E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实际运行时管电压（kV）</w:t>
                  </w:r>
                </w:p>
              </w:tc>
              <w:tc>
                <w:tcPr>
                  <w:tcW w:w="1797" w:type="dxa"/>
                  <w:vAlign w:val="center"/>
                </w:tcPr>
                <w:p w14:paraId="00377E9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实际运行时管电流（mA）</w:t>
                  </w:r>
                </w:p>
              </w:tc>
              <w:tc>
                <w:tcPr>
                  <w:tcW w:w="1797" w:type="dxa"/>
                  <w:vAlign w:val="center"/>
                </w:tcPr>
                <w:p w14:paraId="5143B87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实际运行时管电压（kV）</w:t>
                  </w:r>
                </w:p>
              </w:tc>
              <w:tc>
                <w:tcPr>
                  <w:tcW w:w="1797" w:type="dxa"/>
                  <w:vAlign w:val="center"/>
                </w:tcPr>
                <w:p w14:paraId="4300DDB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实际运行时管电流（mA）</w:t>
                  </w:r>
                </w:p>
              </w:tc>
            </w:tr>
            <w:tr w14:paraId="0DD6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957" w:type="dxa"/>
                  <w:vAlign w:val="center"/>
                </w:tcPr>
                <w:p w14:paraId="764F682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27" w:name="OLE_LINK225" w:colFirst="0" w:colLast="4"/>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型号为北京通用的GEOEC ONE CFD</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797" w:type="dxa"/>
                  <w:vAlign w:val="center"/>
                </w:tcPr>
                <w:p w14:paraId="6704154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90</w:t>
                  </w:r>
                </w:p>
              </w:tc>
              <w:tc>
                <w:tcPr>
                  <w:tcW w:w="1797" w:type="dxa"/>
                  <w:vAlign w:val="center"/>
                </w:tcPr>
                <w:p w14:paraId="50F306A0">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1797" w:type="dxa"/>
                  <w:vAlign w:val="center"/>
                </w:tcPr>
                <w:p w14:paraId="3E12459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75</w:t>
                  </w:r>
                </w:p>
              </w:tc>
              <w:tc>
                <w:tcPr>
                  <w:tcW w:w="1797" w:type="dxa"/>
                  <w:vAlign w:val="center"/>
                </w:tcPr>
                <w:p w14:paraId="3D04592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r>
            <w:bookmarkEnd w:id="27"/>
          </w:tbl>
          <w:p w14:paraId="4E721D27">
            <w:pPr>
              <w:spacing w:line="360" w:lineRule="auto"/>
              <w:ind w:firstLine="0" w:firstLineChars="0"/>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6、项目工程进度一览表</w:t>
            </w:r>
          </w:p>
          <w:p w14:paraId="0F5FFFCA">
            <w:pPr>
              <w:autoSpaceDE w:val="0"/>
              <w:autoSpaceDN w:val="0"/>
              <w:adjustRightInd w:val="0"/>
              <w:spacing w:line="360" w:lineRule="auto"/>
              <w:ind w:firstLine="351" w:firstLineChars="150"/>
              <w:jc w:val="left"/>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pacing w:val="-3"/>
                <w:highlight w:val="none"/>
                <w:lang w:val="en-US" w:eastAsia="zh-CN"/>
                <w14:textFill>
                  <w14:solidFill>
                    <w14:schemeClr w14:val="tx1">
                      <w14:lumMod w14:val="95000"/>
                      <w14:lumOff w14:val="5000"/>
                    </w14:schemeClr>
                  </w14:solidFill>
                </w14:textFill>
              </w:rPr>
              <w:t>本项目现状尚未进行防辐射装修及设备安装，</w:t>
            </w: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本项目工程进度见表1-</w:t>
            </w:r>
            <w:r>
              <w:rPr>
                <w:rFonts w:hint="eastAsia" w:ascii="Times New Roman" w:hAnsi="Times New Roman" w:cs="Times New Roman" w:eastAsiaTheme="minorEastAsia"/>
                <w:color w:val="0D0D0D" w:themeColor="text1" w:themeTint="F2"/>
                <w:spacing w:val="-3"/>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w:t>
            </w:r>
          </w:p>
          <w:p w14:paraId="23894501">
            <w:pPr>
              <w:spacing w:line="360" w:lineRule="auto"/>
              <w:ind w:firstLine="0" w:firstLineChars="0"/>
              <w:jc w:val="cente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w:t>
            </w:r>
            <w:r>
              <w:rPr>
                <w:rFonts w:hint="eastAsia" w:ascii="Times New Roman" w:hAnsi="Times New Roman" w:cs="Times New Roman" w:eastAsiaTheme="minorEastAsia"/>
                <w:b/>
                <w:color w:val="0D0D0D" w:themeColor="text1" w:themeTint="F2"/>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    工程进度一览表</w:t>
            </w:r>
          </w:p>
          <w:tbl>
            <w:tblPr>
              <w:tblStyle w:val="22"/>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485"/>
              <w:gridCol w:w="1155"/>
              <w:gridCol w:w="1695"/>
              <w:gridCol w:w="1590"/>
              <w:gridCol w:w="1200"/>
              <w:gridCol w:w="1050"/>
            </w:tblGrid>
            <w:tr w14:paraId="26F11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28717B3">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项目内容</w:t>
                  </w:r>
                </w:p>
              </w:tc>
              <w:tc>
                <w:tcPr>
                  <w:tcW w:w="1485" w:type="dxa"/>
                  <w:vAlign w:val="center"/>
                </w:tcPr>
                <w:p w14:paraId="691729E4">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本项目方案制定</w:t>
                  </w:r>
                </w:p>
              </w:tc>
              <w:tc>
                <w:tcPr>
                  <w:tcW w:w="1155" w:type="dxa"/>
                  <w:vAlign w:val="center"/>
                </w:tcPr>
                <w:p w14:paraId="58550693">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施工图设计</w:t>
                  </w:r>
                </w:p>
              </w:tc>
              <w:tc>
                <w:tcPr>
                  <w:tcW w:w="1695" w:type="dxa"/>
                  <w:vAlign w:val="center"/>
                </w:tcPr>
                <w:p w14:paraId="19A8F464">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环评、预评与控评等</w:t>
                  </w:r>
                </w:p>
              </w:tc>
              <w:tc>
                <w:tcPr>
                  <w:tcW w:w="1590" w:type="dxa"/>
                  <w:vAlign w:val="center"/>
                </w:tcPr>
                <w:p w14:paraId="5B336E37">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主体工程施工</w:t>
                  </w:r>
                </w:p>
              </w:tc>
              <w:tc>
                <w:tcPr>
                  <w:tcW w:w="1200" w:type="dxa"/>
                  <w:vAlign w:val="center"/>
                </w:tcPr>
                <w:p w14:paraId="76CF6216">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设备调试</w:t>
                  </w:r>
                </w:p>
              </w:tc>
              <w:tc>
                <w:tcPr>
                  <w:tcW w:w="1050" w:type="dxa"/>
                  <w:vAlign w:val="center"/>
                </w:tcPr>
                <w:p w14:paraId="1D4D1D5C">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自主竣工验收</w:t>
                  </w:r>
                </w:p>
              </w:tc>
            </w:tr>
            <w:tr w14:paraId="3AE08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A78B1A5">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完成单位</w:t>
                  </w:r>
                </w:p>
              </w:tc>
              <w:tc>
                <w:tcPr>
                  <w:tcW w:w="1485" w:type="dxa"/>
                  <w:vAlign w:val="center"/>
                </w:tcPr>
                <w:p w14:paraId="07E07B26">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建设单位</w:t>
                  </w:r>
                </w:p>
              </w:tc>
              <w:tc>
                <w:tcPr>
                  <w:tcW w:w="1155" w:type="dxa"/>
                  <w:vAlign w:val="center"/>
                </w:tcPr>
                <w:p w14:paraId="33FA100D">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w:t>
                  </w:r>
                </w:p>
                <w:p w14:paraId="756ED312">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单位</w:t>
                  </w:r>
                </w:p>
              </w:tc>
              <w:tc>
                <w:tcPr>
                  <w:tcW w:w="1695" w:type="dxa"/>
                  <w:vAlign w:val="center"/>
                </w:tcPr>
                <w:p w14:paraId="7EC46D41">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环评单位等</w:t>
                  </w:r>
                </w:p>
              </w:tc>
              <w:tc>
                <w:tcPr>
                  <w:tcW w:w="1590" w:type="dxa"/>
                  <w:vAlign w:val="center"/>
                </w:tcPr>
                <w:p w14:paraId="53A858AD">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施工单位</w:t>
                  </w:r>
                </w:p>
              </w:tc>
              <w:tc>
                <w:tcPr>
                  <w:tcW w:w="1200" w:type="dxa"/>
                  <w:vAlign w:val="center"/>
                </w:tcPr>
                <w:p w14:paraId="5C489D90">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w:t>
                  </w:r>
                </w:p>
                <w:p w14:paraId="57BA7E2E">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单位</w:t>
                  </w:r>
                </w:p>
              </w:tc>
              <w:tc>
                <w:tcPr>
                  <w:tcW w:w="1050" w:type="dxa"/>
                  <w:vAlign w:val="center"/>
                </w:tcPr>
                <w:p w14:paraId="529A7210">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w:t>
                  </w:r>
                </w:p>
                <w:p w14:paraId="34078817">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单位</w:t>
                  </w:r>
                </w:p>
              </w:tc>
            </w:tr>
            <w:tr w14:paraId="5FAF9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648325D">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时间安排</w:t>
                  </w:r>
                </w:p>
              </w:tc>
              <w:tc>
                <w:tcPr>
                  <w:tcW w:w="1485" w:type="dxa"/>
                  <w:vAlign w:val="center"/>
                </w:tcPr>
                <w:p w14:paraId="77787FDE">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c>
                <w:tcPr>
                  <w:tcW w:w="1155" w:type="dxa"/>
                  <w:vAlign w:val="center"/>
                </w:tcPr>
                <w:p w14:paraId="1016302C">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p>
                <w:p w14:paraId="29C121C0">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c>
                <w:tcPr>
                  <w:tcW w:w="1695" w:type="dxa"/>
                  <w:vAlign w:val="center"/>
                </w:tcPr>
                <w:p w14:paraId="7735289E">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c>
                <w:tcPr>
                  <w:tcW w:w="1590" w:type="dxa"/>
                  <w:vAlign w:val="center"/>
                </w:tcPr>
                <w:p w14:paraId="43C6C053">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12</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c>
                <w:tcPr>
                  <w:tcW w:w="1200" w:type="dxa"/>
                  <w:vAlign w:val="center"/>
                </w:tcPr>
                <w:p w14:paraId="38844872">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c>
                <w:tcPr>
                  <w:tcW w:w="1050" w:type="dxa"/>
                  <w:vAlign w:val="center"/>
                </w:tcPr>
                <w:p w14:paraId="69324BD7">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w:t>
                  </w:r>
                </w:p>
                <w:p w14:paraId="5B0A8687">
                  <w:pPr>
                    <w:ind w:firstLine="0" w:firstLineChars="0"/>
                    <w:jc w:val="cente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月</w:t>
                  </w:r>
                </w:p>
              </w:tc>
            </w:tr>
          </w:tbl>
          <w:p w14:paraId="095D53BC">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7</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劳动定员及工作制度</w:t>
            </w:r>
          </w:p>
          <w:p w14:paraId="4770AB94">
            <w:pPr>
              <w:autoSpaceDE w:val="0"/>
              <w:autoSpaceDN w:val="0"/>
              <w:adjustRightInd w:val="0"/>
              <w:spacing w:line="360" w:lineRule="auto"/>
              <w:ind w:firstLine="351" w:firstLineChars="150"/>
              <w:jc w:val="left"/>
              <w:rPr>
                <w:rFonts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（1）劳动定员</w:t>
            </w:r>
          </w:p>
          <w:p w14:paraId="246CADC4">
            <w:pPr>
              <w:autoSpaceDE w:val="0"/>
              <w:autoSpaceDN w:val="0"/>
              <w:adjustRightInd w:val="0"/>
              <w:spacing w:line="360" w:lineRule="auto"/>
              <w:ind w:firstLine="351" w:firstLineChars="15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spacing w:val="-3"/>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由医院</w:t>
            </w:r>
            <w:r>
              <w:rPr>
                <w:rFonts w:hint="eastAsia" w:ascii="Times New Roman" w:hAnsi="Times New Roman" w:cs="Times New Roman" w:eastAsiaTheme="minorEastAsia"/>
                <w:color w:val="0D0D0D" w:themeColor="text1" w:themeTint="F2"/>
                <w:spacing w:val="-3"/>
                <w:highlight w:val="none"/>
                <w:lang w:val="en-US" w:eastAsia="zh-CN"/>
                <w14:textFill>
                  <w14:solidFill>
                    <w14:schemeClr w14:val="tx1">
                      <w14:lumMod w14:val="95000"/>
                      <w14:lumOff w14:val="5000"/>
                    </w14:schemeClr>
                  </w14:solidFill>
                </w14:textFill>
              </w:rPr>
              <w:t>影像医学科</w:t>
            </w:r>
            <w:r>
              <w:rPr>
                <w:rFonts w:hint="eastAsia" w:ascii="Times New Roman" w:hAnsi="Times New Roman" w:cs="Times New Roman" w:eastAsiaTheme="minorEastAsia"/>
                <w:color w:val="0D0D0D" w:themeColor="text1" w:themeTint="F2"/>
                <w:spacing w:val="-3"/>
                <w:highlight w:val="none"/>
                <w14:textFill>
                  <w14:solidFill>
                    <w14:schemeClr w14:val="tx1">
                      <w14:lumMod w14:val="95000"/>
                      <w14:lumOff w14:val="5000"/>
                    </w14:schemeClr>
                  </w14:solidFill>
                </w14:textFill>
              </w:rPr>
              <w:t>负责管理，</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外科</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开展介入手术</w:t>
            </w:r>
            <w:r>
              <w:rPr>
                <w:rFonts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科室</w:t>
            </w:r>
            <w:r>
              <w:rPr>
                <w:rFonts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成立</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个医疗组，每个医疗组医师2人、护士1人</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另配备技师</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人</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，本项目共配置</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14</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名辐射工作人员</w:t>
            </w:r>
            <w:r>
              <w:rPr>
                <w:rFonts w:hint="eastAsia" w:ascii="Times New Roman" w:hAnsi="Times New Roman" w:cs="Times New Roman" w:eastAsiaTheme="minorEastAsia"/>
                <w:color w:val="0D0D0D" w:themeColor="text1" w:themeTint="F2"/>
                <w:spacing w:val="-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均</w:t>
            </w:r>
            <w:bookmarkStart w:id="28" w:name="OLE_LINK201"/>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由</w:t>
            </w:r>
            <w:bookmarkStart w:id="29" w:name="OLE_LINK192"/>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医院外科在职人员调配，以往及之后均不操作院内其他辐射装置</w:t>
            </w:r>
            <w:bookmarkEnd w:id="28"/>
            <w:bookmarkEnd w:id="29"/>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。项目劳动定员分配详见</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表1-</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w:t>
            </w:r>
          </w:p>
          <w:p w14:paraId="12C0AC19">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w:t>
            </w:r>
            <w:r>
              <w:rPr>
                <w:rFonts w:hint="eastAsia" w:ascii="Times New Roman" w:hAnsi="Times New Roman" w:cs="Times New Roman" w:eastAsiaTheme="minorEastAsia"/>
                <w:b/>
                <w:color w:val="0D0D0D" w:themeColor="text1" w:themeTint="F2"/>
                <w:highlight w:val="none"/>
                <w:lang w:val="en-US" w:eastAsia="zh-CN"/>
                <w14:textFill>
                  <w14:solidFill>
                    <w14:schemeClr w14:val="tx1">
                      <w14:lumMod w14:val="95000"/>
                      <w14:lumOff w14:val="5000"/>
                    </w14:schemeClr>
                  </w14:solidFill>
                </w14:textFill>
              </w:rPr>
              <w:t>6</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    项目劳动定员分配表</w:t>
            </w:r>
          </w:p>
          <w:tbl>
            <w:tblPr>
              <w:tblStyle w:val="22"/>
              <w:tblW w:w="90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1515"/>
              <w:gridCol w:w="1440"/>
              <w:gridCol w:w="1455"/>
              <w:gridCol w:w="2845"/>
            </w:tblGrid>
            <w:tr w14:paraId="7E08D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1752" w:type="dxa"/>
                  <w:vAlign w:val="center"/>
                </w:tcPr>
                <w:p w14:paraId="76C08CB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使用科室</w:t>
                  </w:r>
                </w:p>
              </w:tc>
              <w:tc>
                <w:tcPr>
                  <w:tcW w:w="1515" w:type="dxa"/>
                  <w:vAlign w:val="center"/>
                </w:tcPr>
                <w:p w14:paraId="6577570E">
                  <w:pPr>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医师</w:t>
                  </w:r>
                </w:p>
              </w:tc>
              <w:tc>
                <w:tcPr>
                  <w:tcW w:w="1440" w:type="dxa"/>
                  <w:vAlign w:val="center"/>
                </w:tcPr>
                <w:p w14:paraId="022F4C07">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护士</w:t>
                  </w:r>
                </w:p>
              </w:tc>
              <w:tc>
                <w:tcPr>
                  <w:tcW w:w="1455" w:type="dxa"/>
                  <w:vAlign w:val="center"/>
                </w:tcPr>
                <w:p w14:paraId="12CF7027">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技师</w:t>
                  </w:r>
                </w:p>
              </w:tc>
              <w:tc>
                <w:tcPr>
                  <w:tcW w:w="2845" w:type="dxa"/>
                  <w:vAlign w:val="center"/>
                </w:tcPr>
                <w:p w14:paraId="0A8432E9">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备注</w:t>
                  </w:r>
                </w:p>
              </w:tc>
            </w:tr>
            <w:tr w14:paraId="699A6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1752" w:type="dxa"/>
                  <w:vAlign w:val="center"/>
                </w:tcPr>
                <w:p w14:paraId="66971A7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外科</w:t>
                  </w:r>
                </w:p>
              </w:tc>
              <w:tc>
                <w:tcPr>
                  <w:tcW w:w="1515" w:type="dxa"/>
                  <w:vAlign w:val="center"/>
                </w:tcPr>
                <w:p w14:paraId="4A05280D">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8</w:t>
                  </w:r>
                </w:p>
              </w:tc>
              <w:tc>
                <w:tcPr>
                  <w:tcW w:w="1440" w:type="dxa"/>
                  <w:vAlign w:val="center"/>
                </w:tcPr>
                <w:p w14:paraId="799542A3">
                  <w:pPr>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w:t>
                  </w:r>
                </w:p>
              </w:tc>
              <w:tc>
                <w:tcPr>
                  <w:tcW w:w="1455" w:type="dxa"/>
                  <w:vAlign w:val="center"/>
                </w:tcPr>
                <w:p w14:paraId="1BBB1FDA">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w:t>
                  </w:r>
                </w:p>
              </w:tc>
              <w:tc>
                <w:tcPr>
                  <w:tcW w:w="2845" w:type="dxa"/>
                  <w:vAlign w:val="center"/>
                </w:tcPr>
                <w:p w14:paraId="2851566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30" w:name="OLE_LINK212"/>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均由医院</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外科在职人员</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调配，以往及之后均不操作院内其他辐射装置</w:t>
                  </w:r>
                  <w:bookmarkEnd w:id="30"/>
                </w:p>
              </w:tc>
            </w:tr>
          </w:tbl>
          <w:p w14:paraId="3C130EE3">
            <w:pPr>
              <w:ind w:firstLine="42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注：项目手术时一般为2名医师+1名技师+1名护士为一</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个医疗组</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4B40BD25">
            <w:pPr>
              <w:spacing w:line="360" w:lineRule="auto"/>
              <w:ind w:firstLine="48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透视工况下：</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所有技师在</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内操作</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不进入介入手术室内，也不交叉操作院内其它射线装置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医师在</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操作移动C臂X射线机设备进行介入手术</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项目医师</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以往及之后均不操作院内其他</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射线</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装置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护士主要负责介入手术前的准备工作及术后患者的监护，曝光时不在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手术室及控制室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内停留，不操作射线装置。</w:t>
            </w:r>
          </w:p>
          <w:p w14:paraId="3BCEA2A4">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减影工况下：</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所有技师在</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内操作</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不进入介入手术室内</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医师在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控制室内查阅检查结果</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护士主要负责</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患者检查</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前的准备工作及术后患者</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引导</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，曝光时不在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手术室及控制室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内停留，不操作射线装置。</w:t>
            </w:r>
          </w:p>
          <w:p w14:paraId="3230FB6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生态环境部《关于做好2020年核技术利用辐射安全与防护培训和考核工作有关事项的通知》(环办辐射函[2019]853号）和《关于核技术利用辐射安全与防护培训和考核有关事项的公告》（生态环境部公告2019年第57号)，医院尽快组织本项目所有辐射工作人员在生态环境部培训平台(http</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/fushe</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mee</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gov</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cn)上进行报名和培训并进行考核，经考核合格后方可上岗，并定期复训。</w:t>
            </w:r>
          </w:p>
          <w:p w14:paraId="73F8969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（2）工作制度</w:t>
            </w:r>
          </w:p>
          <w:p w14:paraId="192227A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每天工作8小时，每年工作250天。</w:t>
            </w:r>
          </w:p>
          <w:p w14:paraId="7500B16F">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8</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、产业政策符合性</w:t>
            </w:r>
          </w:p>
          <w:p w14:paraId="4A9D9D1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bookmarkStart w:id="31" w:name="OLE_LINK76"/>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属于《产业结构调整指导目录（2024年本）》中第十三项医药中第4款：“高端医疗器械创新发展：新型基因、蛋白和细胞诊断设备，新型医用诊断设备和试剂，高性能医学影像设备，高端放射治疗设备，急危重症生命支持设备，人工智能辅助医疗设备，移动与远程诊疗设备，高端康复辅助器具，高端植入介入产品，手术机器人等高端外科设备及耗材，生物医用材料、增材制造技术开发与应用”，属于国家鼓励类产业，符合国家产业政策</w:t>
            </w:r>
            <w:bookmarkEnd w:id="31"/>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5E8B4A0">
            <w:pPr>
              <w:pStyle w:val="30"/>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9</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、项目规划符合性</w:t>
            </w:r>
          </w:p>
          <w:p w14:paraId="2CE0F822">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bookmarkStart w:id="32" w:name="OLE_LINK77"/>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本项目位于</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昆明市呈贡区余华街道办事处祥园街2628号昆明市中医医院（呈贡医院）医技楼4楼介入手术室</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该用地属于</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呈贡区</w:t>
            </w:r>
            <w:r>
              <w:rPr>
                <w:rFonts w:hint="default"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已规划的医疗卫生用地，本项目不涉及新增占地，因此项目符合</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呈贡区</w:t>
            </w:r>
            <w:r>
              <w:rPr>
                <w:rFonts w:hint="default"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城市总体规划</w:t>
            </w:r>
            <w:bookmarkEnd w:id="32"/>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w:t>
            </w:r>
          </w:p>
          <w:p w14:paraId="6714F66A">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10</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、项目选址合理性与平面布置合理性分析</w:t>
            </w:r>
          </w:p>
          <w:p w14:paraId="11C49190">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bookmarkStart w:id="33" w:name="OLE_LINK78"/>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（1）选址合理性分析</w:t>
            </w:r>
          </w:p>
          <w:p w14:paraId="01EC47D4">
            <w:pPr>
              <w:autoSpaceDE w:val="0"/>
              <w:autoSpaceDN w:val="0"/>
              <w:adjustRightInd w:val="0"/>
              <w:spacing w:line="360" w:lineRule="auto"/>
              <w:ind w:firstLine="480"/>
              <w:jc w:val="left"/>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pPr>
            <w:bookmarkStart w:id="34" w:name="OLE_LINK213"/>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位于</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昆明市呈贡区余华街道办事处祥园街2628号</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及配套用房拟建位置为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昆明市中医医院（呈贡医院）医技楼4楼介入手术室</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(东经：</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102</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49</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39.541</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″；北纬：</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24</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52</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2.324</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医技楼</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北侧为</w:t>
            </w:r>
            <w:bookmarkStart w:id="35" w:name="OLE_LINK15"/>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住院楼、行政办公楼、中医制剂楼</w:t>
            </w:r>
            <w:bookmarkEnd w:id="35"/>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与</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屏蔽墙体</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分别</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17</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m</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78m、69m；</w:t>
            </w:r>
            <w:r>
              <w:rPr>
                <w:rFonts w:hint="default"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西侧为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院内休息花园</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屏蔽墙体</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73m</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；南侧为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门诊楼</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屏蔽墙体</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16m</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；东侧为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院内休息花园</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屏蔽墙体</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距离为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12m</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墙体外延50m范围内</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均为院内建筑物、道路、景观绿化区等。</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本项目50m范围之内无自然保护区、风景名胜区等环境敏感区，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也</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未紧邻产科、儿科等</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进行了相应的辐射屏蔽设计，根据表11环境影响分析可知，经采取相应防护治理措施后，项目设备电离辐射对周围环境影响较小，选址合理</w:t>
            </w:r>
            <w:bookmarkEnd w:id="34"/>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。周边环境关系见附图2。</w:t>
            </w:r>
          </w:p>
          <w:p w14:paraId="252FC14B">
            <w:pPr>
              <w:autoSpaceDE w:val="0"/>
              <w:autoSpaceDN w:val="0"/>
              <w:adjustRightInd w:val="0"/>
              <w:spacing w:line="360" w:lineRule="auto"/>
              <w:ind w:firstLine="480"/>
              <w:jc w:val="left"/>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（2）平面布置和人员通道合理性分析</w:t>
            </w:r>
          </w:p>
          <w:p w14:paraId="28D403F5">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bookmarkStart w:id="36" w:name="OLE_LINK214"/>
            <w:r>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拟建位置为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医院医技楼东</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侧。</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北侧隔本项目控制室外为麻醉耗材库、体位垫库房、仪器室、药品室、室内道路、住院楼；西</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侧</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隔本项目前室外为室内道路、其他手术室、麻醉药品库、配电室、库房、医护办公室；南侧为其他手术室、药品瓶回收间、样本间、清洁间、室内道路、门诊楼；东侧为室内通道、无菌物品库房、工友间、污物清洗收集室、污物间、电梯间、楼梯间、院内休息花园。</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正</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上方（</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楼）为</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楼顶设备摆放区</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；项目</w:t>
            </w:r>
            <w:r>
              <w:rPr>
                <w:rFonts w:hint="eastAsia" w:ascii="Times New Roman" w:hAnsi="Times New Roman" w:cs="Times New Roman" w:eastAsiaTheme="minorEastAsia"/>
                <w:b w:val="0"/>
                <w:bCs w:val="0"/>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正</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下方（</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楼）</w:t>
            </w:r>
            <w:r>
              <w:rPr>
                <w:rFonts w:hint="eastAsia" w:ascii="Times New Roman" w:hAnsi="Times New Roman" w:cs="Times New Roman" w:eastAsiaTheme="minorEastAsia"/>
                <w:b w:val="0"/>
                <w:bCs w:val="0"/>
                <w:color w:val="0D0D0D" w:themeColor="text1" w:themeTint="F2"/>
                <w:highlight w:val="none"/>
                <w:lang w:val="en-US" w:eastAsia="zh-CN"/>
                <w14:textFill>
                  <w14:solidFill>
                    <w14:schemeClr w14:val="tx1">
                      <w14:lumMod w14:val="95000"/>
                      <w14:lumOff w14:val="5000"/>
                    </w14:schemeClr>
                  </w14:solidFill>
                </w14:textFill>
              </w:rPr>
              <w:t>为室内通道、检查室、阅片室、腔镜室。本项目医护人员由项目区北侧医护通道进入，经更衣室、洁净走廊后进入控制室及介入手术室；病人由项目区北侧患者通道进入，经换床间、洁净通道、前室后进入介入手术室就诊，术后原路返回；术后污物从介入手术室东侧经污物清洗收集室打包后通过东南侧污物电梯离开</w:t>
            </w:r>
            <w:r>
              <w:rPr>
                <w:rFonts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，区域划分明确。</w:t>
            </w:r>
            <w:r>
              <w:rPr>
                <w:rFonts w:hint="eastAsia" w:ascii="Times New Roman" w:hAnsi="Times New Roman" w:cs="Times New Roman" w:eastAsiaTheme="minorEastAsia"/>
                <w:b w:val="0"/>
                <w:bCs w:val="0"/>
                <w:color w:val="0D0D0D" w:themeColor="text1" w:themeTint="F2"/>
                <w:highlight w:val="none"/>
                <w14:textFill>
                  <w14:solidFill>
                    <w14:schemeClr w14:val="tx1">
                      <w14:lumMod w14:val="95000"/>
                      <w14:lumOff w14:val="5000"/>
                    </w14:schemeClr>
                  </w14:solidFill>
                </w14:textFill>
              </w:rPr>
              <w:t>且项目区避开了人群较为集中的区域，所处位置相对独立，医护人员通道、患者通道和污物通道都是独立设施、有利于病人流</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通且避免不同人员的交叉影响。同时，</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采取了有效屏蔽措施后对周围产生的环境影响是可以接受的，因此，项目平面布局合理</w:t>
            </w:r>
            <w:bookmarkEnd w:id="36"/>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医技楼3</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楼平面布置图见附图</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医技楼5</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楼平面布置图见附图</w:t>
            </w:r>
            <w:bookmarkEnd w:id="33"/>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3C1B2829">
            <w:pPr>
              <w:widowControl/>
              <w:spacing w:line="360" w:lineRule="auto"/>
              <w:ind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11</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、实践正当性分析</w:t>
            </w:r>
          </w:p>
          <w:p w14:paraId="77C32FE5">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在运行期间将会产生电离辐射，虽然会增加机房周围的电离辐射水平，但是采取各种屏蔽措施和管理措施后可得到有效的控制。本项目投入使用不仅满足了患者的就医需求，还将给医院带来更多的经济效益和社会效益，符合《电离辐射防护与辐射源安全基本标准》（GB18871-2002）“实践的正当性”的原则。</w:t>
            </w:r>
          </w:p>
          <w:p w14:paraId="53970B2F">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12</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、与本项目有关的原有污染情况及主要环境问题</w:t>
            </w:r>
          </w:p>
          <w:p w14:paraId="6174943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（1）辐射安全许可证许可核技术应用项目情况</w:t>
            </w:r>
          </w:p>
          <w:p w14:paraId="72F86D69">
            <w:pPr>
              <w:spacing w:line="360" w:lineRule="auto"/>
              <w:ind w:firstLine="48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昆明市中医医院于2025年4月25日取得了昆明市生态环境局最新颁发的辐射安全许可证，证书编号为：云环辐证[02090]。使用种类和范围为：使用</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Ⅱ</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类、</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Ⅲ</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类射线装置，有效期至2029年9月18日。</w:t>
            </w:r>
          </w:p>
          <w:p w14:paraId="0C7446BB">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涉共涉及3个院区：呈贡医院、关兴路院区、东风路院区。现多个院区在用射线装置共34台。其中本项目拟建场地位于昆明市呈贡区余华街道办事处祥园街2628号昆明市中医医院（呈贡医院），该院区在用射线装置共17台，其中Ⅱ类射线装置1台、Ⅲ类射线装置16台。根据核查，昆明市中医医院在用的辐射装置种类、范围未超出现有辐射安全许可证，设备使用地点与辐射安全许可证一致，且从当地生态环境局了解，医院未发生过辐射安全事故及环保投诉，医院不存在超辐射安全许可证使用射线装置的情况。具体情况见表1-7。</w:t>
            </w:r>
          </w:p>
          <w:p w14:paraId="7857C601">
            <w:pPr>
              <w:spacing w:line="360" w:lineRule="auto"/>
              <w:ind w:left="0" w:leftChars="0" w:firstLine="0" w:firstLineChars="0"/>
              <w:jc w:val="cente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表1-</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7</w:t>
            </w: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 xml:space="preserve">    医院现有核技术一览表</w:t>
            </w:r>
          </w:p>
          <w:tbl>
            <w:tblPr>
              <w:tblStyle w:val="22"/>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972"/>
              <w:gridCol w:w="785"/>
              <w:gridCol w:w="1452"/>
              <w:gridCol w:w="938"/>
              <w:gridCol w:w="1750"/>
              <w:gridCol w:w="1537"/>
            </w:tblGrid>
            <w:tr w14:paraId="25719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13" w:type="dxa"/>
                  <w:vAlign w:val="center"/>
                </w:tcPr>
                <w:p w14:paraId="0003C9F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序号</w:t>
                  </w:r>
                </w:p>
              </w:tc>
              <w:tc>
                <w:tcPr>
                  <w:tcW w:w="1972" w:type="dxa"/>
                  <w:vAlign w:val="center"/>
                </w:tcPr>
                <w:p w14:paraId="07498B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装置名称</w:t>
                  </w:r>
                </w:p>
              </w:tc>
              <w:tc>
                <w:tcPr>
                  <w:tcW w:w="785" w:type="dxa"/>
                  <w:vAlign w:val="center"/>
                </w:tcPr>
                <w:p w14:paraId="04CF9CB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数量</w:t>
                  </w:r>
                </w:p>
              </w:tc>
              <w:tc>
                <w:tcPr>
                  <w:tcW w:w="1452" w:type="dxa"/>
                  <w:vAlign w:val="center"/>
                </w:tcPr>
                <w:p w14:paraId="1DF8B54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规格型号</w:t>
                  </w:r>
                </w:p>
              </w:tc>
              <w:tc>
                <w:tcPr>
                  <w:tcW w:w="938" w:type="dxa"/>
                  <w:vAlign w:val="center"/>
                </w:tcPr>
                <w:p w14:paraId="043C91B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射线类型</w:t>
                  </w:r>
                </w:p>
              </w:tc>
              <w:tc>
                <w:tcPr>
                  <w:tcW w:w="1750" w:type="dxa"/>
                  <w:vAlign w:val="center"/>
                </w:tcPr>
                <w:p w14:paraId="31C7B34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使用场所</w:t>
                  </w:r>
                </w:p>
              </w:tc>
              <w:tc>
                <w:tcPr>
                  <w:tcW w:w="1537" w:type="dxa"/>
                  <w:vAlign w:val="center"/>
                </w:tcPr>
                <w:p w14:paraId="3841EEC8">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备注</w:t>
                  </w:r>
                </w:p>
              </w:tc>
            </w:tr>
            <w:tr w14:paraId="34C0D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415E46F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972" w:type="dxa"/>
                  <w:vAlign w:val="center"/>
                </w:tcPr>
                <w:p w14:paraId="6FB873B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双能X射线骨密度仪</w:t>
                  </w:r>
                </w:p>
              </w:tc>
              <w:tc>
                <w:tcPr>
                  <w:tcW w:w="785" w:type="dxa"/>
                  <w:vAlign w:val="center"/>
                </w:tcPr>
                <w:p w14:paraId="61B9377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9EE307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Prodigy</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Advance</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Prodigy Primo</w:t>
                  </w:r>
                </w:p>
              </w:tc>
              <w:tc>
                <w:tcPr>
                  <w:tcW w:w="938" w:type="dxa"/>
                  <w:vAlign w:val="center"/>
                </w:tcPr>
                <w:p w14:paraId="13A1943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3BDFE8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呈贡住院楼一楼医学影像科骨密度室</w:t>
                  </w:r>
                </w:p>
              </w:tc>
              <w:tc>
                <w:tcPr>
                  <w:tcW w:w="1537" w:type="dxa"/>
                  <w:vMerge w:val="restart"/>
                  <w:vAlign w:val="center"/>
                </w:tcPr>
                <w:p w14:paraId="00B42B5D">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eastAsia="zh-CN"/>
                      <w14:textFill>
                        <w14:solidFill>
                          <w14:schemeClr w14:val="tx1">
                            <w14:lumMod w14:val="95000"/>
                            <w14:lumOff w14:val="5000"/>
                          </w14:schemeClr>
                        </w14:solidFill>
                      </w14:textFill>
                    </w:rPr>
                    <w:t>已登记在辐射安全许可证上，正常使用</w:t>
                  </w:r>
                </w:p>
              </w:tc>
            </w:tr>
            <w:tr w14:paraId="12230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1FA4E16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w:t>
                  </w:r>
                </w:p>
              </w:tc>
              <w:tc>
                <w:tcPr>
                  <w:tcW w:w="1972" w:type="dxa"/>
                  <w:vAlign w:val="center"/>
                </w:tcPr>
                <w:p w14:paraId="62F1AE2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乳腺X射线机</w:t>
                  </w:r>
                </w:p>
              </w:tc>
              <w:tc>
                <w:tcPr>
                  <w:tcW w:w="785" w:type="dxa"/>
                  <w:vAlign w:val="center"/>
                </w:tcPr>
                <w:p w14:paraId="69D6B95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1AB52F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Senographe Essential</w:t>
                  </w:r>
                </w:p>
              </w:tc>
              <w:tc>
                <w:tcPr>
                  <w:tcW w:w="938" w:type="dxa"/>
                  <w:vAlign w:val="center"/>
                </w:tcPr>
                <w:p w14:paraId="2AEFF30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31D8504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呈贡住院楼一楼医学影像科钼靶乳腺室（5)</w:t>
                  </w:r>
                </w:p>
              </w:tc>
              <w:tc>
                <w:tcPr>
                  <w:tcW w:w="1537" w:type="dxa"/>
                  <w:vMerge w:val="continue"/>
                  <w:vAlign w:val="center"/>
                </w:tcPr>
                <w:p w14:paraId="63EB2501">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2477C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15F6C74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w:t>
                  </w:r>
                </w:p>
              </w:tc>
              <w:tc>
                <w:tcPr>
                  <w:tcW w:w="1972" w:type="dxa"/>
                  <w:vAlign w:val="center"/>
                </w:tcPr>
                <w:p w14:paraId="713042B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全景X射线机</w:t>
                  </w:r>
                </w:p>
                <w:p w14:paraId="2E6082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(口腔)</w:t>
                  </w:r>
                </w:p>
              </w:tc>
              <w:tc>
                <w:tcPr>
                  <w:tcW w:w="785" w:type="dxa"/>
                  <w:vAlign w:val="center"/>
                </w:tcPr>
                <w:p w14:paraId="2F7E982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5A58C8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Planmeca Promax</w:t>
                  </w:r>
                </w:p>
              </w:tc>
              <w:tc>
                <w:tcPr>
                  <w:tcW w:w="938" w:type="dxa"/>
                  <w:vAlign w:val="center"/>
                </w:tcPr>
                <w:p w14:paraId="0FA82CD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35896AB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呈贡门诊楼二楼口腔科摄片室</w:t>
                  </w:r>
                </w:p>
              </w:tc>
              <w:tc>
                <w:tcPr>
                  <w:tcW w:w="1537" w:type="dxa"/>
                  <w:vMerge w:val="continue"/>
                  <w:vAlign w:val="center"/>
                </w:tcPr>
                <w:p w14:paraId="79D96525">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B272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7E25DB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4</w:t>
                  </w:r>
                </w:p>
              </w:tc>
              <w:tc>
                <w:tcPr>
                  <w:tcW w:w="1972" w:type="dxa"/>
                  <w:vAlign w:val="center"/>
                </w:tcPr>
                <w:p w14:paraId="47611B0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口腔内成像X射线机</w:t>
                  </w:r>
                </w:p>
              </w:tc>
              <w:tc>
                <w:tcPr>
                  <w:tcW w:w="785" w:type="dxa"/>
                  <w:vAlign w:val="center"/>
                </w:tcPr>
                <w:p w14:paraId="1A1AD2B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9ADE65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Planmeca ProX</w:t>
                  </w:r>
                </w:p>
              </w:tc>
              <w:tc>
                <w:tcPr>
                  <w:tcW w:w="938" w:type="dxa"/>
                  <w:vAlign w:val="center"/>
                </w:tcPr>
                <w:p w14:paraId="15B77C5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5A2AD0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呈贡门诊楼二楼口腔科摄片室</w:t>
                  </w:r>
                </w:p>
              </w:tc>
              <w:tc>
                <w:tcPr>
                  <w:tcW w:w="1537" w:type="dxa"/>
                  <w:vMerge w:val="continue"/>
                  <w:vAlign w:val="center"/>
                </w:tcPr>
                <w:p w14:paraId="399C1627">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24C7D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38BB2FE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5</w:t>
                  </w:r>
                </w:p>
              </w:tc>
              <w:tc>
                <w:tcPr>
                  <w:tcW w:w="1972" w:type="dxa"/>
                  <w:vAlign w:val="center"/>
                </w:tcPr>
                <w:p w14:paraId="32D21BA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移动式数字放射成像系统</w:t>
                  </w:r>
                </w:p>
              </w:tc>
              <w:tc>
                <w:tcPr>
                  <w:tcW w:w="785" w:type="dxa"/>
                  <w:vAlign w:val="center"/>
                </w:tcPr>
                <w:p w14:paraId="3BC4918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090FFE7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uDR370i</w:t>
                  </w:r>
                </w:p>
              </w:tc>
              <w:tc>
                <w:tcPr>
                  <w:tcW w:w="938" w:type="dxa"/>
                  <w:vAlign w:val="center"/>
                </w:tcPr>
                <w:p w14:paraId="210856A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7B3584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呈贡住院楼一楼医学影像科住院部病房</w:t>
                  </w:r>
                </w:p>
              </w:tc>
              <w:tc>
                <w:tcPr>
                  <w:tcW w:w="1537" w:type="dxa"/>
                  <w:vMerge w:val="continue"/>
                  <w:vAlign w:val="center"/>
                </w:tcPr>
                <w:p w14:paraId="245532AF">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CFF4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3734A22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6</w:t>
                  </w:r>
                </w:p>
              </w:tc>
              <w:tc>
                <w:tcPr>
                  <w:tcW w:w="1972" w:type="dxa"/>
                  <w:vAlign w:val="center"/>
                </w:tcPr>
                <w:p w14:paraId="764BCA3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4E00074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1F5018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KD-C7000</w:t>
                  </w:r>
                </w:p>
              </w:tc>
              <w:tc>
                <w:tcPr>
                  <w:tcW w:w="938" w:type="dxa"/>
                  <w:vAlign w:val="center"/>
                </w:tcPr>
                <w:p w14:paraId="4822719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6D15DC8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呈贡住院楼一楼医学影像科DR检查室（2)</w:t>
                  </w:r>
                </w:p>
              </w:tc>
              <w:tc>
                <w:tcPr>
                  <w:tcW w:w="1537" w:type="dxa"/>
                  <w:vMerge w:val="continue"/>
                  <w:vAlign w:val="center"/>
                </w:tcPr>
                <w:p w14:paraId="3483B390">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E22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613" w:type="dxa"/>
                  <w:vAlign w:val="center"/>
                </w:tcPr>
                <w:p w14:paraId="1ED17A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7</w:t>
                  </w:r>
                </w:p>
              </w:tc>
              <w:tc>
                <w:tcPr>
                  <w:tcW w:w="1972" w:type="dxa"/>
                  <w:vAlign w:val="center"/>
                </w:tcPr>
                <w:p w14:paraId="76FF7D8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6C09E70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892419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7900 GE OEC</w:t>
                  </w:r>
                </w:p>
                <w:p w14:paraId="0E715E3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Fluorostar Compact D</w:t>
                  </w:r>
                </w:p>
              </w:tc>
              <w:tc>
                <w:tcPr>
                  <w:tcW w:w="938" w:type="dxa"/>
                  <w:vAlign w:val="center"/>
                </w:tcPr>
                <w:p w14:paraId="1DC4C10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14B3BCC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呈贡住院楼四楼麻醉科手术室（4）</w:t>
                  </w:r>
                </w:p>
              </w:tc>
              <w:tc>
                <w:tcPr>
                  <w:tcW w:w="1537" w:type="dxa"/>
                  <w:vMerge w:val="continue"/>
                  <w:vAlign w:val="center"/>
                </w:tcPr>
                <w:p w14:paraId="4C54B862">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4F92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24C8732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8</w:t>
                  </w:r>
                </w:p>
              </w:tc>
              <w:tc>
                <w:tcPr>
                  <w:tcW w:w="1972" w:type="dxa"/>
                  <w:vAlign w:val="center"/>
                </w:tcPr>
                <w:p w14:paraId="32D5B1B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6CBB987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045CE06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GE OEC</w:t>
                  </w:r>
                </w:p>
                <w:p w14:paraId="0AD9650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Fluorostar Compact D</w:t>
                  </w:r>
                </w:p>
              </w:tc>
              <w:tc>
                <w:tcPr>
                  <w:tcW w:w="938" w:type="dxa"/>
                  <w:vAlign w:val="center"/>
                </w:tcPr>
                <w:p w14:paraId="22C673C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584B7E1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呈贡住院楼四楼麻醉科手术室（6)</w:t>
                  </w:r>
                </w:p>
              </w:tc>
              <w:tc>
                <w:tcPr>
                  <w:tcW w:w="1537" w:type="dxa"/>
                  <w:vMerge w:val="continue"/>
                  <w:vAlign w:val="center"/>
                </w:tcPr>
                <w:p w14:paraId="4949B48B">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12957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9B361F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9</w:t>
                  </w:r>
                </w:p>
              </w:tc>
              <w:tc>
                <w:tcPr>
                  <w:tcW w:w="1972" w:type="dxa"/>
                  <w:vAlign w:val="center"/>
                </w:tcPr>
                <w:p w14:paraId="7871953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数字化医用X射线摄影系统</w:t>
                  </w:r>
                </w:p>
              </w:tc>
              <w:tc>
                <w:tcPr>
                  <w:tcW w:w="785" w:type="dxa"/>
                  <w:vAlign w:val="center"/>
                </w:tcPr>
                <w:p w14:paraId="2C9A1D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3AB3F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“擎天”</w:t>
                  </w:r>
                </w:p>
                <w:p w14:paraId="281C743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DRx-InnovationQ-KadOTC</w:t>
                  </w:r>
                </w:p>
              </w:tc>
              <w:tc>
                <w:tcPr>
                  <w:tcW w:w="938" w:type="dxa"/>
                  <w:vAlign w:val="center"/>
                </w:tcPr>
                <w:p w14:paraId="1F89483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7315886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呈贡行政办公楼健康体检中心影像科</w:t>
                  </w:r>
                </w:p>
              </w:tc>
              <w:tc>
                <w:tcPr>
                  <w:tcW w:w="1537" w:type="dxa"/>
                  <w:vMerge w:val="continue"/>
                  <w:vAlign w:val="center"/>
                </w:tcPr>
                <w:p w14:paraId="2A18B0F9">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7234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B8F644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10</w:t>
                  </w:r>
                </w:p>
              </w:tc>
              <w:tc>
                <w:tcPr>
                  <w:tcW w:w="1972" w:type="dxa"/>
                  <w:vAlign w:val="center"/>
                </w:tcPr>
                <w:p w14:paraId="1C65FA0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射线诊断设备</w:t>
                  </w:r>
                </w:p>
                <w:p w14:paraId="7510CF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(胃肠机)</w:t>
                  </w:r>
                </w:p>
              </w:tc>
              <w:tc>
                <w:tcPr>
                  <w:tcW w:w="785" w:type="dxa"/>
                  <w:vAlign w:val="center"/>
                </w:tcPr>
                <w:p w14:paraId="43E2445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3CB9EB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Luminos Fusion智敏</w:t>
                  </w:r>
                </w:p>
              </w:tc>
              <w:tc>
                <w:tcPr>
                  <w:tcW w:w="938" w:type="dxa"/>
                  <w:vAlign w:val="center"/>
                </w:tcPr>
                <w:p w14:paraId="40113C2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301AEC8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呈贡住院楼一楼医学影像科DR摄片室（1)</w:t>
                  </w:r>
                </w:p>
              </w:tc>
              <w:tc>
                <w:tcPr>
                  <w:tcW w:w="1537" w:type="dxa"/>
                  <w:vMerge w:val="continue"/>
                  <w:vAlign w:val="center"/>
                </w:tcPr>
                <w:p w14:paraId="64419AE6">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1B07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046114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11</w:t>
                  </w:r>
                </w:p>
              </w:tc>
              <w:tc>
                <w:tcPr>
                  <w:tcW w:w="1972" w:type="dxa"/>
                  <w:vAlign w:val="center"/>
                </w:tcPr>
                <w:p w14:paraId="582FFDD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X射线计算机体层摄影设备</w:t>
                  </w:r>
                </w:p>
                <w:p w14:paraId="04DB9C3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(CT)</w:t>
                  </w:r>
                </w:p>
              </w:tc>
              <w:tc>
                <w:tcPr>
                  <w:tcW w:w="785" w:type="dxa"/>
                  <w:vAlign w:val="center"/>
                </w:tcPr>
                <w:p w14:paraId="753FD59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05F7E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SOMATOM Definition AS</w:t>
                  </w:r>
                </w:p>
              </w:tc>
              <w:tc>
                <w:tcPr>
                  <w:tcW w:w="938" w:type="dxa"/>
                  <w:vAlign w:val="center"/>
                </w:tcPr>
                <w:p w14:paraId="6430FA2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6B9183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呈贡住院楼一楼医学影像科CT检查室（7)</w:t>
                  </w:r>
                </w:p>
              </w:tc>
              <w:tc>
                <w:tcPr>
                  <w:tcW w:w="1537" w:type="dxa"/>
                  <w:vMerge w:val="continue"/>
                  <w:vAlign w:val="center"/>
                </w:tcPr>
                <w:p w14:paraId="3A25F614">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11ECF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2716C00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12</w:t>
                  </w:r>
                </w:p>
              </w:tc>
              <w:tc>
                <w:tcPr>
                  <w:tcW w:w="1972" w:type="dxa"/>
                  <w:vAlign w:val="center"/>
                </w:tcPr>
                <w:p w14:paraId="3437278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2765722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063F46A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Brivo OEC 715</w:t>
                  </w:r>
                </w:p>
              </w:tc>
              <w:tc>
                <w:tcPr>
                  <w:tcW w:w="938" w:type="dxa"/>
                  <w:vAlign w:val="center"/>
                </w:tcPr>
                <w:p w14:paraId="1DF05C5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7EBC66C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呈贡医院住院楼四楼麻醉科</w:t>
                  </w:r>
                </w:p>
              </w:tc>
              <w:tc>
                <w:tcPr>
                  <w:tcW w:w="1537" w:type="dxa"/>
                  <w:vMerge w:val="continue"/>
                  <w:vAlign w:val="center"/>
                </w:tcPr>
                <w:p w14:paraId="682977DC">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6107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5410BF6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13</w:t>
                  </w:r>
                </w:p>
              </w:tc>
              <w:tc>
                <w:tcPr>
                  <w:tcW w:w="1972" w:type="dxa"/>
                  <w:vAlign w:val="center"/>
                </w:tcPr>
                <w:p w14:paraId="69C5D38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数字减影血管造影机(DSA)</w:t>
                  </w:r>
                </w:p>
              </w:tc>
              <w:tc>
                <w:tcPr>
                  <w:tcW w:w="785" w:type="dxa"/>
                  <w:vAlign w:val="center"/>
                </w:tcPr>
                <w:p w14:paraId="6242F0A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559108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Azurion7M20</w:t>
                  </w:r>
                </w:p>
              </w:tc>
              <w:tc>
                <w:tcPr>
                  <w:tcW w:w="938" w:type="dxa"/>
                  <w:vAlign w:val="center"/>
                </w:tcPr>
                <w:p w14:paraId="2931139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Ⅱ</w:t>
                  </w:r>
                </w:p>
              </w:tc>
              <w:tc>
                <w:tcPr>
                  <w:tcW w:w="1750" w:type="dxa"/>
                  <w:vAlign w:val="center"/>
                </w:tcPr>
                <w:p w14:paraId="74E7F0E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呈贡医院门诊楼一楼医学影像科</w:t>
                  </w:r>
                </w:p>
              </w:tc>
              <w:tc>
                <w:tcPr>
                  <w:tcW w:w="1537" w:type="dxa"/>
                  <w:vMerge w:val="continue"/>
                  <w:vAlign w:val="center"/>
                </w:tcPr>
                <w:p w14:paraId="5139EAF2">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1DE1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CE085E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14</w:t>
                  </w:r>
                </w:p>
              </w:tc>
              <w:tc>
                <w:tcPr>
                  <w:tcW w:w="1972" w:type="dxa"/>
                  <w:vAlign w:val="center"/>
                </w:tcPr>
                <w:p w14:paraId="19BD1CF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X射线计算机体层摄影设备</w:t>
                  </w:r>
                </w:p>
              </w:tc>
              <w:tc>
                <w:tcPr>
                  <w:tcW w:w="785" w:type="dxa"/>
                  <w:vAlign w:val="center"/>
                </w:tcPr>
                <w:p w14:paraId="5B54391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33B39A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uCT550</w:t>
                  </w:r>
                </w:p>
              </w:tc>
              <w:tc>
                <w:tcPr>
                  <w:tcW w:w="938" w:type="dxa"/>
                  <w:vAlign w:val="center"/>
                </w:tcPr>
                <w:p w14:paraId="4BA955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300E64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呈贡医院住院楼一楼医学影像科</w:t>
                  </w:r>
                </w:p>
              </w:tc>
              <w:tc>
                <w:tcPr>
                  <w:tcW w:w="1537" w:type="dxa"/>
                  <w:vMerge w:val="continue"/>
                  <w:vAlign w:val="center"/>
                </w:tcPr>
                <w:p w14:paraId="1D2C03C2">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48767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21F0C8A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1972" w:type="dxa"/>
                  <w:vAlign w:val="center"/>
                </w:tcPr>
                <w:p w14:paraId="1ACF9C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数字化医用X射线摄影系统</w:t>
                  </w:r>
                </w:p>
              </w:tc>
              <w:tc>
                <w:tcPr>
                  <w:tcW w:w="785" w:type="dxa"/>
                  <w:vAlign w:val="center"/>
                </w:tcPr>
                <w:p w14:paraId="18AE1D5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476ECAD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uDR596i</w:t>
                  </w:r>
                </w:p>
              </w:tc>
              <w:tc>
                <w:tcPr>
                  <w:tcW w:w="938" w:type="dxa"/>
                  <w:vAlign w:val="center"/>
                </w:tcPr>
                <w:p w14:paraId="244B977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1ADD8E1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呈贡医院住院楼一楼医学影像科</w:t>
                  </w:r>
                </w:p>
              </w:tc>
              <w:tc>
                <w:tcPr>
                  <w:tcW w:w="1537" w:type="dxa"/>
                  <w:vMerge w:val="continue"/>
                  <w:vAlign w:val="center"/>
                </w:tcPr>
                <w:p w14:paraId="6FEEB281">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2E6A7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378788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16</w:t>
                  </w:r>
                </w:p>
              </w:tc>
              <w:tc>
                <w:tcPr>
                  <w:tcW w:w="1972" w:type="dxa"/>
                  <w:vAlign w:val="center"/>
                </w:tcPr>
                <w:p w14:paraId="4EE7E5A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移动式C型臂X射线机</w:t>
                  </w:r>
                </w:p>
              </w:tc>
              <w:tc>
                <w:tcPr>
                  <w:tcW w:w="785" w:type="dxa"/>
                  <w:vAlign w:val="center"/>
                </w:tcPr>
                <w:p w14:paraId="7C76F8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9FC230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OEC Elite MiniView</w:t>
                  </w:r>
                </w:p>
              </w:tc>
              <w:tc>
                <w:tcPr>
                  <w:tcW w:w="938" w:type="dxa"/>
                  <w:vAlign w:val="center"/>
                </w:tcPr>
                <w:p w14:paraId="41443E9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C62135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呈贡医院住院楼四楼麻醉科手术室</w:t>
                  </w:r>
                </w:p>
              </w:tc>
              <w:tc>
                <w:tcPr>
                  <w:tcW w:w="1537" w:type="dxa"/>
                  <w:vMerge w:val="continue"/>
                  <w:vAlign w:val="center"/>
                </w:tcPr>
                <w:p w14:paraId="3BF34083">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7ABB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0E740E2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17</w:t>
                  </w:r>
                </w:p>
              </w:tc>
              <w:tc>
                <w:tcPr>
                  <w:tcW w:w="1972" w:type="dxa"/>
                  <w:shd w:val="clear" w:color="auto" w:fill="auto"/>
                  <w:vAlign w:val="center"/>
                </w:tcPr>
                <w:p w14:paraId="3F6988D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X射线数字化体层摄影设备（负重CT)</w:t>
                  </w:r>
                </w:p>
              </w:tc>
              <w:tc>
                <w:tcPr>
                  <w:tcW w:w="785" w:type="dxa"/>
                  <w:shd w:val="clear" w:color="auto" w:fill="auto"/>
                  <w:vAlign w:val="center"/>
                </w:tcPr>
                <w:p w14:paraId="5A68DED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shd w:val="clear" w:color="auto" w:fill="auto"/>
                  <w:vAlign w:val="center"/>
                </w:tcPr>
                <w:p w14:paraId="5CFB264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Planmed Verity</w:t>
                  </w:r>
                </w:p>
              </w:tc>
              <w:tc>
                <w:tcPr>
                  <w:tcW w:w="938" w:type="dxa"/>
                  <w:shd w:val="clear" w:color="auto" w:fill="auto"/>
                  <w:vAlign w:val="center"/>
                </w:tcPr>
                <w:p w14:paraId="6BCC0A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shd w:val="clear" w:color="auto" w:fill="auto"/>
                  <w:vAlign w:val="center"/>
                </w:tcPr>
                <w:p w14:paraId="6CE471C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呈贡医院门诊楼1楼骨伤科负重CT机房</w:t>
                  </w:r>
                </w:p>
              </w:tc>
              <w:tc>
                <w:tcPr>
                  <w:tcW w:w="1537" w:type="dxa"/>
                  <w:vMerge w:val="continue"/>
                  <w:shd w:val="clear" w:color="auto" w:fill="auto"/>
                  <w:vAlign w:val="center"/>
                </w:tcPr>
                <w:p w14:paraId="616FC443">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p>
              </w:tc>
            </w:tr>
            <w:tr w14:paraId="35088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40811F8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18</w:t>
                  </w:r>
                </w:p>
              </w:tc>
              <w:tc>
                <w:tcPr>
                  <w:tcW w:w="1972" w:type="dxa"/>
                  <w:shd w:val="clear" w:color="auto" w:fill="auto"/>
                  <w:vAlign w:val="center"/>
                </w:tcPr>
                <w:p w14:paraId="63C5449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X射线诊断设备</w:t>
                  </w:r>
                </w:p>
                <w:p w14:paraId="4E1D478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(移动式)</w:t>
                  </w:r>
                </w:p>
                <w:p w14:paraId="4F94B8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p>
              </w:tc>
              <w:tc>
                <w:tcPr>
                  <w:tcW w:w="785" w:type="dxa"/>
                  <w:shd w:val="clear" w:color="auto" w:fill="auto"/>
                  <w:vAlign w:val="center"/>
                </w:tcPr>
                <w:p w14:paraId="59CCD8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shd w:val="clear" w:color="auto" w:fill="auto"/>
                  <w:vAlign w:val="center"/>
                </w:tcPr>
                <w:p w14:paraId="39ABCAA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MOBILETT XP Digital</w:t>
                  </w:r>
                </w:p>
              </w:tc>
              <w:tc>
                <w:tcPr>
                  <w:tcW w:w="938" w:type="dxa"/>
                  <w:shd w:val="clear" w:color="auto" w:fill="auto"/>
                  <w:vAlign w:val="center"/>
                </w:tcPr>
                <w:p w14:paraId="17B1A2B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shd w:val="clear" w:color="auto" w:fill="auto"/>
                  <w:vAlign w:val="center"/>
                </w:tcPr>
                <w:p w14:paraId="40EAED6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t>东风路住院部1号楼一楼重症医学科病房</w:t>
                  </w:r>
                </w:p>
              </w:tc>
              <w:tc>
                <w:tcPr>
                  <w:tcW w:w="1537" w:type="dxa"/>
                  <w:vMerge w:val="continue"/>
                  <w:shd w:val="clear" w:color="auto" w:fill="auto"/>
                  <w:vAlign w:val="center"/>
                </w:tcPr>
                <w:p w14:paraId="73FF827A">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p>
              </w:tc>
            </w:tr>
            <w:tr w14:paraId="0576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4166F87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19</w:t>
                  </w:r>
                </w:p>
              </w:tc>
              <w:tc>
                <w:tcPr>
                  <w:tcW w:w="1972" w:type="dxa"/>
                  <w:vAlign w:val="center"/>
                </w:tcPr>
                <w:p w14:paraId="2B0B82A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多层螺旋CT系统</w:t>
                  </w:r>
                </w:p>
              </w:tc>
              <w:tc>
                <w:tcPr>
                  <w:tcW w:w="785" w:type="dxa"/>
                  <w:vAlign w:val="center"/>
                </w:tcPr>
                <w:p w14:paraId="47196A1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68455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SOMATOM EMOTION 6</w:t>
                  </w:r>
                </w:p>
              </w:tc>
              <w:tc>
                <w:tcPr>
                  <w:tcW w:w="938" w:type="dxa"/>
                  <w:vAlign w:val="center"/>
                </w:tcPr>
                <w:p w14:paraId="12EFF99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0D622C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东风路住院部2号楼一楼医学影像科CT机房</w:t>
                  </w:r>
                </w:p>
              </w:tc>
              <w:tc>
                <w:tcPr>
                  <w:tcW w:w="1537" w:type="dxa"/>
                  <w:vMerge w:val="continue"/>
                  <w:vAlign w:val="center"/>
                </w:tcPr>
                <w:p w14:paraId="15DE290C">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EBF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CF3EE9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1972" w:type="dxa"/>
                  <w:vAlign w:val="center"/>
                </w:tcPr>
                <w:p w14:paraId="7B6A374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医用诊断X射线透视摄影系统</w:t>
                  </w:r>
                </w:p>
              </w:tc>
              <w:tc>
                <w:tcPr>
                  <w:tcW w:w="785" w:type="dxa"/>
                  <w:vAlign w:val="center"/>
                </w:tcPr>
                <w:p w14:paraId="3A0DFA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3E74B1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D-VISION P1VS 50</w:t>
                  </w:r>
                </w:p>
              </w:tc>
              <w:tc>
                <w:tcPr>
                  <w:tcW w:w="938" w:type="dxa"/>
                  <w:vAlign w:val="center"/>
                </w:tcPr>
                <w:p w14:paraId="69196CD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4105A35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东风路住院部2号楼一楼医学影像科检查室</w:t>
                  </w:r>
                </w:p>
              </w:tc>
              <w:tc>
                <w:tcPr>
                  <w:tcW w:w="1537" w:type="dxa"/>
                  <w:vMerge w:val="continue"/>
                  <w:vAlign w:val="center"/>
                </w:tcPr>
                <w:p w14:paraId="6BAF1286">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08EC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1DDBC9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21</w:t>
                  </w:r>
                </w:p>
              </w:tc>
              <w:tc>
                <w:tcPr>
                  <w:tcW w:w="1972" w:type="dxa"/>
                  <w:vAlign w:val="center"/>
                </w:tcPr>
                <w:p w14:paraId="691E05D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全数字X射线摄</w:t>
                  </w:r>
                </w:p>
                <w:p w14:paraId="29E7E84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影系统</w:t>
                  </w:r>
                </w:p>
              </w:tc>
              <w:tc>
                <w:tcPr>
                  <w:tcW w:w="785" w:type="dxa"/>
                  <w:vAlign w:val="center"/>
                </w:tcPr>
                <w:p w14:paraId="5124B8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EB75E3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Definium 6000</w:t>
                  </w:r>
                </w:p>
              </w:tc>
              <w:tc>
                <w:tcPr>
                  <w:tcW w:w="938" w:type="dxa"/>
                  <w:vAlign w:val="center"/>
                </w:tcPr>
                <w:p w14:paraId="2AC93CB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2E6E36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东风路住院部2号楼一楼医学影像科检查室</w:t>
                  </w:r>
                </w:p>
              </w:tc>
              <w:tc>
                <w:tcPr>
                  <w:tcW w:w="1537" w:type="dxa"/>
                  <w:vMerge w:val="continue"/>
                  <w:vAlign w:val="center"/>
                </w:tcPr>
                <w:p w14:paraId="46202B71">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49D3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5F7B4F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22</w:t>
                  </w:r>
                </w:p>
              </w:tc>
              <w:tc>
                <w:tcPr>
                  <w:tcW w:w="1972" w:type="dxa"/>
                  <w:vAlign w:val="center"/>
                </w:tcPr>
                <w:p w14:paraId="10C83EF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6D600A6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3E311F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EverView 7500</w:t>
                  </w:r>
                </w:p>
              </w:tc>
              <w:tc>
                <w:tcPr>
                  <w:tcW w:w="938" w:type="dxa"/>
                  <w:vAlign w:val="center"/>
                </w:tcPr>
                <w:p w14:paraId="19E077E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4524665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呈贡住院楼一楼医学影像科骨密度室</w:t>
                  </w:r>
                </w:p>
              </w:tc>
              <w:tc>
                <w:tcPr>
                  <w:tcW w:w="1537" w:type="dxa"/>
                  <w:vMerge w:val="continue"/>
                  <w:vAlign w:val="center"/>
                </w:tcPr>
                <w:p w14:paraId="6827D99A">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3D89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80B818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23</w:t>
                  </w:r>
                </w:p>
              </w:tc>
              <w:tc>
                <w:tcPr>
                  <w:tcW w:w="1972" w:type="dxa"/>
                  <w:vAlign w:val="center"/>
                </w:tcPr>
                <w:p w14:paraId="10520A5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36844A1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098EFDB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Ziehm Solo</w:t>
                  </w:r>
                </w:p>
              </w:tc>
              <w:tc>
                <w:tcPr>
                  <w:tcW w:w="938" w:type="dxa"/>
                  <w:vAlign w:val="center"/>
                </w:tcPr>
                <w:p w14:paraId="3781191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493DB4B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东风路住院部1号楼七楼麻醉科手术室3</w:t>
                  </w:r>
                </w:p>
              </w:tc>
              <w:tc>
                <w:tcPr>
                  <w:tcW w:w="1537" w:type="dxa"/>
                  <w:vMerge w:val="continue"/>
                  <w:vAlign w:val="center"/>
                </w:tcPr>
                <w:p w14:paraId="3D9BB724">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6D58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411F9B9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24</w:t>
                  </w:r>
                </w:p>
              </w:tc>
              <w:tc>
                <w:tcPr>
                  <w:tcW w:w="1972" w:type="dxa"/>
                  <w:vAlign w:val="center"/>
                </w:tcPr>
                <w:p w14:paraId="5ADE841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移动式G型臂</w:t>
                  </w:r>
                </w:p>
              </w:tc>
              <w:tc>
                <w:tcPr>
                  <w:tcW w:w="785" w:type="dxa"/>
                  <w:vAlign w:val="center"/>
                </w:tcPr>
                <w:p w14:paraId="25336DB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29840A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DigiArc100AC</w:t>
                  </w:r>
                </w:p>
              </w:tc>
              <w:tc>
                <w:tcPr>
                  <w:tcW w:w="938" w:type="dxa"/>
                  <w:vAlign w:val="center"/>
                </w:tcPr>
                <w:p w14:paraId="2284BE3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29C8C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东风路住院部1号楼七楼麻醉科手术室</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4</w:t>
                  </w:r>
                </w:p>
              </w:tc>
              <w:tc>
                <w:tcPr>
                  <w:tcW w:w="1537" w:type="dxa"/>
                  <w:vMerge w:val="continue"/>
                  <w:vAlign w:val="center"/>
                </w:tcPr>
                <w:p w14:paraId="03562099">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274D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2E2311B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25</w:t>
                  </w:r>
                </w:p>
              </w:tc>
              <w:tc>
                <w:tcPr>
                  <w:tcW w:w="1972" w:type="dxa"/>
                  <w:vAlign w:val="center"/>
                </w:tcPr>
                <w:p w14:paraId="753C294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X射线计算机体层摄影设备</w:t>
                  </w:r>
                </w:p>
              </w:tc>
              <w:tc>
                <w:tcPr>
                  <w:tcW w:w="785" w:type="dxa"/>
                  <w:vAlign w:val="center"/>
                </w:tcPr>
                <w:p w14:paraId="45F3E74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5C419B7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NeuViz 64 In</w:t>
                  </w:r>
                </w:p>
              </w:tc>
              <w:tc>
                <w:tcPr>
                  <w:tcW w:w="938" w:type="dxa"/>
                  <w:vAlign w:val="center"/>
                </w:tcPr>
                <w:p w14:paraId="5A6C4ED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13C2622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w:t>
                  </w: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号楼一楼医学影像科</w:t>
                  </w:r>
                </w:p>
              </w:tc>
              <w:tc>
                <w:tcPr>
                  <w:tcW w:w="1537" w:type="dxa"/>
                  <w:vMerge w:val="continue"/>
                  <w:vAlign w:val="center"/>
                </w:tcPr>
                <w:p w14:paraId="6EB477B0">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2488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5D96887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26</w:t>
                  </w:r>
                </w:p>
              </w:tc>
              <w:tc>
                <w:tcPr>
                  <w:tcW w:w="1972" w:type="dxa"/>
                  <w:vAlign w:val="center"/>
                </w:tcPr>
                <w:p w14:paraId="13349E2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便携式X射线机</w:t>
                  </w:r>
                </w:p>
              </w:tc>
              <w:tc>
                <w:tcPr>
                  <w:tcW w:w="785" w:type="dxa"/>
                  <w:vAlign w:val="center"/>
                </w:tcPr>
                <w:p w14:paraId="0DF95D5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2D66AD6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GDX-50/75</w:t>
                  </w:r>
                </w:p>
              </w:tc>
              <w:tc>
                <w:tcPr>
                  <w:tcW w:w="938" w:type="dxa"/>
                  <w:vAlign w:val="center"/>
                </w:tcPr>
                <w:p w14:paraId="4C225E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2E5630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东风路骨伤科住院部</w:t>
                  </w:r>
                </w:p>
              </w:tc>
              <w:tc>
                <w:tcPr>
                  <w:tcW w:w="1537" w:type="dxa"/>
                  <w:vMerge w:val="continue"/>
                  <w:vAlign w:val="center"/>
                </w:tcPr>
                <w:p w14:paraId="481D9D12">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181F6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47195EB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27</w:t>
                  </w:r>
                </w:p>
              </w:tc>
              <w:tc>
                <w:tcPr>
                  <w:tcW w:w="1972" w:type="dxa"/>
                  <w:vAlign w:val="center"/>
                </w:tcPr>
                <w:p w14:paraId="510E439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便携式X射线机</w:t>
                  </w:r>
                </w:p>
              </w:tc>
              <w:tc>
                <w:tcPr>
                  <w:tcW w:w="785" w:type="dxa"/>
                  <w:vAlign w:val="center"/>
                </w:tcPr>
                <w:p w14:paraId="25DAA20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F0BA02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GDX-50/75</w:t>
                  </w:r>
                </w:p>
              </w:tc>
              <w:tc>
                <w:tcPr>
                  <w:tcW w:w="938" w:type="dxa"/>
                  <w:vAlign w:val="center"/>
                </w:tcPr>
                <w:p w14:paraId="52C958C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017169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东风路骨伤科住院部</w:t>
                  </w:r>
                </w:p>
              </w:tc>
              <w:tc>
                <w:tcPr>
                  <w:tcW w:w="1537" w:type="dxa"/>
                  <w:vMerge w:val="continue"/>
                  <w:vAlign w:val="center"/>
                </w:tcPr>
                <w:p w14:paraId="2FB3728E">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EB1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43E62E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28</w:t>
                  </w:r>
                </w:p>
              </w:tc>
              <w:tc>
                <w:tcPr>
                  <w:tcW w:w="1972" w:type="dxa"/>
                  <w:vAlign w:val="center"/>
                </w:tcPr>
                <w:p w14:paraId="093E3FE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移动式C型臂X射线机</w:t>
                  </w:r>
                </w:p>
              </w:tc>
              <w:tc>
                <w:tcPr>
                  <w:tcW w:w="785" w:type="dxa"/>
                  <w:vAlign w:val="center"/>
                </w:tcPr>
                <w:p w14:paraId="3FDE126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5FE0E4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Ziehm Solo</w:t>
                  </w:r>
                </w:p>
              </w:tc>
              <w:tc>
                <w:tcPr>
                  <w:tcW w:w="938" w:type="dxa"/>
                  <w:vAlign w:val="center"/>
                </w:tcPr>
                <w:p w14:paraId="7CC32BF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194346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东风路住院部1号楼七楼麻醉科手术室</w:t>
                  </w:r>
                </w:p>
              </w:tc>
              <w:tc>
                <w:tcPr>
                  <w:tcW w:w="1537" w:type="dxa"/>
                  <w:vMerge w:val="continue"/>
                  <w:vAlign w:val="center"/>
                </w:tcPr>
                <w:p w14:paraId="2DF90AE9">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247EA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776083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29</w:t>
                  </w:r>
                </w:p>
              </w:tc>
              <w:tc>
                <w:tcPr>
                  <w:tcW w:w="1972" w:type="dxa"/>
                  <w:vAlign w:val="center"/>
                </w:tcPr>
                <w:p w14:paraId="215E4EC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X射线计算机体层摄影设备(CT)</w:t>
                  </w:r>
                </w:p>
              </w:tc>
              <w:tc>
                <w:tcPr>
                  <w:tcW w:w="785" w:type="dxa"/>
                  <w:vAlign w:val="center"/>
                </w:tcPr>
                <w:p w14:paraId="28BA2A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5180356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uCT510</w:t>
                  </w:r>
                </w:p>
              </w:tc>
              <w:tc>
                <w:tcPr>
                  <w:tcW w:w="938" w:type="dxa"/>
                  <w:vAlign w:val="center"/>
                </w:tcPr>
                <w:p w14:paraId="783C4FE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18752A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关兴路门诊楼一楼医学影像科CT检查室</w:t>
                  </w:r>
                </w:p>
              </w:tc>
              <w:tc>
                <w:tcPr>
                  <w:tcW w:w="1537" w:type="dxa"/>
                  <w:vMerge w:val="continue"/>
                  <w:vAlign w:val="center"/>
                </w:tcPr>
                <w:p w14:paraId="578F13B0">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CF7A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101BE07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30</w:t>
                  </w:r>
                </w:p>
              </w:tc>
              <w:tc>
                <w:tcPr>
                  <w:tcW w:w="1972" w:type="dxa"/>
                  <w:vAlign w:val="center"/>
                </w:tcPr>
                <w:p w14:paraId="3F0A68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77BB1EB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493BDC8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MULTIMOBIL 5C</w:t>
                  </w:r>
                </w:p>
              </w:tc>
              <w:tc>
                <w:tcPr>
                  <w:tcW w:w="938" w:type="dxa"/>
                  <w:vAlign w:val="center"/>
                </w:tcPr>
                <w:p w14:paraId="7CFA4EA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75EFA39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关兴路门诊楼四楼麻醉科手术室(1)</w:t>
                  </w:r>
                </w:p>
              </w:tc>
              <w:tc>
                <w:tcPr>
                  <w:tcW w:w="1537" w:type="dxa"/>
                  <w:vMerge w:val="continue"/>
                  <w:vAlign w:val="center"/>
                </w:tcPr>
                <w:p w14:paraId="22BCC5EF">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5775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1CFAB48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31</w:t>
                  </w:r>
                </w:p>
              </w:tc>
              <w:tc>
                <w:tcPr>
                  <w:tcW w:w="1972" w:type="dxa"/>
                  <w:vAlign w:val="center"/>
                </w:tcPr>
                <w:p w14:paraId="18A06B4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数字化X射线摄影系统</w:t>
                  </w:r>
                </w:p>
              </w:tc>
              <w:tc>
                <w:tcPr>
                  <w:tcW w:w="785" w:type="dxa"/>
                  <w:vAlign w:val="center"/>
                </w:tcPr>
                <w:p w14:paraId="4027F98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69AF017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Digital Diagnost</w:t>
                  </w:r>
                </w:p>
              </w:tc>
              <w:tc>
                <w:tcPr>
                  <w:tcW w:w="938" w:type="dxa"/>
                  <w:vAlign w:val="center"/>
                </w:tcPr>
                <w:p w14:paraId="0BA7B3F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6372CB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关兴路门诊楼一楼医学影像科检查一室</w:t>
                  </w:r>
                </w:p>
              </w:tc>
              <w:tc>
                <w:tcPr>
                  <w:tcW w:w="1537" w:type="dxa"/>
                  <w:vMerge w:val="continue"/>
                  <w:vAlign w:val="center"/>
                </w:tcPr>
                <w:p w14:paraId="24DDF924">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684E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13996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32</w:t>
                  </w:r>
                </w:p>
              </w:tc>
              <w:tc>
                <w:tcPr>
                  <w:tcW w:w="1972" w:type="dxa"/>
                  <w:vAlign w:val="center"/>
                </w:tcPr>
                <w:p w14:paraId="28B7BD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w:t>
                  </w:r>
                </w:p>
              </w:tc>
              <w:tc>
                <w:tcPr>
                  <w:tcW w:w="785" w:type="dxa"/>
                  <w:vAlign w:val="center"/>
                </w:tcPr>
                <w:p w14:paraId="789FFBD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3035B59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Ciso Select s1</w:t>
                  </w:r>
                </w:p>
              </w:tc>
              <w:tc>
                <w:tcPr>
                  <w:tcW w:w="938" w:type="dxa"/>
                  <w:vAlign w:val="center"/>
                </w:tcPr>
                <w:p w14:paraId="4D82C7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521D6E7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关兴路门诊楼四楼麻醉科手术室</w:t>
                  </w:r>
                </w:p>
              </w:tc>
              <w:tc>
                <w:tcPr>
                  <w:tcW w:w="1537" w:type="dxa"/>
                  <w:vMerge w:val="continue"/>
                  <w:vAlign w:val="center"/>
                </w:tcPr>
                <w:p w14:paraId="34363D56">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338E6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6469A92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33</w:t>
                  </w:r>
                </w:p>
              </w:tc>
              <w:tc>
                <w:tcPr>
                  <w:tcW w:w="1972" w:type="dxa"/>
                  <w:vAlign w:val="center"/>
                </w:tcPr>
                <w:p w14:paraId="3A9200D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移动式C型臂X射线机</w:t>
                  </w:r>
                </w:p>
              </w:tc>
              <w:tc>
                <w:tcPr>
                  <w:tcW w:w="785" w:type="dxa"/>
                  <w:vAlign w:val="center"/>
                </w:tcPr>
                <w:p w14:paraId="1450312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73E4EC3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PLX7500</w:t>
                  </w:r>
                </w:p>
              </w:tc>
              <w:tc>
                <w:tcPr>
                  <w:tcW w:w="938" w:type="dxa"/>
                  <w:vAlign w:val="center"/>
                </w:tcPr>
                <w:p w14:paraId="432678A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687C10A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关兴路门诊楼四楼麻醉科手术室</w:t>
                  </w:r>
                </w:p>
              </w:tc>
              <w:tc>
                <w:tcPr>
                  <w:tcW w:w="1537" w:type="dxa"/>
                  <w:vMerge w:val="continue"/>
                  <w:vAlign w:val="center"/>
                </w:tcPr>
                <w:p w14:paraId="2B028D30">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p>
              </w:tc>
            </w:tr>
            <w:tr w14:paraId="04E9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3" w:type="dxa"/>
                  <w:vAlign w:val="center"/>
                </w:tcPr>
                <w:p w14:paraId="09C9A15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34</w:t>
                  </w:r>
                </w:p>
              </w:tc>
              <w:tc>
                <w:tcPr>
                  <w:tcW w:w="1972" w:type="dxa"/>
                  <w:vAlign w:val="center"/>
                </w:tcPr>
                <w:p w14:paraId="2EB9665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摄影X射线机</w:t>
                  </w:r>
                </w:p>
              </w:tc>
              <w:tc>
                <w:tcPr>
                  <w:tcW w:w="785" w:type="dxa"/>
                  <w:vAlign w:val="center"/>
                </w:tcPr>
                <w:p w14:paraId="21D4C1D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1</w:t>
                  </w:r>
                </w:p>
              </w:tc>
              <w:tc>
                <w:tcPr>
                  <w:tcW w:w="1452" w:type="dxa"/>
                  <w:vAlign w:val="center"/>
                </w:tcPr>
                <w:p w14:paraId="1A039D4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新东方1000F3s型</w:t>
                  </w:r>
                </w:p>
              </w:tc>
              <w:tc>
                <w:tcPr>
                  <w:tcW w:w="938" w:type="dxa"/>
                  <w:vAlign w:val="center"/>
                </w:tcPr>
                <w:p w14:paraId="48F3F9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Ⅲ</w:t>
                  </w:r>
                </w:p>
              </w:tc>
              <w:tc>
                <w:tcPr>
                  <w:tcW w:w="1750" w:type="dxa"/>
                  <w:vAlign w:val="center"/>
                </w:tcPr>
                <w:p w14:paraId="4D18102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关兴路</w:t>
                  </w:r>
                </w:p>
              </w:tc>
              <w:tc>
                <w:tcPr>
                  <w:tcW w:w="1537" w:type="dxa"/>
                  <w:vAlign w:val="center"/>
                </w:tcPr>
                <w:p w14:paraId="4BFD7EA3">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val="0"/>
                      <w:bCs w:val="0"/>
                      <w:color w:val="0D0D0D" w:themeColor="text1" w:themeTint="F2"/>
                      <w:sz w:val="21"/>
                      <w:szCs w:val="21"/>
                      <w:highlight w:val="none"/>
                      <w:lang w:val="en-US" w:eastAsia="zh-CN"/>
                      <w14:textFill>
                        <w14:solidFill>
                          <w14:schemeClr w14:val="tx1">
                            <w14:lumMod w14:val="95000"/>
                            <w14:lumOff w14:val="5000"/>
                          </w14:schemeClr>
                        </w14:solidFill>
                      </w14:textFill>
                    </w:rPr>
                    <w:t>2025年新增射线装置，已登记在辐射安全许可证上，正常使用</w:t>
                  </w:r>
                </w:p>
              </w:tc>
            </w:tr>
          </w:tbl>
          <w:p w14:paraId="4D59DDCE">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（2）年度监测情况分析</w:t>
            </w:r>
          </w:p>
          <w:p w14:paraId="018D37EC">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医院每年都委托有资质的单位对</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已有核技术利用项目的安全和防护状况进行监测。</w:t>
            </w:r>
          </w:p>
          <w:p w14:paraId="00704F08">
            <w:pPr>
              <w:spacing w:line="360" w:lineRule="auto"/>
              <w:ind w:firstLine="48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2024年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26</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-30日中检西南计量有限公司</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对</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在用的射线装置进行X-γ辐射剂量率监测（监测报告编号</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分别</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[中检辐检]字2024第914号</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），根据监测可知，昆明市中医医院（</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呈贡医院</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）在用的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17</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台射线装置：具有透视功能的X射线设备、CT机、牙科全景摄影机、骨密度仪、乳腺检测仪等设备在出束状态下，机房外围X-γ空气吸收剂量率在0.121~1.94μSv/h之间，空气吸收剂量率小于2.5μSv/h；DR、数字肠胃机等设备在出束状态下，机房外围X-γ空气吸收剂量率在0.163~2.5μSv/h之间，空气吸收剂量率小于25μSv/h要求，满足《放射诊断放射防护要求》（GBZ130-2020）中的相关标准要求。一年内在用射线装置对职业人员造成的最大附加剂量约为1.40×10</w:t>
            </w:r>
            <w:r>
              <w:rPr>
                <w:rFonts w:hint="default"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~4.10×10</w:t>
            </w:r>
            <w:r>
              <w:rPr>
                <w:rFonts w:hint="default"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mSv，小于5mSv/a的管理限值；一年内在用射线装置对公众造成的最大附加剂量约为3.50×10</w:t>
            </w:r>
            <w:r>
              <w:rPr>
                <w:rFonts w:hint="default"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~2.1×10</w:t>
            </w:r>
            <w:r>
              <w:rPr>
                <w:rFonts w:hint="default"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mSv，小于0.25mSv/a的管理限值</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要求</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p>
          <w:p w14:paraId="1168BC37">
            <w:pPr>
              <w:spacing w:line="360" w:lineRule="auto"/>
              <w:ind w:firstLine="480"/>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（3）年度评估情况</w:t>
            </w:r>
          </w:p>
          <w:p w14:paraId="75C5982D">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医院编制了《核技术利用单位放射性同位素与射线装置安全和防护状况年度评估报告（202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年度）》并提交至</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昆明市生态环境局</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评估结果均满足管理要求。年度评估报告包括基本信息、射线装置台账及年度增减情况、辐射安全和防护设施的运行与维护情况、辐射安全和防护制度的制定与落实情况、辐射工作人员变动、培训情况、工作场所辐射环境监测和个人剂量监测情况及监测数据、辐射事故及应急响应情况、核技术利用项目本年度新建、改建、扩建和退役情况、存在的安全隐患及其整改情况。医院辐射安全管理情况如下：</w:t>
            </w:r>
          </w:p>
          <w:p w14:paraId="01D75DBD">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①辐射安全许可证所规定的活动种类及范围未发生改变。</w:t>
            </w:r>
          </w:p>
          <w:p w14:paraId="0850DA42">
            <w:pPr>
              <w:spacing w:line="360" w:lineRule="auto"/>
              <w:ind w:firstLine="48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②</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2024年昆明市中医医院（呈贡医院）射线装置数量未发生改变，在用射线装置未超出现有辐射安全许可证。</w:t>
            </w:r>
          </w:p>
          <w:p w14:paraId="5C0AE90C">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③个人剂量档案和职业健康档案齐全。</w:t>
            </w:r>
          </w:p>
          <w:p w14:paraId="6A44B197">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④放射防护与设施运行、辐射安全和防护制度及措施的建立和落实、辐射应急处理措施均满足相应规定要求。</w:t>
            </w:r>
          </w:p>
          <w:p w14:paraId="23671739">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⑤医院按要求委托有资质的单位进行了年度监测和个人剂量检测，</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且检测结果未超出管理限值要求</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p>
          <w:p w14:paraId="397B4234">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⑥医院自从事辐射诊疗以来，严格按照国家法律法规进行管理，没有发生过辐射安全事故。</w:t>
            </w:r>
          </w:p>
          <w:p w14:paraId="7BAEDC31">
            <w:pPr>
              <w:spacing w:line="360" w:lineRule="auto"/>
              <w:ind w:firstLine="48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⑦</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环保部门检查过程未发现安全隐患。</w:t>
            </w:r>
          </w:p>
          <w:p w14:paraId="43DF546F">
            <w:pPr>
              <w:spacing w:line="360" w:lineRule="auto"/>
              <w:ind w:firstLine="48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bookmarkStart w:id="37" w:name="OLE_LINK93"/>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昆明市中医医院现有从事辐射工作职业人员</w:t>
            </w:r>
            <w:bookmarkEnd w:id="37"/>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39人，2024年离岗1人。医院严格按照《云南省生态环境厅关于做好2020年核技术利用辐射安全与防护培训和考核工作有关事项的通知》要求做好医院辐射工作人员的培训和考核，确保辐射工作人员持证上岗，依法执业。医院不断强化辐射工作人员培训管理，科室结合科室专科建设和日常工作定期不定期组织培训，现医院从事辐射工作职业人员39人中36人已完成集中培训考核或医院自行组织的培训考核，3名从事影像科登记室岗位的员工暂未参加培训考核，医院应不断加强在职人员的培训考核管理，积极组织相关人员完成培训考核，当培训有效期即将届满时，医院应及时组织相关人员进行再培训和考核。</w:t>
            </w:r>
          </w:p>
          <w:p w14:paraId="6B9433B5">
            <w:pPr>
              <w:spacing w:line="360" w:lineRule="auto"/>
              <w:ind w:firstLine="48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院组织相关辐射工作人员开展了职业健康体检，每个季度对辐射工作人员职业性外照射个人剂量进行监测，建立了剂量健康档案并存档。根据建设单位提供的：《昆明市中医医院职业性外照射个人剂量检测（2024年4个季度）》云南晟蔚环保科技有限公司，报告编号：（[云晟检]外字2024第0357）、（[云晟检]外字2024第0722）、（[云晟检]外字2024第0992）、（[云晟检]外字2024第1309），经统计，昆明市中医医院辐射工作人员2024年全年个人有效剂量当量均低于职业有效剂量管理限值5mSv/a。</w:t>
            </w:r>
          </w:p>
          <w:p w14:paraId="2FBCECFE">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严格遵守《中华人民共和国放射性污染防治法》、《放射性同位素与射线装置安全许可管理办法》、《放射性同位素与射线装置安全和防护条例》、《放射性同位素与射线装置安全和防护管理办法》等相关放射性法律、法规，配合各级环保部门监督和指导，辐射防护设施运行、维护、检测工作良好，在辐射安全和防护制度的建立、落实以及档案管理等方面运行良好。</w:t>
            </w:r>
          </w:p>
          <w:p w14:paraId="7DD7BC97">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已成立了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辐射安全与防护管理委员会</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，明确了机构成员组成以及职责。医院已安排专人兼职负责医院辐射安全管理工作；并制定了较为完善的规章制度：《</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辐射人员岗位职责</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辐射防护和安全保卫制度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辐射设备检修维护制度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辐射工作人员培训制度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辐射工作场所监测制度、方案计划</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辐射工作人员健康及个人剂量管理制度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辐射安全事故应急预案</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质量保证大纲和质量控制计划</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监测仪器检验与刻度管理</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》等规章制度，并严格按照规章制度执行。</w:t>
            </w:r>
          </w:p>
          <w:p w14:paraId="42C35601">
            <w:pPr>
              <w:numPr>
                <w:ilvl w:val="0"/>
                <w:numId w:val="1"/>
              </w:numPr>
              <w:spacing w:line="360" w:lineRule="auto"/>
              <w:ind w:left="0" w:leftChars="0" w:firstLine="480" w:firstLineChars="20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原有辐射项目依托昆明市中医医院（呈贡医院）门诊楼、住院楼、行政办公楼进行建设。医院各医疗建筑建设时已配套建设了给排水系统、污水处理系统及相关配套设施，工作人员产生的生活污水和生活垃圾、病人产生的生活污水、手术产生的医疗废物的处理依托各医疗建筑配套的环保设施。工作人员及病人产生的生活污水依托昆明市中医医院（呈贡医院）已建的污水处理站处理达标后排入项目区北侧的祥丰街城市污水管网；生活垃圾由医院现有的垃圾桶集中收集后委托环卫部门定期清运；手术产生的医疗废物经收集后依托昆明市中医医院已建的医疗废物暂存间暂存，定期交由云南正晓环保投资有限公司清运处置。</w:t>
            </w:r>
          </w:p>
          <w:p w14:paraId="5E3D7840">
            <w:pPr>
              <w:numPr>
                <w:ilvl w:val="0"/>
                <w:numId w:val="0"/>
              </w:numPr>
              <w:spacing w:line="360" w:lineRule="auto"/>
              <w:ind w:leftChars="20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（6）与本项目有关的原有环境问题及整改措施。</w:t>
            </w:r>
          </w:p>
          <w:p w14:paraId="11B297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eastAsia="宋体" w:cs="Times New Roman"/>
                <w:color w:val="0D0D0D" w:themeColor="text1" w:themeTint="F2"/>
                <w:highlight w:val="none"/>
                <w:lang w:eastAsia="zh-CN"/>
                <w14:textFill>
                  <w14:solidFill>
                    <w14:schemeClr w14:val="tx1">
                      <w14:lumMod w14:val="95000"/>
                      <w14:lumOff w14:val="5000"/>
                    </w14:schemeClr>
                  </w14:solidFill>
                </w14:textFill>
              </w:rPr>
              <w:t>①</w:t>
            </w:r>
            <w:r>
              <w:rPr>
                <w:rFonts w:hint="default" w:ascii="Times New Roman" w:hAnsi="Times New Roman" w:eastAsia="宋体" w:cs="Times New Roman"/>
                <w:color w:val="0D0D0D" w:themeColor="text1" w:themeTint="F2"/>
                <w:highlight w:val="none"/>
                <w:lang w:val="en-US" w:eastAsia="zh-CN"/>
                <w14:textFill>
                  <w14:solidFill>
                    <w14:schemeClr w14:val="tx1">
                      <w14:lumMod w14:val="95000"/>
                      <w14:lumOff w14:val="5000"/>
                    </w14:schemeClr>
                  </w14:solidFill>
                </w14:textFill>
              </w:rPr>
              <w:t>原有环境问题</w:t>
            </w:r>
          </w:p>
          <w:p w14:paraId="25EA75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eastAsia="宋体" w:cs="Times New Roman"/>
                <w:color w:val="0D0D0D" w:themeColor="text1" w:themeTint="F2"/>
                <w:highlight w:val="none"/>
                <w:lang w:val="en-US" w:eastAsia="zh-CN"/>
                <w14:textFill>
                  <w14:solidFill>
                    <w14:schemeClr w14:val="tx1">
                      <w14:lumMod w14:val="95000"/>
                      <w14:lumOff w14:val="5000"/>
                    </w14:schemeClr>
                  </w14:solidFill>
                </w14:textFill>
              </w:rPr>
              <w:t>本项目开展前，经现场调查了解，近年来医院运行良好，未受到相关环保投诉。</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针对2024年云南省生态环境厅联合执法检查提出院方应加强辐射安全应急演练和突发环境事件演练的意见。</w:t>
            </w:r>
          </w:p>
          <w:p w14:paraId="451858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eastAsia="宋体" w:cs="Times New Roman"/>
                <w:color w:val="0D0D0D" w:themeColor="text1" w:themeTint="F2"/>
                <w:highlight w:val="none"/>
                <w:lang w:eastAsia="zh-CN"/>
                <w14:textFill>
                  <w14:solidFill>
                    <w14:schemeClr w14:val="tx1">
                      <w14:lumMod w14:val="95000"/>
                      <w14:lumOff w14:val="5000"/>
                    </w14:schemeClr>
                  </w14:solidFill>
                </w14:textFill>
              </w:rPr>
              <w:t>②</w:t>
            </w:r>
            <w:r>
              <w:rPr>
                <w:rFonts w:hint="default" w:ascii="Times New Roman" w:hAnsi="Times New Roman" w:eastAsia="宋体" w:cs="Times New Roman"/>
                <w:color w:val="0D0D0D" w:themeColor="text1" w:themeTint="F2"/>
                <w:highlight w:val="none"/>
                <w:lang w:val="en-US" w:eastAsia="zh-CN"/>
                <w14:textFill>
                  <w14:solidFill>
                    <w14:schemeClr w14:val="tx1">
                      <w14:lumMod w14:val="95000"/>
                      <w14:lumOff w14:val="5000"/>
                    </w14:schemeClr>
                  </w14:solidFill>
                </w14:textFill>
              </w:rPr>
              <w:t>整改措施</w:t>
            </w:r>
          </w:p>
          <w:p w14:paraId="3ADAA7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昆明市中医医院积极组织三个院区开展了辐射安全应急演练和突发环境事件演练，并将每年开展辐射安全应急演练和突发环境事件演练纳入医院管理规章内。</w:t>
            </w:r>
          </w:p>
          <w:p w14:paraId="12549D02">
            <w:pPr>
              <w:numPr>
                <w:ilvl w:val="0"/>
                <w:numId w:val="0"/>
              </w:numPr>
              <w:spacing w:line="360" w:lineRule="auto"/>
              <w:ind w:leftChars="200"/>
              <w:rPr>
                <w:rFonts w:hint="default"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1</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依托工程</w:t>
            </w:r>
          </w:p>
          <w:p w14:paraId="02A79AE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利用昆明市中医医院（呈贡医院）医技楼4楼原有医疗用房</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进行</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改建。2008年4月，昆明市中医医院委托云南省建筑材料科学设计研究院编制完成了《昆明市中医医院呈贡新区医院建设项目环境影像报告书》，并于2008年11月4日取得了原云南省环境保护局下发的准予行政许可决定书，云环许准[2008]299号（详见附件）。后由于项目占地面积、建筑面积、病床数量、锅炉等发生改变，2008年4月，昆明市中医医院委托云南省建筑材料科学研究设计院编制完成了《昆明市中医医院呈贡新区医院建设项目环境影响补充报告》，并于2012年8月27日取得了原云南省环境保护局下发的批复文件，云环审[2012]256号（详见附件）。2018年3月昆明市中医医院（呈贡医院）完成自主验收。2023年11月23日，昆明市中医医院（呈贡医院）取得昆明市生态环境局下发的排污许可证，证书编号：125301004313615378003R。根据医院竣工环境保护验收资料及排污许可证可知，本项目涉及的医技楼，依托的医院污水处理站、医疗废物暂存间等设施环保手续齐全，运行良好。</w:t>
            </w:r>
          </w:p>
          <w:p w14:paraId="0AF81D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本项目产生的废水主要包括职工生活污水、介入手术及器械清洗废水，该部分废水经医技楼已建污水管道收集后排入项目区西北侧的昆明市中医医院（呈贡医院）污水处理站，经污水处理站处理达标后排入项目区北侧的祥丰街城市污水管网，最终排入呈贡污水处理站。昆明市中医医院（呈贡医院）已建污水处理站设计处理规模为800m</w:t>
            </w:r>
            <w:r>
              <w:rPr>
                <w:rFonts w:hint="eastAsia"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/d，采用“二级强化处理+消毒”处理工艺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医院历年所做监测可知，昆明市中医医院（呈贡医院）污水处理站出口水质可达《医疗机构水污染物排放标准》（GB18466-2005）表2中预处理标准及《污水排入城镇下水道水质标准》（GB/T31962-2015）表1中A等级标准，通过多年运行情况来看，污水处理站出口水质能稳定达标。污水处理站设计处理规模为800m</w:t>
            </w:r>
            <w:r>
              <w:rPr>
                <w:rFonts w:hint="eastAsia"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/d，现状污水处理量为530-560m</w:t>
            </w:r>
            <w:r>
              <w:rPr>
                <w:rFonts w:hint="eastAsia"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/d，污水处理能力仍有较大盈余，因此，依托昆明市中医医院（呈贡医院）污水处理站处理本项目废水是可行的。</w:t>
            </w:r>
          </w:p>
          <w:p w14:paraId="50DD00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本项目产生的医疗废物</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采用专门的收集容器收集后，转移至</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昆明市中医医院已建占地约35m</w:t>
            </w:r>
            <w:r>
              <w:rPr>
                <w:rFonts w:hint="eastAsia"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的医疗废物</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暂存间，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该医疗废物暂存间已通过相关竣工环境保护验收，医疗废物暂存间的建设满足《医疗废物管理条例》、《医疗卫生机构医疗废物管理办法》、《危险废物贮存污染控制标准》（GB 18597-2023）的相关要求，暂存后的医疗废物定期</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委托</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云南正晓环保投资有限公司清运</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处置（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详见附件）。</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具备处置昆明市中医医院所产生医疗废物（主要为化学性废物、感染性废物、损伤性废物、病理性废物及药物性废物）的相关资质</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因此依托医院已有固废处置措施处置本项目医疗废物是可行的</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p>
          <w:p w14:paraId="3408701A">
            <w:pPr>
              <w:numPr>
                <w:ilvl w:val="0"/>
                <w:numId w:val="0"/>
              </w:numPr>
              <w:spacing w:line="360" w:lineRule="auto"/>
              <w:ind w:leftChars="2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491F9DC">
            <w:pPr>
              <w:numPr>
                <w:ilvl w:val="0"/>
                <w:numId w:val="0"/>
              </w:numPr>
              <w:spacing w:line="360" w:lineRule="auto"/>
              <w:ind w:leftChars="2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493A12B5">
            <w:pPr>
              <w:numPr>
                <w:ilvl w:val="0"/>
                <w:numId w:val="0"/>
              </w:numPr>
              <w:spacing w:line="360" w:lineRule="auto"/>
              <w:ind w:leftChars="2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156B1F2E">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EABDE9A">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5A7B5052">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020C7265">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44DB0BF8">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6EF24F1E">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0ED47717">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7365145D">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0A6EE804">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6CE3A02D">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5F0B8415">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0EE019A5">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34315437">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54A0DBBB">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20A33B8C">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7FA4AD27">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303A9719">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611770A3">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1C84BCDB">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25537A33">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2A49EFC8">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79ACE39F">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69F908DF">
            <w:pPr>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p w14:paraId="08B1436D">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66108A46">
      <w:pPr>
        <w:ind w:firstLine="0" w:firstLineChars="0"/>
        <w:rPr>
          <w:rFonts w:ascii="Times New Roman" w:hAnsi="Times New Roman" w:cs="Times New Roman" w:eastAsiaTheme="minorEastAsia"/>
          <w:color w:val="0D0D0D" w:themeColor="text1" w:themeTint="F2"/>
          <w:sz w:val="28"/>
          <w:szCs w:val="28"/>
          <w:highlight w:val="none"/>
          <w14:textFill>
            <w14:solidFill>
              <w14:schemeClr w14:val="tx1">
                <w14:lumMod w14:val="95000"/>
                <w14:lumOff w14:val="5000"/>
              </w14:schemeClr>
            </w14:solidFill>
          </w14:textFill>
        </w:rPr>
        <w:sectPr>
          <w:footerReference r:id="rId11" w:type="default"/>
          <w:pgSz w:w="11906" w:h="16838"/>
          <w:pgMar w:top="1440" w:right="1800" w:bottom="1440" w:left="1800" w:header="851" w:footer="992" w:gutter="0"/>
          <w:pgNumType w:start="1"/>
          <w:cols w:space="425" w:num="1"/>
          <w:docGrid w:type="lines" w:linePitch="312" w:charSpace="0"/>
        </w:sectPr>
      </w:pPr>
    </w:p>
    <w:p w14:paraId="6F869FA6">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表2放射源</w:t>
      </w:r>
      <w:bookmarkEnd w:id="3"/>
    </w:p>
    <w:tbl>
      <w:tblPr>
        <w:tblStyle w:val="22"/>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747"/>
        <w:gridCol w:w="2695"/>
        <w:gridCol w:w="981"/>
        <w:gridCol w:w="1697"/>
        <w:gridCol w:w="1298"/>
        <w:gridCol w:w="1763"/>
        <w:gridCol w:w="1880"/>
        <w:gridCol w:w="1082"/>
      </w:tblGrid>
      <w:tr w14:paraId="2E1B1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14:paraId="00F08E1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1747" w:type="dxa"/>
            <w:vAlign w:val="center"/>
          </w:tcPr>
          <w:p w14:paraId="05F82B5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核素名称</w:t>
            </w:r>
          </w:p>
        </w:tc>
        <w:tc>
          <w:tcPr>
            <w:tcW w:w="2695" w:type="dxa"/>
            <w:vAlign w:val="center"/>
          </w:tcPr>
          <w:p w14:paraId="76BE602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总活度（Bq）/</w:t>
            </w:r>
          </w:p>
          <w:p w14:paraId="0092812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活度（Bq）×枚数</w:t>
            </w:r>
          </w:p>
        </w:tc>
        <w:tc>
          <w:tcPr>
            <w:tcW w:w="981" w:type="dxa"/>
            <w:vAlign w:val="center"/>
          </w:tcPr>
          <w:p w14:paraId="42F23C6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类别</w:t>
            </w:r>
          </w:p>
        </w:tc>
        <w:tc>
          <w:tcPr>
            <w:tcW w:w="1697" w:type="dxa"/>
            <w:vAlign w:val="center"/>
          </w:tcPr>
          <w:p w14:paraId="37D1A58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活动种类</w:t>
            </w:r>
          </w:p>
        </w:tc>
        <w:tc>
          <w:tcPr>
            <w:tcW w:w="1298" w:type="dxa"/>
            <w:vAlign w:val="center"/>
          </w:tcPr>
          <w:p w14:paraId="214362D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1763" w:type="dxa"/>
            <w:vAlign w:val="center"/>
          </w:tcPr>
          <w:p w14:paraId="3BE54DA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使用场所</w:t>
            </w:r>
          </w:p>
        </w:tc>
        <w:tc>
          <w:tcPr>
            <w:tcW w:w="1880" w:type="dxa"/>
            <w:vAlign w:val="center"/>
          </w:tcPr>
          <w:p w14:paraId="7BFBECD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贮存方式与地点</w:t>
            </w:r>
          </w:p>
        </w:tc>
        <w:tc>
          <w:tcPr>
            <w:tcW w:w="1082" w:type="dxa"/>
            <w:vAlign w:val="center"/>
          </w:tcPr>
          <w:p w14:paraId="3B0988C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备注</w:t>
            </w:r>
          </w:p>
        </w:tc>
      </w:tr>
      <w:tr w14:paraId="45B84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31" w:type="dxa"/>
            <w:vAlign w:val="center"/>
          </w:tcPr>
          <w:p w14:paraId="1AF5B38F">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0288" behindDoc="0" locked="0" layoutInCell="1" allowOverlap="1">
                      <wp:simplePos x="0" y="0"/>
                      <wp:positionH relativeFrom="column">
                        <wp:posOffset>518795</wp:posOffset>
                      </wp:positionH>
                      <wp:positionV relativeFrom="paragraph">
                        <wp:posOffset>58420</wp:posOffset>
                      </wp:positionV>
                      <wp:extent cx="1094105" cy="3943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188F36B">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85pt;margin-top:4.6pt;height:31.05pt;width:86.15pt;z-index:251660288;mso-width-relative:page;mso-height-relative:page;" fillcolor="#FFFFFF [3201]" filled="t" stroked="t" coordsize="21600,21600" o:gfxdata="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qhA2w1QAA&#10;AAcBAAAPAAAAAAAAAAEAIAAAACIAAABkcnMvZG93bnJldi54bWxQSwECFAAUAAAACACHTuJAm6tl&#10;SFoCAAC3BAAADgAAAAAAAAABACAAAAAkAQAAZHJzL2Uyb0RvYy54bWxQSwUGAAAAAAYABgBZAQAA&#10;8AUAAAAA&#10;">
                      <v:fill on="t" focussize="0,0"/>
                      <v:stroke weight="0.5pt" color="#000000 [3204]" joinstyle="round"/>
                      <v:imagedata o:title=""/>
                      <o:lock v:ext="edit" aspectratio="f"/>
                      <v:textbox>
                        <w:txbxContent>
                          <w:p w14:paraId="1188F36B">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1747" w:type="dxa"/>
            <w:vAlign w:val="center"/>
          </w:tcPr>
          <w:p w14:paraId="0B225FAE">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695" w:type="dxa"/>
            <w:vAlign w:val="center"/>
          </w:tcPr>
          <w:p w14:paraId="5DA5F308">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81" w:type="dxa"/>
            <w:vAlign w:val="center"/>
          </w:tcPr>
          <w:p w14:paraId="70AA597B">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97" w:type="dxa"/>
            <w:vAlign w:val="center"/>
          </w:tcPr>
          <w:p w14:paraId="7EC0186B">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98" w:type="dxa"/>
            <w:vAlign w:val="center"/>
          </w:tcPr>
          <w:p w14:paraId="706F81E5">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63" w:type="dxa"/>
            <w:vAlign w:val="center"/>
          </w:tcPr>
          <w:p w14:paraId="3EE1619C">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880" w:type="dxa"/>
            <w:vAlign w:val="center"/>
          </w:tcPr>
          <w:p w14:paraId="1CC013C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82" w:type="dxa"/>
            <w:vAlign w:val="center"/>
          </w:tcPr>
          <w:p w14:paraId="57605F1D">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2977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31" w:type="dxa"/>
            <w:vAlign w:val="center"/>
          </w:tcPr>
          <w:p w14:paraId="6733F802">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47" w:type="dxa"/>
            <w:vAlign w:val="center"/>
          </w:tcPr>
          <w:p w14:paraId="3A04D07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695" w:type="dxa"/>
            <w:vAlign w:val="center"/>
          </w:tcPr>
          <w:p w14:paraId="026371B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81" w:type="dxa"/>
            <w:vAlign w:val="center"/>
          </w:tcPr>
          <w:p w14:paraId="35962100">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97" w:type="dxa"/>
            <w:vAlign w:val="center"/>
          </w:tcPr>
          <w:p w14:paraId="1B49F22F">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98" w:type="dxa"/>
            <w:vAlign w:val="center"/>
          </w:tcPr>
          <w:p w14:paraId="2AC9A365">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63" w:type="dxa"/>
            <w:vAlign w:val="center"/>
          </w:tcPr>
          <w:p w14:paraId="56D6B359">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880" w:type="dxa"/>
            <w:vAlign w:val="center"/>
          </w:tcPr>
          <w:p w14:paraId="335DD945">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82" w:type="dxa"/>
            <w:vAlign w:val="center"/>
          </w:tcPr>
          <w:p w14:paraId="42A234B2">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6CBE7A12">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注：放射源包括放射性中子源，对其要说明是何种核素以及产生的中子流强度(n/s)。</w:t>
      </w:r>
    </w:p>
    <w:p w14:paraId="216A4A98">
      <w:pPr>
        <w:pStyle w:val="2"/>
        <w:spacing w:before="332" w:beforeLines="10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38" w:name="_Toc60227345"/>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表3非密封放射性物质</w:t>
      </w:r>
      <w:bookmarkEnd w:id="38"/>
    </w:p>
    <w:tbl>
      <w:tblPr>
        <w:tblStyle w:val="22"/>
        <w:tblW w:w="14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257"/>
        <w:gridCol w:w="1118"/>
        <w:gridCol w:w="1116"/>
        <w:gridCol w:w="2304"/>
        <w:gridCol w:w="1572"/>
        <w:gridCol w:w="1011"/>
        <w:gridCol w:w="1065"/>
        <w:gridCol w:w="1799"/>
        <w:gridCol w:w="1977"/>
      </w:tblGrid>
      <w:tr w14:paraId="17B64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dxa"/>
            <w:vAlign w:val="center"/>
          </w:tcPr>
          <w:p w14:paraId="47552C8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1257" w:type="dxa"/>
            <w:vAlign w:val="center"/>
          </w:tcPr>
          <w:p w14:paraId="7BC9E2D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核素名称</w:t>
            </w:r>
          </w:p>
        </w:tc>
        <w:tc>
          <w:tcPr>
            <w:tcW w:w="1118" w:type="dxa"/>
            <w:vAlign w:val="center"/>
          </w:tcPr>
          <w:p w14:paraId="6E25FB6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理化性质</w:t>
            </w:r>
          </w:p>
        </w:tc>
        <w:tc>
          <w:tcPr>
            <w:tcW w:w="1116" w:type="dxa"/>
            <w:vAlign w:val="center"/>
          </w:tcPr>
          <w:p w14:paraId="4EFC819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活动种类</w:t>
            </w:r>
          </w:p>
        </w:tc>
        <w:tc>
          <w:tcPr>
            <w:tcW w:w="2304" w:type="dxa"/>
            <w:vAlign w:val="center"/>
          </w:tcPr>
          <w:p w14:paraId="2285155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实际日最大操作量（Bq）</w:t>
            </w:r>
          </w:p>
        </w:tc>
        <w:tc>
          <w:tcPr>
            <w:tcW w:w="1572" w:type="dxa"/>
            <w:vAlign w:val="center"/>
          </w:tcPr>
          <w:p w14:paraId="554748F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年最大量（Bq）</w:t>
            </w:r>
          </w:p>
        </w:tc>
        <w:tc>
          <w:tcPr>
            <w:tcW w:w="1011" w:type="dxa"/>
            <w:vAlign w:val="center"/>
          </w:tcPr>
          <w:p w14:paraId="11089E6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1065" w:type="dxa"/>
            <w:vAlign w:val="center"/>
          </w:tcPr>
          <w:p w14:paraId="08149DE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操作方式</w:t>
            </w:r>
          </w:p>
        </w:tc>
        <w:tc>
          <w:tcPr>
            <w:tcW w:w="1799" w:type="dxa"/>
            <w:vAlign w:val="center"/>
          </w:tcPr>
          <w:p w14:paraId="2C441AE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使用场所</w:t>
            </w:r>
          </w:p>
        </w:tc>
        <w:tc>
          <w:tcPr>
            <w:tcW w:w="1977" w:type="dxa"/>
            <w:vAlign w:val="center"/>
          </w:tcPr>
          <w:p w14:paraId="3DD8DCD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贮存方式与地点</w:t>
            </w:r>
          </w:p>
        </w:tc>
      </w:tr>
      <w:tr w14:paraId="366EA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81" w:type="dxa"/>
            <w:vAlign w:val="center"/>
          </w:tcPr>
          <w:p w14:paraId="27BE557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1312" behindDoc="0" locked="0" layoutInCell="1" allowOverlap="1">
                      <wp:simplePos x="0" y="0"/>
                      <wp:positionH relativeFrom="column">
                        <wp:posOffset>529590</wp:posOffset>
                      </wp:positionH>
                      <wp:positionV relativeFrom="paragraph">
                        <wp:posOffset>113665</wp:posOffset>
                      </wp:positionV>
                      <wp:extent cx="1094105" cy="3943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C0B1D14">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7pt;margin-top:8.95pt;height:31.05pt;width:86.15pt;z-index:251661312;mso-width-relative:page;mso-height-relative:page;" fillcolor="#FFFFFF [3201]" filled="t" stroked="t" coordsize="21600,21600" o:gfxdata="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zHyVTVAAAA&#10;CAEAAA8AAAAAAAAAAQAgAAAAIgAAAGRycy9kb3ducmV2LnhtbFBLAQIUABQAAAAIAIdO4kDQlyQE&#10;WQIAALcEAAAOAAAAAAAAAAEAIAAAACQBAABkcnMvZTJvRG9jLnhtbFBLBQYAAAAABgAGAFkBAADv&#10;BQAAAAA=&#10;">
                      <v:fill on="t" focussize="0,0"/>
                      <v:stroke weight="0.5pt" color="#000000 [3204]" joinstyle="round"/>
                      <v:imagedata o:title=""/>
                      <o:lock v:ext="edit" aspectratio="f"/>
                      <v:textbox>
                        <w:txbxContent>
                          <w:p w14:paraId="7C0B1D14">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1257" w:type="dxa"/>
            <w:vAlign w:val="center"/>
          </w:tcPr>
          <w:p w14:paraId="02DD707F">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118" w:type="dxa"/>
            <w:vAlign w:val="center"/>
          </w:tcPr>
          <w:p w14:paraId="1E71D7FB">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116" w:type="dxa"/>
            <w:vAlign w:val="center"/>
          </w:tcPr>
          <w:p w14:paraId="75786A25">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304" w:type="dxa"/>
            <w:vAlign w:val="center"/>
          </w:tcPr>
          <w:p w14:paraId="3A7D1193">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72" w:type="dxa"/>
            <w:vAlign w:val="center"/>
          </w:tcPr>
          <w:p w14:paraId="04D82180">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11" w:type="dxa"/>
            <w:vAlign w:val="center"/>
          </w:tcPr>
          <w:p w14:paraId="6A064180">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65" w:type="dxa"/>
            <w:vAlign w:val="center"/>
          </w:tcPr>
          <w:p w14:paraId="68B52FA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99" w:type="dxa"/>
            <w:vAlign w:val="center"/>
          </w:tcPr>
          <w:p w14:paraId="54658729">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977" w:type="dxa"/>
            <w:vAlign w:val="center"/>
          </w:tcPr>
          <w:p w14:paraId="774E83E7">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07B6A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81" w:type="dxa"/>
            <w:vAlign w:val="center"/>
          </w:tcPr>
          <w:p w14:paraId="2ECAF68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57" w:type="dxa"/>
            <w:vAlign w:val="center"/>
          </w:tcPr>
          <w:p w14:paraId="6E69DED4">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118" w:type="dxa"/>
            <w:vAlign w:val="center"/>
          </w:tcPr>
          <w:p w14:paraId="35146956">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116" w:type="dxa"/>
            <w:vAlign w:val="center"/>
          </w:tcPr>
          <w:p w14:paraId="465F39B5">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304" w:type="dxa"/>
            <w:vAlign w:val="center"/>
          </w:tcPr>
          <w:p w14:paraId="191AFE6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72" w:type="dxa"/>
            <w:vAlign w:val="center"/>
          </w:tcPr>
          <w:p w14:paraId="7F758CFF">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11" w:type="dxa"/>
            <w:vAlign w:val="center"/>
          </w:tcPr>
          <w:p w14:paraId="19B3A3AC">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65" w:type="dxa"/>
            <w:vAlign w:val="center"/>
          </w:tcPr>
          <w:p w14:paraId="74735FEC">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99" w:type="dxa"/>
            <w:vAlign w:val="center"/>
          </w:tcPr>
          <w:p w14:paraId="4DFB2BBD">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977" w:type="dxa"/>
            <w:vAlign w:val="center"/>
          </w:tcPr>
          <w:p w14:paraId="3EDD5593">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075AAF5D">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注:日等效最大操作量和操作方式见《电离辐射防护与辐射源安全基本标准》(GB 1887 1-2002)。</w:t>
      </w:r>
    </w:p>
    <w:p w14:paraId="7BCB36FE">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39" w:name="_Toc60227346"/>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表4射线装置</w:t>
      </w:r>
      <w:bookmarkEnd w:id="39"/>
    </w:p>
    <w:p w14:paraId="2C0D6FEE">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（一）加速器，包括医用、工农业、科研、教学等用途的各种类型加速器</w:t>
      </w:r>
    </w:p>
    <w:tbl>
      <w:tblPr>
        <w:tblStyle w:val="22"/>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728"/>
        <w:gridCol w:w="762"/>
        <w:gridCol w:w="640"/>
        <w:gridCol w:w="850"/>
        <w:gridCol w:w="1074"/>
        <w:gridCol w:w="1023"/>
        <w:gridCol w:w="2824"/>
        <w:gridCol w:w="2600"/>
        <w:gridCol w:w="1716"/>
        <w:gridCol w:w="1074"/>
      </w:tblGrid>
      <w:tr w14:paraId="45BF2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883" w:type="dxa"/>
            <w:vAlign w:val="center"/>
          </w:tcPr>
          <w:p w14:paraId="07CEF1D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728" w:type="dxa"/>
            <w:vAlign w:val="center"/>
          </w:tcPr>
          <w:p w14:paraId="612AD30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名称</w:t>
            </w:r>
          </w:p>
        </w:tc>
        <w:tc>
          <w:tcPr>
            <w:tcW w:w="762" w:type="dxa"/>
            <w:vAlign w:val="center"/>
          </w:tcPr>
          <w:p w14:paraId="2868397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类别</w:t>
            </w:r>
          </w:p>
        </w:tc>
        <w:tc>
          <w:tcPr>
            <w:tcW w:w="640" w:type="dxa"/>
            <w:vAlign w:val="center"/>
          </w:tcPr>
          <w:p w14:paraId="3525133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数量</w:t>
            </w:r>
          </w:p>
        </w:tc>
        <w:tc>
          <w:tcPr>
            <w:tcW w:w="850" w:type="dxa"/>
            <w:vAlign w:val="center"/>
          </w:tcPr>
          <w:p w14:paraId="55EA3B1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型号</w:t>
            </w:r>
          </w:p>
        </w:tc>
        <w:tc>
          <w:tcPr>
            <w:tcW w:w="1074" w:type="dxa"/>
            <w:vAlign w:val="center"/>
          </w:tcPr>
          <w:p w14:paraId="26CE9E3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加速粒子</w:t>
            </w:r>
          </w:p>
        </w:tc>
        <w:tc>
          <w:tcPr>
            <w:tcW w:w="1023" w:type="dxa"/>
            <w:vAlign w:val="center"/>
          </w:tcPr>
          <w:p w14:paraId="1276108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最大能量</w:t>
            </w:r>
          </w:p>
        </w:tc>
        <w:tc>
          <w:tcPr>
            <w:tcW w:w="2824" w:type="dxa"/>
            <w:vAlign w:val="center"/>
          </w:tcPr>
          <w:p w14:paraId="6C16476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额定电流（mA）</w:t>
            </w:r>
          </w:p>
          <w:p w14:paraId="37083C7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/剂量率（Gy/h）</w:t>
            </w:r>
          </w:p>
        </w:tc>
        <w:tc>
          <w:tcPr>
            <w:tcW w:w="2600" w:type="dxa"/>
            <w:vAlign w:val="center"/>
          </w:tcPr>
          <w:p w14:paraId="35BDE8B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1716" w:type="dxa"/>
            <w:vAlign w:val="center"/>
          </w:tcPr>
          <w:p w14:paraId="08524D0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工作场所</w:t>
            </w:r>
          </w:p>
        </w:tc>
        <w:tc>
          <w:tcPr>
            <w:tcW w:w="1074" w:type="dxa"/>
            <w:vAlign w:val="center"/>
          </w:tcPr>
          <w:p w14:paraId="0548655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备注</w:t>
            </w:r>
          </w:p>
        </w:tc>
      </w:tr>
      <w:tr w14:paraId="62ECE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83" w:type="dxa"/>
            <w:vAlign w:val="center"/>
          </w:tcPr>
          <w:p w14:paraId="1D77F5B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28" w:type="dxa"/>
            <w:vAlign w:val="center"/>
          </w:tcPr>
          <w:p w14:paraId="5793A7DF">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2336" behindDoc="0" locked="0" layoutInCell="1" allowOverlap="1">
                      <wp:simplePos x="0" y="0"/>
                      <wp:positionH relativeFrom="column">
                        <wp:posOffset>-48895</wp:posOffset>
                      </wp:positionH>
                      <wp:positionV relativeFrom="paragraph">
                        <wp:posOffset>108585</wp:posOffset>
                      </wp:positionV>
                      <wp:extent cx="1094105" cy="394335"/>
                      <wp:effectExtent l="4445" t="4445" r="6350" b="20320"/>
                      <wp:wrapNone/>
                      <wp:docPr id="10" name="文本框 10"/>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2264EAF">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pt;margin-top:8.55pt;height:31.05pt;width:86.15pt;z-index:251662336;mso-width-relative:page;mso-height-relative:page;" fillcolor="#FFFFFF [3201]" filled="t" stroked="t" coordsize="21600,21600" o:gfxdata="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4KlD3VAAAA&#10;CAEAAA8AAAAAAAAAAQAgAAAAIgAAAGRycy9kb3ducmV2LnhtbFBLAQIUABQAAAAIAIdO4kCaYMqW&#10;WQIAALkEAAAOAAAAAAAAAAEAIAAAACQBAABkcnMvZTJvRG9jLnhtbFBLBQYAAAAABgAGAFkBAADv&#10;BQAAAAA=&#10;">
                      <v:fill on="t" focussize="0,0"/>
                      <v:stroke weight="0.5pt" color="#000000 [3204]" joinstyle="round"/>
                      <v:imagedata o:title=""/>
                      <o:lock v:ext="edit" aspectratio="f"/>
                      <v:textbox>
                        <w:txbxContent>
                          <w:p w14:paraId="42264EAF">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762" w:type="dxa"/>
            <w:vAlign w:val="center"/>
          </w:tcPr>
          <w:p w14:paraId="4610F972">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640" w:type="dxa"/>
            <w:vAlign w:val="center"/>
          </w:tcPr>
          <w:p w14:paraId="0C22A581">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850" w:type="dxa"/>
            <w:vAlign w:val="center"/>
          </w:tcPr>
          <w:p w14:paraId="1016DF12">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74" w:type="dxa"/>
            <w:vAlign w:val="center"/>
          </w:tcPr>
          <w:p w14:paraId="52685991">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23" w:type="dxa"/>
            <w:vAlign w:val="center"/>
          </w:tcPr>
          <w:p w14:paraId="67F2F70E">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824" w:type="dxa"/>
            <w:vAlign w:val="center"/>
          </w:tcPr>
          <w:p w14:paraId="20BEFB36">
            <w:pPr>
              <w:ind w:firstLine="720" w:firstLineChars="3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600" w:type="dxa"/>
            <w:vAlign w:val="center"/>
          </w:tcPr>
          <w:p w14:paraId="488ECA34">
            <w:pPr>
              <w:ind w:firstLine="960" w:firstLineChars="4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16" w:type="dxa"/>
            <w:vAlign w:val="center"/>
          </w:tcPr>
          <w:p w14:paraId="3FFB1E7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74" w:type="dxa"/>
            <w:vAlign w:val="center"/>
          </w:tcPr>
          <w:p w14:paraId="40AE9BB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5102A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83" w:type="dxa"/>
            <w:vAlign w:val="center"/>
          </w:tcPr>
          <w:p w14:paraId="53C37D1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28" w:type="dxa"/>
            <w:vAlign w:val="center"/>
          </w:tcPr>
          <w:p w14:paraId="78E5DCA3">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62" w:type="dxa"/>
            <w:vAlign w:val="center"/>
          </w:tcPr>
          <w:p w14:paraId="35E8EA22">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640" w:type="dxa"/>
            <w:vAlign w:val="center"/>
          </w:tcPr>
          <w:p w14:paraId="2AFFD02F">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850" w:type="dxa"/>
            <w:vAlign w:val="center"/>
          </w:tcPr>
          <w:p w14:paraId="2E4E316C">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74" w:type="dxa"/>
            <w:vAlign w:val="center"/>
          </w:tcPr>
          <w:p w14:paraId="589E8006">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23" w:type="dxa"/>
            <w:vAlign w:val="center"/>
          </w:tcPr>
          <w:p w14:paraId="351DEBE6">
            <w:pPr>
              <w:ind w:firstLine="240" w:firstLineChars="1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824" w:type="dxa"/>
            <w:vAlign w:val="center"/>
          </w:tcPr>
          <w:p w14:paraId="2D735996">
            <w:pPr>
              <w:ind w:firstLine="720" w:firstLineChars="3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600" w:type="dxa"/>
            <w:vAlign w:val="center"/>
          </w:tcPr>
          <w:p w14:paraId="1E76FBCD">
            <w:pPr>
              <w:ind w:firstLine="960" w:firstLineChars="40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16" w:type="dxa"/>
            <w:vAlign w:val="center"/>
          </w:tcPr>
          <w:p w14:paraId="631D130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74" w:type="dxa"/>
            <w:vAlign w:val="center"/>
          </w:tcPr>
          <w:p w14:paraId="3DBE9C1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0F9DF92E">
      <w:pPr>
        <w:spacing w:before="166" w:beforeLines="50"/>
        <w:ind w:firstLine="0" w:firstLineChars="0"/>
        <w:rPr>
          <w:rFonts w:ascii="Times New Roman" w:hAnsi="Times New Roman" w:cs="Times New Roman" w:eastAsiaTheme="minorEastAsia"/>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（二）X射线机，包括工业探伤、医用诊断和治疗、分析等用途</w:t>
      </w:r>
    </w:p>
    <w:tbl>
      <w:tblPr>
        <w:tblStyle w:val="22"/>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382"/>
        <w:gridCol w:w="1233"/>
        <w:gridCol w:w="1076"/>
        <w:gridCol w:w="1574"/>
        <w:gridCol w:w="2093"/>
        <w:gridCol w:w="1990"/>
        <w:gridCol w:w="1523"/>
        <w:gridCol w:w="1673"/>
        <w:gridCol w:w="994"/>
      </w:tblGrid>
      <w:tr w14:paraId="0AD57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51E55E1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1382" w:type="dxa"/>
            <w:vAlign w:val="center"/>
          </w:tcPr>
          <w:p w14:paraId="3FBD320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名称</w:t>
            </w:r>
          </w:p>
        </w:tc>
        <w:tc>
          <w:tcPr>
            <w:tcW w:w="1233" w:type="dxa"/>
            <w:vAlign w:val="center"/>
          </w:tcPr>
          <w:p w14:paraId="74A8CC1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类别</w:t>
            </w:r>
          </w:p>
        </w:tc>
        <w:tc>
          <w:tcPr>
            <w:tcW w:w="1076" w:type="dxa"/>
            <w:vAlign w:val="center"/>
          </w:tcPr>
          <w:p w14:paraId="0760640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数量</w:t>
            </w:r>
          </w:p>
        </w:tc>
        <w:tc>
          <w:tcPr>
            <w:tcW w:w="1574" w:type="dxa"/>
            <w:vAlign w:val="center"/>
          </w:tcPr>
          <w:p w14:paraId="4BDED80E">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型号</w:t>
            </w:r>
          </w:p>
        </w:tc>
        <w:tc>
          <w:tcPr>
            <w:tcW w:w="2093" w:type="dxa"/>
            <w:vAlign w:val="center"/>
          </w:tcPr>
          <w:p w14:paraId="394CE7E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最大管电压</w:t>
            </w:r>
          </w:p>
          <w:p w14:paraId="37D06E9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（kV）</w:t>
            </w:r>
          </w:p>
        </w:tc>
        <w:tc>
          <w:tcPr>
            <w:tcW w:w="1990" w:type="dxa"/>
            <w:vAlign w:val="center"/>
          </w:tcPr>
          <w:p w14:paraId="60068C6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最大管电流（mA）</w:t>
            </w:r>
          </w:p>
        </w:tc>
        <w:tc>
          <w:tcPr>
            <w:tcW w:w="1523" w:type="dxa"/>
            <w:vAlign w:val="center"/>
          </w:tcPr>
          <w:p w14:paraId="2BF9218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1673" w:type="dxa"/>
            <w:vAlign w:val="center"/>
          </w:tcPr>
          <w:p w14:paraId="1581842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工作场所</w:t>
            </w:r>
          </w:p>
        </w:tc>
        <w:tc>
          <w:tcPr>
            <w:tcW w:w="994" w:type="dxa"/>
            <w:vAlign w:val="center"/>
          </w:tcPr>
          <w:p w14:paraId="28995FD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备注</w:t>
            </w:r>
          </w:p>
        </w:tc>
      </w:tr>
      <w:tr w14:paraId="4B981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1364CD1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p>
        </w:tc>
        <w:tc>
          <w:tcPr>
            <w:tcW w:w="1382" w:type="dxa"/>
            <w:vAlign w:val="center"/>
          </w:tcPr>
          <w:p w14:paraId="4E542C03">
            <w:pPr>
              <w:ind w:firstLine="0" w:firstLineChars="0"/>
              <w:jc w:val="cente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p>
        </w:tc>
        <w:tc>
          <w:tcPr>
            <w:tcW w:w="1233" w:type="dxa"/>
            <w:vAlign w:val="center"/>
          </w:tcPr>
          <w:p w14:paraId="7C1B234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Ⅱ</w:t>
            </w:r>
          </w:p>
        </w:tc>
        <w:tc>
          <w:tcPr>
            <w:tcW w:w="1076" w:type="dxa"/>
            <w:vAlign w:val="center"/>
          </w:tcPr>
          <w:p w14:paraId="1D3C4BD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p>
        </w:tc>
        <w:tc>
          <w:tcPr>
            <w:tcW w:w="1574" w:type="dxa"/>
            <w:vAlign w:val="center"/>
          </w:tcPr>
          <w:p w14:paraId="6BC11DF6">
            <w:pPr>
              <w:ind w:firstLine="0" w:firstLineChars="0"/>
              <w:jc w:val="cente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北京通用的GEOEC ONE CFD</w:t>
            </w:r>
          </w:p>
        </w:tc>
        <w:tc>
          <w:tcPr>
            <w:tcW w:w="2093" w:type="dxa"/>
            <w:vAlign w:val="center"/>
          </w:tcPr>
          <w:p w14:paraId="0F11566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kV</w:t>
            </w:r>
          </w:p>
        </w:tc>
        <w:tc>
          <w:tcPr>
            <w:tcW w:w="1990" w:type="dxa"/>
            <w:vAlign w:val="center"/>
          </w:tcPr>
          <w:p w14:paraId="4911671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mA</w:t>
            </w:r>
          </w:p>
        </w:tc>
        <w:tc>
          <w:tcPr>
            <w:tcW w:w="1523" w:type="dxa"/>
            <w:vAlign w:val="center"/>
          </w:tcPr>
          <w:p w14:paraId="43E9714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影像诊断和介入治疗</w:t>
            </w:r>
          </w:p>
        </w:tc>
        <w:tc>
          <w:tcPr>
            <w:tcW w:w="1673" w:type="dxa"/>
            <w:vAlign w:val="center"/>
          </w:tcPr>
          <w:p w14:paraId="5FA4678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医技楼4楼介入手术室</w:t>
            </w:r>
          </w:p>
        </w:tc>
        <w:tc>
          <w:tcPr>
            <w:tcW w:w="994" w:type="dxa"/>
            <w:vAlign w:val="center"/>
          </w:tcPr>
          <w:p w14:paraId="5849F7F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新增</w:t>
            </w:r>
          </w:p>
        </w:tc>
      </w:tr>
      <w:tr w14:paraId="4776F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36" w:type="dxa"/>
            <w:vAlign w:val="center"/>
          </w:tcPr>
          <w:p w14:paraId="476CBBF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382" w:type="dxa"/>
            <w:vAlign w:val="center"/>
          </w:tcPr>
          <w:p w14:paraId="79644117">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45720</wp:posOffset>
                      </wp:positionV>
                      <wp:extent cx="1828800" cy="18288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0968DA5">
                                  <w:pPr>
                                    <w:ind w:firstLine="0" w:firstLineChars="0"/>
                                    <w:jc w:val="center"/>
                                    <w:rPr>
                                      <w:rFonts w:ascii="宋体" w:hAnsi="宋体" w:cs="宋体"/>
                                      <w:sz w:val="21"/>
                                      <w:szCs w:val="21"/>
                                    </w:rPr>
                                  </w:pPr>
                                  <w:r>
                                    <w:rPr>
                                      <w:rFonts w:ascii="宋体" w:hAnsi="宋体" w:cs="宋体"/>
                                      <w:sz w:val="21"/>
                                      <w:szCs w:val="21"/>
                                    </w:rPr>
                                    <w:t>以下空白</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15pt;margin-top:3.6pt;height:144pt;width:144pt;mso-wrap-style:none;z-index:251659264;mso-width-relative:page;mso-height-relative:page;" fillcolor="#FFFFFF [3201]" filled="t" stroked="t" coordsize="21600,21600" o:gfxdata="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5QhY/TAAAABwEAAA8AAAAA&#10;AAAAAQAgAAAAIgAAAGRycy9kb3ducmV2LnhtbFBLAQIUABQAAAAIAIdO4kCM/GV5UgIAALYEAAAO&#10;AAAAAAAAAAEAIAAAACIBAABkcnMvZTJvRG9jLnhtbFBLBQYAAAAABgAGAFkBAADmBQAAAAA=&#10;">
                      <v:fill on="t" focussize="0,0"/>
                      <v:stroke weight="0.5pt" color="#000000 [3204]" joinstyle="round"/>
                      <v:imagedata o:title=""/>
                      <o:lock v:ext="edit" aspectratio="f"/>
                      <v:textbox style="mso-fit-shape-to-text:t;">
                        <w:txbxContent>
                          <w:p w14:paraId="30968DA5">
                            <w:pPr>
                              <w:ind w:firstLine="0" w:firstLineChars="0"/>
                              <w:jc w:val="center"/>
                              <w:rPr>
                                <w:rFonts w:ascii="宋体" w:hAnsi="宋体" w:cs="宋体"/>
                                <w:sz w:val="21"/>
                                <w:szCs w:val="21"/>
                              </w:rPr>
                            </w:pPr>
                            <w:r>
                              <w:rPr>
                                <w:rFonts w:ascii="宋体" w:hAnsi="宋体" w:cs="宋体"/>
                                <w:sz w:val="21"/>
                                <w:szCs w:val="21"/>
                              </w:rPr>
                              <w:t>以下空白</w:t>
                            </w:r>
                          </w:p>
                        </w:txbxContent>
                      </v:textbox>
                    </v:shape>
                  </w:pict>
                </mc:Fallback>
              </mc:AlternateContent>
            </w:r>
          </w:p>
        </w:tc>
        <w:tc>
          <w:tcPr>
            <w:tcW w:w="1233" w:type="dxa"/>
            <w:vAlign w:val="center"/>
          </w:tcPr>
          <w:p w14:paraId="6490022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76" w:type="dxa"/>
            <w:vAlign w:val="center"/>
          </w:tcPr>
          <w:p w14:paraId="3D1C26D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74" w:type="dxa"/>
            <w:vAlign w:val="center"/>
          </w:tcPr>
          <w:p w14:paraId="6FD0725E">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093" w:type="dxa"/>
            <w:vAlign w:val="center"/>
          </w:tcPr>
          <w:p w14:paraId="1864F05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990" w:type="dxa"/>
            <w:vAlign w:val="center"/>
          </w:tcPr>
          <w:p w14:paraId="018203A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23" w:type="dxa"/>
            <w:vAlign w:val="center"/>
          </w:tcPr>
          <w:p w14:paraId="00AE854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73" w:type="dxa"/>
            <w:vAlign w:val="center"/>
          </w:tcPr>
          <w:p w14:paraId="57E242A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94" w:type="dxa"/>
            <w:vAlign w:val="center"/>
          </w:tcPr>
          <w:p w14:paraId="38B006D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5B6C6D8E">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1F92D99">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（三）中子发生器，包括中子管，但不包括放射性中子源</w:t>
      </w:r>
    </w:p>
    <w:tbl>
      <w:tblPr>
        <w:tblStyle w:val="22"/>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718"/>
        <w:gridCol w:w="765"/>
        <w:gridCol w:w="751"/>
        <w:gridCol w:w="673"/>
        <w:gridCol w:w="1439"/>
        <w:gridCol w:w="1517"/>
        <w:gridCol w:w="1298"/>
        <w:gridCol w:w="877"/>
        <w:gridCol w:w="914"/>
        <w:gridCol w:w="1608"/>
        <w:gridCol w:w="1554"/>
        <w:gridCol w:w="932"/>
        <w:gridCol w:w="473"/>
      </w:tblGrid>
      <w:tr w14:paraId="2CFBA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655" w:type="dxa"/>
            <w:vMerge w:val="restart"/>
            <w:vAlign w:val="center"/>
          </w:tcPr>
          <w:p w14:paraId="6A5B24A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718" w:type="dxa"/>
            <w:vMerge w:val="restart"/>
            <w:vAlign w:val="center"/>
          </w:tcPr>
          <w:p w14:paraId="6AE23CE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名称</w:t>
            </w:r>
          </w:p>
        </w:tc>
        <w:tc>
          <w:tcPr>
            <w:tcW w:w="765" w:type="dxa"/>
            <w:vMerge w:val="restart"/>
            <w:vAlign w:val="center"/>
          </w:tcPr>
          <w:p w14:paraId="3E48298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类别</w:t>
            </w:r>
          </w:p>
        </w:tc>
        <w:tc>
          <w:tcPr>
            <w:tcW w:w="751" w:type="dxa"/>
            <w:vMerge w:val="restart"/>
            <w:vAlign w:val="center"/>
          </w:tcPr>
          <w:p w14:paraId="3650E55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数量</w:t>
            </w:r>
          </w:p>
        </w:tc>
        <w:tc>
          <w:tcPr>
            <w:tcW w:w="673" w:type="dxa"/>
            <w:vMerge w:val="restart"/>
            <w:vAlign w:val="center"/>
          </w:tcPr>
          <w:p w14:paraId="648B950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型号</w:t>
            </w:r>
          </w:p>
        </w:tc>
        <w:tc>
          <w:tcPr>
            <w:tcW w:w="1439" w:type="dxa"/>
            <w:vMerge w:val="restart"/>
            <w:vAlign w:val="center"/>
          </w:tcPr>
          <w:p w14:paraId="0CA9234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最大管电压（kV）</w:t>
            </w:r>
          </w:p>
        </w:tc>
        <w:tc>
          <w:tcPr>
            <w:tcW w:w="1517" w:type="dxa"/>
            <w:vMerge w:val="restart"/>
            <w:vAlign w:val="center"/>
          </w:tcPr>
          <w:p w14:paraId="232D0FC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最大靶电</w:t>
            </w:r>
          </w:p>
          <w:p w14:paraId="38C9EFD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流（μA）</w:t>
            </w:r>
          </w:p>
        </w:tc>
        <w:tc>
          <w:tcPr>
            <w:tcW w:w="1298" w:type="dxa"/>
            <w:vMerge w:val="restart"/>
            <w:vAlign w:val="center"/>
          </w:tcPr>
          <w:p w14:paraId="65BE259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中子强</w:t>
            </w:r>
          </w:p>
          <w:p w14:paraId="45D324C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度（n/s）</w:t>
            </w:r>
          </w:p>
        </w:tc>
        <w:tc>
          <w:tcPr>
            <w:tcW w:w="877" w:type="dxa"/>
            <w:vMerge w:val="restart"/>
            <w:vAlign w:val="center"/>
          </w:tcPr>
          <w:p w14:paraId="40D1EEE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914" w:type="dxa"/>
            <w:vMerge w:val="restart"/>
            <w:vAlign w:val="center"/>
          </w:tcPr>
          <w:p w14:paraId="527D43B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工作场所</w:t>
            </w:r>
          </w:p>
        </w:tc>
        <w:tc>
          <w:tcPr>
            <w:tcW w:w="4094" w:type="dxa"/>
            <w:gridSpan w:val="3"/>
            <w:vAlign w:val="center"/>
          </w:tcPr>
          <w:p w14:paraId="3A5A19A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氚靶情况</w:t>
            </w:r>
          </w:p>
        </w:tc>
        <w:tc>
          <w:tcPr>
            <w:tcW w:w="473" w:type="dxa"/>
            <w:vMerge w:val="restart"/>
            <w:vAlign w:val="center"/>
          </w:tcPr>
          <w:p w14:paraId="324C07AE">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备注</w:t>
            </w:r>
          </w:p>
        </w:tc>
      </w:tr>
      <w:tr w14:paraId="2C5FA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55" w:type="dxa"/>
            <w:vMerge w:val="continue"/>
            <w:vAlign w:val="center"/>
          </w:tcPr>
          <w:p w14:paraId="551F4643">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18" w:type="dxa"/>
            <w:vMerge w:val="continue"/>
            <w:vAlign w:val="center"/>
          </w:tcPr>
          <w:p w14:paraId="6790F977">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65" w:type="dxa"/>
            <w:vMerge w:val="continue"/>
            <w:vAlign w:val="center"/>
          </w:tcPr>
          <w:p w14:paraId="6BE58712">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51" w:type="dxa"/>
            <w:vMerge w:val="continue"/>
            <w:vAlign w:val="center"/>
          </w:tcPr>
          <w:p w14:paraId="613FED34">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673" w:type="dxa"/>
            <w:vMerge w:val="continue"/>
            <w:vAlign w:val="center"/>
          </w:tcPr>
          <w:p w14:paraId="69527994">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439" w:type="dxa"/>
            <w:vMerge w:val="continue"/>
            <w:vAlign w:val="center"/>
          </w:tcPr>
          <w:p w14:paraId="05151479">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17" w:type="dxa"/>
            <w:vMerge w:val="continue"/>
            <w:vAlign w:val="center"/>
          </w:tcPr>
          <w:p w14:paraId="5B09A088">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98" w:type="dxa"/>
            <w:vMerge w:val="continue"/>
            <w:vAlign w:val="center"/>
          </w:tcPr>
          <w:p w14:paraId="7F3070D4">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877" w:type="dxa"/>
            <w:vMerge w:val="continue"/>
            <w:vAlign w:val="center"/>
          </w:tcPr>
          <w:p w14:paraId="365723C2">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14" w:type="dxa"/>
            <w:vMerge w:val="continue"/>
            <w:vAlign w:val="center"/>
          </w:tcPr>
          <w:p w14:paraId="39140E84">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08" w:type="dxa"/>
            <w:vAlign w:val="center"/>
          </w:tcPr>
          <w:p w14:paraId="47F15AE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活度（Bq）</w:t>
            </w:r>
          </w:p>
        </w:tc>
        <w:tc>
          <w:tcPr>
            <w:tcW w:w="1554" w:type="dxa"/>
            <w:vAlign w:val="center"/>
          </w:tcPr>
          <w:p w14:paraId="78102A2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贮存方式</w:t>
            </w:r>
          </w:p>
        </w:tc>
        <w:tc>
          <w:tcPr>
            <w:tcW w:w="932" w:type="dxa"/>
            <w:vAlign w:val="center"/>
          </w:tcPr>
          <w:p w14:paraId="711B16D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数量</w:t>
            </w:r>
          </w:p>
        </w:tc>
        <w:tc>
          <w:tcPr>
            <w:tcW w:w="473" w:type="dxa"/>
            <w:vMerge w:val="continue"/>
            <w:vAlign w:val="center"/>
          </w:tcPr>
          <w:p w14:paraId="010C9F0A">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3094A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55" w:type="dxa"/>
            <w:vAlign w:val="center"/>
          </w:tcPr>
          <w:p w14:paraId="7D9E74D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18" w:type="dxa"/>
            <w:vAlign w:val="center"/>
          </w:tcPr>
          <w:p w14:paraId="419A9FB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3360" behindDoc="0" locked="0" layoutInCell="1" allowOverlap="1">
                      <wp:simplePos x="0" y="0"/>
                      <wp:positionH relativeFrom="column">
                        <wp:posOffset>181610</wp:posOffset>
                      </wp:positionH>
                      <wp:positionV relativeFrom="paragraph">
                        <wp:posOffset>54610</wp:posOffset>
                      </wp:positionV>
                      <wp:extent cx="1094105" cy="394335"/>
                      <wp:effectExtent l="4445" t="4445" r="6350" b="20320"/>
                      <wp:wrapNone/>
                      <wp:docPr id="18" name="文本框 18"/>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D473E2F">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pt;margin-top:4.3pt;height:31.05pt;width:86.15pt;z-index:251663360;mso-width-relative:page;mso-height-relative:page;" fillcolor="#FFFFFF [3201]" filled="t" stroked="t" coordsize="21600,21600" o:gfxdata="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6c6J90wAAAAcB&#10;AAAPAAAAAAAAAAEAIAAAACIAAABkcnMvZG93bnJldi54bWxQSwECFAAUAAAACACHTuJAKKsdqFkC&#10;AAC5BAAADgAAAAAAAAABACAAAAAiAQAAZHJzL2Uyb0RvYy54bWxQSwUGAAAAAAYABgBZAQAA7QUA&#10;AAAA&#10;">
                      <v:fill on="t" focussize="0,0"/>
                      <v:stroke weight="0.5pt" color="#000000 [3204]" joinstyle="round"/>
                      <v:imagedata o:title=""/>
                      <o:lock v:ext="edit" aspectratio="f"/>
                      <v:textbox>
                        <w:txbxContent>
                          <w:p w14:paraId="4D473E2F">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765" w:type="dxa"/>
            <w:vAlign w:val="center"/>
          </w:tcPr>
          <w:p w14:paraId="07D371B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51" w:type="dxa"/>
            <w:vAlign w:val="center"/>
          </w:tcPr>
          <w:p w14:paraId="50D3157E">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673" w:type="dxa"/>
            <w:vAlign w:val="center"/>
          </w:tcPr>
          <w:p w14:paraId="5BD8DA3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439" w:type="dxa"/>
            <w:vAlign w:val="center"/>
          </w:tcPr>
          <w:p w14:paraId="17B7A5A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17" w:type="dxa"/>
            <w:vAlign w:val="center"/>
          </w:tcPr>
          <w:p w14:paraId="06F8042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98" w:type="dxa"/>
            <w:vAlign w:val="center"/>
          </w:tcPr>
          <w:p w14:paraId="248AFD4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877" w:type="dxa"/>
            <w:vAlign w:val="center"/>
          </w:tcPr>
          <w:p w14:paraId="0C1703C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14" w:type="dxa"/>
            <w:vAlign w:val="center"/>
          </w:tcPr>
          <w:p w14:paraId="70E1689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08" w:type="dxa"/>
            <w:vAlign w:val="center"/>
          </w:tcPr>
          <w:p w14:paraId="0081E90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54" w:type="dxa"/>
            <w:vAlign w:val="center"/>
          </w:tcPr>
          <w:p w14:paraId="6D46648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32" w:type="dxa"/>
            <w:vAlign w:val="center"/>
          </w:tcPr>
          <w:p w14:paraId="5EB2756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473" w:type="dxa"/>
            <w:vAlign w:val="center"/>
          </w:tcPr>
          <w:p w14:paraId="1294208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4887B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55" w:type="dxa"/>
            <w:vAlign w:val="center"/>
          </w:tcPr>
          <w:p w14:paraId="001EFBF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18" w:type="dxa"/>
            <w:vAlign w:val="center"/>
          </w:tcPr>
          <w:p w14:paraId="0B6C36E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65" w:type="dxa"/>
            <w:vAlign w:val="center"/>
          </w:tcPr>
          <w:p w14:paraId="42D21FD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51" w:type="dxa"/>
            <w:vAlign w:val="center"/>
          </w:tcPr>
          <w:p w14:paraId="25A549B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673" w:type="dxa"/>
            <w:vAlign w:val="center"/>
          </w:tcPr>
          <w:p w14:paraId="7281A10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439" w:type="dxa"/>
            <w:vAlign w:val="center"/>
          </w:tcPr>
          <w:p w14:paraId="5B66BC6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17" w:type="dxa"/>
            <w:vAlign w:val="center"/>
          </w:tcPr>
          <w:p w14:paraId="4A80436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298" w:type="dxa"/>
            <w:vAlign w:val="center"/>
          </w:tcPr>
          <w:p w14:paraId="29139D8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877" w:type="dxa"/>
            <w:vAlign w:val="center"/>
          </w:tcPr>
          <w:p w14:paraId="4FAA4A2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14" w:type="dxa"/>
            <w:vAlign w:val="center"/>
          </w:tcPr>
          <w:p w14:paraId="3D9D68E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608" w:type="dxa"/>
            <w:vAlign w:val="center"/>
          </w:tcPr>
          <w:p w14:paraId="54EC0ED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54" w:type="dxa"/>
            <w:vAlign w:val="center"/>
          </w:tcPr>
          <w:p w14:paraId="28FDE61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932" w:type="dxa"/>
            <w:vAlign w:val="center"/>
          </w:tcPr>
          <w:p w14:paraId="239DD8F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473" w:type="dxa"/>
            <w:vAlign w:val="center"/>
          </w:tcPr>
          <w:p w14:paraId="591E360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06BBBE33">
      <w:pPr>
        <w:ind w:firstLine="0" w:firstLineChars="0"/>
        <w:rPr>
          <w:rFonts w:ascii="Times New Roman" w:hAnsi="Times New Roman" w:cs="Times New Roman" w:eastAsiaTheme="minorEastAsia"/>
          <w:color w:val="0D0D0D" w:themeColor="text1" w:themeTint="F2"/>
          <w:sz w:val="28"/>
          <w:szCs w:val="28"/>
          <w:highlight w:val="none"/>
          <w14:textFill>
            <w14:solidFill>
              <w14:schemeClr w14:val="tx1">
                <w14:lumMod w14:val="95000"/>
                <w14:lumOff w14:val="5000"/>
              </w14:schemeClr>
            </w14:solidFill>
          </w14:textFill>
        </w:rPr>
      </w:pPr>
    </w:p>
    <w:p w14:paraId="333AEA85">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其他</w:t>
      </w:r>
    </w:p>
    <w:tbl>
      <w:tblPr>
        <w:tblStyle w:val="22"/>
        <w:tblW w:w="14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295"/>
        <w:gridCol w:w="2175"/>
        <w:gridCol w:w="1500"/>
        <w:gridCol w:w="2160"/>
        <w:gridCol w:w="1889"/>
        <w:gridCol w:w="1920"/>
        <w:gridCol w:w="1504"/>
      </w:tblGrid>
      <w:tr w14:paraId="3696C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dxa"/>
            <w:vAlign w:val="center"/>
          </w:tcPr>
          <w:p w14:paraId="4E7C7A8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序号</w:t>
            </w:r>
          </w:p>
        </w:tc>
        <w:tc>
          <w:tcPr>
            <w:tcW w:w="2295" w:type="dxa"/>
            <w:vAlign w:val="center"/>
          </w:tcPr>
          <w:p w14:paraId="548DBF7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名称</w:t>
            </w:r>
          </w:p>
        </w:tc>
        <w:tc>
          <w:tcPr>
            <w:tcW w:w="2175" w:type="dxa"/>
            <w:vAlign w:val="center"/>
          </w:tcPr>
          <w:p w14:paraId="32FBE46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型号</w:t>
            </w:r>
          </w:p>
        </w:tc>
        <w:tc>
          <w:tcPr>
            <w:tcW w:w="1500" w:type="dxa"/>
            <w:vAlign w:val="center"/>
          </w:tcPr>
          <w:p w14:paraId="7BDE77F7">
            <w:pPr>
              <w:ind w:firstLine="0" w:firstLineChars="0"/>
              <w:jc w:val="center"/>
              <w:rPr>
                <w:rFonts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数量</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（台）</w:t>
            </w:r>
          </w:p>
        </w:tc>
        <w:tc>
          <w:tcPr>
            <w:tcW w:w="2160" w:type="dxa"/>
            <w:vAlign w:val="center"/>
          </w:tcPr>
          <w:p w14:paraId="52E02EF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主要技术指标</w:t>
            </w:r>
          </w:p>
        </w:tc>
        <w:tc>
          <w:tcPr>
            <w:tcW w:w="1889" w:type="dxa"/>
            <w:vAlign w:val="center"/>
          </w:tcPr>
          <w:p w14:paraId="1F2C52B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用途</w:t>
            </w:r>
          </w:p>
        </w:tc>
        <w:tc>
          <w:tcPr>
            <w:tcW w:w="1920" w:type="dxa"/>
            <w:vAlign w:val="center"/>
          </w:tcPr>
          <w:p w14:paraId="6F9D59A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工作场所</w:t>
            </w:r>
          </w:p>
        </w:tc>
        <w:tc>
          <w:tcPr>
            <w:tcW w:w="1504" w:type="dxa"/>
            <w:vAlign w:val="center"/>
          </w:tcPr>
          <w:p w14:paraId="5FAD8FE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备注</w:t>
            </w:r>
          </w:p>
        </w:tc>
      </w:tr>
      <w:tr w14:paraId="4205D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dxa"/>
            <w:vAlign w:val="center"/>
          </w:tcPr>
          <w:p w14:paraId="46A2DAB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295" w:type="dxa"/>
            <w:vAlign w:val="center"/>
          </w:tcPr>
          <w:p w14:paraId="3695FA00">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4384" behindDoc="0" locked="0" layoutInCell="1" allowOverlap="1">
                      <wp:simplePos x="0" y="0"/>
                      <wp:positionH relativeFrom="column">
                        <wp:posOffset>115570</wp:posOffset>
                      </wp:positionH>
                      <wp:positionV relativeFrom="paragraph">
                        <wp:posOffset>94615</wp:posOffset>
                      </wp:positionV>
                      <wp:extent cx="1094105" cy="394335"/>
                      <wp:effectExtent l="4445" t="4445" r="6350" b="20320"/>
                      <wp:wrapNone/>
                      <wp:docPr id="19" name="文本框 19"/>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7E1374E">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7.45pt;height:31.05pt;width:86.15pt;z-index:251664384;mso-width-relative:page;mso-height-relative:page;" fillcolor="#FFFFFF [3201]" filled="t" stroked="t" coordsize="21600,21600" o:gfxdata="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aZKizVAAAA&#10;CAEAAA8AAAAAAAAAAQAgAAAAIgAAAGRycy9kb3ducmV2LnhtbFBLAQIUABQAAAAIAIdO4kDOExvZ&#10;WQIAALkEAAAOAAAAAAAAAAEAIAAAACQBAABkcnMvZTJvRG9jLnhtbFBLBQYAAAAABgAGAFkBAADv&#10;BQAAAAA=&#10;">
                      <v:fill on="t" focussize="0,0"/>
                      <v:stroke weight="0.5pt" color="#000000 [3204]" joinstyle="round"/>
                      <v:imagedata o:title=""/>
                      <o:lock v:ext="edit" aspectratio="f"/>
                      <v:textbox>
                        <w:txbxContent>
                          <w:p w14:paraId="57E1374E">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2175" w:type="dxa"/>
            <w:vAlign w:val="center"/>
          </w:tcPr>
          <w:p w14:paraId="085091C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00" w:type="dxa"/>
            <w:vAlign w:val="center"/>
          </w:tcPr>
          <w:p w14:paraId="199980E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160" w:type="dxa"/>
            <w:vAlign w:val="center"/>
          </w:tcPr>
          <w:p w14:paraId="2370354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889" w:type="dxa"/>
            <w:vAlign w:val="center"/>
          </w:tcPr>
          <w:p w14:paraId="00437CD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920" w:type="dxa"/>
            <w:vAlign w:val="center"/>
          </w:tcPr>
          <w:p w14:paraId="27CE3F4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04" w:type="dxa"/>
            <w:vAlign w:val="center"/>
          </w:tcPr>
          <w:p w14:paraId="7D1D396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3D90C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dxa"/>
            <w:vAlign w:val="center"/>
          </w:tcPr>
          <w:p w14:paraId="2590F0F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295" w:type="dxa"/>
            <w:vAlign w:val="center"/>
          </w:tcPr>
          <w:p w14:paraId="087BB51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175" w:type="dxa"/>
            <w:vAlign w:val="center"/>
          </w:tcPr>
          <w:p w14:paraId="7DBE85B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00" w:type="dxa"/>
            <w:vAlign w:val="center"/>
          </w:tcPr>
          <w:p w14:paraId="0FF8570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160" w:type="dxa"/>
            <w:vAlign w:val="center"/>
          </w:tcPr>
          <w:p w14:paraId="20CB0D4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889" w:type="dxa"/>
            <w:vAlign w:val="center"/>
          </w:tcPr>
          <w:p w14:paraId="255E651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920" w:type="dxa"/>
            <w:vAlign w:val="center"/>
          </w:tcPr>
          <w:p w14:paraId="1D76CA4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504" w:type="dxa"/>
            <w:vAlign w:val="center"/>
          </w:tcPr>
          <w:p w14:paraId="644ADA8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6A2C748F">
      <w:pPr>
        <w:pStyle w:val="10"/>
        <w:rPr>
          <w:rFonts w:ascii="Times New Roman" w:hAnsi="Times New Roman" w:eastAsiaTheme="minorEastAsia"/>
          <w:color w:val="0D0D0D" w:themeColor="text1" w:themeTint="F2"/>
          <w:szCs w:val="28"/>
          <w:highlight w:val="none"/>
          <w14:textFill>
            <w14:solidFill>
              <w14:schemeClr w14:val="tx1">
                <w14:lumMod w14:val="95000"/>
                <w14:lumOff w14:val="5000"/>
              </w14:schemeClr>
            </w14:solidFill>
          </w14:textFill>
        </w:rPr>
      </w:pPr>
    </w:p>
    <w:p w14:paraId="142EB119">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40" w:name="_Toc60227347"/>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表5废弃物（重点是放射性废弃物）</w:t>
      </w:r>
      <w:bookmarkEnd w:id="40"/>
    </w:p>
    <w:tbl>
      <w:tblPr>
        <w:tblStyle w:val="22"/>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041"/>
        <w:gridCol w:w="1756"/>
        <w:gridCol w:w="1041"/>
        <w:gridCol w:w="1740"/>
        <w:gridCol w:w="2098"/>
        <w:gridCol w:w="2064"/>
        <w:gridCol w:w="1706"/>
        <w:gridCol w:w="1756"/>
      </w:tblGrid>
      <w:tr w14:paraId="53923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72" w:type="dxa"/>
            <w:vAlign w:val="center"/>
          </w:tcPr>
          <w:p w14:paraId="39E2745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名称</w:t>
            </w:r>
          </w:p>
        </w:tc>
        <w:tc>
          <w:tcPr>
            <w:tcW w:w="1041" w:type="dxa"/>
            <w:vAlign w:val="center"/>
          </w:tcPr>
          <w:p w14:paraId="420C7E9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状态</w:t>
            </w:r>
          </w:p>
        </w:tc>
        <w:tc>
          <w:tcPr>
            <w:tcW w:w="1756" w:type="dxa"/>
            <w:vAlign w:val="center"/>
          </w:tcPr>
          <w:p w14:paraId="6C63580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核素名称</w:t>
            </w:r>
          </w:p>
        </w:tc>
        <w:tc>
          <w:tcPr>
            <w:tcW w:w="1041" w:type="dxa"/>
            <w:vAlign w:val="center"/>
          </w:tcPr>
          <w:p w14:paraId="72F51CF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活度</w:t>
            </w:r>
          </w:p>
        </w:tc>
        <w:tc>
          <w:tcPr>
            <w:tcW w:w="1740" w:type="dxa"/>
            <w:vAlign w:val="center"/>
          </w:tcPr>
          <w:p w14:paraId="1B1116E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月排放量</w:t>
            </w:r>
          </w:p>
        </w:tc>
        <w:tc>
          <w:tcPr>
            <w:tcW w:w="2098" w:type="dxa"/>
            <w:vAlign w:val="center"/>
          </w:tcPr>
          <w:p w14:paraId="35B88F0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年排放总量</w:t>
            </w:r>
          </w:p>
        </w:tc>
        <w:tc>
          <w:tcPr>
            <w:tcW w:w="2064" w:type="dxa"/>
            <w:vAlign w:val="center"/>
          </w:tcPr>
          <w:p w14:paraId="33631A9F">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排放口浓度</w:t>
            </w:r>
          </w:p>
        </w:tc>
        <w:tc>
          <w:tcPr>
            <w:tcW w:w="1706" w:type="dxa"/>
            <w:vAlign w:val="center"/>
          </w:tcPr>
          <w:p w14:paraId="000CD99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暂存情况</w:t>
            </w:r>
          </w:p>
        </w:tc>
        <w:tc>
          <w:tcPr>
            <w:tcW w:w="1756" w:type="dxa"/>
            <w:vAlign w:val="center"/>
          </w:tcPr>
          <w:p w14:paraId="0B61454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最终去向</w:t>
            </w:r>
          </w:p>
        </w:tc>
      </w:tr>
      <w:tr w14:paraId="7BEF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72" w:type="dxa"/>
            <w:vAlign w:val="center"/>
          </w:tcPr>
          <w:p w14:paraId="428D8ABB">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41" w:type="dxa"/>
            <w:vAlign w:val="center"/>
          </w:tcPr>
          <w:p w14:paraId="5609F77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mc:AlternateContent>
                <mc:Choice Requires="wps">
                  <w:drawing>
                    <wp:anchor distT="0" distB="0" distL="114300" distR="114300" simplePos="0" relativeHeight="251665408" behindDoc="0" locked="0" layoutInCell="1" allowOverlap="1">
                      <wp:simplePos x="0" y="0"/>
                      <wp:positionH relativeFrom="column">
                        <wp:posOffset>8890</wp:posOffset>
                      </wp:positionH>
                      <wp:positionV relativeFrom="paragraph">
                        <wp:posOffset>86995</wp:posOffset>
                      </wp:positionV>
                      <wp:extent cx="1094105" cy="394335"/>
                      <wp:effectExtent l="4445" t="4445" r="6350" b="20320"/>
                      <wp:wrapNone/>
                      <wp:docPr id="20" name="文本框 20"/>
                      <wp:cNvGraphicFramePr/>
                      <a:graphic xmlns:a="http://schemas.openxmlformats.org/drawingml/2006/main">
                        <a:graphicData uri="http://schemas.microsoft.com/office/word/2010/wordprocessingShape">
                          <wps:wsp>
                            <wps:cNvSpPr txBox="1"/>
                            <wps:spPr>
                              <a:xfrm>
                                <a:off x="0" y="0"/>
                                <a:ext cx="1094105" cy="394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653A87E">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pt;margin-top:6.85pt;height:31.05pt;width:86.15pt;z-index:251665408;mso-width-relative:page;mso-height-relative:page;" fillcolor="#FFFFFF [3201]" filled="t" stroked="t" coordsize="21600,21600" o:gfxdata="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RnvSJ0wAAAAcB&#10;AAAPAAAAAAAAAAEAIAAAACIAAABkcnMvZG93bnJldi54bWxQSwECFAAUAAAACACHTuJAhaLiTVkC&#10;AAC5BAAADgAAAAAAAAABACAAAAAiAQAAZHJzL2Uyb0RvYy54bWxQSwUGAAAAAAYABgBZAQAA7QUA&#10;AAAA&#10;">
                      <v:fill on="t" focussize="0,0"/>
                      <v:stroke weight="0.5pt" color="#000000 [3204]" joinstyle="round"/>
                      <v:imagedata o:title=""/>
                      <o:lock v:ext="edit" aspectratio="f"/>
                      <v:textbox>
                        <w:txbxContent>
                          <w:p w14:paraId="3653A87E">
                            <w:pPr>
                              <w:spacing w:line="360" w:lineRule="auto"/>
                              <w:ind w:firstLine="0" w:firstLineChars="0"/>
                              <w:jc w:val="center"/>
                              <w:rPr>
                                <w:rFonts w:ascii="宋体" w:hAnsi="宋体" w:cs="宋体"/>
                                <w:sz w:val="21"/>
                                <w:szCs w:val="21"/>
                              </w:rPr>
                            </w:pPr>
                            <w:r>
                              <w:rPr>
                                <w:rFonts w:hint="eastAsia" w:ascii="宋体" w:hAnsi="宋体" w:cs="宋体"/>
                                <w:sz w:val="21"/>
                                <w:szCs w:val="21"/>
                              </w:rPr>
                              <w:t>本项目不涉及</w:t>
                            </w:r>
                          </w:p>
                        </w:txbxContent>
                      </v:textbox>
                    </v:shape>
                  </w:pict>
                </mc:Fallback>
              </mc:AlternateContent>
            </w:r>
          </w:p>
        </w:tc>
        <w:tc>
          <w:tcPr>
            <w:tcW w:w="1756" w:type="dxa"/>
            <w:vAlign w:val="center"/>
          </w:tcPr>
          <w:p w14:paraId="082E83F4">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41" w:type="dxa"/>
            <w:vAlign w:val="center"/>
          </w:tcPr>
          <w:p w14:paraId="51C88C1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40" w:type="dxa"/>
            <w:vAlign w:val="center"/>
          </w:tcPr>
          <w:p w14:paraId="5F2FD62C">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098" w:type="dxa"/>
            <w:vAlign w:val="center"/>
          </w:tcPr>
          <w:p w14:paraId="20063788">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064" w:type="dxa"/>
            <w:vAlign w:val="center"/>
          </w:tcPr>
          <w:p w14:paraId="3F3389E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06" w:type="dxa"/>
            <w:vAlign w:val="center"/>
          </w:tcPr>
          <w:p w14:paraId="2939D5FA">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56" w:type="dxa"/>
            <w:vAlign w:val="center"/>
          </w:tcPr>
          <w:p w14:paraId="25F38059">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01287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72" w:type="dxa"/>
            <w:vAlign w:val="center"/>
          </w:tcPr>
          <w:p w14:paraId="1459D26D">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41" w:type="dxa"/>
            <w:vAlign w:val="center"/>
          </w:tcPr>
          <w:p w14:paraId="0BD428F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56" w:type="dxa"/>
            <w:vAlign w:val="center"/>
          </w:tcPr>
          <w:p w14:paraId="0EEC656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041" w:type="dxa"/>
            <w:vAlign w:val="center"/>
          </w:tcPr>
          <w:p w14:paraId="62416BB2">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40" w:type="dxa"/>
            <w:vAlign w:val="center"/>
          </w:tcPr>
          <w:p w14:paraId="16006381">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098" w:type="dxa"/>
            <w:vAlign w:val="center"/>
          </w:tcPr>
          <w:p w14:paraId="020543B6">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2064" w:type="dxa"/>
            <w:vAlign w:val="center"/>
          </w:tcPr>
          <w:p w14:paraId="4C4498D5">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06" w:type="dxa"/>
            <w:vAlign w:val="center"/>
          </w:tcPr>
          <w:p w14:paraId="29B87633">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1756" w:type="dxa"/>
            <w:vAlign w:val="center"/>
          </w:tcPr>
          <w:p w14:paraId="3CD1EC07">
            <w:pPr>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46E75347">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注：1、常见废弃物排放浓度，对于液态单位为mg/L，固体为mg/m</w:t>
      </w:r>
      <w:r>
        <w:rPr>
          <w:rFonts w:ascii="Times New Roman" w:hAnsi="Times New Roman" w:cs="Times New Roman" w:eastAsiaTheme="minorEastAsia"/>
          <w:color w:val="0D0D0D" w:themeColor="text1" w:themeTint="F2"/>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，气态为mg/m</w:t>
      </w:r>
      <w:r>
        <w:rPr>
          <w:rFonts w:ascii="Times New Roman" w:hAnsi="Times New Roman" w:cs="Times New Roman" w:eastAsiaTheme="minorEastAsia"/>
          <w:color w:val="0D0D0D" w:themeColor="text1" w:themeTint="F2"/>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；年排放总量用kg；</w:t>
      </w:r>
    </w:p>
    <w:p w14:paraId="559A5600">
      <w:pPr>
        <w:ind w:firstLine="960" w:firstLineChars="4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sectPr>
          <w:headerReference r:id="rId12" w:type="default"/>
          <w:footerReference r:id="rId13" w:type="default"/>
          <w:pgSz w:w="16838" w:h="11906" w:orient="landscape"/>
          <w:pgMar w:top="1803" w:right="1440" w:bottom="1803" w:left="1440" w:header="851" w:footer="992" w:gutter="0"/>
          <w:cols w:space="0" w:num="1"/>
          <w:docGrid w:type="lines" w:linePitch="332" w:charSpace="0"/>
        </w:sect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2、含有放射性的废物要标明其排放浓度、年排放总量，单位分别为Bq/L（kg、m</w:t>
      </w:r>
      <w:r>
        <w:rPr>
          <w:rFonts w:ascii="Times New Roman" w:hAnsi="Times New Roman" w:cs="Times New Roman" w:eastAsiaTheme="minorEastAsia"/>
          <w:color w:val="0D0D0D" w:themeColor="text1" w:themeTint="F2"/>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）和活度（Bq）。</w:t>
      </w:r>
    </w:p>
    <w:p w14:paraId="4A17690D">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41" w:name="_Toc60227348"/>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表6评价依据</w:t>
      </w:r>
      <w:bookmarkEnd w:id="41"/>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7936"/>
      </w:tblGrid>
      <w:tr w14:paraId="4C3D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vAlign w:val="center"/>
          </w:tcPr>
          <w:p w14:paraId="751DFEB2">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D8F6AE0">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A88A81E">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46790B50">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8FA0AC3">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9F97BC9">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4823C469">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630436F">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649BC716">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06F87BAE">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75E43063">
            <w:pPr>
              <w:ind w:firstLine="48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257A227">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法规文件</w:t>
            </w:r>
          </w:p>
        </w:tc>
        <w:tc>
          <w:tcPr>
            <w:tcW w:w="7936" w:type="dxa"/>
            <w:vAlign w:val="center"/>
          </w:tcPr>
          <w:p w14:paraId="68D05F2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（1）《中华人民共和国环境保护法》（2015年1月1日实施）；</w:t>
            </w:r>
          </w:p>
          <w:p w14:paraId="0D6A7F5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（2）《中华人民共和国环境影响评价法》（2018年12月29日修改实施）；</w:t>
            </w:r>
          </w:p>
          <w:p w14:paraId="23EFBD2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（3）《中华人民共和国放射性污染防治法》（2003年10月1日实施）；</w:t>
            </w:r>
          </w:p>
          <w:p w14:paraId="733102E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（4）《建设项目环境保护管理条例》，中华人民共和国国务院第682号令，自2017年10月1日起施行；</w:t>
            </w:r>
          </w:p>
          <w:p w14:paraId="08404FA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（5）《放射性同位素与射线装置安全和防护条例》，中华人民共和国国务院第449号令，2019年3月2日修正，自2019年3月2日起施行；</w:t>
            </w:r>
          </w:p>
          <w:p w14:paraId="4AC64EB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放射性同位素与射线装置安全许可管理办法》(2006年，国家环境保护总局令第31号，2008年12月6日经环境保护部令第3号修改，2017年12月20日经环境保护部令第47号修改，2019年8月22日经生态环境部令第7号修改，2021年1月4日经生态环境部令第20号修改</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42CB07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（7）《放射性同位素与射线装置安全和防护管理办法》，中华人民共和国环境保护部令第18号，自2011年5月1日起施行；</w:t>
            </w:r>
          </w:p>
          <w:p w14:paraId="5017262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（8）《关于发布〈射线装置分类〉的公告》（环境保护部国家卫生和计划生育委员会公告2017年第66号），自2017年12月6日起施行；</w:t>
            </w:r>
          </w:p>
          <w:p w14:paraId="1071B61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（9）《建设项目环境影响评价分类管理名录（2021年版）》（中华人民共和国环境保护部令第16号），自2021年1月1日起施行；</w:t>
            </w:r>
          </w:p>
          <w:p w14:paraId="2AE0DB4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）《关于建立放射性同位素与射线装置辐射事故分级处理和报告制度的通知》（环发[2006]145号）；</w:t>
            </w:r>
          </w:p>
          <w:p w14:paraId="4CD7FC3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）《关于加强放射性同位素与射线装置辐射安全和防护工作的通知》（环境保护部环发[2008]13号）；</w:t>
            </w:r>
          </w:p>
          <w:p w14:paraId="33F248C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）《云南省环保局关于《在辐射安全许可证工作中确定电离辐射安全管理限值请示》的复函》云南省环境保护局，云环函〔2006〕727号（2006.12）；</w:t>
            </w:r>
          </w:p>
          <w:p w14:paraId="4C66467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）《关于印发&lt;云南省突发事件应急预案管理办法&gt;的通知》云南省人民政府办公厅，云政办发〔2016〕103号；</w:t>
            </w:r>
          </w:p>
          <w:p w14:paraId="62CF654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）《云南省生态环境厅辐射事故应急响应预案》（20</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年版）；</w:t>
            </w:r>
          </w:p>
          <w:p w14:paraId="727143F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）《关于核技术利用辐射安全与防护培训和考核有关事项的公告》（中12人民共和国生态环境部，2019年第57号）；</w:t>
            </w:r>
          </w:p>
          <w:p w14:paraId="012C3E7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）《建设项目环境影响报告书（表）编制监督管理办法》，生态环境部令第9号，2019年11月1日施行；</w:t>
            </w:r>
          </w:p>
          <w:p w14:paraId="222DF03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7</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）《关于发布&lt;建设项目环境影响报告书（表）编制监督管理办法&gt;配套文件的公告》，生态环境部公告2019年第38号，2019年10月24日；</w:t>
            </w:r>
          </w:p>
          <w:p w14:paraId="0A6F8DC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8</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）《关于启用环境影响评价信用平台的公告》，生态环境部公告2019年第39号，2019年10月25日；</w:t>
            </w:r>
          </w:p>
          <w:p w14:paraId="49326F1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（19）《生态环境部（国家核安全局)核技术利用监督检查技术程序》(2020发布版)；</w:t>
            </w:r>
          </w:p>
          <w:p w14:paraId="4E14FCC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（20）《云南省生态环境厅核技术利用监督检查技术程序》（2021年版）</w:t>
            </w:r>
          </w:p>
          <w:p w14:paraId="7900034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）云南省生态环境厅关于委托开展辐射安全许可的通知，云环发〔2019〕6号，2019年04月25日；</w:t>
            </w:r>
          </w:p>
          <w:p w14:paraId="1214E53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云南省生态环境厅审批环境影响评价文件的建设项目目录（2024年本）</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2024年11月13日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tc>
      </w:tr>
      <w:tr w14:paraId="4852A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vAlign w:val="center"/>
          </w:tcPr>
          <w:p w14:paraId="5092E95D">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技术标准</w:t>
            </w:r>
          </w:p>
        </w:tc>
        <w:tc>
          <w:tcPr>
            <w:tcW w:w="7936" w:type="dxa"/>
            <w:vAlign w:val="center"/>
          </w:tcPr>
          <w:p w14:paraId="170D86A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（1）《辐射环境保护管理导则</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 </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核技术利用建设项目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 </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环境影响评价文件的内容和格式》（HJ10.1-2016）；</w:t>
            </w:r>
          </w:p>
          <w:p w14:paraId="4478D96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（2）《电离辐射防护与辐射源安全基本标准》（GB18871-2002）；</w:t>
            </w:r>
          </w:p>
          <w:p w14:paraId="2E55788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（3）《放射诊断放射防护要求》（GBZ130-2020）；</w:t>
            </w:r>
          </w:p>
          <w:p w14:paraId="5F6A58B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（4）《辐射环境监测技术规范》（HJ61-20</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p>
          <w:p w14:paraId="14AC922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（5）《环境γ辐射剂量率</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测量技术规范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HJ1157-2021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8EDF04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职业性外照射个人监测规范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GBZ128-2019</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3869A8E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（7）《核技术利用单位辐射事故应急预案的格式和内容》（T/B SRS 052-2021）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tc>
      </w:tr>
      <w:tr w14:paraId="4C0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vAlign w:val="center"/>
          </w:tcPr>
          <w:p w14:paraId="5FCD7522">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其他</w:t>
            </w:r>
          </w:p>
          <w:p w14:paraId="6868909F">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c>
          <w:tcPr>
            <w:tcW w:w="7936" w:type="dxa"/>
            <w:vAlign w:val="center"/>
          </w:tcPr>
          <w:p w14:paraId="79C8FEB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（1）《电离辐射剂量学》，李士骏编（原子能出版社，1986，第二版）；</w:t>
            </w:r>
          </w:p>
          <w:p w14:paraId="0AD6BAC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（2）联合国原子辐射效应科学委员会（UNSCEAR）-2000年报告；</w:t>
            </w:r>
          </w:p>
          <w:p w14:paraId="4919915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（3）《辐射防护手册》（第一分册，李德平、潘自强主编）；</w:t>
            </w:r>
          </w:p>
          <w:p w14:paraId="50BAE91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（4）《辐射防护手册》（第三分册，原子能出版社，李德平，潘自强）；</w:t>
            </w:r>
          </w:p>
          <w:p w14:paraId="70EF19B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（5）《放射防护使用手册》（赵兰才、张丹峰主编）</w:t>
            </w:r>
          </w:p>
          <w:p w14:paraId="5DB3564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（6）建设单位提供资料；</w:t>
            </w:r>
          </w:p>
          <w:p w14:paraId="56E4BFD1">
            <w:pPr>
              <w:spacing w:line="360" w:lineRule="auto"/>
              <w:ind w:firstLine="960" w:firstLineChars="4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《委托书》</w:t>
            </w:r>
          </w:p>
          <w:p w14:paraId="0BDCD272">
            <w:pPr>
              <w:spacing w:line="360" w:lineRule="auto"/>
              <w:ind w:firstLine="960" w:firstLineChars="40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②医院提供的其他资料</w:t>
            </w:r>
          </w:p>
          <w:p w14:paraId="516F044C">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8697E31">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C0431CB">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772FC34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468FA553">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1BBBDCD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B77721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7FE99EAF">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74395A5A">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6165C93">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0CD8065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17729BA0">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5372770">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EF7B86F">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69B8AB90">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01597402">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13EBFFE5">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F4FAE62">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649D42CF">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6F9803A9">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8E5C02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05B3C239">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43E46D87">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2612ACBE">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61D2125">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63638538">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024B9456">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42" w:name="_Toc60227349"/>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表7保护目标及评价标准</w:t>
      </w:r>
      <w:bookmarkEnd w:id="42"/>
    </w:p>
    <w:tbl>
      <w:tblPr>
        <w:tblStyle w:val="22"/>
        <w:tblW w:w="8506" w:type="dxa"/>
        <w:tblInd w:w="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6"/>
      </w:tblGrid>
      <w:tr w14:paraId="0D412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4" w:hRule="atLeast"/>
        </w:trPr>
        <w:tc>
          <w:tcPr>
            <w:tcW w:w="8506" w:type="dxa"/>
          </w:tcPr>
          <w:p w14:paraId="59370E75">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7.1评价范围</w:t>
            </w:r>
          </w:p>
          <w:p w14:paraId="2EEDF0F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本项目购入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属于Ⅱ类射线装置。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根据《辐射环境保护管理导则 核技术利用建设项目 环境影响评价文件的内容和格式》（HJ10.1-2016）评价范围和保护目标，放射源和射线装置应用项目的评价范围，通常取装置所在场所实体屏蔽物边界外50m的范围。因此，确定本项目辐射环境影响评价的范围为</w:t>
            </w:r>
            <w:bookmarkStart w:id="43" w:name="OLE_LINK191"/>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介入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防护屏蔽墙外50m的区域</w:t>
            </w:r>
            <w:bookmarkEnd w:id="43"/>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。影响评价范围见附图2。</w:t>
            </w:r>
          </w:p>
          <w:p w14:paraId="0BBA913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本评价关注的评价因子主要为X射线，同时兼顾施工期、营运期的废水、废气、噪声、固废分析。</w:t>
            </w:r>
          </w:p>
        </w:tc>
      </w:tr>
      <w:tr w14:paraId="61A8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trPr>
        <w:tc>
          <w:tcPr>
            <w:tcW w:w="8506" w:type="dxa"/>
          </w:tcPr>
          <w:p w14:paraId="22A8C17D">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7.2保护目标</w:t>
            </w:r>
          </w:p>
          <w:p w14:paraId="10FD962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项目评价范围内的主要环境保护目标为职业人员及公众，其中，职业人员主要为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设备配备</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工作人员，公众人群主要为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介入室防护屏蔽墙外50m范围内的其他工作人员及公众，具体见表7-1。</w:t>
            </w:r>
          </w:p>
          <w:p w14:paraId="7CA95B79">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表7-1    本项目环境保护目标信息表</w:t>
            </w:r>
          </w:p>
          <w:tbl>
            <w:tblPr>
              <w:tblStyle w:val="22"/>
              <w:tblW w:w="8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725"/>
              <w:gridCol w:w="1063"/>
              <w:gridCol w:w="2776"/>
              <w:gridCol w:w="891"/>
              <w:gridCol w:w="681"/>
              <w:gridCol w:w="796"/>
              <w:gridCol w:w="800"/>
            </w:tblGrid>
            <w:tr w14:paraId="68F1E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7" w:type="dxa"/>
                  <w:gridSpan w:val="2"/>
                  <w:vMerge w:val="restart"/>
                  <w:vAlign w:val="center"/>
                </w:tcPr>
                <w:p w14:paraId="7B2E7D2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保护对象</w:t>
                  </w:r>
                </w:p>
              </w:tc>
              <w:tc>
                <w:tcPr>
                  <w:tcW w:w="1063" w:type="dxa"/>
                  <w:vMerge w:val="restart"/>
                  <w:vAlign w:val="center"/>
                </w:tcPr>
                <w:p w14:paraId="6951C04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方位</w:t>
                  </w:r>
                </w:p>
              </w:tc>
              <w:tc>
                <w:tcPr>
                  <w:tcW w:w="2776" w:type="dxa"/>
                  <w:vMerge w:val="restart"/>
                  <w:vAlign w:val="center"/>
                </w:tcPr>
                <w:p w14:paraId="25E961A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位置</w:t>
                  </w:r>
                </w:p>
              </w:tc>
              <w:tc>
                <w:tcPr>
                  <w:tcW w:w="891" w:type="dxa"/>
                  <w:vMerge w:val="restart"/>
                  <w:vAlign w:val="center"/>
                </w:tcPr>
                <w:p w14:paraId="4B0C8AF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人数</w:t>
                  </w:r>
                </w:p>
                <w:p w14:paraId="28952544">
                  <w:pPr>
                    <w:pStyle w:val="10"/>
                    <w:jc w:val="center"/>
                    <w:rPr>
                      <w:rFonts w:ascii="Times New Roman" w:hAnsi="Times New Roman" w:eastAsiaTheme="minorEastAsia"/>
                      <w:color w:val="0D0D0D" w:themeColor="text1" w:themeTint="F2"/>
                      <w:sz w:val="21"/>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1"/>
                      <w:highlight w:val="none"/>
                      <w14:textFill>
                        <w14:solidFill>
                          <w14:schemeClr w14:val="tx1">
                            <w14:lumMod w14:val="95000"/>
                            <w14:lumOff w14:val="5000"/>
                          </w14:schemeClr>
                        </w14:solidFill>
                      </w14:textFill>
                    </w:rPr>
                    <w:t>（人）</w:t>
                  </w:r>
                </w:p>
              </w:tc>
              <w:tc>
                <w:tcPr>
                  <w:tcW w:w="1477" w:type="dxa"/>
                  <w:gridSpan w:val="2"/>
                  <w:vAlign w:val="center"/>
                </w:tcPr>
                <w:p w14:paraId="164CCA8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与</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设备最近距离（m）</w:t>
                  </w:r>
                </w:p>
              </w:tc>
              <w:tc>
                <w:tcPr>
                  <w:tcW w:w="800" w:type="dxa"/>
                  <w:vMerge w:val="restart"/>
                  <w:vAlign w:val="center"/>
                </w:tcPr>
                <w:p w14:paraId="40041A4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保护要求</w:t>
                  </w:r>
                </w:p>
              </w:tc>
            </w:tr>
            <w:tr w14:paraId="2EEBC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387" w:type="dxa"/>
                  <w:gridSpan w:val="2"/>
                  <w:vMerge w:val="continue"/>
                  <w:vAlign w:val="center"/>
                </w:tcPr>
                <w:p w14:paraId="2DEF009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2F65692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Merge w:val="continue"/>
                  <w:vAlign w:val="center"/>
                </w:tcPr>
                <w:p w14:paraId="3DAEC07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891" w:type="dxa"/>
                  <w:vMerge w:val="continue"/>
                  <w:vAlign w:val="center"/>
                </w:tcPr>
                <w:p w14:paraId="7090D7D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81" w:type="dxa"/>
                  <w:vAlign w:val="center"/>
                </w:tcPr>
                <w:p w14:paraId="4D8434D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水平</w:t>
                  </w:r>
                </w:p>
              </w:tc>
              <w:tc>
                <w:tcPr>
                  <w:tcW w:w="796" w:type="dxa"/>
                  <w:vAlign w:val="center"/>
                </w:tcPr>
                <w:p w14:paraId="3B35B63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垂直</w:t>
                  </w:r>
                </w:p>
              </w:tc>
              <w:tc>
                <w:tcPr>
                  <w:tcW w:w="800" w:type="dxa"/>
                  <w:vMerge w:val="continue"/>
                  <w:vAlign w:val="center"/>
                </w:tcPr>
                <w:p w14:paraId="18BB601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37CA7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662" w:type="dxa"/>
                  <w:vMerge w:val="restart"/>
                  <w:vAlign w:val="center"/>
                </w:tcPr>
                <w:p w14:paraId="66D5B45E">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bookmarkStart w:id="44" w:name="OLE_LINK64" w:colFirst="2" w:colLast="2"/>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p>
              </w:tc>
              <w:tc>
                <w:tcPr>
                  <w:tcW w:w="725" w:type="dxa"/>
                  <w:vMerge w:val="restart"/>
                  <w:vAlign w:val="center"/>
                </w:tcPr>
                <w:p w14:paraId="5156B66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职业人员</w:t>
                  </w:r>
                </w:p>
              </w:tc>
              <w:tc>
                <w:tcPr>
                  <w:tcW w:w="1063" w:type="dxa"/>
                  <w:vAlign w:val="center"/>
                </w:tcPr>
                <w:p w14:paraId="44F5CB49">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p>
              </w:tc>
              <w:tc>
                <w:tcPr>
                  <w:tcW w:w="2776" w:type="dxa"/>
                  <w:vAlign w:val="center"/>
                </w:tcPr>
                <w:p w14:paraId="3C87398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内</w:t>
                  </w:r>
                </w:p>
              </w:tc>
              <w:tc>
                <w:tcPr>
                  <w:tcW w:w="891" w:type="dxa"/>
                  <w:vMerge w:val="restart"/>
                  <w:vAlign w:val="center"/>
                </w:tcPr>
                <w:p w14:paraId="1CE3C44A">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w:t>
                  </w:r>
                </w:p>
              </w:tc>
              <w:tc>
                <w:tcPr>
                  <w:tcW w:w="681" w:type="dxa"/>
                  <w:vAlign w:val="center"/>
                </w:tcPr>
                <w:p w14:paraId="682DDCF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796" w:type="dxa"/>
                  <w:vAlign w:val="center"/>
                </w:tcPr>
                <w:p w14:paraId="1094C69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restart"/>
                  <w:vAlign w:val="center"/>
                </w:tcPr>
                <w:p w14:paraId="1DD13E4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5mSv/a</w:t>
                  </w:r>
                </w:p>
              </w:tc>
            </w:tr>
            <w:tr w14:paraId="2573B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dxa"/>
                  <w:vMerge w:val="continue"/>
                  <w:vAlign w:val="center"/>
                </w:tcPr>
                <w:p w14:paraId="5022F69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1124B80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Align w:val="center"/>
                </w:tcPr>
                <w:p w14:paraId="5137933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侧</w:t>
                  </w:r>
                </w:p>
              </w:tc>
              <w:tc>
                <w:tcPr>
                  <w:tcW w:w="2776" w:type="dxa"/>
                  <w:vAlign w:val="center"/>
                </w:tcPr>
                <w:p w14:paraId="45541F2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控制室</w:t>
                  </w:r>
                </w:p>
              </w:tc>
              <w:tc>
                <w:tcPr>
                  <w:tcW w:w="891" w:type="dxa"/>
                  <w:vMerge w:val="continue"/>
                  <w:vAlign w:val="center"/>
                </w:tcPr>
                <w:p w14:paraId="05B4532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81" w:type="dxa"/>
                  <w:vAlign w:val="center"/>
                </w:tcPr>
                <w:p w14:paraId="3FF60F2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紧邻</w:t>
                  </w:r>
                </w:p>
              </w:tc>
              <w:tc>
                <w:tcPr>
                  <w:tcW w:w="796" w:type="dxa"/>
                  <w:vAlign w:val="center"/>
                </w:tcPr>
                <w:p w14:paraId="2F09038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0F37990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44"/>
            <w:tr w14:paraId="75A2D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exact"/>
                <w:jc w:val="center"/>
              </w:trPr>
              <w:tc>
                <w:tcPr>
                  <w:tcW w:w="662" w:type="dxa"/>
                  <w:vMerge w:val="continue"/>
                  <w:vAlign w:val="center"/>
                </w:tcPr>
                <w:p w14:paraId="5B9F12A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45" w:name="OLE_LINK65" w:colFirst="3" w:colLast="3"/>
                </w:p>
              </w:tc>
              <w:tc>
                <w:tcPr>
                  <w:tcW w:w="725" w:type="dxa"/>
                  <w:vMerge w:val="restart"/>
                  <w:vAlign w:val="center"/>
                </w:tcPr>
                <w:p w14:paraId="61F1D37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公众</w:t>
                  </w:r>
                </w:p>
              </w:tc>
              <w:tc>
                <w:tcPr>
                  <w:tcW w:w="1063" w:type="dxa"/>
                  <w:vMerge w:val="restart"/>
                  <w:vAlign w:val="center"/>
                </w:tcPr>
                <w:p w14:paraId="1637375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机房北侧</w:t>
                  </w:r>
                </w:p>
              </w:tc>
              <w:tc>
                <w:tcPr>
                  <w:tcW w:w="2776" w:type="dxa"/>
                  <w:vAlign w:val="center"/>
                </w:tcPr>
                <w:p w14:paraId="771E1C4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麻醉耗材库、体位垫库房、仪器室、药品室</w:t>
                  </w:r>
                </w:p>
              </w:tc>
              <w:tc>
                <w:tcPr>
                  <w:tcW w:w="891" w:type="dxa"/>
                  <w:vAlign w:val="center"/>
                </w:tcPr>
                <w:p w14:paraId="7CA7E1FE">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8</w:t>
                  </w:r>
                </w:p>
              </w:tc>
              <w:tc>
                <w:tcPr>
                  <w:tcW w:w="681" w:type="dxa"/>
                  <w:vAlign w:val="center"/>
                </w:tcPr>
                <w:p w14:paraId="58CECF0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紧邻</w:t>
                  </w:r>
                </w:p>
              </w:tc>
              <w:tc>
                <w:tcPr>
                  <w:tcW w:w="796" w:type="dxa"/>
                  <w:vAlign w:val="center"/>
                </w:tcPr>
                <w:p w14:paraId="44E13F5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restart"/>
                  <w:vAlign w:val="center"/>
                </w:tcPr>
                <w:p w14:paraId="16184E0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0.25mSv/a</w:t>
                  </w:r>
                </w:p>
              </w:tc>
            </w:tr>
            <w:tr w14:paraId="0CC99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662" w:type="dxa"/>
                  <w:vMerge w:val="continue"/>
                  <w:vAlign w:val="center"/>
                </w:tcPr>
                <w:p w14:paraId="2CACFC4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787C31F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0A23559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3BB6487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室内道路</w:t>
                  </w:r>
                </w:p>
              </w:tc>
              <w:tc>
                <w:tcPr>
                  <w:tcW w:w="891" w:type="dxa"/>
                  <w:vAlign w:val="center"/>
                </w:tcPr>
                <w:p w14:paraId="4CD88E08">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530F8017">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10</w:t>
                  </w:r>
                </w:p>
              </w:tc>
              <w:tc>
                <w:tcPr>
                  <w:tcW w:w="796" w:type="dxa"/>
                  <w:vAlign w:val="center"/>
                </w:tcPr>
                <w:p w14:paraId="07F7705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38890CC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4175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jc w:val="center"/>
              </w:trPr>
              <w:tc>
                <w:tcPr>
                  <w:tcW w:w="662" w:type="dxa"/>
                  <w:vMerge w:val="continue"/>
                  <w:vAlign w:val="center"/>
                </w:tcPr>
                <w:p w14:paraId="2FB142B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46" w:name="OLE_LINK66" w:colFirst="3" w:colLast="3"/>
                </w:p>
              </w:tc>
              <w:tc>
                <w:tcPr>
                  <w:tcW w:w="725" w:type="dxa"/>
                  <w:vMerge w:val="continue"/>
                  <w:vAlign w:val="center"/>
                </w:tcPr>
                <w:p w14:paraId="1419C71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6978AC5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216C06B9">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住院楼</w:t>
                  </w:r>
                </w:p>
              </w:tc>
              <w:tc>
                <w:tcPr>
                  <w:tcW w:w="891" w:type="dxa"/>
                  <w:vAlign w:val="center"/>
                </w:tcPr>
                <w:p w14:paraId="756034BF">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110</w:t>
                  </w:r>
                </w:p>
              </w:tc>
              <w:tc>
                <w:tcPr>
                  <w:tcW w:w="681" w:type="dxa"/>
                  <w:vAlign w:val="center"/>
                </w:tcPr>
                <w:p w14:paraId="1750C427">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17</w:t>
                  </w:r>
                </w:p>
              </w:tc>
              <w:tc>
                <w:tcPr>
                  <w:tcW w:w="796" w:type="dxa"/>
                  <w:vAlign w:val="center"/>
                </w:tcPr>
                <w:p w14:paraId="22F76008">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0</w:t>
                  </w:r>
                </w:p>
              </w:tc>
              <w:tc>
                <w:tcPr>
                  <w:tcW w:w="800" w:type="dxa"/>
                  <w:vMerge w:val="continue"/>
                  <w:vAlign w:val="center"/>
                </w:tcPr>
                <w:p w14:paraId="57CA63F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45"/>
            <w:tr w14:paraId="53C7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662" w:type="dxa"/>
                  <w:vMerge w:val="continue"/>
                  <w:vAlign w:val="center"/>
                </w:tcPr>
                <w:p w14:paraId="543221B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7A29AA9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restart"/>
                  <w:vAlign w:val="center"/>
                </w:tcPr>
                <w:p w14:paraId="5119B76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机房东侧</w:t>
                  </w:r>
                </w:p>
              </w:tc>
              <w:tc>
                <w:tcPr>
                  <w:tcW w:w="2776" w:type="dxa"/>
                  <w:vAlign w:val="center"/>
                </w:tcPr>
                <w:p w14:paraId="0AB011D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室内通道</w:t>
                  </w:r>
                </w:p>
              </w:tc>
              <w:tc>
                <w:tcPr>
                  <w:tcW w:w="891" w:type="dxa"/>
                  <w:vAlign w:val="center"/>
                </w:tcPr>
                <w:p w14:paraId="714C8D15">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3352E1C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紧邻</w:t>
                  </w:r>
                </w:p>
              </w:tc>
              <w:tc>
                <w:tcPr>
                  <w:tcW w:w="796" w:type="dxa"/>
                  <w:vAlign w:val="center"/>
                </w:tcPr>
                <w:p w14:paraId="7E77AF6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1DC9BEF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7745A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662" w:type="dxa"/>
                  <w:vMerge w:val="continue"/>
                  <w:vAlign w:val="center"/>
                </w:tcPr>
                <w:p w14:paraId="16FE5CE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687832D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376182D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234AC61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无菌物品库房、工友间、污物清洗收集室、污物间</w:t>
                  </w:r>
                </w:p>
              </w:tc>
              <w:tc>
                <w:tcPr>
                  <w:tcW w:w="891" w:type="dxa"/>
                  <w:vAlign w:val="center"/>
                </w:tcPr>
                <w:p w14:paraId="2F327058">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p>
              </w:tc>
              <w:tc>
                <w:tcPr>
                  <w:tcW w:w="681" w:type="dxa"/>
                  <w:vAlign w:val="center"/>
                </w:tcPr>
                <w:p w14:paraId="377C7811">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2.7</w:t>
                  </w:r>
                </w:p>
              </w:tc>
              <w:tc>
                <w:tcPr>
                  <w:tcW w:w="796" w:type="dxa"/>
                  <w:vAlign w:val="center"/>
                </w:tcPr>
                <w:p w14:paraId="6ABB4CA9">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0</w:t>
                  </w:r>
                </w:p>
              </w:tc>
              <w:tc>
                <w:tcPr>
                  <w:tcW w:w="800" w:type="dxa"/>
                  <w:vMerge w:val="continue"/>
                  <w:vAlign w:val="center"/>
                </w:tcPr>
                <w:p w14:paraId="1C20A4F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646B5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jc w:val="center"/>
              </w:trPr>
              <w:tc>
                <w:tcPr>
                  <w:tcW w:w="662" w:type="dxa"/>
                  <w:vMerge w:val="continue"/>
                  <w:vAlign w:val="center"/>
                </w:tcPr>
                <w:p w14:paraId="4FA3041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47" w:name="OLE_LINK68" w:colFirst="3" w:colLast="3"/>
                </w:p>
              </w:tc>
              <w:tc>
                <w:tcPr>
                  <w:tcW w:w="725" w:type="dxa"/>
                  <w:vMerge w:val="continue"/>
                  <w:vAlign w:val="center"/>
                </w:tcPr>
                <w:p w14:paraId="1EA4D49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26BC88D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72F6A4FA">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电梯间、楼梯间</w:t>
                  </w:r>
                </w:p>
              </w:tc>
              <w:tc>
                <w:tcPr>
                  <w:tcW w:w="891" w:type="dxa"/>
                  <w:vAlign w:val="center"/>
                </w:tcPr>
                <w:p w14:paraId="4CD217AF">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0EB03A4A">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3.5</w:t>
                  </w:r>
                </w:p>
              </w:tc>
              <w:tc>
                <w:tcPr>
                  <w:tcW w:w="796" w:type="dxa"/>
                  <w:vAlign w:val="center"/>
                </w:tcPr>
                <w:p w14:paraId="5D4123E3">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0</w:t>
                  </w:r>
                </w:p>
              </w:tc>
              <w:tc>
                <w:tcPr>
                  <w:tcW w:w="800" w:type="dxa"/>
                  <w:vMerge w:val="continue"/>
                  <w:vAlign w:val="center"/>
                </w:tcPr>
                <w:p w14:paraId="553E02B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1C839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jc w:val="center"/>
              </w:trPr>
              <w:tc>
                <w:tcPr>
                  <w:tcW w:w="662" w:type="dxa"/>
                  <w:vMerge w:val="continue"/>
                  <w:vAlign w:val="center"/>
                </w:tcPr>
                <w:p w14:paraId="544EDEF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3AD5257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2BF10CB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03A6926E">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院内休息花园</w:t>
                  </w:r>
                </w:p>
              </w:tc>
              <w:tc>
                <w:tcPr>
                  <w:tcW w:w="891" w:type="dxa"/>
                  <w:vAlign w:val="center"/>
                </w:tcPr>
                <w:p w14:paraId="7D380570">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385F6A5A">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12</w:t>
                  </w:r>
                </w:p>
              </w:tc>
              <w:tc>
                <w:tcPr>
                  <w:tcW w:w="796" w:type="dxa"/>
                  <w:vAlign w:val="center"/>
                </w:tcPr>
                <w:p w14:paraId="5DE0E23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0</w:t>
                  </w:r>
                </w:p>
              </w:tc>
              <w:tc>
                <w:tcPr>
                  <w:tcW w:w="800" w:type="dxa"/>
                  <w:vMerge w:val="continue"/>
                  <w:vAlign w:val="center"/>
                </w:tcPr>
                <w:p w14:paraId="62A6EC1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46"/>
            <w:tr w14:paraId="5EDB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jc w:val="center"/>
              </w:trPr>
              <w:tc>
                <w:tcPr>
                  <w:tcW w:w="662" w:type="dxa"/>
                  <w:vMerge w:val="continue"/>
                  <w:vAlign w:val="center"/>
                </w:tcPr>
                <w:p w14:paraId="4B07962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659DCB1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restart"/>
                  <w:vAlign w:val="center"/>
                </w:tcPr>
                <w:p w14:paraId="65C4C8C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机房西侧</w:t>
                  </w:r>
                </w:p>
              </w:tc>
              <w:tc>
                <w:tcPr>
                  <w:tcW w:w="2776" w:type="dxa"/>
                  <w:vAlign w:val="center"/>
                </w:tcPr>
                <w:p w14:paraId="72E7CEA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室内道路</w:t>
                  </w:r>
                </w:p>
              </w:tc>
              <w:tc>
                <w:tcPr>
                  <w:tcW w:w="891" w:type="dxa"/>
                  <w:vAlign w:val="center"/>
                </w:tcPr>
                <w:p w14:paraId="13D60CF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0E67E3C2">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3.2</w:t>
                  </w:r>
                </w:p>
              </w:tc>
              <w:tc>
                <w:tcPr>
                  <w:tcW w:w="796" w:type="dxa"/>
                  <w:vAlign w:val="center"/>
                </w:tcPr>
                <w:p w14:paraId="480FEDB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1AAED4D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1DE5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jc w:val="center"/>
              </w:trPr>
              <w:tc>
                <w:tcPr>
                  <w:tcW w:w="662" w:type="dxa"/>
                  <w:vMerge w:val="continue"/>
                  <w:vAlign w:val="center"/>
                </w:tcPr>
                <w:p w14:paraId="76A23BB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48725BC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321D2FE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01ABCC5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其他手术室、麻醉药品库、配电室、库房、医护办公室</w:t>
                  </w:r>
                </w:p>
              </w:tc>
              <w:tc>
                <w:tcPr>
                  <w:tcW w:w="891" w:type="dxa"/>
                  <w:vAlign w:val="center"/>
                </w:tcPr>
                <w:p w14:paraId="424E2633">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25</w:t>
                  </w:r>
                </w:p>
              </w:tc>
              <w:tc>
                <w:tcPr>
                  <w:tcW w:w="681" w:type="dxa"/>
                  <w:vAlign w:val="center"/>
                </w:tcPr>
                <w:p w14:paraId="5EE368B0">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6.5</w:t>
                  </w:r>
                </w:p>
              </w:tc>
              <w:tc>
                <w:tcPr>
                  <w:tcW w:w="796" w:type="dxa"/>
                  <w:vAlign w:val="center"/>
                </w:tcPr>
                <w:p w14:paraId="39AFF47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50069A7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47"/>
            <w:tr w14:paraId="751EB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62" w:type="dxa"/>
                  <w:vMerge w:val="continue"/>
                  <w:vAlign w:val="center"/>
                </w:tcPr>
                <w:p w14:paraId="08D157A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48" w:name="OLE_LINK70" w:colFirst="3" w:colLast="3"/>
                  <w:bookmarkStart w:id="49" w:name="OLE_LINK69" w:colFirst="3" w:colLast="3"/>
                </w:p>
              </w:tc>
              <w:tc>
                <w:tcPr>
                  <w:tcW w:w="725" w:type="dxa"/>
                  <w:vMerge w:val="continue"/>
                  <w:vAlign w:val="center"/>
                </w:tcPr>
                <w:p w14:paraId="010F3C5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restart"/>
                  <w:vAlign w:val="center"/>
                </w:tcPr>
                <w:p w14:paraId="51D9AF5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机房南侧</w:t>
                  </w:r>
                </w:p>
              </w:tc>
              <w:tc>
                <w:tcPr>
                  <w:tcW w:w="2776" w:type="dxa"/>
                  <w:vAlign w:val="center"/>
                </w:tcPr>
                <w:p w14:paraId="439ACAF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其他手术室、药品瓶回收间、样本间、清洁间</w:t>
                  </w:r>
                </w:p>
              </w:tc>
              <w:tc>
                <w:tcPr>
                  <w:tcW w:w="891" w:type="dxa"/>
                  <w:vAlign w:val="center"/>
                </w:tcPr>
                <w:p w14:paraId="507D41DC">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w:t>
                  </w:r>
                </w:p>
              </w:tc>
              <w:tc>
                <w:tcPr>
                  <w:tcW w:w="681" w:type="dxa"/>
                  <w:vAlign w:val="center"/>
                </w:tcPr>
                <w:p w14:paraId="066F6D39">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紧邻</w:t>
                  </w:r>
                </w:p>
              </w:tc>
              <w:tc>
                <w:tcPr>
                  <w:tcW w:w="796" w:type="dxa"/>
                  <w:vAlign w:val="center"/>
                </w:tcPr>
                <w:p w14:paraId="6A5B195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691FA6C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6B16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662" w:type="dxa"/>
                  <w:vMerge w:val="continue"/>
                  <w:vAlign w:val="center"/>
                </w:tcPr>
                <w:p w14:paraId="154C48D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664D3C6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284DB33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6D920F1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室内道路</w:t>
                  </w:r>
                </w:p>
              </w:tc>
              <w:tc>
                <w:tcPr>
                  <w:tcW w:w="891" w:type="dxa"/>
                  <w:vAlign w:val="center"/>
                </w:tcPr>
                <w:p w14:paraId="4D40DCE2">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4D230BE3">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7.5</w:t>
                  </w:r>
                </w:p>
              </w:tc>
              <w:tc>
                <w:tcPr>
                  <w:tcW w:w="796" w:type="dxa"/>
                  <w:vAlign w:val="center"/>
                </w:tcPr>
                <w:p w14:paraId="25FB940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800" w:type="dxa"/>
                  <w:vMerge w:val="continue"/>
                  <w:vAlign w:val="center"/>
                </w:tcPr>
                <w:p w14:paraId="489DB95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716F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662" w:type="dxa"/>
                  <w:vMerge w:val="continue"/>
                  <w:vAlign w:val="center"/>
                </w:tcPr>
                <w:p w14:paraId="72B118A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50" w:name="OLE_LINK34" w:colFirst="2" w:colLast="3"/>
                  <w:bookmarkStart w:id="51" w:name="OLE_LINK43" w:colFirst="2" w:colLast="3"/>
                  <w:bookmarkStart w:id="52" w:name="OLE_LINK46" w:colFirst="3" w:colLast="3"/>
                </w:p>
              </w:tc>
              <w:tc>
                <w:tcPr>
                  <w:tcW w:w="725" w:type="dxa"/>
                  <w:vMerge w:val="continue"/>
                  <w:vAlign w:val="center"/>
                </w:tcPr>
                <w:p w14:paraId="171D58A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Merge w:val="continue"/>
                  <w:vAlign w:val="center"/>
                </w:tcPr>
                <w:p w14:paraId="2B1C23D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776" w:type="dxa"/>
                  <w:vAlign w:val="center"/>
                </w:tcPr>
                <w:p w14:paraId="69E182CD">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门诊楼</w:t>
                  </w:r>
                </w:p>
              </w:tc>
              <w:tc>
                <w:tcPr>
                  <w:tcW w:w="891" w:type="dxa"/>
                  <w:vAlign w:val="center"/>
                </w:tcPr>
                <w:p w14:paraId="2456D524">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04BCF940">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16</w:t>
                  </w:r>
                </w:p>
              </w:tc>
              <w:tc>
                <w:tcPr>
                  <w:tcW w:w="796" w:type="dxa"/>
                  <w:vAlign w:val="center"/>
                </w:tcPr>
                <w:p w14:paraId="3A3A032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800" w:type="dxa"/>
                  <w:vMerge w:val="continue"/>
                  <w:vAlign w:val="center"/>
                </w:tcPr>
                <w:p w14:paraId="167E33E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48"/>
            <w:bookmarkEnd w:id="49"/>
            <w:tr w14:paraId="248D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662" w:type="dxa"/>
                  <w:vMerge w:val="continue"/>
                  <w:vAlign w:val="center"/>
                </w:tcPr>
                <w:p w14:paraId="6898593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72E94B7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vAlign w:val="center"/>
                </w:tcPr>
                <w:p w14:paraId="008AE95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机房上面</w:t>
                  </w:r>
                </w:p>
              </w:tc>
              <w:tc>
                <w:tcPr>
                  <w:tcW w:w="2776" w:type="dxa"/>
                  <w:vAlign w:val="center"/>
                </w:tcPr>
                <w:p w14:paraId="327871F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楼顶设备摆放区</w:t>
                  </w:r>
                </w:p>
              </w:tc>
              <w:tc>
                <w:tcPr>
                  <w:tcW w:w="891" w:type="dxa"/>
                  <w:vAlign w:val="center"/>
                </w:tcPr>
                <w:p w14:paraId="032D9A97">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流动</w:t>
                  </w:r>
                </w:p>
              </w:tc>
              <w:tc>
                <w:tcPr>
                  <w:tcW w:w="681" w:type="dxa"/>
                  <w:vAlign w:val="center"/>
                </w:tcPr>
                <w:p w14:paraId="44D7587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p>
              </w:tc>
              <w:tc>
                <w:tcPr>
                  <w:tcW w:w="796" w:type="dxa"/>
                  <w:vAlign w:val="center"/>
                </w:tcPr>
                <w:p w14:paraId="35FA0D6B">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4.2</w:t>
                  </w:r>
                </w:p>
              </w:tc>
              <w:tc>
                <w:tcPr>
                  <w:tcW w:w="800" w:type="dxa"/>
                  <w:vMerge w:val="continue"/>
                  <w:vAlign w:val="center"/>
                </w:tcPr>
                <w:p w14:paraId="2F76940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50"/>
            <w:tr w14:paraId="3885A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662" w:type="dxa"/>
                  <w:vMerge w:val="continue"/>
                  <w:vAlign w:val="center"/>
                </w:tcPr>
                <w:p w14:paraId="6113312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725" w:type="dxa"/>
                  <w:vMerge w:val="continue"/>
                  <w:vAlign w:val="center"/>
                </w:tcPr>
                <w:p w14:paraId="4347D67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63" w:type="dxa"/>
                  <w:shd w:val="clear" w:color="auto" w:fill="auto"/>
                  <w:vAlign w:val="center"/>
                </w:tcPr>
                <w:p w14:paraId="736E2D13">
                  <w:pPr>
                    <w:snapToGrid w:val="0"/>
                    <w:ind w:firstLine="0" w:firstLineChars="0"/>
                    <w:jc w:val="center"/>
                    <w:rPr>
                      <w:rFonts w:ascii="Times New Roman" w:hAnsi="Times New Roman" w:cs="Times New Roman" w:eastAsiaTheme="minorEastAsia"/>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下</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面</w:t>
                  </w:r>
                </w:p>
              </w:tc>
              <w:tc>
                <w:tcPr>
                  <w:tcW w:w="2776" w:type="dxa"/>
                  <w:shd w:val="clear" w:color="auto" w:fill="auto"/>
                  <w:vAlign w:val="center"/>
                </w:tcPr>
                <w:p w14:paraId="71F8CAE1">
                  <w:pPr>
                    <w:snapToGrid w:val="0"/>
                    <w:ind w:firstLine="0" w:firstLineChars="0"/>
                    <w:jc w:val="center"/>
                    <w:rPr>
                      <w:rFonts w:ascii="Times New Roman" w:hAnsi="Times New Roman" w:cs="Times New Roman" w:eastAsiaTheme="minorEastAsia"/>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室内通道、检查室、阅片室、腔镜室</w:t>
                  </w:r>
                </w:p>
              </w:tc>
              <w:tc>
                <w:tcPr>
                  <w:tcW w:w="891" w:type="dxa"/>
                  <w:vAlign w:val="center"/>
                </w:tcPr>
                <w:p w14:paraId="33914611">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w:t>
                  </w:r>
                </w:p>
              </w:tc>
              <w:tc>
                <w:tcPr>
                  <w:tcW w:w="681" w:type="dxa"/>
                  <w:vAlign w:val="center"/>
                </w:tcPr>
                <w:p w14:paraId="5CBC7930">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0</w:t>
                  </w:r>
                </w:p>
              </w:tc>
              <w:tc>
                <w:tcPr>
                  <w:tcW w:w="796" w:type="dxa"/>
                  <w:vAlign w:val="center"/>
                </w:tcPr>
                <w:p w14:paraId="70C311D9">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-4.2</w:t>
                  </w:r>
                </w:p>
              </w:tc>
              <w:tc>
                <w:tcPr>
                  <w:tcW w:w="800" w:type="dxa"/>
                  <w:vMerge w:val="continue"/>
                  <w:vAlign w:val="center"/>
                </w:tcPr>
                <w:p w14:paraId="78E00E3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bookmarkEnd w:id="51"/>
            <w:bookmarkEnd w:id="52"/>
          </w:tbl>
          <w:p w14:paraId="780C0064">
            <w:pP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备注：①</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配套设施只为开展介入手术服务，在手术期间其他无关人员是不能进入的，介入治疗医务人员术前术后在上述区域活动，手术期间各司其职；因此，本项目</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前室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不作为保护目标。</w:t>
            </w:r>
          </w:p>
          <w:p w14:paraId="1C958490">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②由于本项目屋顶</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地面均</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采取了辐射屏蔽措施，且屏蔽设计满足《放射诊断放射防护要求》（GBZ130-2020）中防护设施的技术要求。根据分析可知，在采取辐射屏蔽措施后项目</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装置对上</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下</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一楼层的影响较小，满足公众年有效剂量管理限值0.25mSv/a的要求，因此本平价只分析对上</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下</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一楼层的影响（</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综合门诊楼3楼</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），不再分析对更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下</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面楼层（</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负2楼、负1楼、1</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楼</w:t>
            </w:r>
            <w:bookmarkStart w:id="53" w:name="OLE_LINK39"/>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楼</w:t>
            </w:r>
            <w:bookmarkEnd w:id="53"/>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）的影响。</w:t>
            </w:r>
          </w:p>
        </w:tc>
      </w:tr>
      <w:tr w14:paraId="4E746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6" w:type="dxa"/>
          </w:tcPr>
          <w:p w14:paraId="3846A3D1">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7.3评价标准</w:t>
            </w:r>
          </w:p>
          <w:p w14:paraId="0C64C160">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（1）国家标准限值</w:t>
            </w:r>
          </w:p>
          <w:p w14:paraId="23393FC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根据《电离辐射防护与辐射源安全基本标准》（GB18871-2002）规定：</w:t>
            </w:r>
          </w:p>
          <w:p w14:paraId="6D44FAA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第4.3.2.1款，应对个人受到的正常照射加以限制，以保证本标准6.2.2规定的特殊情况外，由来自各项获准实践的综合照射所致的个人总有效剂量当量和有关器官或组织的总当量剂量不超过附录B（标准的附录B）中规定的相应剂量限值。不应将剂量限值应用于获准实践中的医疗照射。</w:t>
            </w:r>
          </w:p>
          <w:p w14:paraId="4FBC24C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第B1.1.1.1款，应对任何工作人员的职业照射水平进行控制，使之不超过下述限值：</w:t>
            </w:r>
          </w:p>
          <w:p w14:paraId="47209D5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a）由审管部门决定的连续5年的年平均有效剂量（但不可作任何追溯性平均）20mSv。</w:t>
            </w:r>
          </w:p>
          <w:p w14:paraId="410FC4A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第B1.2款公众照射</w:t>
            </w:r>
          </w:p>
          <w:p w14:paraId="6D50541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实践使公众中有关关键人群组的成员所受到的平均剂量估计值不应超过下述限值：</w:t>
            </w:r>
          </w:p>
          <w:p w14:paraId="6269240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a）年有效剂量，1mSv。</w:t>
            </w:r>
          </w:p>
          <w:p w14:paraId="18AB29BF">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（2）行政管理限值</w:t>
            </w:r>
          </w:p>
          <w:p w14:paraId="5CDC692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根据《云南省环保局关于&lt;在辐射安全许可工作中确定电离项目辐射安全管理限值请示&gt;的复函》（云环函[2006]727号）中的规定，单一项目取《电离辐射防护与辐射源安全基本标准》（GB18871-2002）的四分之一。</w:t>
            </w:r>
          </w:p>
          <w:p w14:paraId="2F267191">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本次评价采用行政管理限值，即：</w:t>
            </w:r>
          </w:p>
          <w:p w14:paraId="5DDE7993">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职业照射个人受照剂量管理限值取5mSv/a；</w:t>
            </w:r>
          </w:p>
          <w:p w14:paraId="7D1A8EB0">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公众照射个人受照剂量管理限值取0.25mSv/a。</w:t>
            </w:r>
          </w:p>
          <w:p w14:paraId="2ED02128">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（3）《放射诊断放射防护要求》（GBZ130-2020）</w:t>
            </w:r>
          </w:p>
          <w:p w14:paraId="31B5366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6.1X射线设备机房布局</w:t>
            </w:r>
          </w:p>
          <w:p w14:paraId="2DC9848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6.1.3每台固定使用的X射线设备应设有单独的机房，机房应满足使用设备的布局要求。</w:t>
            </w:r>
          </w:p>
          <w:p w14:paraId="6197592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6.1.5除床旁摄影设备、便携式X射线设备和车载式诊断X射线设备外，对新建、改建和扩建项目和技术改造、技术引进项目的X射线设备机房，其最小有效使用面积、最小单边长度应符合表7-2的规定。</w:t>
            </w:r>
          </w:p>
          <w:p w14:paraId="2901DD2B">
            <w:pPr>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表7-2    X射线设备机房（照射室）使用面积及单边长度</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3260"/>
              <w:gridCol w:w="2631"/>
            </w:tblGrid>
            <w:tr w14:paraId="3ADD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405" w:type="dxa"/>
                  <w:vAlign w:val="center"/>
                </w:tcPr>
                <w:p w14:paraId="55455C2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设备类型</w:t>
                  </w:r>
                </w:p>
              </w:tc>
              <w:tc>
                <w:tcPr>
                  <w:tcW w:w="3260" w:type="dxa"/>
                  <w:vAlign w:val="center"/>
                </w:tcPr>
                <w:p w14:paraId="02815E8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机房内最小有效使用面积（m</w:t>
                  </w:r>
                  <w:r>
                    <w:rPr>
                      <w:rFonts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2631" w:type="dxa"/>
                  <w:vAlign w:val="center"/>
                </w:tcPr>
                <w:p w14:paraId="48A31B6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机房内最小单边长度(m)</w:t>
                  </w:r>
                </w:p>
              </w:tc>
            </w:tr>
            <w:tr w14:paraId="2208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405" w:type="dxa"/>
                  <w:vAlign w:val="center"/>
                </w:tcPr>
                <w:p w14:paraId="02DC23C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单管头X射线机a</w:t>
                  </w:r>
                </w:p>
              </w:tc>
              <w:tc>
                <w:tcPr>
                  <w:tcW w:w="3260" w:type="dxa"/>
                  <w:vAlign w:val="center"/>
                </w:tcPr>
                <w:p w14:paraId="1A51E25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w:t>
                  </w:r>
                </w:p>
              </w:tc>
              <w:tc>
                <w:tcPr>
                  <w:tcW w:w="2631" w:type="dxa"/>
                  <w:vAlign w:val="center"/>
                </w:tcPr>
                <w:p w14:paraId="2B66D49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3.5</w:t>
                  </w:r>
                </w:p>
              </w:tc>
            </w:tr>
            <w:tr w14:paraId="3C64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8296" w:type="dxa"/>
                  <w:gridSpan w:val="3"/>
                  <w:vAlign w:val="center"/>
                </w:tcPr>
                <w:p w14:paraId="1A1689B0">
                  <w:pPr>
                    <w:snapToGrid w:val="0"/>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a单管头、双管头或多管头X射线机的每个管球各安装在1个房间内。</w:t>
                  </w:r>
                </w:p>
              </w:tc>
            </w:tr>
          </w:tbl>
          <w:p w14:paraId="3852FDBA">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备注：本项目</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属于单管头X射线机。</w:t>
            </w:r>
          </w:p>
          <w:p w14:paraId="1FB6201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6.2X射线设备机房屏蔽</w:t>
            </w:r>
          </w:p>
          <w:p w14:paraId="7203881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6.2.1不同类型X射线设备（不含床旁摄影设备和便携式X射线设备）机房的屏蔽防护应不低于下表要求：</w:t>
            </w:r>
          </w:p>
          <w:p w14:paraId="3FC1C620">
            <w:pPr>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表7-3    不同类型X射线设备机房的屏蔽防护铅当量厚度要求</w:t>
            </w:r>
          </w:p>
          <w:tbl>
            <w:tblPr>
              <w:tblStyle w:val="22"/>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6"/>
              <w:gridCol w:w="2820"/>
              <w:gridCol w:w="3190"/>
            </w:tblGrid>
            <w:tr w14:paraId="11834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2296" w:type="dxa"/>
                  <w:vAlign w:val="center"/>
                </w:tcPr>
                <w:p w14:paraId="33F1FB1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机房类型</w:t>
                  </w:r>
                </w:p>
              </w:tc>
              <w:tc>
                <w:tcPr>
                  <w:tcW w:w="2820" w:type="dxa"/>
                  <w:vAlign w:val="center"/>
                </w:tcPr>
                <w:p w14:paraId="33A6E0D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有用线束方向铅当量</w:t>
                  </w:r>
                </w:p>
                <w:p w14:paraId="65F9C50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（mmPb）</w:t>
                  </w:r>
                </w:p>
              </w:tc>
              <w:tc>
                <w:tcPr>
                  <w:tcW w:w="3190" w:type="dxa"/>
                  <w:vAlign w:val="center"/>
                </w:tcPr>
                <w:p w14:paraId="62B7CEE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非有用线束方向铅当量</w:t>
                  </w:r>
                </w:p>
                <w:p w14:paraId="637CFBC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（mmPb）</w:t>
                  </w:r>
                </w:p>
              </w:tc>
            </w:tr>
            <w:tr w14:paraId="42ADC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jc w:val="center"/>
              </w:trPr>
              <w:tc>
                <w:tcPr>
                  <w:tcW w:w="2296" w:type="dxa"/>
                  <w:vAlign w:val="center"/>
                </w:tcPr>
                <w:p w14:paraId="3E77E18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C形臂X射线设备机房</w:t>
                  </w:r>
                </w:p>
              </w:tc>
              <w:tc>
                <w:tcPr>
                  <w:tcW w:w="2820" w:type="dxa"/>
                  <w:vAlign w:val="center"/>
                </w:tcPr>
                <w:p w14:paraId="67C04E5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w:t>
                  </w:r>
                </w:p>
              </w:tc>
              <w:tc>
                <w:tcPr>
                  <w:tcW w:w="3190" w:type="dxa"/>
                  <w:vAlign w:val="center"/>
                </w:tcPr>
                <w:p w14:paraId="180DD7B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w:t>
                  </w:r>
                </w:p>
              </w:tc>
            </w:tr>
          </w:tbl>
          <w:p w14:paraId="1BA6CACD">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备注：本项目</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属于X射线设备。</w:t>
            </w:r>
          </w:p>
          <w:p w14:paraId="42CC0D4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6.3 X射线设备机房屏蔽体外剂量水平</w:t>
            </w:r>
          </w:p>
          <w:p w14:paraId="3CE8313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6.3.1机房的辐射屏蔽防护，应满足下列要求：</w:t>
            </w:r>
          </w:p>
          <w:p w14:paraId="0432394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a)具有透视功能的X射线设备在透视条件下检测时，周围剂量当量率应不大于2.5μSv/h；测量时，X射线设备连续出束时间应大于仪器响应时间；</w:t>
            </w:r>
          </w:p>
          <w:p w14:paraId="10F3AB3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 </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X射线设备工作场所防护</w:t>
            </w:r>
          </w:p>
          <w:p w14:paraId="20A9041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6.4.1机房应设有观察窗或摄像监控装置，其设置的位置应便于观察到受检者状态及防护门开闭情况。</w:t>
            </w:r>
          </w:p>
          <w:p w14:paraId="17E7D97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6.4.2机房内不应堆放与该设备诊断工作无关的杂物。</w:t>
            </w:r>
          </w:p>
          <w:p w14:paraId="52C88C0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6.4.3机房应设置动力通风装置，并保持良好的通风。</w:t>
            </w:r>
          </w:p>
          <w:p w14:paraId="782E679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6.4.4机房门外应有电离辐射警告标志；机房门上方应有醒目的工作状态指示灯，灯箱上应设置如“射线有害、灯亮勿入”的可视警示语句；候诊区应设置放射防护注意事项告知栏。</w:t>
            </w:r>
          </w:p>
          <w:p w14:paraId="2BBA132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6.4.5平开机房门应有自动闭门装置；推拉式机房门应设有曝光时关闭机房门的管理措施；工作状态指示灯能与机房门有效关联。 </w:t>
            </w:r>
          </w:p>
          <w:p w14:paraId="40BF630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6.4.6电动推拉门宜设置防夹装置。 </w:t>
            </w:r>
          </w:p>
          <w:p w14:paraId="6E6D58D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6.4.7受检者不应在机房内候诊；非特殊情况，检查过程中陪检者不应滞留在机房内。</w:t>
            </w:r>
          </w:p>
          <w:p w14:paraId="6DE0920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6.4.8模拟定位设备机房防护设施应满足相应设备类型的防护要求。 </w:t>
            </w:r>
          </w:p>
          <w:p w14:paraId="2C284FF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6.4.10机房出入门宜处于散射辐射相对低的位置。 </w:t>
            </w:r>
          </w:p>
          <w:p w14:paraId="71DC2EE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6.5X射线设备工作场所防护用品及防护设施配置要求</w:t>
            </w:r>
          </w:p>
          <w:p w14:paraId="73A9EFD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6.5.1每台X射线设备根据工作内容，现场应配备不少于表7-4基本种类要求的工作人员、受检者防护用品与辅助防护设施，其数量应满足开展工作需要，对陪检者应至少配备铅橡胶防护衣。</w:t>
            </w:r>
          </w:p>
          <w:p w14:paraId="750C060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6.5.3除介入防护手套外，防护用品和辅助防护设施的铅当量应不小于0.25mmPb；介入防护手套铅当量应不小于0.025mmPb；甲状腺、性腺防护用品铅当量应不小于0.5mmPb；移动铅防护屏风铅当量应不小于2mmPb。 </w:t>
            </w:r>
          </w:p>
          <w:p w14:paraId="5C8E7FB4">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6.5.4应为儿童的X射线检查配备保护相应组织和器官的防护用品，防护用品和辅助防护设施的铅当量应不小于0.5mmPb。</w:t>
            </w:r>
          </w:p>
          <w:p w14:paraId="0F1BEAE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6.5.5个人防护用品不使用时，应妥善存放，不应折叠放置，以防止断裂。 </w:t>
            </w:r>
          </w:p>
          <w:p w14:paraId="0057CEDC">
            <w:pPr>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表7-4    个人防护用品和辅助防护设施配置要求</w:t>
            </w:r>
          </w:p>
          <w:tbl>
            <w:tblPr>
              <w:tblStyle w:val="22"/>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658"/>
              <w:gridCol w:w="1658"/>
              <w:gridCol w:w="1808"/>
              <w:gridCol w:w="1509"/>
            </w:tblGrid>
            <w:tr w14:paraId="2A931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658" w:type="dxa"/>
                  <w:vMerge w:val="restart"/>
                  <w:vAlign w:val="center"/>
                </w:tcPr>
                <w:p w14:paraId="7E09CC1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放射检查类型</w:t>
                  </w:r>
                </w:p>
              </w:tc>
              <w:tc>
                <w:tcPr>
                  <w:tcW w:w="3316" w:type="dxa"/>
                  <w:gridSpan w:val="2"/>
                  <w:vAlign w:val="center"/>
                </w:tcPr>
                <w:p w14:paraId="6A392D4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工作人员</w:t>
                  </w:r>
                </w:p>
              </w:tc>
              <w:tc>
                <w:tcPr>
                  <w:tcW w:w="3317" w:type="dxa"/>
                  <w:gridSpan w:val="2"/>
                  <w:vAlign w:val="center"/>
                </w:tcPr>
                <w:p w14:paraId="48A4146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患者和受检者</w:t>
                  </w:r>
                </w:p>
              </w:tc>
            </w:tr>
            <w:tr w14:paraId="1965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658" w:type="dxa"/>
                  <w:vMerge w:val="continue"/>
                  <w:vAlign w:val="center"/>
                </w:tcPr>
                <w:p w14:paraId="262CF99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658" w:type="dxa"/>
                  <w:vAlign w:val="center"/>
                </w:tcPr>
                <w:p w14:paraId="10037F6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个人防护用品</w:t>
                  </w:r>
                </w:p>
              </w:tc>
              <w:tc>
                <w:tcPr>
                  <w:tcW w:w="1658" w:type="dxa"/>
                  <w:vAlign w:val="center"/>
                </w:tcPr>
                <w:p w14:paraId="0EDBFD1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辅助防护设施</w:t>
                  </w:r>
                </w:p>
              </w:tc>
              <w:tc>
                <w:tcPr>
                  <w:tcW w:w="1808" w:type="dxa"/>
                  <w:vAlign w:val="center"/>
                </w:tcPr>
                <w:p w14:paraId="73AA62B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个人防护用品</w:t>
                  </w:r>
                </w:p>
              </w:tc>
              <w:tc>
                <w:tcPr>
                  <w:tcW w:w="1509" w:type="dxa"/>
                  <w:vAlign w:val="center"/>
                </w:tcPr>
                <w:p w14:paraId="288021A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辅助防护设施</w:t>
                  </w:r>
                </w:p>
              </w:tc>
            </w:tr>
            <w:tr w14:paraId="4D2BE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8" w:type="dxa"/>
                  <w:vAlign w:val="center"/>
                </w:tcPr>
                <w:p w14:paraId="7F61BEA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介入放射学操作</w:t>
                  </w:r>
                </w:p>
              </w:tc>
              <w:tc>
                <w:tcPr>
                  <w:tcW w:w="1658" w:type="dxa"/>
                  <w:vAlign w:val="center"/>
                </w:tcPr>
                <w:p w14:paraId="4E50CEE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铅橡胶围裙、铅橡胶颈套、铅防护眼镜、</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介入防护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手套，选配：铅橡胶帽子</w:t>
                  </w:r>
                </w:p>
              </w:tc>
              <w:tc>
                <w:tcPr>
                  <w:tcW w:w="1658" w:type="dxa"/>
                  <w:vAlign w:val="center"/>
                </w:tcPr>
                <w:p w14:paraId="68806C6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铅悬挂防护屏/铅防护吊帘、床侧防护帘/床侧防护屏</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选配：移动铅防护屏风</w:t>
                  </w:r>
                </w:p>
              </w:tc>
              <w:tc>
                <w:tcPr>
                  <w:tcW w:w="1808" w:type="dxa"/>
                  <w:vAlign w:val="center"/>
                </w:tcPr>
                <w:p w14:paraId="1BCDA82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铅橡胶性腺防护围裙（方形）或方巾、铅橡胶颈套</w:t>
                  </w:r>
                </w:p>
                <w:p w14:paraId="7C40469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选配：铅橡胶帽子</w:t>
                  </w:r>
                </w:p>
              </w:tc>
              <w:tc>
                <w:tcPr>
                  <w:tcW w:w="1509" w:type="dxa"/>
                  <w:vAlign w:val="center"/>
                </w:tcPr>
                <w:p w14:paraId="342CCEE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bl>
          <w:p w14:paraId="7DB18973">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注：“——”表示不需要求。</w:t>
            </w:r>
          </w:p>
          <w:p w14:paraId="62369BEC">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（4）非辐射类污染物排放标准</w:t>
            </w:r>
          </w:p>
          <w:p w14:paraId="1BAF5B3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①废气</w:t>
            </w:r>
          </w:p>
          <w:p w14:paraId="5CED560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施工期无组织粉尘排放执行《大气污染物综合排放标准》(GB16297-1996)表2无组织排放监控浓度限值，颗粒物≤</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mg/m</w:t>
            </w:r>
            <w:r>
              <w:rPr>
                <w:rFonts w:ascii="Times New Roman" w:hAnsi="Times New Roman" w:cs="Times New Roman" w:eastAsiaTheme="minorEastAsia"/>
                <w:color w:val="0D0D0D" w:themeColor="text1" w:themeTint="F2"/>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50A648C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②噪声</w:t>
            </w:r>
          </w:p>
          <w:p w14:paraId="6721218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施工期噪声执行GB12523-2011《建筑施工场界环境噪声排放标准》（昼间≤70dB(A)，夜间≤50dB(A)）。</w:t>
            </w:r>
          </w:p>
          <w:p w14:paraId="68E36D24">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运营期项目区执行GB12348-2008《工业企业厂界环境噪声排放标准》中</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类标准，（昼间≤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dB(A)，夜间≤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dB(A)）。</w:t>
            </w:r>
          </w:p>
          <w:p w14:paraId="1295CD1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③废水</w:t>
            </w:r>
          </w:p>
          <w:p w14:paraId="046BD43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项目运营过程中不产生放射性废水及含重金属废水，在手术过程中产生的废水，通过院内医疗废水收集系统排入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项目区西北侧昆明市中医医院已建的</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污水处理站，处理</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达</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《医疗机构水污染物排放标准》（GB18466-2005）</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表2中预处理标准及《污水排入城镇下水道水质标准》（GB/T31962-2015）表1中A等级标准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后</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排入项目区北侧的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祥丰街城市污水管网，最终去往呈贡污水处理厂</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32AA703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④固体废物</w:t>
            </w:r>
          </w:p>
          <w:p w14:paraId="108C99B6">
            <w:pPr>
              <w:spacing w:line="360" w:lineRule="auto"/>
              <w:ind w:firstLine="48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a、医疗废物</w:t>
            </w:r>
          </w:p>
          <w:p w14:paraId="2F5DD58C">
            <w:pPr>
              <w:spacing w:line="360" w:lineRule="auto"/>
              <w:ind w:firstLine="480"/>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运营期产生医疗废物执行《医疗废物管理条例》、《医疗废物集中处置技术规范（试行）》（环发[2003]206 号）、《医疗废物专用包装袋、容器和警示标志标准》（HJ421-2008）、《危险废物贮存污染控制标准》（GB 18597-2023）。</w:t>
            </w:r>
          </w:p>
          <w:p w14:paraId="7E4A11E9">
            <w:pPr>
              <w:spacing w:line="360" w:lineRule="auto"/>
              <w:ind w:firstLine="48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b、生活垃圾</w:t>
            </w:r>
          </w:p>
          <w:p w14:paraId="1DE6B24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生活垃圾按照《生活垃圾处理技术指南》遵循无害化、减量化、资源化的原则，在厂区内设置垃圾收集点，实行生活垃圾袋装收集和分类收集</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8223C7B">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765D1967">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BD7A2CE">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59568A27">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54" w:name="_Toc60227350"/>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表8环境质量和辐射现状</w:t>
      </w:r>
      <w:bookmarkEnd w:id="54"/>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ECA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7" w:hRule="atLeast"/>
        </w:trPr>
        <w:tc>
          <w:tcPr>
            <w:tcW w:w="8522" w:type="dxa"/>
          </w:tcPr>
          <w:p w14:paraId="60747596">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8.1环境质量现状</w:t>
            </w:r>
          </w:p>
          <w:p w14:paraId="716F1264">
            <w:pPr>
              <w:spacing w:line="360" w:lineRule="auto"/>
              <w:ind w:firstLine="480"/>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昆明地处中国</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"https://baike.baidu.com/item/%E8%A5%BF%E5%8D%97%E5%9C%B0%E5%8C%BA/4465918?fromModule=lemma_inlink"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西南地区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"https://baike.baidu.com/item/%E4%BA%91%E8%B4%B5%E9%AB%98%E5%8E%9F/206171?fromModule=lemma_inlink"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云贵高原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中部，位于东经102°10'至103°40'，北纬24°23'至26°22'之间，处在南北国际大通道和以</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"https://baike.baidu.com/item/%E6%B7%B1%E5%9C%B3/140588?fromModule=lemma_inlink"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深圳</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为起点的第三座东西向</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"https://baike.baidu.com/item/%E4%BA%9A%E6%AC%A7%E5%A4%A7%E9%99%86%E6%A1%A5/7338575?fromModule=lemma_inlink"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亚欧大陆桥</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的交汇点，是</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"https://baike.baidu.com/item/%E4%B8%AD%E5%9B%BD/22516505?fromModule=lemma_inlink"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中国</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面向</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"https://baike.baidu.com/item/%E4%B8%9C%E5%8D%97%E4%BA%9A/390261?fromModule=lemma_inlink"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东南亚</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"https://baike.baidu.com/item/%E5%8D%97%E4%BA%9A/7416349?fromModule=lemma_inlink"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南亚</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开放的门户城市，位于</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"https://baike.baidu.com/item/%E4%B8%9C%E7%9B%9F/168517?fromModule=lemma_inlink"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东盟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“10+1”自由贸易区经济圈、</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"https://baike.baidu.com/item/%E5%A4%A7%E6%B9%84%E5%85%AC%E6%B2%B3%E6%AC%A1%E5%8C%BA%E5%9F%9F/2244238?fromModule=lemma_inlink"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大湄公河次区域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经济合作圈、</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instrText xml:space="preserve"> HYPERLINK "https://baike.baidu.com/item/%E6%B3%9B%E7%8F%A0%E4%B8%89%E8%A7%92%E5%8C%BA%E5%9F%9F/10856124?fromModule=lemma_inlink" \t "https://baike.baidu.com/item/%E6%98%86%E6%98%8E%E5%B8%82/_blank" </w:instrTex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separate"/>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泛珠三角区域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fldChar w:fldCharType="end"/>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经济合作圈的交汇点。</w:t>
            </w:r>
          </w:p>
          <w:p w14:paraId="1E55A10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本项目位于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昆明市呈贡区余华街道办事处祥园街2628号昆明市中医医院（呈贡医院）医技楼4楼介入手术室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，项目中心地理坐标为：东经：</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102°49′39.541″</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，北纬</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24</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52</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2.324</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″。项目地理位置见附图1</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09B10D75">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8.1.1空气环境</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质量状况</w:t>
            </w:r>
          </w:p>
          <w:p w14:paraId="3CD20E7B">
            <w:pPr>
              <w:spacing w:line="360" w:lineRule="auto"/>
              <w:ind w:firstLine="48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位于昆明市呈贡区余华街道办事处祥园街2628号昆明市中医医院（呈贡医院），所在区域属于商业交通居住混合区，环境空气质量功能区划为二类区，环境空气质量执行《环境空气质量标准》（GB3095-2012）二级标准。</w:t>
            </w:r>
          </w:p>
          <w:p w14:paraId="15F893B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bookmarkStart w:id="55" w:name="OLE_LINK1"/>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w:t>
            </w:r>
            <w:bookmarkStart w:id="56" w:name="OLE_LINK4"/>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《2024年度昆明市生态环境状况公报》</w:t>
            </w:r>
            <w:bookmarkEnd w:id="56"/>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bookmarkEnd w:id="55"/>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2024年昆明市主城区环境空气优良率99.7%，其中优221天、良144天、轻度污染1天。与2023年相比，优级天数增加32天，各项污染物均达到二级空气质量日均值（臭氧为日最大8小时平均）标准。根据《环境影响技术导则 大气环境》(HJ2.2-2018)6.4.1条的相关规定判定，项目所在区域为环境空气质量达标区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52BAC3B1">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8.1.2地表水环境</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质量状况</w:t>
            </w:r>
          </w:p>
          <w:p w14:paraId="272C75AB">
            <w:pPr>
              <w:spacing w:line="360" w:lineRule="auto"/>
              <w:ind w:firstLine="482" w:firstLineChars="0"/>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调查了解可知，昆明市中医医院（呈贡医院）产生的污水依托院区污水处理站处理达标后排入祥丰街城市污水管网，最终排入呈贡污水处理厂。距离本工程最近的地表水为院区北侧约3.1km处的洛龙河，洛龙河由东向西最终汇入滇池外海。根据《昆明市和滇中产业新区水功能区划（2011-2030年）》，项目所处区域属于洛龙河呈贡开发利用区：属省级区划，源头至入滇池汇口，河长 29.3km，跨阳管、经开和呈贡三区。上游人烟较少，在经开区境内建有石龙坝小(一）型水库；下游流经呈贡县城，区间建洛龙公园。呈贡断面现状水质劣V类，该水功能区规划水平年水质保护目标按水功能二级区执行。地表水环境质量执行《地表水环境质量标准》（GB3838-2002）Ⅱ类水标准。</w:t>
            </w:r>
          </w:p>
          <w:p w14:paraId="47AB0A8B">
            <w:pPr>
              <w:spacing w:line="360" w:lineRule="auto"/>
              <w:ind w:firstLine="482" w:firstLineChars="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根据《202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年度昆明市生态环境状况公报》，滇池主要入湖河道35条中，2条河道断流，27条河道水质类别为Ⅱ~Ⅲ类，6条河道水质类别为Ⅳ~V类，无劣V类河道，达标率96.97%，较2023年提高3个百分点。</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滇池全湖水质类别为Ⅳ类，营养状态为中度富营养，与2023年相比，水质类别不变，营养状态保持不变。</w:t>
            </w:r>
          </w:p>
          <w:p w14:paraId="24C83F2F">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8.1.3声环境</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质量状况</w:t>
            </w:r>
          </w:p>
          <w:p w14:paraId="22408D42">
            <w:pPr>
              <w:spacing w:line="360" w:lineRule="auto"/>
              <w:ind w:firstLine="482"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位于昆明市呈贡区余华街道办事处祥园街2628号昆明市中医医院（呈贡医院），项目周边50m范围内不存在声环境保护目标，因此，本项目不进行声环境质量现状监测。根据现场踏勘，项目周边噪声源主要为东面滇池路的交通噪声，无其他大的噪声源存在。根据《2024年度昆明市生态环境状况公报》，2024年昆明市主城区声环境功能区夜间噪声达标率为92.5％，满足国家“到2025年全国声环境功能区夜间达标率达到85%的要求”，项目所处区域声环境质量状况良好</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1955CEEE">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8.1.4辐射现状</w:t>
            </w:r>
          </w:p>
          <w:p w14:paraId="14F778B5">
            <w:pPr>
              <w:spacing w:line="360" w:lineRule="auto"/>
              <w:ind w:firstLine="0" w:firstLineChars="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8.1.4.1项目区域辐射现状</w:t>
            </w:r>
          </w:p>
          <w:p w14:paraId="428E35B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在现场调查期间，评价人员首先根据建设单位工作人员介绍，对照设计图纸，确立了本项目监测方案。</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13</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云南正毅环境监测有限公司对拟建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区域辐射环境现状进行了监测，监测期间本项目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手术室尚未建成，设备尚未安装</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医院其他射线装置未在运行中</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2FC7673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监测环境：天气：</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晴</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，温度：</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24</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℃，湿度：</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监测点位距墙体、门、窗表面30cm，顶棚上方（楼上）距顶棚地面100cm，机房地面下方（楼下)距楼下地面170cm</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本底及墙体、门、窗表面监测高度距地面100cm</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BB5C1D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监测对象：</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及周边位置。</w:t>
            </w:r>
          </w:p>
          <w:p w14:paraId="621D62E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监测因子：X-γ辐射剂量率。</w:t>
            </w:r>
          </w:p>
          <w:p w14:paraId="24501F6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监测点位：</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如图</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8-1</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图8-2</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43457C1">
            <w:pPr>
              <w:spacing w:line="360" w:lineRule="auto"/>
              <w:ind w:firstLine="48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监测方法：根据《环境γ辐射剂量率测量技术规范》（HJ1157-2021）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和</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《辐射环境监测技术规范》（HJ61-2021）。</w:t>
            </w:r>
          </w:p>
          <w:p w14:paraId="19A39395">
            <w:pPr>
              <w:spacing w:line="360" w:lineRule="auto"/>
              <w:ind w:left="0" w:leftChars="0" w:firstLine="0" w:firstLineChars="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drawing>
                <wp:inline distT="0" distB="0" distL="114300" distR="114300">
                  <wp:extent cx="5273675" cy="3258820"/>
                  <wp:effectExtent l="0" t="0" r="3175" b="1778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7"/>
                          <a:stretch>
                            <a:fillRect/>
                          </a:stretch>
                        </pic:blipFill>
                        <pic:spPr>
                          <a:xfrm>
                            <a:off x="0" y="0"/>
                            <a:ext cx="5273675" cy="3258820"/>
                          </a:xfrm>
                          <a:prstGeom prst="rect">
                            <a:avLst/>
                          </a:prstGeom>
                          <a:noFill/>
                          <a:ln>
                            <a:noFill/>
                          </a:ln>
                        </pic:spPr>
                      </pic:pic>
                    </a:graphicData>
                  </a:graphic>
                </wp:inline>
              </w:drawing>
            </w:r>
          </w:p>
          <w:p w14:paraId="7E620972">
            <w:pPr>
              <w:spacing w:line="360" w:lineRule="auto"/>
              <w:ind w:firstLine="480"/>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w:t>
            </w:r>
            <w:r>
              <w:rPr>
                <w:rFonts w:hint="default"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8-1</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拟新增Ⅱ类射线装置机房区域周围X-γ辐射剂量率监测点示意图</w:t>
            </w:r>
          </w:p>
          <w:p w14:paraId="28CD9E1E">
            <w:pPr>
              <w:spacing w:line="360" w:lineRule="auto"/>
              <w:ind w:left="0" w:leftChars="0" w:firstLine="0" w:firstLineChars="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drawing>
                <wp:inline distT="0" distB="0" distL="114300" distR="114300">
                  <wp:extent cx="5273675" cy="3286125"/>
                  <wp:effectExtent l="0" t="0" r="3175" b="952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18"/>
                          <a:stretch>
                            <a:fillRect/>
                          </a:stretch>
                        </pic:blipFill>
                        <pic:spPr>
                          <a:xfrm>
                            <a:off x="0" y="0"/>
                            <a:ext cx="5273675" cy="3286125"/>
                          </a:xfrm>
                          <a:prstGeom prst="rect">
                            <a:avLst/>
                          </a:prstGeom>
                          <a:noFill/>
                          <a:ln>
                            <a:noFill/>
                          </a:ln>
                        </pic:spPr>
                      </pic:pic>
                    </a:graphicData>
                  </a:graphic>
                </wp:inline>
              </w:drawing>
            </w:r>
          </w:p>
          <w:p w14:paraId="08601114">
            <w:pPr>
              <w:spacing w:line="360" w:lineRule="auto"/>
              <w:ind w:firstLine="480"/>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w:t>
            </w:r>
            <w:r>
              <w:rPr>
                <w:rFonts w:hint="default"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8-2</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拟新增Ⅱ类射线装置院内区域周围X-γ辐射剂量率监测点示意图</w:t>
            </w:r>
          </w:p>
          <w:p w14:paraId="17DD5DB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监测点位合理性分析：本次监测在</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四周、楼上</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楼下</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，项目所在的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四周、院区四周布置了相应的监测点位，上述点位能够反映本项目辐射环境现状水平，因此，监测点位布设合理。</w:t>
            </w:r>
          </w:p>
          <w:p w14:paraId="151057F7">
            <w:pPr>
              <w:spacing w:line="360" w:lineRule="auto"/>
              <w:ind w:left="0" w:leftChars="0"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p w14:paraId="5F0AAB52">
            <w:pPr>
              <w:spacing w:line="360" w:lineRule="auto"/>
              <w:ind w:left="0" w:leftChars="0"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p w14:paraId="35C9FD8F">
            <w:pPr>
              <w:spacing w:line="360" w:lineRule="auto"/>
              <w:ind w:left="0" w:leftChars="0"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表8-1    监测仪器</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1"/>
              <w:gridCol w:w="996"/>
              <w:gridCol w:w="1500"/>
              <w:gridCol w:w="1555"/>
              <w:gridCol w:w="1494"/>
            </w:tblGrid>
            <w:tr w14:paraId="0B3DB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1" w:type="dxa"/>
                  <w:vAlign w:val="center"/>
                </w:tcPr>
                <w:p w14:paraId="223528B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仪器名称及编号</w:t>
                  </w:r>
                </w:p>
              </w:tc>
              <w:tc>
                <w:tcPr>
                  <w:tcW w:w="996" w:type="dxa"/>
                  <w:vAlign w:val="center"/>
                </w:tcPr>
                <w:p w14:paraId="14AFFCB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仪器量程</w:t>
                  </w:r>
                </w:p>
              </w:tc>
              <w:tc>
                <w:tcPr>
                  <w:tcW w:w="1500" w:type="dxa"/>
                  <w:vAlign w:val="center"/>
                </w:tcPr>
                <w:p w14:paraId="0F6B865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检定/校准证书编号</w:t>
                  </w:r>
                </w:p>
              </w:tc>
              <w:tc>
                <w:tcPr>
                  <w:tcW w:w="1555" w:type="dxa"/>
                  <w:vAlign w:val="center"/>
                </w:tcPr>
                <w:p w14:paraId="742F602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检定/校准日期</w:t>
                  </w:r>
                </w:p>
              </w:tc>
              <w:tc>
                <w:tcPr>
                  <w:tcW w:w="1494" w:type="dxa"/>
                  <w:vAlign w:val="center"/>
                </w:tcPr>
                <w:p w14:paraId="36AEAF6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检定/校准单位</w:t>
                  </w:r>
                </w:p>
              </w:tc>
            </w:tr>
            <w:tr w14:paraId="2050A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1" w:type="dxa"/>
                  <w:vAlign w:val="center"/>
                </w:tcPr>
                <w:p w14:paraId="55E7A7A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BG9521型便携式X、γ辐射周围剂量当量率仪（2020005#）</w:t>
                  </w:r>
                </w:p>
              </w:tc>
              <w:tc>
                <w:tcPr>
                  <w:tcW w:w="996" w:type="dxa"/>
                  <w:vAlign w:val="center"/>
                </w:tcPr>
                <w:p w14:paraId="389ED3F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0.01-2500μSV/h</w:t>
                  </w:r>
                </w:p>
              </w:tc>
              <w:tc>
                <w:tcPr>
                  <w:tcW w:w="1500" w:type="dxa"/>
                  <w:vAlign w:val="center"/>
                </w:tcPr>
                <w:p w14:paraId="4371033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2025H21-20-5833732001</w:t>
                  </w:r>
                </w:p>
              </w:tc>
              <w:tc>
                <w:tcPr>
                  <w:tcW w:w="1555" w:type="dxa"/>
                  <w:vAlign w:val="center"/>
                </w:tcPr>
                <w:p w14:paraId="00D508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2026年04月07日</w:t>
                  </w:r>
                </w:p>
              </w:tc>
              <w:tc>
                <w:tcPr>
                  <w:tcW w:w="1494" w:type="dxa"/>
                  <w:vAlign w:val="center"/>
                </w:tcPr>
                <w:p w14:paraId="6CEE48E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上海市计量测试技术研究院</w:t>
                  </w:r>
                </w:p>
              </w:tc>
            </w:tr>
          </w:tbl>
          <w:p w14:paraId="5440B84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（1）监测质量保证措施</w:t>
            </w:r>
          </w:p>
          <w:p w14:paraId="56E2791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①本项目监测单位为云南正毅环境监测有限公司，已通过云南省质量技术监督局（CMA认证），证书编号：202512050115。该公司具有完整、有效的质量控制体系。</w:t>
            </w:r>
          </w:p>
          <w:p w14:paraId="198744C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②根据《辐射环境监测技术规范》（HJ61-2021）和《环境γ辐射剂量率测量技术规范》（HJ1157-2021）制定监测方案及实施细则；</w:t>
            </w:r>
          </w:p>
          <w:p w14:paraId="0392C8F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③严格按照监测单位《质保手册》、《作业指导书》开展现场工作；</w:t>
            </w:r>
          </w:p>
          <w:p w14:paraId="0F4BF8A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④监测仪器每年经计量部门检定后使用；每次测量前、后均检查仪器的工作状态是否正常，并对仪器进行校验；</w:t>
            </w:r>
          </w:p>
          <w:p w14:paraId="1227F6D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⑤监测人员经考核并持有合格证书上岗；</w:t>
            </w:r>
          </w:p>
          <w:p w14:paraId="3448D5F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⑥根据《环境γ辐射剂量率测量技术规范》（HJ1157-2021），监测高度为1m，合理布设监测点位置，兼顾监测技术规范和实际情况，监测结果具有代表性和针对性，</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仪器读数稳定后，以10秒间隔读取10个数据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，并读取稳定状态的最大值；</w:t>
            </w:r>
          </w:p>
          <w:p w14:paraId="2A1DD48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⑦建立完整的文件资料。仪器校准（测试）证书、监测方案、监测布点图、测量原始数据、统计处理程序等全部保留，以备复查；</w:t>
            </w:r>
          </w:p>
          <w:p w14:paraId="5845CD3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⑧监测报告严格实行三级审核制度，经过校对、校核，最后由技术负责人审定。</w:t>
            </w:r>
          </w:p>
          <w:p w14:paraId="3735AA9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（2）辐射现状监测与评价</w:t>
            </w:r>
          </w:p>
          <w:p w14:paraId="194BE93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为掌握项目所在地X-γ辐射环境水平，云南正毅环境监测有限公司于</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对拟建地的辐射环境本底进行了监测，监测结果见表8-2。</w:t>
            </w:r>
          </w:p>
          <w:p w14:paraId="4D4892BD">
            <w:pPr>
              <w:spacing w:line="360" w:lineRule="auto"/>
              <w:ind w:left="0" w:leftChars="0"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表8-2  拟新增</w:t>
            </w: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设备机房及院内区域周围X-γ辐射剂量率监测结果</w:t>
            </w:r>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838"/>
              <w:gridCol w:w="2736"/>
              <w:gridCol w:w="1832"/>
              <w:gridCol w:w="1804"/>
            </w:tblGrid>
            <w:tr w14:paraId="7D761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086" w:type="dxa"/>
                  <w:vAlign w:val="center"/>
                </w:tcPr>
                <w:p w14:paraId="1737019B">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装置</w:t>
                  </w:r>
                </w:p>
              </w:tc>
              <w:tc>
                <w:tcPr>
                  <w:tcW w:w="838" w:type="dxa"/>
                  <w:vAlign w:val="center"/>
                </w:tcPr>
                <w:p w14:paraId="0AD7A5E6">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点位编号</w:t>
                  </w:r>
                </w:p>
              </w:tc>
              <w:tc>
                <w:tcPr>
                  <w:tcW w:w="2736" w:type="dxa"/>
                  <w:vAlign w:val="center"/>
                </w:tcPr>
                <w:p w14:paraId="67E81CE6">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监测点位描述</w:t>
                  </w:r>
                </w:p>
              </w:tc>
              <w:tc>
                <w:tcPr>
                  <w:tcW w:w="1832" w:type="dxa"/>
                  <w:vAlign w:val="center"/>
                </w:tcPr>
                <w:p w14:paraId="19CFAF7A">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监测数据（校正值±标准差）（</w:t>
                  </w:r>
                  <w:r>
                    <w:rPr>
                      <w:rFonts w:hint="default" w:ascii="Times New Roman" w:hAnsi="Times New Roman" w:cs="Times New Roman" w:eastAsiaTheme="minorEastAsia"/>
                      <w:b/>
                      <w:bCs/>
                      <w:color w:val="0D0D0D" w:themeColor="text1" w:themeTint="F2"/>
                      <w:sz w:val="21"/>
                      <w:szCs w:val="21"/>
                      <w14:textFill>
                        <w14:solidFill>
                          <w14:schemeClr w14:val="tx1">
                            <w14:lumMod w14:val="95000"/>
                            <w14:lumOff w14:val="5000"/>
                          </w14:schemeClr>
                        </w14:solidFill>
                      </w14:textFill>
                    </w:rPr>
                    <w:t>μSv/h</w:t>
                  </w: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w:t>
                  </w:r>
                </w:p>
              </w:tc>
              <w:tc>
                <w:tcPr>
                  <w:tcW w:w="1804" w:type="dxa"/>
                  <w:vAlign w:val="center"/>
                </w:tcPr>
                <w:p w14:paraId="21B863C6">
                  <w:pPr>
                    <w:snapToGrid w:val="0"/>
                    <w:ind w:firstLine="0" w:firstLineChars="0"/>
                    <w:jc w:val="center"/>
                    <w:rPr>
                      <w:rFonts w:hint="eastAsia" w:ascii="Times New Roman" w:hAnsi="Times New Roman" w:cs="Times New Roman" w:eastAsiaTheme="minorEastAsia"/>
                      <w:color w:val="0D0D0D" w:themeColor="text1" w:themeTint="F2"/>
                      <w:sz w:val="21"/>
                      <w:szCs w:val="21"/>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备注</w:t>
                  </w:r>
                </w:p>
              </w:tc>
            </w:tr>
            <w:tr w14:paraId="38E70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restart"/>
                  <w:vAlign w:val="center"/>
                </w:tcPr>
                <w:p w14:paraId="71DE28C2">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拟新增Ⅱ类射线装置机房区域周围</w:t>
                  </w:r>
                </w:p>
              </w:tc>
              <w:tc>
                <w:tcPr>
                  <w:tcW w:w="838" w:type="dxa"/>
                  <w:shd w:val="clear" w:color="auto" w:fill="auto"/>
                  <w:vAlign w:val="center"/>
                </w:tcPr>
                <w:p w14:paraId="75C0589D">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w:t>
                  </w:r>
                </w:p>
              </w:tc>
              <w:tc>
                <w:tcPr>
                  <w:tcW w:w="2736" w:type="dxa"/>
                  <w:shd w:val="clear" w:color="auto" w:fill="auto"/>
                  <w:vAlign w:val="center"/>
                </w:tcPr>
                <w:p w14:paraId="6E23BA48">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拟建操作位</w:t>
                  </w:r>
                </w:p>
              </w:tc>
              <w:tc>
                <w:tcPr>
                  <w:tcW w:w="1832" w:type="dxa"/>
                  <w:shd w:val="clear" w:color="auto" w:fill="auto"/>
                  <w:vAlign w:val="center"/>
                </w:tcPr>
                <w:p w14:paraId="43329C58">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4AB0F86A">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343C0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0AD3CBEE">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48C31798">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w:t>
                  </w:r>
                </w:p>
              </w:tc>
              <w:tc>
                <w:tcPr>
                  <w:tcW w:w="2736" w:type="dxa"/>
                  <w:shd w:val="clear" w:color="auto" w:fill="auto"/>
                  <w:vAlign w:val="center"/>
                </w:tcPr>
                <w:p w14:paraId="14474FA4">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拟建铅玻璃</w:t>
                  </w:r>
                </w:p>
              </w:tc>
              <w:tc>
                <w:tcPr>
                  <w:tcW w:w="1832" w:type="dxa"/>
                  <w:shd w:val="clear" w:color="auto" w:fill="auto"/>
                  <w:vAlign w:val="center"/>
                </w:tcPr>
                <w:p w14:paraId="74C6C13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35224FE5">
                  <w:pPr>
                    <w:snapToGrid w:val="0"/>
                    <w:ind w:firstLine="420" w:firstLineChars="20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512F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185D18FA">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0D31D3B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3</w:t>
                  </w:r>
                </w:p>
              </w:tc>
              <w:tc>
                <w:tcPr>
                  <w:tcW w:w="2736" w:type="dxa"/>
                  <w:shd w:val="clear" w:color="auto" w:fill="auto"/>
                  <w:vAlign w:val="center"/>
                </w:tcPr>
                <w:p w14:paraId="4D6CF6A1">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拟建铅玻璃左侧</w:t>
                  </w:r>
                </w:p>
              </w:tc>
              <w:tc>
                <w:tcPr>
                  <w:tcW w:w="1832" w:type="dxa"/>
                  <w:shd w:val="clear" w:color="auto" w:fill="auto"/>
                  <w:vAlign w:val="center"/>
                </w:tcPr>
                <w:p w14:paraId="7883F99D">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0937F581">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4D69A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406E3F1D">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D634014">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4</w:t>
                  </w:r>
                </w:p>
              </w:tc>
              <w:tc>
                <w:tcPr>
                  <w:tcW w:w="2736" w:type="dxa"/>
                  <w:shd w:val="clear" w:color="auto" w:fill="auto"/>
                  <w:vAlign w:val="center"/>
                </w:tcPr>
                <w:p w14:paraId="4A1A5809">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拟建医生铅门</w:t>
                  </w:r>
                </w:p>
              </w:tc>
              <w:tc>
                <w:tcPr>
                  <w:tcW w:w="1832" w:type="dxa"/>
                  <w:shd w:val="clear" w:color="auto" w:fill="auto"/>
                  <w:vAlign w:val="center"/>
                </w:tcPr>
                <w:p w14:paraId="138B611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5718AB0D">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7E204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2D18A5E5">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0DE9B589">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5</w:t>
                  </w:r>
                </w:p>
              </w:tc>
              <w:tc>
                <w:tcPr>
                  <w:tcW w:w="2736" w:type="dxa"/>
                  <w:shd w:val="clear" w:color="auto" w:fill="auto"/>
                  <w:vAlign w:val="center"/>
                </w:tcPr>
                <w:p w14:paraId="725171B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拟建受检者铅门</w:t>
                  </w:r>
                </w:p>
              </w:tc>
              <w:tc>
                <w:tcPr>
                  <w:tcW w:w="1832" w:type="dxa"/>
                  <w:shd w:val="clear" w:color="auto" w:fill="auto"/>
                  <w:vAlign w:val="center"/>
                </w:tcPr>
                <w:p w14:paraId="1B3D002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0.11</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43FC12D6">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3819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1086" w:type="dxa"/>
                  <w:vMerge w:val="continue"/>
                  <w:vAlign w:val="center"/>
                </w:tcPr>
                <w:p w14:paraId="57FCA906">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7B96218A">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6</w:t>
                  </w:r>
                </w:p>
              </w:tc>
              <w:tc>
                <w:tcPr>
                  <w:tcW w:w="2736" w:type="dxa"/>
                  <w:shd w:val="clear" w:color="auto" w:fill="auto"/>
                  <w:vAlign w:val="center"/>
                </w:tcPr>
                <w:p w14:paraId="50F295A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拟建机房西侧前室</w:t>
                  </w:r>
                </w:p>
              </w:tc>
              <w:tc>
                <w:tcPr>
                  <w:tcW w:w="1832" w:type="dxa"/>
                  <w:shd w:val="clear" w:color="auto" w:fill="auto"/>
                  <w:vAlign w:val="center"/>
                </w:tcPr>
                <w:p w14:paraId="4AE703D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0.11</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61701795">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5BF25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2FEB49D0">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7BF61BDE">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7</w:t>
                  </w:r>
                </w:p>
              </w:tc>
              <w:tc>
                <w:tcPr>
                  <w:tcW w:w="2736" w:type="dxa"/>
                  <w:shd w:val="clear" w:color="auto" w:fill="auto"/>
                  <w:vAlign w:val="center"/>
                </w:tcPr>
                <w:p w14:paraId="3B522E6E">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拟建机房南侧Ⅲ级手术室</w:t>
                  </w:r>
                </w:p>
              </w:tc>
              <w:tc>
                <w:tcPr>
                  <w:tcW w:w="1832" w:type="dxa"/>
                  <w:shd w:val="clear" w:color="auto" w:fill="auto"/>
                  <w:vAlign w:val="center"/>
                </w:tcPr>
                <w:p w14:paraId="74B82FB4">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0.06</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6274C862">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2A5C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18618922">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6200BDA4">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8</w:t>
                  </w:r>
                </w:p>
              </w:tc>
              <w:tc>
                <w:tcPr>
                  <w:tcW w:w="2736" w:type="dxa"/>
                  <w:shd w:val="clear" w:color="auto" w:fill="auto"/>
                  <w:vAlign w:val="center"/>
                </w:tcPr>
                <w:p w14:paraId="312EBBCF">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拟建机房南侧药品瓶回收间</w:t>
                  </w:r>
                </w:p>
              </w:tc>
              <w:tc>
                <w:tcPr>
                  <w:tcW w:w="1832" w:type="dxa"/>
                  <w:shd w:val="clear" w:color="auto" w:fill="auto"/>
                  <w:vAlign w:val="center"/>
                </w:tcPr>
                <w:p w14:paraId="38C392AC">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0.06</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4EC1C17D">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23A20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12853479">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B7E651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9</w:t>
                  </w:r>
                </w:p>
              </w:tc>
              <w:tc>
                <w:tcPr>
                  <w:tcW w:w="2736" w:type="dxa"/>
                  <w:shd w:val="clear" w:color="auto" w:fill="auto"/>
                  <w:vAlign w:val="center"/>
                </w:tcPr>
                <w:p w14:paraId="52B49261">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w:t>
                  </w: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建机房东侧防护铅门</w:t>
                  </w:r>
                </w:p>
              </w:tc>
              <w:tc>
                <w:tcPr>
                  <w:tcW w:w="1832" w:type="dxa"/>
                  <w:shd w:val="clear" w:color="auto" w:fill="auto"/>
                  <w:vAlign w:val="center"/>
                </w:tcPr>
                <w:p w14:paraId="14C8CA5C">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644E8E94">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546D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086" w:type="dxa"/>
                  <w:vMerge w:val="continue"/>
                  <w:vAlign w:val="center"/>
                </w:tcPr>
                <w:p w14:paraId="1DB30004">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4D642C5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10</w:t>
                  </w:r>
                </w:p>
              </w:tc>
              <w:tc>
                <w:tcPr>
                  <w:tcW w:w="2736" w:type="dxa"/>
                  <w:shd w:val="clear" w:color="auto" w:fill="auto"/>
                  <w:vAlign w:val="center"/>
                </w:tcPr>
                <w:p w14:paraId="2A54AAAA">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w:t>
                  </w: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建机房东侧通道</w:t>
                  </w:r>
                </w:p>
              </w:tc>
              <w:tc>
                <w:tcPr>
                  <w:tcW w:w="1832" w:type="dxa"/>
                  <w:shd w:val="clear" w:color="auto" w:fill="auto"/>
                  <w:vAlign w:val="center"/>
                </w:tcPr>
                <w:p w14:paraId="58851645">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6D51C026">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3811A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086" w:type="dxa"/>
                  <w:vMerge w:val="continue"/>
                  <w:vAlign w:val="center"/>
                </w:tcPr>
                <w:p w14:paraId="52AA4D7C">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477A483B">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11</w:t>
                  </w:r>
                </w:p>
              </w:tc>
              <w:tc>
                <w:tcPr>
                  <w:tcW w:w="2736" w:type="dxa"/>
                  <w:shd w:val="clear" w:color="auto" w:fill="auto"/>
                  <w:vAlign w:val="center"/>
                </w:tcPr>
                <w:p w14:paraId="7AF387C8">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拟建机房北侧麻醉耗材库</w:t>
                  </w:r>
                </w:p>
              </w:tc>
              <w:tc>
                <w:tcPr>
                  <w:tcW w:w="1832" w:type="dxa"/>
                  <w:shd w:val="clear" w:color="auto" w:fill="auto"/>
                  <w:vAlign w:val="center"/>
                </w:tcPr>
                <w:p w14:paraId="15C25271">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0.07</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6D591BF7">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14276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86" w:type="dxa"/>
                  <w:vMerge w:val="continue"/>
                  <w:vAlign w:val="center"/>
                </w:tcPr>
                <w:p w14:paraId="0030244C">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030F643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12</w:t>
                  </w:r>
                </w:p>
              </w:tc>
              <w:tc>
                <w:tcPr>
                  <w:tcW w:w="2736" w:type="dxa"/>
                  <w:shd w:val="clear" w:color="auto" w:fill="auto"/>
                  <w:vAlign w:val="center"/>
                </w:tcPr>
                <w:p w14:paraId="408C2201">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w:t>
                  </w: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建</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机房</w:t>
                  </w: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楼上配电室</w:t>
                  </w:r>
                </w:p>
              </w:tc>
              <w:tc>
                <w:tcPr>
                  <w:tcW w:w="1832" w:type="dxa"/>
                  <w:shd w:val="clear" w:color="auto" w:fill="auto"/>
                  <w:vAlign w:val="center"/>
                </w:tcPr>
                <w:p w14:paraId="3F2CFC1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0.11</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58556329">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773E9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086" w:type="dxa"/>
                  <w:vMerge w:val="continue"/>
                  <w:vAlign w:val="center"/>
                </w:tcPr>
                <w:p w14:paraId="794FB154">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E4A918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13</w:t>
                  </w:r>
                </w:p>
              </w:tc>
              <w:tc>
                <w:tcPr>
                  <w:tcW w:w="2736" w:type="dxa"/>
                  <w:shd w:val="clear" w:color="auto" w:fill="auto"/>
                  <w:vAlign w:val="center"/>
                </w:tcPr>
                <w:p w14:paraId="11B53E0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拟建机房楼下呼吸内镜诊疗区</w:t>
                  </w:r>
                </w:p>
              </w:tc>
              <w:tc>
                <w:tcPr>
                  <w:tcW w:w="1832" w:type="dxa"/>
                  <w:shd w:val="clear" w:color="auto" w:fill="auto"/>
                  <w:vAlign w:val="center"/>
                </w:tcPr>
                <w:p w14:paraId="66D94CB6">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0C429B53">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1CFD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restart"/>
                  <w:vAlign w:val="center"/>
                </w:tcPr>
                <w:p w14:paraId="03236EAB">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拟新增Ⅱ类射线装置</w:t>
                  </w:r>
                  <w:bookmarkStart w:id="57" w:name="OLE_LINK79"/>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院内院外</w:t>
                  </w:r>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区域</w:t>
                  </w:r>
                  <w:bookmarkEnd w:id="57"/>
                  <w: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t>周围</w:t>
                  </w:r>
                </w:p>
              </w:tc>
              <w:tc>
                <w:tcPr>
                  <w:tcW w:w="838" w:type="dxa"/>
                  <w:shd w:val="clear" w:color="auto" w:fill="auto"/>
                  <w:vAlign w:val="center"/>
                </w:tcPr>
                <w:p w14:paraId="40EECBAC">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14</w:t>
                  </w:r>
                </w:p>
              </w:tc>
              <w:tc>
                <w:tcPr>
                  <w:tcW w:w="2736" w:type="dxa"/>
                  <w:shd w:val="clear" w:color="auto" w:fill="auto"/>
                  <w:vAlign w:val="center"/>
                </w:tcPr>
                <w:p w14:paraId="074119B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门诊楼东侧道路</w:t>
                  </w:r>
                </w:p>
              </w:tc>
              <w:tc>
                <w:tcPr>
                  <w:tcW w:w="1832" w:type="dxa"/>
                  <w:shd w:val="clear" w:color="auto" w:fill="auto"/>
                  <w:vAlign w:val="center"/>
                </w:tcPr>
                <w:p w14:paraId="45B70560">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72092091">
                  <w:pPr>
                    <w:snapToGrid w:val="0"/>
                    <w:ind w:firstLine="420" w:firstLineChars="20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6028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6D18B908">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744C34D3">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15</w:t>
                  </w:r>
                </w:p>
              </w:tc>
              <w:tc>
                <w:tcPr>
                  <w:tcW w:w="2736" w:type="dxa"/>
                  <w:shd w:val="clear" w:color="auto" w:fill="auto"/>
                  <w:vAlign w:val="center"/>
                </w:tcPr>
                <w:p w14:paraId="2577CBAD">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门诊楼南侧食堂</w:t>
                  </w:r>
                </w:p>
              </w:tc>
              <w:tc>
                <w:tcPr>
                  <w:tcW w:w="1832" w:type="dxa"/>
                  <w:shd w:val="clear" w:color="auto" w:fill="auto"/>
                  <w:vAlign w:val="center"/>
                </w:tcPr>
                <w:p w14:paraId="365BACEF">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75AECCF8">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3EBC7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6EE263FE">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4CAE65F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16</w:t>
                  </w:r>
                </w:p>
              </w:tc>
              <w:tc>
                <w:tcPr>
                  <w:tcW w:w="2736" w:type="dxa"/>
                  <w:shd w:val="clear" w:color="auto" w:fill="auto"/>
                  <w:vAlign w:val="center"/>
                </w:tcPr>
                <w:p w14:paraId="18A3195B">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门诊楼西侧道路</w:t>
                  </w:r>
                </w:p>
              </w:tc>
              <w:tc>
                <w:tcPr>
                  <w:tcW w:w="1832" w:type="dxa"/>
                  <w:shd w:val="clear" w:color="auto" w:fill="auto"/>
                  <w:vAlign w:val="center"/>
                </w:tcPr>
                <w:p w14:paraId="715B04BF">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0.07</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23999DF5">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1B4C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61D199B1">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10B2AB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17</w:t>
                  </w:r>
                </w:p>
              </w:tc>
              <w:tc>
                <w:tcPr>
                  <w:tcW w:w="2736" w:type="dxa"/>
                  <w:shd w:val="clear" w:color="auto" w:fill="auto"/>
                  <w:vAlign w:val="center"/>
                </w:tcPr>
                <w:p w14:paraId="1430DF8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门诊楼北侧道路</w:t>
                  </w:r>
                </w:p>
              </w:tc>
              <w:tc>
                <w:tcPr>
                  <w:tcW w:w="1832" w:type="dxa"/>
                  <w:shd w:val="clear" w:color="auto" w:fill="auto"/>
                  <w:vAlign w:val="center"/>
                </w:tcPr>
                <w:p w14:paraId="7FBC14FB">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0.06</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05CB0C6C">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6F28F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7A41B885">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3B6E38BB">
                  <w:pPr>
                    <w:snapToGrid w:val="0"/>
                    <w:ind w:firstLine="0" w:firstLineChars="0"/>
                    <w:jc w:val="center"/>
                    <w:rPr>
                      <w:rFonts w:hint="eastAsia"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18</w:t>
                  </w:r>
                </w:p>
              </w:tc>
              <w:tc>
                <w:tcPr>
                  <w:tcW w:w="2736" w:type="dxa"/>
                  <w:shd w:val="clear" w:color="auto" w:fill="auto"/>
                  <w:vAlign w:val="center"/>
                </w:tcPr>
                <w:p w14:paraId="4FA04865">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院内东侧道路</w:t>
                  </w:r>
                </w:p>
              </w:tc>
              <w:tc>
                <w:tcPr>
                  <w:tcW w:w="1832" w:type="dxa"/>
                  <w:shd w:val="clear" w:color="auto" w:fill="auto"/>
                  <w:vAlign w:val="center"/>
                </w:tcPr>
                <w:p w14:paraId="7E2B87DE">
                  <w:pPr>
                    <w:snapToGrid w:val="0"/>
                    <w:ind w:firstLine="0" w:firstLineChars="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5695F8A4">
                  <w:pPr>
                    <w:snapToGrid w:val="0"/>
                    <w:ind w:firstLine="420" w:firstLineChars="20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13E22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39693FE7">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4EB5071D">
                  <w:pPr>
                    <w:snapToGrid w:val="0"/>
                    <w:ind w:firstLine="0" w:firstLineChars="0"/>
                    <w:jc w:val="center"/>
                    <w:rPr>
                      <w:rFonts w:hint="default"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19</w:t>
                  </w:r>
                </w:p>
              </w:tc>
              <w:tc>
                <w:tcPr>
                  <w:tcW w:w="2736" w:type="dxa"/>
                  <w:shd w:val="clear" w:color="auto" w:fill="auto"/>
                  <w:vAlign w:val="center"/>
                </w:tcPr>
                <w:p w14:paraId="70F205E8">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院内南侧道路</w:t>
                  </w:r>
                </w:p>
              </w:tc>
              <w:tc>
                <w:tcPr>
                  <w:tcW w:w="1832" w:type="dxa"/>
                  <w:shd w:val="clear" w:color="auto" w:fill="auto"/>
                  <w:vAlign w:val="center"/>
                </w:tcPr>
                <w:p w14:paraId="699EAB35">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7314B106">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55B9E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48F3B1C2">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F9ED92D">
                  <w:pPr>
                    <w:snapToGrid w:val="0"/>
                    <w:ind w:firstLine="0" w:firstLineChars="0"/>
                    <w:jc w:val="center"/>
                    <w:rPr>
                      <w:rFonts w:hint="default"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20</w:t>
                  </w:r>
                </w:p>
              </w:tc>
              <w:tc>
                <w:tcPr>
                  <w:tcW w:w="2736" w:type="dxa"/>
                  <w:shd w:val="clear" w:color="auto" w:fill="auto"/>
                  <w:vAlign w:val="center"/>
                </w:tcPr>
                <w:p w14:paraId="40D4919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院内西侧道路</w:t>
                  </w:r>
                </w:p>
              </w:tc>
              <w:tc>
                <w:tcPr>
                  <w:tcW w:w="1832" w:type="dxa"/>
                  <w:shd w:val="clear" w:color="auto" w:fill="auto"/>
                  <w:vAlign w:val="center"/>
                </w:tcPr>
                <w:p w14:paraId="0322200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1629911C">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2594D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62316C97">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1E4189C1">
                  <w:pPr>
                    <w:snapToGrid w:val="0"/>
                    <w:ind w:firstLine="0" w:firstLineChars="0"/>
                    <w:jc w:val="center"/>
                    <w:rPr>
                      <w:rFonts w:hint="default"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21</w:t>
                  </w:r>
                </w:p>
              </w:tc>
              <w:tc>
                <w:tcPr>
                  <w:tcW w:w="2736" w:type="dxa"/>
                  <w:shd w:val="clear" w:color="auto" w:fill="auto"/>
                  <w:vAlign w:val="center"/>
                </w:tcPr>
                <w:p w14:paraId="0B13FD2A">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院内北侧道路</w:t>
                  </w:r>
                </w:p>
              </w:tc>
              <w:tc>
                <w:tcPr>
                  <w:tcW w:w="1832" w:type="dxa"/>
                  <w:shd w:val="clear" w:color="auto" w:fill="auto"/>
                  <w:vAlign w:val="center"/>
                </w:tcPr>
                <w:p w14:paraId="42269792">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452A7AE6">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779AD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47A4E92E">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13571E94">
                  <w:pPr>
                    <w:snapToGrid w:val="0"/>
                    <w:ind w:firstLine="0" w:firstLineChars="0"/>
                    <w:jc w:val="center"/>
                    <w:rPr>
                      <w:rFonts w:hint="default"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22</w:t>
                  </w:r>
                </w:p>
              </w:tc>
              <w:tc>
                <w:tcPr>
                  <w:tcW w:w="2736" w:type="dxa"/>
                  <w:shd w:val="clear" w:color="auto" w:fill="auto"/>
                  <w:vAlign w:val="center"/>
                </w:tcPr>
                <w:p w14:paraId="1EFAF7BE">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院外东侧泽力巷</w:t>
                  </w:r>
                </w:p>
              </w:tc>
              <w:tc>
                <w:tcPr>
                  <w:tcW w:w="1832" w:type="dxa"/>
                  <w:shd w:val="clear" w:color="auto" w:fill="auto"/>
                  <w:vAlign w:val="center"/>
                </w:tcPr>
                <w:p w14:paraId="572E384D">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154CAF00">
                  <w:pPr>
                    <w:snapToGrid w:val="0"/>
                    <w:ind w:firstLine="420" w:firstLineChars="200"/>
                    <w:jc w:val="center"/>
                    <w:rPr>
                      <w:rFonts w:hint="default" w:ascii="Times New Roman" w:hAnsi="Times New Roman" w:cs="Times New Roman" w:eastAsiaTheme="minorEastAsia"/>
                      <w:color w:val="0D0D0D" w:themeColor="text1" w:themeTint="F2"/>
                      <w:sz w:val="21"/>
                      <w:szCs w:val="21"/>
                      <w:lang w:val="en-US"/>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2B25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501DF292">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8E05B92">
                  <w:pPr>
                    <w:snapToGrid w:val="0"/>
                    <w:ind w:firstLine="0" w:firstLineChars="0"/>
                    <w:jc w:val="center"/>
                    <w:rPr>
                      <w:rFonts w:hint="default" w:ascii="Times New Roman" w:hAnsi="Times New Roman" w:cs="Times New Roman" w:eastAsiaTheme="minorEastAsia"/>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23</w:t>
                  </w:r>
                </w:p>
              </w:tc>
              <w:tc>
                <w:tcPr>
                  <w:tcW w:w="2736" w:type="dxa"/>
                  <w:shd w:val="clear" w:color="auto" w:fill="auto"/>
                  <w:vAlign w:val="center"/>
                </w:tcPr>
                <w:p w14:paraId="7CD3B047">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院外南侧祥园街</w:t>
                  </w:r>
                </w:p>
              </w:tc>
              <w:tc>
                <w:tcPr>
                  <w:tcW w:w="1832" w:type="dxa"/>
                  <w:shd w:val="clear" w:color="auto" w:fill="auto"/>
                  <w:vAlign w:val="center"/>
                </w:tcPr>
                <w:p w14:paraId="43E78254">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1EF32CEC">
                  <w:pPr>
                    <w:snapToGrid w:val="0"/>
                    <w:ind w:firstLine="420" w:firstLineChars="20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r w14:paraId="72497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559A3D12">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5325567E">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24</w:t>
                  </w:r>
                </w:p>
              </w:tc>
              <w:tc>
                <w:tcPr>
                  <w:tcW w:w="2736" w:type="dxa"/>
                  <w:shd w:val="clear" w:color="auto" w:fill="auto"/>
                  <w:vAlign w:val="center"/>
                </w:tcPr>
                <w:p w14:paraId="666B3014">
                  <w:pPr>
                    <w:snapToGrid w:val="0"/>
                    <w:ind w:firstLine="0" w:firstLineChars="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院外西侧商铺</w:t>
                  </w:r>
                </w:p>
              </w:tc>
              <w:tc>
                <w:tcPr>
                  <w:tcW w:w="1832" w:type="dxa"/>
                  <w:shd w:val="clear" w:color="auto" w:fill="auto"/>
                  <w:vAlign w:val="center"/>
                </w:tcPr>
                <w:p w14:paraId="54E38D0C">
                  <w:pPr>
                    <w:snapToGrid w:val="0"/>
                    <w:ind w:firstLine="0" w:firstLineChars="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0.10</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22E9A09F">
                  <w:pPr>
                    <w:snapToGrid w:val="0"/>
                    <w:ind w:firstLine="420" w:firstLineChars="20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p>
              </w:tc>
            </w:tr>
            <w:tr w14:paraId="710A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Merge w:val="continue"/>
                  <w:vAlign w:val="center"/>
                </w:tcPr>
                <w:p w14:paraId="46C64ED6">
                  <w:pPr>
                    <w:snapToGrid w:val="0"/>
                    <w:ind w:firstLine="0" w:firstLineChars="0"/>
                    <w:jc w:val="center"/>
                    <w:rPr>
                      <w:rFonts w:hint="default" w:ascii="Times New Roman" w:hAnsi="Times New Roman" w:cs="Times New Roman" w:eastAsiaTheme="minorEastAsia"/>
                      <w:color w:val="0D0D0D" w:themeColor="text1" w:themeTint="F2"/>
                      <w:sz w:val="21"/>
                      <w:szCs w:val="21"/>
                      <w14:textFill>
                        <w14:solidFill>
                          <w14:schemeClr w14:val="tx1">
                            <w14:lumMod w14:val="95000"/>
                            <w14:lumOff w14:val="5000"/>
                          </w14:schemeClr>
                        </w14:solidFill>
                      </w14:textFill>
                    </w:rPr>
                  </w:pPr>
                </w:p>
              </w:tc>
              <w:tc>
                <w:tcPr>
                  <w:tcW w:w="838" w:type="dxa"/>
                  <w:shd w:val="clear" w:color="auto" w:fill="auto"/>
                  <w:vAlign w:val="center"/>
                </w:tcPr>
                <w:p w14:paraId="109C25CB">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25</w:t>
                  </w:r>
                </w:p>
              </w:tc>
              <w:tc>
                <w:tcPr>
                  <w:tcW w:w="2736" w:type="dxa"/>
                  <w:shd w:val="clear" w:color="auto" w:fill="auto"/>
                  <w:vAlign w:val="center"/>
                </w:tcPr>
                <w:p w14:paraId="43B5F4C4">
                  <w:pPr>
                    <w:snapToGrid w:val="0"/>
                    <w:ind w:firstLine="0" w:firstLineChars="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院外北侧祥丰街</w:t>
                  </w:r>
                </w:p>
              </w:tc>
              <w:tc>
                <w:tcPr>
                  <w:tcW w:w="1832" w:type="dxa"/>
                  <w:shd w:val="clear" w:color="auto" w:fill="auto"/>
                  <w:vAlign w:val="center"/>
                </w:tcPr>
                <w:p w14:paraId="444ACC85">
                  <w:pPr>
                    <w:snapToGrid w:val="0"/>
                    <w:ind w:firstLine="0" w:firstLineChars="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0.09</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53D5E85D">
                  <w:pPr>
                    <w:snapToGrid w:val="0"/>
                    <w:ind w:firstLine="420" w:firstLineChars="200"/>
                    <w:jc w:val="cente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p>
              </w:tc>
            </w:tr>
            <w:tr w14:paraId="2D2ED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86" w:type="dxa"/>
                  <w:vAlign w:val="center"/>
                </w:tcPr>
                <w:p w14:paraId="5B63FBB5">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c>
                <w:tcPr>
                  <w:tcW w:w="838" w:type="dxa"/>
                  <w:shd w:val="clear" w:color="auto" w:fill="auto"/>
                  <w:vAlign w:val="center"/>
                </w:tcPr>
                <w:p w14:paraId="081D6735">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26</w:t>
                  </w:r>
                </w:p>
              </w:tc>
              <w:tc>
                <w:tcPr>
                  <w:tcW w:w="2736" w:type="dxa"/>
                  <w:shd w:val="clear" w:color="auto" w:fill="auto"/>
                  <w:vAlign w:val="center"/>
                </w:tcPr>
                <w:p w14:paraId="1C0805EE">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周围环境值（院内中）</w:t>
                  </w:r>
                </w:p>
              </w:tc>
              <w:tc>
                <w:tcPr>
                  <w:tcW w:w="1832" w:type="dxa"/>
                  <w:shd w:val="clear" w:color="auto" w:fill="auto"/>
                  <w:vAlign w:val="center"/>
                </w:tcPr>
                <w:p w14:paraId="03974FFC">
                  <w:pPr>
                    <w:snapToGrid w:val="0"/>
                    <w:ind w:firstLine="0" w:firstLineChars="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±0.01</w:t>
                  </w:r>
                </w:p>
              </w:tc>
              <w:tc>
                <w:tcPr>
                  <w:tcW w:w="1804" w:type="dxa"/>
                  <w:vAlign w:val="center"/>
                </w:tcPr>
                <w:p w14:paraId="4C896C58">
                  <w:pPr>
                    <w:snapToGrid w:val="0"/>
                    <w:ind w:firstLine="420" w:firstLineChars="200"/>
                    <w:jc w:val="center"/>
                    <w:rPr>
                      <w:rFonts w:hint="default"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r>
          </w:tbl>
          <w:p w14:paraId="08BA80BC">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注：1、以上监测数据均</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已</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扣除宇宙射线响应值</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除环境值意外，所有出束校正值-0.01</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6B12EF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（3）评价结果</w:t>
            </w:r>
          </w:p>
          <w:p w14:paraId="2DC55C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由表8-2可知，</w:t>
            </w:r>
            <w:bookmarkStart w:id="58" w:name="OLE_LINK215"/>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在考虑扣除宇宙射线响应值后，本项目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拟建区域周围环境（1-</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13</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号监测点）的X-γ辐射剂量率在0.0</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μSv/h范围内，</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拟建场所周围</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院内院外</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区域环境（</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14</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号监测点）的X-γ辐射剂量率在</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0.06~0.1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0</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μSv/h</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范围内，与本次监测的医院背景值（</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号</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监测点）的X-γ辐射剂量率</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0.08</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μ</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S</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y/h水平相当</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。在不考虑扣除宇宙射线响应值的情况下，本项目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拟建区域周围环境（1-13号监测点）的X-γ辐射剂量率在0.07~0.</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μSv/h范围内，</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拟建场所周围院内院外区域环境（14-2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号监测点）的X-γ辐射剂量率在0.07~0.1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μSv/h范围内，与本次监测的医院背景值（2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号监测点）的X-γ辐射剂量率0.09μSy/h水平相当</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bookmarkEnd w:id="58"/>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云南省环境天然贯穿辐射水平调查研究》，昆明市道路γ辐射剂量率在0.0351μGy/h~0.0752μGy/h之间，昆明市房屋室内γ辐射剂量率在0.0641μGy/h~0.1266μGy/h之间，由此可知，本项目拟建场所及周围环境的X-γ辐射剂量率处于该区域正常水平范围。</w:t>
            </w:r>
          </w:p>
          <w:p w14:paraId="12AE8F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385370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61FE62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17489C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3A057F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630C7A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6AA55B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5B7919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77C3CF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5C2602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32AA08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7C260F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043C3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4FB35A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436261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1D5127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02964E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2B4980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460810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47E02E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188F52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p w14:paraId="0D06B1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p>
        </w:tc>
      </w:tr>
    </w:tbl>
    <w:p w14:paraId="4245B358">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59" w:name="_Toc60227351"/>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表9项目工程分析与源项</w:t>
      </w:r>
      <w:bookmarkEnd w:id="59"/>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A0C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2D78F2B">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9.1工程设备和工艺分析</w:t>
            </w:r>
          </w:p>
          <w:p w14:paraId="2558A1FE">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9.</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.1施工期污染源项描述</w:t>
            </w:r>
          </w:p>
          <w:p w14:paraId="71C6319E">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一、施工期工艺分析</w:t>
            </w:r>
          </w:p>
          <w:p w14:paraId="4FE5B0A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本项目位于</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医技楼4楼介入手术室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，根据调查了解，项目依托的污水处理站、医疗废物暂存间等设施已建成</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多年</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并正常运行。本次医院将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医技楼4楼</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原有的医疗用房改建为1间</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介入手术室</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及配套辅助用房，并进行防辐射装修后，新增1台</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装置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。本次环评介入时，</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尚未进行原有医疗用房的改建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也未进行</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设备安装。预计于202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月</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进行</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介入手术室的</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主体工程施工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进行设备调试</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067F5B8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本项目主要是在建筑内部进行施工，根据设计方案先进行房间改造，再进行水电、通排风等基装，</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内部墙体安装屏蔽材料、安装防护铅门、观察窗及装修工程，然后进行视频、监控、对讲以及联锁装置等安全装置安装，配套用房装修、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的安装调试等。</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根据设计方案可知，本项目四周墙体采用4mm厚铅板满铺进行防护；屋顶采用3mm厚铅板满进行防护；地面采用30mm厚硫酸钡防护涂料层进行防护。屋顶及四周墙体拐角处采用屋顶3mm铅板延伸5cm搭边处理；四周墙体与地面拐角处采用硫酸钡防护涂料封堵严实；门框及铅窗框采用4mm厚铅板全包裹，安装铅门时，铅门大于门框做15cm延伸以防止漏射的产生；安装铅玻璃时，铅板压边铅玻璃，并做5cm延伸以防止漏射的产生。</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环评要求：施工单位严格按照设计方案进行防护施工，隐蔽工程需留下影像资料，以备后期验收。</w:t>
            </w:r>
          </w:p>
          <w:p w14:paraId="5FE596B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施工流程及产污环节如下图：</w:t>
            </w:r>
          </w:p>
          <w:p w14:paraId="1A91D8D2">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object>
                <v:shape id="_x0000_i1025" o:spt="75" type="#_x0000_t75" style="height:76.95pt;width:415.15pt;" o:ole="t" filled="f" o:preferrelative="t" stroked="f" coordsize="21600,21600">
                  <v:path/>
                  <v:fill on="f" focussize="0,0"/>
                  <v:stroke on="f" joinstyle="miter"/>
                  <v:imagedata r:id="rId20" o:title=""/>
                  <o:lock v:ext="edit" aspectratio="f"/>
                  <w10:wrap type="none"/>
                  <w10:anchorlock/>
                </v:shape>
                <o:OLEObject Type="Embed" ProgID="Visio.Drawing.11" ShapeID="_x0000_i1025" DrawAspect="Content" ObjectID="_1468075725" r:id="rId19">
                  <o:LockedField>false</o:LockedField>
                </o:OLEObject>
              </w:object>
            </w:r>
          </w:p>
          <w:p w14:paraId="62B29059">
            <w:pPr>
              <w:spacing w:line="360" w:lineRule="auto"/>
              <w:ind w:firstLine="482"/>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图9-1   施工期工艺流程及产污环节</w:t>
            </w:r>
          </w:p>
          <w:p w14:paraId="2E3D107F">
            <w:pPr>
              <w:spacing w:line="360" w:lineRule="auto"/>
              <w:ind w:firstLine="482"/>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二、施工期污染源项分析</w:t>
            </w:r>
          </w:p>
          <w:p w14:paraId="3B02FAEA">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（1）废气</w:t>
            </w:r>
          </w:p>
          <w:p w14:paraId="0B51C982">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本项目在施工装修阶段会有粉尘及涂料废气产生，其中粉尘主要产生于原有的室内隔断墙</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的拆除、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凿电缆沟、通风管道过墙凿洞、</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四周墙体及</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顶部装修等过程，由于工程量较小，粉尘产生量较</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，且该过程进行</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喷雾</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洒水抑尘，采取湿式作业，一方面给切割机、电钻降温，一方面减少粉尘产生量，</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同时将施工场地四周用彩条布围挡，</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经洒水降尘后的少量扬尘通过门窗自然通风排出。根据市场调查，涂料废气中有害气体主要为甲醛、二甲苯和甲苯。该废气的排放属无组织排放，因项目工期短，施工量小，故涂料废气排放量较少。废气通过自然通风排出室外。</w:t>
            </w:r>
          </w:p>
          <w:p w14:paraId="32057BDD">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（2）废水</w:t>
            </w:r>
          </w:p>
          <w:p w14:paraId="1343D72C">
            <w:pPr>
              <w:widowControl/>
              <w:spacing w:line="360" w:lineRule="auto"/>
              <w:ind w:firstLine="480"/>
              <w:jc w:val="left"/>
              <w:rPr>
                <w:rFonts w:ascii="Times New Roman" w:hAnsi="Times New Roman" w:cs="Times New Roman" w:eastAsiaTheme="minorEastAsia"/>
                <w:color w:val="0D0D0D" w:themeColor="text1" w:themeTint="F2"/>
                <w:highlight w:val="yellow"/>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和相应配套场所施工量较少，施工期短，施工过程中仅切割机、电钻降温</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、降尘洒水</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使用少量的水，该部分水最终蒸发不产生废水。项目施工人员</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很少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，所产生的生活污水量很少。施工期间生活污水进入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依托的昆明市中医医院已建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污水处理站预处理达标后排入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项目区北侧的祥丰街城市污水管网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，最终排入</w:t>
            </w:r>
            <w:r>
              <w:rPr>
                <w:rFonts w:hint="eastAsia" w:ascii="宋体" w:hAnsi="宋体" w:cs="宋体" w:eastAsiaTheme="minorEastAsia"/>
                <w:color w:val="0D0D0D" w:themeColor="text1" w:themeTint="F2"/>
                <w:highlight w:val="none"/>
                <w:lang w:val="en-US" w:eastAsia="zh-CN"/>
                <w14:textFill>
                  <w14:solidFill>
                    <w14:schemeClr w14:val="tx1">
                      <w14:lumMod w14:val="95000"/>
                      <w14:lumOff w14:val="5000"/>
                    </w14:schemeClr>
                  </w14:solidFill>
                </w14:textFill>
              </w:rPr>
              <w:t>呈贡污水处理厂</w:t>
            </w:r>
            <w:r>
              <w:rPr>
                <w:rFonts w:ascii="宋体" w:hAnsi="宋体" w:cs="宋体"/>
                <w:color w:val="0D0D0D" w:themeColor="text1" w:themeTint="F2"/>
                <w:highlight w:val="none"/>
                <w14:textFill>
                  <w14:solidFill>
                    <w14:schemeClr w14:val="tx1">
                      <w14:lumMod w14:val="95000"/>
                      <w14:lumOff w14:val="5000"/>
                    </w14:schemeClr>
                  </w14:solidFill>
                </w14:textFill>
              </w:rPr>
              <w:t>进行处理</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185A1C1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（3）固体废弃物</w:t>
            </w:r>
          </w:p>
          <w:p w14:paraId="7DF244CD">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①建筑垃圾</w:t>
            </w:r>
          </w:p>
          <w:p w14:paraId="367483F8">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建筑固废产生量与施工水平、建筑类型等多种因素有关。项目用房为利用建好后的医务用房</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改建、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装修后使用，因此建筑垃圾主要来自于</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拆除的墙体、装修材料，</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后续装修期间开孔、凿沟、装修材料边角料等，根据项目工程特点，项目建筑垃圾产生量</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较少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，均由施工方统一收集后，能回收利用的尽量回收利用，不能回收利用的清运至住建部门指定堆放点。</w:t>
            </w:r>
          </w:p>
          <w:p w14:paraId="396CE20D">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②生活垃圾</w:t>
            </w:r>
          </w:p>
          <w:p w14:paraId="103AD73B">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本项目施工量少，施工期短，施工人员数量少，故生活垃圾产生量也很少。生活垃圾经医院已设置的垃圾桶集中收集后交由环卫部门统一清运。</w:t>
            </w:r>
          </w:p>
          <w:p w14:paraId="38784869">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（4）施工噪声</w:t>
            </w:r>
          </w:p>
          <w:p w14:paraId="38B9D616">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装修时的噪声源主要有电锯、电钻、角磨机、电焊及切割机等，产生的噪声在70dB（A）～95dB（A）之间，项目装修施工均在室内进行，墙体可起到衰减噪声的作用。主要施工机械的噪声源强见表9-1。</w:t>
            </w:r>
          </w:p>
          <w:p w14:paraId="3D086049">
            <w:pPr>
              <w:widowControl/>
              <w:spacing w:line="360" w:lineRule="auto"/>
              <w:ind w:firstLine="482"/>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表9-1   主要施工机械设备的噪声声级</w:t>
            </w:r>
          </w:p>
          <w:tbl>
            <w:tblPr>
              <w:tblStyle w:val="22"/>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3185"/>
              <w:gridCol w:w="3662"/>
            </w:tblGrid>
            <w:tr w14:paraId="69DDC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7518FB59">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序号</w:t>
                  </w:r>
                </w:p>
              </w:tc>
              <w:tc>
                <w:tcPr>
                  <w:tcW w:w="3185" w:type="dxa"/>
                  <w:vAlign w:val="center"/>
                </w:tcPr>
                <w:p w14:paraId="2FA9E945">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施工机械</w:t>
                  </w:r>
                </w:p>
              </w:tc>
              <w:tc>
                <w:tcPr>
                  <w:tcW w:w="3662" w:type="dxa"/>
                  <w:vAlign w:val="center"/>
                </w:tcPr>
                <w:p w14:paraId="20774CD7">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声级[dB（A）]</w:t>
                  </w:r>
                </w:p>
              </w:tc>
            </w:tr>
            <w:tr w14:paraId="15111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57FE7BF7">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w:t>
                  </w:r>
                </w:p>
              </w:tc>
              <w:tc>
                <w:tcPr>
                  <w:tcW w:w="3185" w:type="dxa"/>
                  <w:vAlign w:val="center"/>
                </w:tcPr>
                <w:p w14:paraId="33D27B25">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电锯</w:t>
                  </w:r>
                </w:p>
              </w:tc>
              <w:tc>
                <w:tcPr>
                  <w:tcW w:w="3662" w:type="dxa"/>
                  <w:vAlign w:val="center"/>
                </w:tcPr>
                <w:p w14:paraId="60B4E559">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70～88</w:t>
                  </w:r>
                </w:p>
              </w:tc>
            </w:tr>
            <w:tr w14:paraId="34DD9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0EC746A6">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w:t>
                  </w:r>
                </w:p>
              </w:tc>
              <w:tc>
                <w:tcPr>
                  <w:tcW w:w="3185" w:type="dxa"/>
                  <w:vAlign w:val="center"/>
                </w:tcPr>
                <w:p w14:paraId="52953B34">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电钻</w:t>
                  </w:r>
                </w:p>
              </w:tc>
              <w:tc>
                <w:tcPr>
                  <w:tcW w:w="3662" w:type="dxa"/>
                  <w:vAlign w:val="center"/>
                </w:tcPr>
                <w:p w14:paraId="01EDED33">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80～85</w:t>
                  </w:r>
                </w:p>
              </w:tc>
            </w:tr>
            <w:tr w14:paraId="205A2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0B470929">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w:t>
                  </w:r>
                </w:p>
              </w:tc>
              <w:tc>
                <w:tcPr>
                  <w:tcW w:w="3185" w:type="dxa"/>
                  <w:vAlign w:val="center"/>
                </w:tcPr>
                <w:p w14:paraId="6463287D">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角磨机</w:t>
                  </w:r>
                </w:p>
              </w:tc>
              <w:tc>
                <w:tcPr>
                  <w:tcW w:w="3662" w:type="dxa"/>
                  <w:vAlign w:val="center"/>
                </w:tcPr>
                <w:p w14:paraId="74A6C397">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90～95</w:t>
                  </w:r>
                </w:p>
              </w:tc>
            </w:tr>
            <w:tr w14:paraId="45389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72D100BF">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4</w:t>
                  </w:r>
                </w:p>
              </w:tc>
              <w:tc>
                <w:tcPr>
                  <w:tcW w:w="3185" w:type="dxa"/>
                  <w:vAlign w:val="center"/>
                </w:tcPr>
                <w:p w14:paraId="2CC7F99E">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电焊机</w:t>
                  </w:r>
                </w:p>
              </w:tc>
              <w:tc>
                <w:tcPr>
                  <w:tcW w:w="3662" w:type="dxa"/>
                  <w:vAlign w:val="center"/>
                </w:tcPr>
                <w:p w14:paraId="22423964">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80～85</w:t>
                  </w:r>
                </w:p>
              </w:tc>
            </w:tr>
            <w:tr w14:paraId="189E8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59" w:type="dxa"/>
                  <w:vAlign w:val="center"/>
                </w:tcPr>
                <w:p w14:paraId="649C99D6">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5</w:t>
                  </w:r>
                </w:p>
              </w:tc>
              <w:tc>
                <w:tcPr>
                  <w:tcW w:w="3185" w:type="dxa"/>
                  <w:vAlign w:val="center"/>
                </w:tcPr>
                <w:p w14:paraId="7E5265A9">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切割机</w:t>
                  </w:r>
                </w:p>
              </w:tc>
              <w:tc>
                <w:tcPr>
                  <w:tcW w:w="3662" w:type="dxa"/>
                  <w:vAlign w:val="center"/>
                </w:tcPr>
                <w:p w14:paraId="4B811573">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90～95</w:t>
                  </w:r>
                </w:p>
              </w:tc>
            </w:tr>
          </w:tbl>
          <w:p w14:paraId="5B0B21A4">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（5）设备安装调试</w:t>
            </w:r>
          </w:p>
          <w:p w14:paraId="49C47972">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安装及调试由设备供货方专业人员进行，院方不得自行安装及调试设备。安装调试阶段是在辐射防护施工完成后进行，在此过程中各屏蔽体屏蔽到位，关闭防护门，在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门外设立辐射警示标志，禁止无关人员靠近。设备安装过程中会产生废包装纸/袋、</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噪声、</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X射线</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微量臭氧及氮氧化物。因安装调试时间短，各污染物产生量很少，且调试结束关机后，X射线将即时消除，因此，本项目设备安装调试造成的环境影响很小。</w:t>
            </w:r>
          </w:p>
          <w:p w14:paraId="70626C0A">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9.</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.2运营期</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工艺及污染源项描述</w:t>
            </w:r>
          </w:p>
          <w:p w14:paraId="152AE8D1">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一、运营期设备及工艺分析</w:t>
            </w:r>
          </w:p>
          <w:p w14:paraId="1F5CA60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（1）设备参数及使用情况</w:t>
            </w:r>
          </w:p>
          <w:p w14:paraId="79DDF1B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color w:val="0D0D0D" w:themeColor="text1" w:themeTint="F2"/>
                <w:highlight w:val="none"/>
                <w14:textFill>
                  <w14:solidFill>
                    <w14:schemeClr w14:val="tx1">
                      <w14:lumMod w14:val="95000"/>
                      <w14:lumOff w14:val="5000"/>
                    </w14:schemeClr>
                  </w14:solidFill>
                </w14:textFill>
              </w:rPr>
              <w:t>本项目拟配备1台</w:t>
            </w:r>
            <w:r>
              <w:rPr>
                <w:rFonts w:hint="eastAsia" w:ascii="Times New Roman" w:hAnsi="Times New Roman" w:cs="Times New Roman"/>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color w:val="0D0D0D" w:themeColor="text1" w:themeTint="F2"/>
                <w:highlight w:val="none"/>
                <w14:textFill>
                  <w14:solidFill>
                    <w14:schemeClr w14:val="tx1">
                      <w14:lumMod w14:val="95000"/>
                      <w14:lumOff w14:val="5000"/>
                    </w14:schemeClr>
                  </w14:solidFill>
                </w14:textFill>
              </w:rPr>
              <w:t>设备，最大管电压为</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110</w:t>
            </w:r>
            <w:r>
              <w:rPr>
                <w:rFonts w:ascii="Times New Roman" w:hAnsi="Times New Roman" w:cs="Times New Roman"/>
                <w:color w:val="0D0D0D" w:themeColor="text1" w:themeTint="F2"/>
                <w:highlight w:val="none"/>
                <w14:textFill>
                  <w14:solidFill>
                    <w14:schemeClr w14:val="tx1">
                      <w14:lumMod w14:val="95000"/>
                      <w14:lumOff w14:val="5000"/>
                    </w14:schemeClr>
                  </w14:solidFill>
                </w14:textFill>
              </w:rPr>
              <w:t>kV、最大管电流为</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25</w:t>
            </w:r>
            <w:r>
              <w:rPr>
                <w:rFonts w:ascii="Times New Roman" w:hAnsi="Times New Roman" w:cs="Times New Roman"/>
                <w:color w:val="0D0D0D" w:themeColor="text1" w:themeTint="F2"/>
                <w:highlight w:val="none"/>
                <w14:textFill>
                  <w14:solidFill>
                    <w14:schemeClr w14:val="tx1">
                      <w14:lumMod w14:val="95000"/>
                      <w14:lumOff w14:val="5000"/>
                    </w14:schemeClr>
                  </w14:solidFill>
                </w14:textFill>
              </w:rPr>
              <w:t>mA，出束方向为由下往上。使用科室</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为外科</w:t>
            </w:r>
            <w:r>
              <w:rPr>
                <w:rFonts w:hint="eastAsia" w:ascii="Times New Roman" w:hAnsi="Times New Roman" w:cs="Times New Roman"/>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color w:val="0D0D0D" w:themeColor="text1" w:themeTint="F2"/>
                <w:highlight w:val="none"/>
                <w:lang w:val="en-US" w:eastAsia="zh-CN"/>
                <w14:textFill>
                  <w14:solidFill>
                    <w14:schemeClr w14:val="tx1">
                      <w14:lumMod w14:val="95000"/>
                      <w14:lumOff w14:val="5000"/>
                    </w14:schemeClr>
                  </w14:solidFill>
                </w14:textFill>
              </w:rPr>
              <w:t>用于外周血管介入及综合介入治疗</w:t>
            </w:r>
            <w:r>
              <w:rPr>
                <w:rFonts w:hint="eastAsia" w:ascii="宋体" w:hAnsi="宋体" w:cs="宋体"/>
                <w:color w:val="0D0D0D" w:themeColor="text1" w:themeTint="F2"/>
                <w:highlight w:val="none"/>
                <w:lang w:val="en-US" w:eastAsia="zh-CN"/>
                <w14:textFill>
                  <w14:solidFill>
                    <w14:schemeClr w14:val="tx1">
                      <w14:lumMod w14:val="95000"/>
                      <w14:lumOff w14:val="5000"/>
                    </w14:schemeClr>
                  </w14:solidFill>
                </w14:textFill>
              </w:rPr>
              <w:t>等</w:t>
            </w:r>
            <w:r>
              <w:rPr>
                <w:rFonts w:ascii="Times New Roman" w:hAnsi="Times New Roman" w:cs="Times New Roman"/>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年最大</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减影</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时间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h，年最大透视时间为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w:t>
            </w:r>
          </w:p>
          <w:p w14:paraId="0451D9CC">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（2）设备组成</w:t>
            </w:r>
          </w:p>
          <w:p w14:paraId="77B6132D">
            <w:pPr>
              <w:widowControl/>
              <w:spacing w:line="360" w:lineRule="auto"/>
              <w:ind w:firstLine="480"/>
              <w:jc w:val="left"/>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项目介入室拟采用移动式C形臂X射线机，主要组成包括</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C形臂机架、X射线高压发生器、X射线管套、X射线管、限束装置、影像增强器、移动工作站、附件和选配件等。</w:t>
            </w:r>
          </w:p>
          <w:p w14:paraId="1A3E10E6">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（3）工作原理</w:t>
            </w:r>
          </w:p>
          <w:p w14:paraId="61AC9C17">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C形臂机是通过电子计算机进行辐射成像的血管造影方法，是应用计算机程序进行两次成像完成的。在注入造影剂前，首先进行第一次成像，并用计算机将图像转换成数字信号储存起来；注入造影剂后，再次成像并转化成数字信号，两次数字相减，消除相同的信号，得到一个只有造影剂的血管图像，这种图像较以往所用的常规血管造影所显示的图像更清晰、更直观，一些精细的血管结构亦能显现出来。同时，对比度分辨率高，减去血管以外的背景，尤其使与骨骼重叠的血管能清楚显示。由于造影剂用量小、浓度低、损伤小、较安全，节省胶片使造影价格低于常规造影，通过医用血管造影X射线机处理的图像，使血管影像更为清晰，在进行介入手术时更为安全。</w:t>
            </w:r>
          </w:p>
          <w:p w14:paraId="3CFA9F01">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（4）操作流程</w:t>
            </w:r>
          </w:p>
          <w:p w14:paraId="3D073DE8">
            <w:pPr>
              <w:widowControl/>
              <w:spacing w:line="360" w:lineRule="auto"/>
              <w:ind w:firstLine="480"/>
              <w:jc w:val="left"/>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诊疗时，患者仰卧并进行无菌消毒，局部麻醉后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经皮穿刺静脉，送入引导钢丝及扩张管与外鞘，退出钢丝及扩张管将外鞘保留于静脉内，经鞘插入导管，推送导管，在X射线透视下将导管送达指定位置，并留X射线片记录，探查结束，撤出导管，穿刺部位止血</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包扎，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手术期间麻醉医师不在手术室内</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p>
          <w:p w14:paraId="4772F149">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C形臂X射线机</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在进行曝光时分为两种情况：</w:t>
            </w:r>
          </w:p>
          <w:p w14:paraId="77834B6D">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第一种情况，透视。进行介入手术治疗时，为更清楚的了解病人情况时会有连续曝光，并采用连续脉冲透视，此时</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名操作医师位于铅帘后身着</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铅橡胶</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围裙（铅衣）</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铅橡胶颈套、戴铅橡胶帽子、</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铅眼镜在曝光室内对病人进行直接的介入手术操作。该种情况在实际运行中占绝大多数，是本次评价的重点。</w:t>
            </w:r>
          </w:p>
          <w:p w14:paraId="121EAF74">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第二种情况，</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减影</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。操作人员采取隔室操作的方式（即技师在</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内对病人进行曝光），医生通过铅玻璃观察窗和操作台观察机房内病人情况。</w:t>
            </w:r>
          </w:p>
          <w:p w14:paraId="7E5F366F">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移动式C形臂X射线机</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的年总出束时间为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220</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h，其中，</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减影</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操作年出束时间为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h，透视操作年出束时间为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200</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h。</w:t>
            </w:r>
          </w:p>
          <w:p w14:paraId="6CCCABF0">
            <w:pPr>
              <w:spacing w:line="360" w:lineRule="auto"/>
              <w:ind w:firstLine="482"/>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二、运营期污染源项分析</w:t>
            </w:r>
          </w:p>
          <w:p w14:paraId="5164A182">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减影、透视诊疗</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流程及产污环节示意见图9-2</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502B76BB">
            <w:pPr>
              <w:widowControl/>
              <w:spacing w:line="360" w:lineRule="auto"/>
              <w:ind w:left="0" w:leftChars="0" w:firstLine="0" w:firstLineChars="0"/>
              <w:jc w:val="cente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object>
                <v:shape id="_x0000_i1026" o:spt="75" type="#_x0000_t75" style="height:294pt;width:379.75pt;" o:ole="t" filled="f" o:preferrelative="t" stroked="f" coordsize="21600,21600">
                  <v:path/>
                  <v:fill on="f" focussize="0,0"/>
                  <v:stroke on="f"/>
                  <v:imagedata r:id="rId22" o:title=""/>
                  <o:lock v:ext="edit" aspectratio="f"/>
                  <w10:wrap type="none"/>
                  <w10:anchorlock/>
                </v:shape>
                <o:OLEObject Type="Embed" ProgID="Visio.Drawing.11" ShapeID="_x0000_i1026" DrawAspect="Content" ObjectID="_1468075726" r:id="rId21">
                  <o:LockedField>false</o:LockedField>
                </o:OLEObject>
              </w:object>
            </w:r>
          </w:p>
          <w:p w14:paraId="584715DC">
            <w:pPr>
              <w:widowControl/>
              <w:spacing w:line="360" w:lineRule="auto"/>
              <w:ind w:firstLine="482"/>
              <w:jc w:val="cente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 xml:space="preserve">图9-2   </w:t>
            </w:r>
            <w:r>
              <w:rPr>
                <w:rFonts w:hint="eastAsia" w:ascii="Times New Roman" w:hAnsi="Times New Roman" w:cs="Times New Roman" w:eastAsiaTheme="minorEastAsia"/>
                <w:b/>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b/>
                <w:color w:val="0D0D0D" w:themeColor="text1" w:themeTint="F2"/>
                <w:kern w:val="0"/>
                <w:highlight w:val="none"/>
                <w:lang w:val="en-US" w:eastAsia="zh-CN" w:bidi="ar"/>
                <w14:textFill>
                  <w14:solidFill>
                    <w14:schemeClr w14:val="tx1">
                      <w14:lumMod w14:val="95000"/>
                      <w14:lumOff w14:val="5000"/>
                    </w14:schemeClr>
                  </w14:solidFill>
                </w14:textFill>
              </w:rPr>
              <w:t>减影诊</w:t>
            </w: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疗流程及产污环节示意图</w:t>
            </w:r>
          </w:p>
          <w:p w14:paraId="3D2A9F62">
            <w:pPr>
              <w:widowControl/>
              <w:spacing w:line="360" w:lineRule="auto"/>
              <w:ind w:left="0" w:leftChars="0" w:firstLine="0" w:firstLineChars="0"/>
              <w:jc w:val="cente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kern w:val="0"/>
                <w:highlight w:val="none"/>
                <w:lang w:eastAsia="zh-CN" w:bidi="ar"/>
                <w14:textFill>
                  <w14:solidFill>
                    <w14:schemeClr w14:val="tx1">
                      <w14:lumMod w14:val="95000"/>
                      <w14:lumOff w14:val="5000"/>
                    </w14:schemeClr>
                  </w14:solidFill>
                </w14:textFill>
              </w:rPr>
              <w:object>
                <v:shape id="_x0000_i1027" o:spt="75" type="#_x0000_t75" style="height:329.45pt;width:364.65pt;" o:ole="t" filled="f" o:preferrelative="t" stroked="f" coordsize="21600,21600">
                  <v:path/>
                  <v:fill on="f" focussize="0,0"/>
                  <v:stroke on="f"/>
                  <v:imagedata r:id="rId24" o:title=""/>
                  <o:lock v:ext="edit" aspectratio="f"/>
                  <w10:wrap type="none"/>
                  <w10:anchorlock/>
                </v:shape>
                <o:OLEObject Type="Embed" ProgID="Visio.Drawing.11" ShapeID="_x0000_i1027" DrawAspect="Content" ObjectID="_1468075727" r:id="rId23">
                  <o:LockedField>false</o:LockedField>
                </o:OLEObject>
              </w:object>
            </w:r>
          </w:p>
          <w:p w14:paraId="4C674CBD">
            <w:pPr>
              <w:widowControl/>
              <w:spacing w:line="360" w:lineRule="auto"/>
              <w:ind w:firstLine="482"/>
              <w:jc w:val="cente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 xml:space="preserve">图9-2   </w:t>
            </w:r>
            <w:r>
              <w:rPr>
                <w:rFonts w:hint="eastAsia" w:ascii="Times New Roman" w:hAnsi="Times New Roman" w:cs="Times New Roman" w:eastAsiaTheme="minorEastAsia"/>
                <w:b/>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b/>
                <w:color w:val="0D0D0D" w:themeColor="text1" w:themeTint="F2"/>
                <w:kern w:val="0"/>
                <w:highlight w:val="none"/>
                <w:lang w:val="en-US" w:eastAsia="zh-CN" w:bidi="ar"/>
                <w14:textFill>
                  <w14:solidFill>
                    <w14:schemeClr w14:val="tx1">
                      <w14:lumMod w14:val="95000"/>
                      <w14:lumOff w14:val="5000"/>
                    </w14:schemeClr>
                  </w14:solidFill>
                </w14:textFill>
              </w:rPr>
              <w:t>透视诊</w:t>
            </w: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疗流程及产污环节示意图</w:t>
            </w:r>
          </w:p>
          <w:p w14:paraId="215D170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根据图9-2，项目主要污染因子为</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工作时产生的X射线</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臭氧</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及氮氧化物，医护人员产生的生活污水、生活垃圾、治疗过程产生的医疗垃圾、</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手术及器械清洗时产生少量的医疗废水</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等</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362D988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（1）废气治理措施</w:t>
            </w:r>
          </w:p>
          <w:p w14:paraId="1E7B6A6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X射线机曝光状态下，X射线在穿透空气时会与空气中的氧和氮分子发生作用，产生臭氧和氮氧化物，反应如下：</w:t>
            </w:r>
          </w:p>
          <w:p w14:paraId="2307AF3B">
            <w:pPr>
              <w:widowControl/>
              <w:spacing w:line="360" w:lineRule="auto"/>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drawing>
                <wp:inline distT="0" distB="0" distL="114300" distR="114300">
                  <wp:extent cx="3376295" cy="323850"/>
                  <wp:effectExtent l="0" t="0" r="14605"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5"/>
                          <a:stretch>
                            <a:fillRect/>
                          </a:stretch>
                        </pic:blipFill>
                        <pic:spPr>
                          <a:xfrm>
                            <a:off x="0" y="0"/>
                            <a:ext cx="3376295" cy="323850"/>
                          </a:xfrm>
                          <a:prstGeom prst="rect">
                            <a:avLst/>
                          </a:prstGeom>
                          <a:noFill/>
                          <a:ln>
                            <a:noFill/>
                          </a:ln>
                        </pic:spPr>
                      </pic:pic>
                    </a:graphicData>
                  </a:graphic>
                </wp:inline>
              </w:drawing>
            </w:r>
          </w:p>
          <w:p w14:paraId="26AC70CF">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臭氧是强氧化剂，浓度大时对人的呼吸道有损伤作用。但本项目射线装置曝光时间很短，臭氧和氮氧化物的产生量很少，项目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安装通风系统，采取连续通风换气，</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产生的臭氧及氮氧化物可通过</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楼外架设</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排风管道</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引致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室外</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排放</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179C5C06">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（2）废水治理措施</w:t>
            </w:r>
          </w:p>
          <w:p w14:paraId="62AD52C3">
            <w:pPr>
              <w:widowControl/>
              <w:spacing w:line="360" w:lineRule="auto"/>
              <w:ind w:firstLine="480"/>
              <w:rPr>
                <w:rFonts w:ascii="Times New Roman" w:hAnsi="Times New Roman" w:cs="Times New Roman" w:eastAsiaTheme="minorEastAsia"/>
                <w:color w:val="0D0D0D" w:themeColor="text1" w:themeTint="F2"/>
                <w:highlight w:val="yellow"/>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采用数字成像，无废显、定影液产生。医护人员在工作中产生少量生活污水；介入手术及器械清洗时会产生少量的医疗废水。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由于本项目依托昆明市中医医院开展诊疗，原有项目建设之初已考虑了相关医护人员可能产生的生活污水量，因此本次评价不再重复核算医护人员生活污水量。</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根据《云南省地方标准用水定额》（DB53/T168-2019），本项目介入手术的用水量按照</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医院－医院门诊－20L/（人·次）</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计算，介入手术每年约进行</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900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人次，则介入手术用水量为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0.07</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18</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/a（年工作</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250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天），产污系数按0.8计，则产生医疗废水约</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0.06</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14m</w:t>
            </w:r>
            <w:r>
              <w:rPr>
                <w:rFonts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/a。</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项目产生的废水进入</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依托的昆明市中医医院</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污水处理站处理后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达标后</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外排至</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项目区北侧的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祥丰街城市污水管网</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最终排入</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呈贡污水处理厂</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处理</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BC043A4">
            <w:pPr>
              <w:widowControl/>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（3）固体废弃物治理措施</w:t>
            </w:r>
          </w:p>
          <w:p w14:paraId="576A6C69">
            <w:pPr>
              <w:widowControl/>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采用数字成像，成像结果刻入光盘内由病人带走，无废胶片产生。</w:t>
            </w:r>
          </w:p>
          <w:p w14:paraId="69299A6D">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本项目介入手术期间将产生一定量的医疗废物，主要为医疗器具、废药棉、纱布、手套、废药品、废药瓶等，产生量约0.45t/a，该部分医疗废物</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采用专门的收集容器收集后，转移至</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依托的昆明市中医医院</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医疗废物</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暂存间，定期交由</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清运处置</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830E3C1">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医护人员产生的生活垃圾不属于医疗废物，</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由于本项目依托吉长庚医院开展诊疗，原有项目建设之初已考虑了相关医护人员可能产生的生活垃圾，产生的生活垃圾集中收集并交由环卫部门统一清运，项目运行多年生活垃圾均得到妥善处理，因此本次评价不再重复核算医护人员生活垃圾产生量。</w:t>
            </w:r>
          </w:p>
          <w:p w14:paraId="410ED19A">
            <w:pPr>
              <w:widowControl/>
              <w:numPr>
                <w:ilvl w:val="0"/>
                <w:numId w:val="2"/>
              </w:numPr>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噪声治理措施</w:t>
            </w:r>
          </w:p>
          <w:p w14:paraId="00606B7C">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本项目运营期噪声主要来源于通风系统的风机，机房所使用的风机均为低噪声设备，其噪声值一般低于60dB(A)。</w:t>
            </w:r>
          </w:p>
          <w:p w14:paraId="6E725AFF">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本项目污染物产排情况详见下表。</w:t>
            </w:r>
          </w:p>
          <w:p w14:paraId="1DF90F7A">
            <w:pPr>
              <w:widowControl/>
              <w:spacing w:line="360" w:lineRule="auto"/>
              <w:ind w:firstLine="482"/>
              <w:jc w:val="cente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表9-2  项目污染物产生及排放情况一览表</w:t>
            </w:r>
          </w:p>
          <w:tbl>
            <w:tblPr>
              <w:tblStyle w:val="21"/>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0"/>
              <w:gridCol w:w="926"/>
              <w:gridCol w:w="1141"/>
              <w:gridCol w:w="1140"/>
              <w:gridCol w:w="1314"/>
              <w:gridCol w:w="3335"/>
            </w:tblGrid>
            <w:tr w14:paraId="4631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6" w:type="dxa"/>
                  <w:gridSpan w:val="2"/>
                  <w:tcBorders>
                    <w:tl2br w:val="single" w:color="auto" w:sz="4" w:space="0"/>
                  </w:tcBorders>
                  <w:vAlign w:val="center"/>
                </w:tcPr>
                <w:p w14:paraId="119AF09B">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 xml:space="preserve">     内容</w:t>
                  </w:r>
                </w:p>
                <w:p w14:paraId="758DBC4A">
                  <w:pPr>
                    <w:pStyle w:val="16"/>
                    <w:tabs>
                      <w:tab w:val="left" w:pos="1110"/>
                    </w:tabs>
                    <w:adjustRightInd w:val="0"/>
                    <w:snapToGrid w:val="0"/>
                    <w:spacing w:after="0" w:line="240" w:lineRule="auto"/>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类型</w:t>
                  </w:r>
                </w:p>
              </w:tc>
              <w:tc>
                <w:tcPr>
                  <w:tcW w:w="1141" w:type="dxa"/>
                  <w:vAlign w:val="center"/>
                </w:tcPr>
                <w:p w14:paraId="39A7C9DE">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排放源</w:t>
                  </w:r>
                </w:p>
              </w:tc>
              <w:tc>
                <w:tcPr>
                  <w:tcW w:w="1140" w:type="dxa"/>
                  <w:vAlign w:val="center"/>
                </w:tcPr>
                <w:p w14:paraId="2293E2D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污染物</w:t>
                  </w:r>
                </w:p>
                <w:p w14:paraId="2E852180">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名称</w:t>
                  </w:r>
                </w:p>
              </w:tc>
              <w:tc>
                <w:tcPr>
                  <w:tcW w:w="1314" w:type="dxa"/>
                  <w:vAlign w:val="center"/>
                </w:tcPr>
                <w:p w14:paraId="17D5CA4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处理前产生浓度及产生量（单位）</w:t>
                  </w:r>
                </w:p>
              </w:tc>
              <w:tc>
                <w:tcPr>
                  <w:tcW w:w="3335" w:type="dxa"/>
                  <w:vAlign w:val="center"/>
                </w:tcPr>
                <w:p w14:paraId="570FA5B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排放浓度及</w:t>
                  </w:r>
                </w:p>
                <w:p w14:paraId="171C7FB7">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排放量（单位）</w:t>
                  </w:r>
                </w:p>
              </w:tc>
            </w:tr>
            <w:tr w14:paraId="12CB5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00" w:type="dxa"/>
                  <w:vMerge w:val="restart"/>
                  <w:vAlign w:val="center"/>
                </w:tcPr>
                <w:p w14:paraId="7728388D">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大</w:t>
                  </w:r>
                </w:p>
                <w:p w14:paraId="4BBEE010">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气</w:t>
                  </w:r>
                </w:p>
                <w:p w14:paraId="2588FBC2">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污</w:t>
                  </w:r>
                </w:p>
                <w:p w14:paraId="18B803A2">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染</w:t>
                  </w:r>
                </w:p>
                <w:p w14:paraId="01C7CD46">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物</w:t>
                  </w:r>
                </w:p>
              </w:tc>
              <w:tc>
                <w:tcPr>
                  <w:tcW w:w="926" w:type="dxa"/>
                  <w:vAlign w:val="center"/>
                </w:tcPr>
                <w:p w14:paraId="74074C2F">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施工期</w:t>
                  </w:r>
                </w:p>
              </w:tc>
              <w:tc>
                <w:tcPr>
                  <w:tcW w:w="1141" w:type="dxa"/>
                  <w:vAlign w:val="center"/>
                </w:tcPr>
                <w:p w14:paraId="201A70C2">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施工场地</w:t>
                  </w:r>
                </w:p>
              </w:tc>
              <w:tc>
                <w:tcPr>
                  <w:tcW w:w="1140" w:type="dxa"/>
                  <w:vAlign w:val="center"/>
                </w:tcPr>
                <w:p w14:paraId="763CDFA3">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粉尘、涂料废气</w:t>
                  </w:r>
                </w:p>
              </w:tc>
              <w:tc>
                <w:tcPr>
                  <w:tcW w:w="1314" w:type="dxa"/>
                  <w:vAlign w:val="center"/>
                </w:tcPr>
                <w:p w14:paraId="4F2386B0">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少量</w:t>
                  </w:r>
                </w:p>
              </w:tc>
              <w:tc>
                <w:tcPr>
                  <w:tcW w:w="3335" w:type="dxa"/>
                  <w:vAlign w:val="center"/>
                </w:tcPr>
                <w:p w14:paraId="6CDA90BF">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洒水降尘、</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彩条布围挡，</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加强室内通风</w:t>
                  </w:r>
                </w:p>
              </w:tc>
            </w:tr>
            <w:tr w14:paraId="74688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exact"/>
                <w:jc w:val="center"/>
              </w:trPr>
              <w:tc>
                <w:tcPr>
                  <w:tcW w:w="500" w:type="dxa"/>
                  <w:vMerge w:val="continue"/>
                  <w:vAlign w:val="center"/>
                </w:tcPr>
                <w:p w14:paraId="4905F6E7">
                  <w:pPr>
                    <w:adjustRightInd w:val="0"/>
                    <w:snapToGrid w:val="0"/>
                    <w:ind w:firstLine="0" w:firstLineChars="0"/>
                    <w:jc w:val="cente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pPr>
                </w:p>
              </w:tc>
              <w:tc>
                <w:tcPr>
                  <w:tcW w:w="926" w:type="dxa"/>
                  <w:vAlign w:val="center"/>
                </w:tcPr>
                <w:p w14:paraId="18A7D895">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运营期</w:t>
                  </w:r>
                </w:p>
              </w:tc>
              <w:tc>
                <w:tcPr>
                  <w:tcW w:w="1141" w:type="dxa"/>
                  <w:vAlign w:val="center"/>
                </w:tcPr>
                <w:p w14:paraId="5A22A911">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w:t>
                  </w:r>
                </w:p>
              </w:tc>
              <w:tc>
                <w:tcPr>
                  <w:tcW w:w="1140" w:type="dxa"/>
                  <w:vAlign w:val="center"/>
                </w:tcPr>
                <w:p w14:paraId="13B814B0">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臭氧</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、氮氧化物</w:t>
                  </w:r>
                </w:p>
              </w:tc>
              <w:tc>
                <w:tcPr>
                  <w:tcW w:w="1314" w:type="dxa"/>
                  <w:vAlign w:val="center"/>
                </w:tcPr>
                <w:p w14:paraId="48DC4B40">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少量</w:t>
                  </w:r>
                </w:p>
              </w:tc>
              <w:tc>
                <w:tcPr>
                  <w:tcW w:w="3335" w:type="dxa"/>
                  <w:vAlign w:val="center"/>
                </w:tcPr>
                <w:p w14:paraId="46C855FB">
                  <w:pPr>
                    <w:adjustRightInd w:val="0"/>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经</w:t>
                  </w:r>
                  <w:r>
                    <w:rPr>
                      <w:rFonts w:hint="eastAsia" w:ascii="Times New Roman" w:hAnsi="Times New Roman" w:cs="Times New Roman" w:eastAsiaTheme="minorEastAsia"/>
                      <w:color w:val="0D0D0D" w:themeColor="text1" w:themeTint="F2"/>
                      <w:kern w:val="0"/>
                      <w:sz w:val="21"/>
                      <w:szCs w:val="21"/>
                      <w:highlight w:val="none"/>
                      <w:lang w:val="en-US" w:eastAsia="zh-CN"/>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设置的排风管道引至</w:t>
                  </w:r>
                  <w:r>
                    <w:rPr>
                      <w:rFonts w:hint="eastAsia" w:ascii="Times New Roman" w:hAnsi="Times New Roman" w:cs="Times New Roman" w:eastAsiaTheme="minorEastAsia"/>
                      <w:color w:val="0D0D0D" w:themeColor="text1" w:themeTint="F2"/>
                      <w:kern w:val="0"/>
                      <w:sz w:val="21"/>
                      <w:szCs w:val="21"/>
                      <w:highlight w:val="none"/>
                      <w:lang w:val="en-US" w:eastAsia="zh-CN"/>
                      <w14:textFill>
                        <w14:solidFill>
                          <w14:schemeClr w14:val="tx1">
                            <w14:lumMod w14:val="95000"/>
                            <w14:lumOff w14:val="5000"/>
                          </w14:schemeClr>
                        </w14:solidFill>
                      </w14:textFill>
                    </w:rPr>
                    <w:t>室外</w:t>
                  </w: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排放</w:t>
                  </w:r>
                  <w:r>
                    <w:rPr>
                      <w:rFonts w:hint="eastAsia" w:ascii="Times New Roman" w:hAnsi="Times New Roman" w:cs="Times New Roman" w:eastAsiaTheme="minorEastAsia"/>
                      <w:color w:val="0D0D0D" w:themeColor="text1" w:themeTint="F2"/>
                      <w:kern w:val="0"/>
                      <w:sz w:val="21"/>
                      <w:szCs w:val="21"/>
                      <w:highlight w:val="none"/>
                      <w:lang w:val="en-US" w:eastAsia="zh-CN"/>
                      <w14:textFill>
                        <w14:solidFill>
                          <w14:schemeClr w14:val="tx1">
                            <w14:lumMod w14:val="95000"/>
                            <w14:lumOff w14:val="5000"/>
                          </w14:schemeClr>
                        </w14:solidFill>
                      </w14:textFill>
                    </w:rPr>
                    <w:t>。</w:t>
                  </w:r>
                </w:p>
              </w:tc>
            </w:tr>
            <w:tr w14:paraId="7BF6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500" w:type="dxa"/>
                  <w:vMerge w:val="restart"/>
                  <w:vAlign w:val="center"/>
                </w:tcPr>
                <w:p w14:paraId="5F96442D">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水污染物</w:t>
                  </w:r>
                </w:p>
              </w:tc>
              <w:tc>
                <w:tcPr>
                  <w:tcW w:w="926" w:type="dxa"/>
                  <w:vMerge w:val="restart"/>
                  <w:vAlign w:val="center"/>
                </w:tcPr>
                <w:p w14:paraId="388FC53A">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施工期</w:t>
                  </w:r>
                </w:p>
              </w:tc>
              <w:tc>
                <w:tcPr>
                  <w:tcW w:w="1141" w:type="dxa"/>
                  <w:vAlign w:val="center"/>
                </w:tcPr>
                <w:p w14:paraId="74E199DD">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施工场地</w:t>
                  </w:r>
                </w:p>
              </w:tc>
              <w:tc>
                <w:tcPr>
                  <w:tcW w:w="1140" w:type="dxa"/>
                  <w:vAlign w:val="center"/>
                </w:tcPr>
                <w:p w14:paraId="3E2A97FF">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施工废水</w:t>
                  </w:r>
                </w:p>
              </w:tc>
              <w:tc>
                <w:tcPr>
                  <w:tcW w:w="1314" w:type="dxa"/>
                  <w:vAlign w:val="center"/>
                </w:tcPr>
                <w:p w14:paraId="45B9C548">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w:t>
                  </w:r>
                </w:p>
              </w:tc>
              <w:tc>
                <w:tcPr>
                  <w:tcW w:w="3335" w:type="dxa"/>
                  <w:vAlign w:val="center"/>
                </w:tcPr>
                <w:p w14:paraId="306FE282">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施工过程中仅切割机、电钻降温</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、降尘</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使用少量的水，该部分水最终蒸发不产生废水</w:t>
                  </w:r>
                </w:p>
              </w:tc>
            </w:tr>
            <w:tr w14:paraId="484BA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500" w:type="dxa"/>
                  <w:vMerge w:val="continue"/>
                  <w:vAlign w:val="center"/>
                </w:tcPr>
                <w:p w14:paraId="512FF976">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Merge w:val="continue"/>
                  <w:vAlign w:val="center"/>
                </w:tcPr>
                <w:p w14:paraId="21B10D1B">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41" w:type="dxa"/>
                  <w:vAlign w:val="center"/>
                </w:tcPr>
                <w:p w14:paraId="2EAF7A0E">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施工人员</w:t>
                  </w:r>
                </w:p>
              </w:tc>
              <w:tc>
                <w:tcPr>
                  <w:tcW w:w="1140" w:type="dxa"/>
                  <w:vAlign w:val="center"/>
                </w:tcPr>
                <w:p w14:paraId="26A76B53">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生活废水</w:t>
                  </w:r>
                </w:p>
              </w:tc>
              <w:tc>
                <w:tcPr>
                  <w:tcW w:w="1314" w:type="dxa"/>
                  <w:vAlign w:val="center"/>
                </w:tcPr>
                <w:p w14:paraId="54274EAA">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14:textFill>
                        <w14:solidFill>
                          <w14:schemeClr w14:val="tx1">
                            <w14:lumMod w14:val="95000"/>
                            <w14:lumOff w14:val="5000"/>
                          </w14:schemeClr>
                        </w14:solidFill>
                      </w14:textFill>
                    </w:rPr>
                    <w:t>少量</w:t>
                  </w:r>
                </w:p>
              </w:tc>
              <w:tc>
                <w:tcPr>
                  <w:tcW w:w="3335" w:type="dxa"/>
                  <w:vAlign w:val="center"/>
                </w:tcPr>
                <w:p w14:paraId="505ED512">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依托</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已建污水处理站处理达标后</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排入</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项目区北侧的祥丰街城市污水管网</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，最终排入</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呈贡污水处理厂</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处理。</w:t>
                  </w:r>
                </w:p>
              </w:tc>
            </w:tr>
            <w:tr w14:paraId="2C900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500" w:type="dxa"/>
                  <w:vMerge w:val="continue"/>
                  <w:vAlign w:val="center"/>
                </w:tcPr>
                <w:p w14:paraId="6A6E03F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Align w:val="center"/>
                </w:tcPr>
                <w:p w14:paraId="09EEF2B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运营期</w:t>
                  </w:r>
                </w:p>
              </w:tc>
              <w:tc>
                <w:tcPr>
                  <w:tcW w:w="1141" w:type="dxa"/>
                  <w:vAlign w:val="center"/>
                </w:tcPr>
                <w:p w14:paraId="0CD5540B">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手术及器械清洗</w:t>
                  </w:r>
                </w:p>
              </w:tc>
              <w:tc>
                <w:tcPr>
                  <w:tcW w:w="1140" w:type="dxa"/>
                  <w:vAlign w:val="center"/>
                </w:tcPr>
                <w:p w14:paraId="482AB80C">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医疗废水</w:t>
                  </w:r>
                </w:p>
              </w:tc>
              <w:tc>
                <w:tcPr>
                  <w:tcW w:w="1314" w:type="dxa"/>
                  <w:vAlign w:val="center"/>
                </w:tcPr>
                <w:p w14:paraId="287EE4EC">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kern w:val="0"/>
                      <w:sz w:val="21"/>
                      <w:szCs w:val="21"/>
                      <w:highlight w:val="none"/>
                      <w:vertAlign w:val="superscript"/>
                      <w:lang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/a</w:t>
                  </w:r>
                </w:p>
              </w:tc>
              <w:tc>
                <w:tcPr>
                  <w:tcW w:w="3335" w:type="dxa"/>
                  <w:vAlign w:val="center"/>
                </w:tcPr>
                <w:p w14:paraId="2254D389">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依托昆明市中医医院</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污水处理站处理达标后排入</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项目区北侧的祥丰街城市污水管网</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最终排入</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呈贡污水处理厂</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处理</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r>
            <w:tr w14:paraId="19B1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00" w:type="dxa"/>
                  <w:vMerge w:val="restart"/>
                  <w:vAlign w:val="center"/>
                </w:tcPr>
                <w:p w14:paraId="5C7225CC">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固</w:t>
                  </w:r>
                </w:p>
                <w:p w14:paraId="02B19646">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体</w:t>
                  </w:r>
                </w:p>
                <w:p w14:paraId="38E9D5A9">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w:t>
                  </w:r>
                </w:p>
                <w:p w14:paraId="5E6F9D9D">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物</w:t>
                  </w:r>
                </w:p>
              </w:tc>
              <w:tc>
                <w:tcPr>
                  <w:tcW w:w="926" w:type="dxa"/>
                  <w:vMerge w:val="restart"/>
                  <w:vAlign w:val="center"/>
                </w:tcPr>
                <w:p w14:paraId="1C892C1B">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施工期</w:t>
                  </w:r>
                </w:p>
              </w:tc>
              <w:tc>
                <w:tcPr>
                  <w:tcW w:w="1141" w:type="dxa"/>
                  <w:vAlign w:val="center"/>
                </w:tcPr>
                <w:p w14:paraId="01A058F9">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施工人员</w:t>
                  </w:r>
                </w:p>
              </w:tc>
              <w:tc>
                <w:tcPr>
                  <w:tcW w:w="1140" w:type="dxa"/>
                  <w:vAlign w:val="center"/>
                </w:tcPr>
                <w:p w14:paraId="57E52174">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生活垃圾</w:t>
                  </w:r>
                </w:p>
              </w:tc>
              <w:tc>
                <w:tcPr>
                  <w:tcW w:w="1314" w:type="dxa"/>
                  <w:vAlign w:val="center"/>
                </w:tcPr>
                <w:p w14:paraId="7701FAC0">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少量</w:t>
                  </w:r>
                </w:p>
              </w:tc>
              <w:tc>
                <w:tcPr>
                  <w:tcW w:w="3335" w:type="dxa"/>
                  <w:vAlign w:val="center"/>
                </w:tcPr>
                <w:p w14:paraId="18FF3D5E">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经医院设置的垃圾桶集中收集后交由环卫部门统一清运，处置率100%。</w:t>
                  </w:r>
                </w:p>
              </w:tc>
            </w:tr>
            <w:tr w14:paraId="77734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00" w:type="dxa"/>
                  <w:vMerge w:val="continue"/>
                  <w:vAlign w:val="center"/>
                </w:tcPr>
                <w:p w14:paraId="521FC042">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Merge w:val="continue"/>
                  <w:vAlign w:val="center"/>
                </w:tcPr>
                <w:p w14:paraId="137A6A9F">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41" w:type="dxa"/>
                  <w:vAlign w:val="center"/>
                </w:tcPr>
                <w:p w14:paraId="350DA6F8">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施工场地</w:t>
                  </w:r>
                </w:p>
              </w:tc>
              <w:tc>
                <w:tcPr>
                  <w:tcW w:w="1140" w:type="dxa"/>
                  <w:vAlign w:val="center"/>
                </w:tcPr>
                <w:p w14:paraId="249718D6">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建筑垃圾</w:t>
                  </w:r>
                </w:p>
              </w:tc>
              <w:tc>
                <w:tcPr>
                  <w:tcW w:w="1314" w:type="dxa"/>
                  <w:vAlign w:val="center"/>
                </w:tcPr>
                <w:p w14:paraId="07FC85E8">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少量</w:t>
                  </w:r>
                </w:p>
              </w:tc>
              <w:tc>
                <w:tcPr>
                  <w:tcW w:w="3335" w:type="dxa"/>
                  <w:vAlign w:val="center"/>
                </w:tcPr>
                <w:p w14:paraId="33F7DA11">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统一收集后，能回收利用的尽量回收利用，不能回收利用的清运至住建部门指定堆放点，处置率100%。</w:t>
                  </w:r>
                </w:p>
              </w:tc>
            </w:tr>
            <w:tr w14:paraId="73985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500" w:type="dxa"/>
                  <w:vMerge w:val="continue"/>
                  <w:vAlign w:val="center"/>
                </w:tcPr>
                <w:p w14:paraId="023701A4">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Merge w:val="restart"/>
                  <w:vAlign w:val="center"/>
                </w:tcPr>
                <w:p w14:paraId="4DB9F130">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运营期</w:t>
                  </w:r>
                </w:p>
              </w:tc>
              <w:tc>
                <w:tcPr>
                  <w:tcW w:w="1141" w:type="dxa"/>
                  <w:vAlign w:val="center"/>
                </w:tcPr>
                <w:p w14:paraId="5B580678">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医疗废物</w:t>
                  </w:r>
                </w:p>
              </w:tc>
              <w:tc>
                <w:tcPr>
                  <w:tcW w:w="1140" w:type="dxa"/>
                  <w:vAlign w:val="center"/>
                </w:tcPr>
                <w:p w14:paraId="2A612FB4">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废药棉、纱布、手套等</w:t>
                  </w:r>
                </w:p>
              </w:tc>
              <w:tc>
                <w:tcPr>
                  <w:tcW w:w="1314" w:type="dxa"/>
                  <w:vAlign w:val="center"/>
                </w:tcPr>
                <w:p w14:paraId="33363469">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t/a</w:t>
                  </w:r>
                </w:p>
              </w:tc>
              <w:tc>
                <w:tcPr>
                  <w:tcW w:w="3335" w:type="dxa"/>
                  <w:vAlign w:val="center"/>
                </w:tcPr>
                <w:p w14:paraId="52AEEC27">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采用专门的收集容器收集后，转移至</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依托的昆明市中医医院</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医疗废物暂存间，定期交由</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清运处置，</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处置率100%。</w:t>
                  </w:r>
                </w:p>
              </w:tc>
            </w:tr>
            <w:tr w14:paraId="0D25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500" w:type="dxa"/>
                  <w:vMerge w:val="continue"/>
                  <w:vAlign w:val="center"/>
                </w:tcPr>
                <w:p w14:paraId="7B72FAE0">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Merge w:val="continue"/>
                  <w:vAlign w:val="center"/>
                </w:tcPr>
                <w:p w14:paraId="29058902">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41" w:type="dxa"/>
                  <w:vAlign w:val="center"/>
                </w:tcPr>
                <w:p w14:paraId="11551CB9">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医护人员</w:t>
                  </w:r>
                </w:p>
              </w:tc>
              <w:tc>
                <w:tcPr>
                  <w:tcW w:w="1140" w:type="dxa"/>
                  <w:vAlign w:val="center"/>
                </w:tcPr>
                <w:p w14:paraId="1EA39A88">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生活垃圾</w:t>
                  </w:r>
                </w:p>
              </w:tc>
              <w:tc>
                <w:tcPr>
                  <w:tcW w:w="1314" w:type="dxa"/>
                  <w:vAlign w:val="center"/>
                </w:tcPr>
                <w:p w14:paraId="5DFA0B37">
                  <w:pPr>
                    <w:adjustRightInd w:val="0"/>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w:t>
                  </w:r>
                </w:p>
              </w:tc>
              <w:tc>
                <w:tcPr>
                  <w:tcW w:w="3335" w:type="dxa"/>
                  <w:vAlign w:val="center"/>
                </w:tcPr>
                <w:p w14:paraId="170A835F">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集中收集并交由环卫部门统一清运，处置率100%</w:t>
                  </w:r>
                </w:p>
              </w:tc>
            </w:tr>
            <w:tr w14:paraId="52AA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jc w:val="center"/>
              </w:trPr>
              <w:tc>
                <w:tcPr>
                  <w:tcW w:w="500" w:type="dxa"/>
                  <w:vMerge w:val="restart"/>
                  <w:vAlign w:val="center"/>
                </w:tcPr>
                <w:p w14:paraId="3BA0914D">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噪</w:t>
                  </w:r>
                </w:p>
                <w:p w14:paraId="01F0B305">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声</w:t>
                  </w:r>
                </w:p>
              </w:tc>
              <w:tc>
                <w:tcPr>
                  <w:tcW w:w="926" w:type="dxa"/>
                  <w:vAlign w:val="center"/>
                </w:tcPr>
                <w:p w14:paraId="640BAD27">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施工期</w:t>
                  </w:r>
                </w:p>
              </w:tc>
              <w:tc>
                <w:tcPr>
                  <w:tcW w:w="1141" w:type="dxa"/>
                  <w:vAlign w:val="center"/>
                </w:tcPr>
                <w:p w14:paraId="22B62715">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施工设备</w:t>
                  </w:r>
                </w:p>
              </w:tc>
              <w:tc>
                <w:tcPr>
                  <w:tcW w:w="5789" w:type="dxa"/>
                  <w:gridSpan w:val="3"/>
                  <w:vAlign w:val="center"/>
                </w:tcPr>
                <w:p w14:paraId="2C1F9EFC">
                  <w:pPr>
                    <w:adjustRightInd w:val="0"/>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主要的施工机械噪声，</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源强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为</w:t>
                  </w:r>
                  <w:r>
                    <w:rPr>
                      <w:rFonts w:ascii="Times New Roman" w:hAnsi="Times New Roman" w:cs="Times New Roman" w:eastAsiaTheme="minorEastAsia"/>
                      <w:snapToGrid w:val="0"/>
                      <w:color w:val="0D0D0D" w:themeColor="text1" w:themeTint="F2"/>
                      <w:kern w:val="0"/>
                      <w:sz w:val="21"/>
                      <w:szCs w:val="21"/>
                      <w:highlight w:val="none"/>
                      <w14:textFill>
                        <w14:solidFill>
                          <w14:schemeClr w14:val="tx1">
                            <w14:lumMod w14:val="95000"/>
                            <w14:lumOff w14:val="5000"/>
                          </w14:schemeClr>
                        </w14:solidFill>
                      </w14:textFill>
                    </w:rPr>
                    <w:t>70～95dB(A)</w:t>
                  </w:r>
                </w:p>
              </w:tc>
            </w:tr>
            <w:tr w14:paraId="4C979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00" w:type="dxa"/>
                  <w:vMerge w:val="continue"/>
                  <w:vAlign w:val="center"/>
                </w:tcPr>
                <w:p w14:paraId="3CEC14D0">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26" w:type="dxa"/>
                  <w:vAlign w:val="center"/>
                </w:tcPr>
                <w:p w14:paraId="5EB3AAFD">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营运期</w:t>
                  </w:r>
                </w:p>
              </w:tc>
              <w:tc>
                <w:tcPr>
                  <w:tcW w:w="1141" w:type="dxa"/>
                  <w:vAlign w:val="center"/>
                </w:tcPr>
                <w:p w14:paraId="782F4280">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风机</w:t>
                  </w:r>
                </w:p>
              </w:tc>
              <w:tc>
                <w:tcPr>
                  <w:tcW w:w="5789" w:type="dxa"/>
                  <w:gridSpan w:val="3"/>
                  <w:vAlign w:val="center"/>
                </w:tcPr>
                <w:p w14:paraId="6C623157">
                  <w:pPr>
                    <w:pStyle w:val="16"/>
                    <w:tabs>
                      <w:tab w:val="left" w:pos="1110"/>
                    </w:tabs>
                    <w:adjustRightInd w:val="0"/>
                    <w:snapToGrid w:val="0"/>
                    <w:spacing w:after="0" w:line="240" w:lineRule="auto"/>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主要来源于通风系统的风机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，其噪声源强一般低于60dB（A）。</w:t>
                  </w:r>
                </w:p>
              </w:tc>
            </w:tr>
          </w:tbl>
          <w:p w14:paraId="51FD6B57">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事故状态下的污染源项分析</w:t>
            </w:r>
          </w:p>
          <w:p w14:paraId="0EF5DA82">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本项目可能发生的事故情况：</w:t>
            </w:r>
          </w:p>
          <w:p w14:paraId="59F59C8D">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bookmarkStart w:id="60" w:name="OLE_LINK67"/>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（1）患者通道开关装置和报警系统发生故障，导致无关人员误入正在运行的射线装置机房受到照射；</w:t>
            </w:r>
          </w:p>
          <w:p w14:paraId="7E399F5C">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在患者通道防护门未关闭时即进行曝光，造成防护门附近人员受到照射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439F1BB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项目医护人员介入手术期间，未正确使用个人防护用品情况下受到照射。</w:t>
            </w:r>
          </w:p>
          <w:bookmarkEnd w:id="60"/>
          <w:p w14:paraId="4ADCD639">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740C00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2C3FE94">
            <w:pPr>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bl>
    <w:p w14:paraId="7930EC90">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61" w:name="_Toc60227352"/>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表10辐射安全与防护</w:t>
      </w:r>
      <w:bookmarkEnd w:id="61"/>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FCD3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CE06A73">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10.1项目安全措施</w:t>
            </w:r>
          </w:p>
          <w:p w14:paraId="4755A205">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10.1.1辐射防护分区管理</w:t>
            </w:r>
          </w:p>
          <w:p w14:paraId="2866CAF8">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位于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医院医技楼4楼</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东侧</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的四面及</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楼</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上</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下</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房间功能如表10-1所示。具体布局见图10-1所示。</w:t>
            </w:r>
          </w:p>
          <w:p w14:paraId="5784A3F2">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表10-1   </w:t>
            </w:r>
            <w:r>
              <w:rPr>
                <w:rFonts w:hint="eastAsia" w:ascii="Times New Roman" w:hAnsi="Times New Roman" w:cs="Times New Roman" w:eastAsiaTheme="minorEastAsia"/>
                <w:b/>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六面房间功能一览表</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659"/>
              <w:gridCol w:w="3714"/>
              <w:gridCol w:w="1684"/>
            </w:tblGrid>
            <w:tr w14:paraId="7025B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249" w:type="dxa"/>
                  <w:vAlign w:val="center"/>
                </w:tcPr>
                <w:p w14:paraId="041025A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机房名称</w:t>
                  </w:r>
                </w:p>
              </w:tc>
              <w:tc>
                <w:tcPr>
                  <w:tcW w:w="1659" w:type="dxa"/>
                  <w:vAlign w:val="center"/>
                </w:tcPr>
                <w:p w14:paraId="4F696742">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方位</w:t>
                  </w:r>
                </w:p>
              </w:tc>
              <w:tc>
                <w:tcPr>
                  <w:tcW w:w="3714" w:type="dxa"/>
                  <w:vAlign w:val="center"/>
                </w:tcPr>
                <w:p w14:paraId="7A21115A">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房间功能</w:t>
                  </w:r>
                </w:p>
              </w:tc>
              <w:tc>
                <w:tcPr>
                  <w:tcW w:w="1684" w:type="dxa"/>
                  <w:vAlign w:val="center"/>
                </w:tcPr>
                <w:p w14:paraId="7F45455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备注</w:t>
                  </w:r>
                </w:p>
              </w:tc>
            </w:tr>
            <w:tr w14:paraId="6188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249" w:type="dxa"/>
                  <w:vMerge w:val="restart"/>
                  <w:vAlign w:val="center"/>
                </w:tcPr>
                <w:p w14:paraId="2E35D99F">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p>
              </w:tc>
              <w:tc>
                <w:tcPr>
                  <w:tcW w:w="1659" w:type="dxa"/>
                  <w:vAlign w:val="center"/>
                </w:tcPr>
                <w:p w14:paraId="20C89CCC">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东</w:t>
                  </w:r>
                </w:p>
              </w:tc>
              <w:tc>
                <w:tcPr>
                  <w:tcW w:w="3714" w:type="dxa"/>
                  <w:vAlign w:val="center"/>
                </w:tcPr>
                <w:p w14:paraId="5F12F071">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污物通道</w:t>
                  </w:r>
                </w:p>
              </w:tc>
              <w:tc>
                <w:tcPr>
                  <w:tcW w:w="1684" w:type="dxa"/>
                  <w:vAlign w:val="center"/>
                </w:tcPr>
                <w:p w14:paraId="1FFAC7B6">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r>
            <w:tr w14:paraId="0FCF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249" w:type="dxa"/>
                  <w:vMerge w:val="continue"/>
                  <w:vAlign w:val="center"/>
                </w:tcPr>
                <w:p w14:paraId="6780552D">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659" w:type="dxa"/>
                  <w:vAlign w:val="center"/>
                </w:tcPr>
                <w:p w14:paraId="19F74099">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南</w:t>
                  </w:r>
                </w:p>
              </w:tc>
              <w:tc>
                <w:tcPr>
                  <w:tcW w:w="3714" w:type="dxa"/>
                  <w:vAlign w:val="center"/>
                </w:tcPr>
                <w:p w14:paraId="0FE38EB7">
                  <w:pPr>
                    <w:widowControl/>
                    <w:snapToGrid w:val="0"/>
                    <w:ind w:firstLine="0" w:firstLineChars="0"/>
                    <w:jc w:val="center"/>
                    <w:rPr>
                      <w:rFonts w:hint="default" w:ascii="Times New Roman" w:hAnsi="Times New Roman" w:cs="Times New Roman"/>
                      <w:color w:val="0D0D0D" w:themeColor="text1" w:themeTint="F2"/>
                      <w:sz w:val="21"/>
                      <w:szCs w:val="21"/>
                      <w:highlight w:val="none"/>
                      <w:lang w:val="en-US"/>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21"/>
                      <w:szCs w:val="21"/>
                      <w:highlight w:val="none"/>
                      <w:lang w:val="en-US" w:eastAsia="zh-CN"/>
                      <w14:textFill>
                        <w14:solidFill>
                          <w14:schemeClr w14:val="tx1">
                            <w14:lumMod w14:val="95000"/>
                            <w14:lumOff w14:val="5000"/>
                          </w14:schemeClr>
                        </w14:solidFill>
                      </w14:textFill>
                    </w:rPr>
                    <w:t>其他手术室、药品瓶回收间</w:t>
                  </w:r>
                </w:p>
              </w:tc>
              <w:tc>
                <w:tcPr>
                  <w:tcW w:w="1684" w:type="dxa"/>
                  <w:vAlign w:val="center"/>
                </w:tcPr>
                <w:p w14:paraId="695D6FE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r>
            <w:tr w14:paraId="0281C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1249" w:type="dxa"/>
                  <w:vMerge w:val="continue"/>
                  <w:vAlign w:val="center"/>
                </w:tcPr>
                <w:p w14:paraId="6509C31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659" w:type="dxa"/>
                  <w:vAlign w:val="center"/>
                </w:tcPr>
                <w:p w14:paraId="43ABFCBA">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西</w:t>
                  </w:r>
                </w:p>
              </w:tc>
              <w:tc>
                <w:tcPr>
                  <w:tcW w:w="3714" w:type="dxa"/>
                  <w:vAlign w:val="center"/>
                </w:tcPr>
                <w:p w14:paraId="325415C2">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洁净走廊</w:t>
                  </w:r>
                </w:p>
              </w:tc>
              <w:tc>
                <w:tcPr>
                  <w:tcW w:w="1684" w:type="dxa"/>
                  <w:vAlign w:val="center"/>
                </w:tcPr>
                <w:p w14:paraId="01BE1A1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r>
            <w:tr w14:paraId="65FD9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trPr>
              <w:tc>
                <w:tcPr>
                  <w:tcW w:w="1249" w:type="dxa"/>
                  <w:vMerge w:val="continue"/>
                  <w:vAlign w:val="center"/>
                </w:tcPr>
                <w:p w14:paraId="4614A93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659" w:type="dxa"/>
                  <w:vAlign w:val="center"/>
                </w:tcPr>
                <w:p w14:paraId="4BB3159C">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北</w:t>
                  </w:r>
                </w:p>
              </w:tc>
              <w:tc>
                <w:tcPr>
                  <w:tcW w:w="3714" w:type="dxa"/>
                  <w:vAlign w:val="center"/>
                </w:tcPr>
                <w:p w14:paraId="3D42B35F">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控制室、麻醉耗材库</w:t>
                  </w:r>
                </w:p>
              </w:tc>
              <w:tc>
                <w:tcPr>
                  <w:tcW w:w="1684" w:type="dxa"/>
                  <w:vAlign w:val="center"/>
                </w:tcPr>
                <w:p w14:paraId="6438545D">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62" w:name="OLE_LINK44"/>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bookmarkEnd w:id="62"/>
                </w:p>
              </w:tc>
            </w:tr>
            <w:tr w14:paraId="7BBA9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exact"/>
              </w:trPr>
              <w:tc>
                <w:tcPr>
                  <w:tcW w:w="1249" w:type="dxa"/>
                  <w:vMerge w:val="continue"/>
                  <w:vAlign w:val="center"/>
                </w:tcPr>
                <w:p w14:paraId="310CF99A">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659" w:type="dxa"/>
                  <w:vAlign w:val="center"/>
                </w:tcPr>
                <w:p w14:paraId="7340C271">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63" w:name="OLE_LINK45"/>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楼上</w:t>
                  </w:r>
                  <w:bookmarkEnd w:id="63"/>
                </w:p>
              </w:tc>
              <w:tc>
                <w:tcPr>
                  <w:tcW w:w="3714" w:type="dxa"/>
                  <w:vAlign w:val="center"/>
                </w:tcPr>
                <w:p w14:paraId="1C8E4846">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684" w:type="dxa"/>
                  <w:vAlign w:val="center"/>
                </w:tcPr>
                <w:p w14:paraId="4C4D9E35">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r>
            <w:tr w14:paraId="62F3B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249" w:type="dxa"/>
                  <w:vMerge w:val="continue"/>
                  <w:vAlign w:val="center"/>
                </w:tcPr>
                <w:p w14:paraId="0A2F08B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659" w:type="dxa"/>
                  <w:vAlign w:val="center"/>
                </w:tcPr>
                <w:p w14:paraId="1A29E4D0">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楼</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下</w:t>
                  </w:r>
                </w:p>
              </w:tc>
              <w:tc>
                <w:tcPr>
                  <w:tcW w:w="3714" w:type="dxa"/>
                  <w:vAlign w:val="center"/>
                </w:tcPr>
                <w:p w14:paraId="1B06B556">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p>
              </w:tc>
              <w:tc>
                <w:tcPr>
                  <w:tcW w:w="1684" w:type="dxa"/>
                  <w:vAlign w:val="center"/>
                </w:tcPr>
                <w:p w14:paraId="531306C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r>
          </w:tbl>
          <w:p w14:paraId="43130BD4">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（1）分区依据和原则</w:t>
            </w:r>
          </w:p>
          <w:p w14:paraId="6AB18F47">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位于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医院医技楼4楼东侧</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东侧为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南侧为其他手术室、药品瓶回收间；</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西侧为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洁净走廊</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；北侧为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控制室、麻醉耗材库</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上方（</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楼）为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设备摆放区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；下方（</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楼</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与控制室等其他房间分开单独设置。患者</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医护人员及污物</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设有独立的通道，区域划分明确</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356D209">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为了便于加强管理，切实做好辐射安全防范工作，按照《电离辐射防护与辐射源安全基本标准》(GB18871</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2002)要求在辐射工作场所内划出控制区和监督区。</w:t>
            </w:r>
          </w:p>
          <w:p w14:paraId="681A7AC4">
            <w:pPr>
              <w:widowControl/>
              <w:spacing w:line="360" w:lineRule="auto"/>
              <w:ind w:firstLine="482"/>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控制区</w:t>
            </w:r>
            <w:r>
              <w:rPr>
                <w:rFonts w:hint="eastAsia"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在正常工作情况下控制区正常照射或防止污染扩散，以及在一定程度上预防或限制潜在照射，要求或可能要求专门防护手段和安全措施的限定区域。在控制区的进出口及其他适当位置处设立醒目的警告标志并给出相应的辐射水平和污染水平的指示。应用行政管理程序如进入控制区的工作许可证和实体屏蔽(包括门锁和连锁装置)限制进出控制区，放射性操作区应与非放射性工作区隔开。</w:t>
            </w:r>
          </w:p>
          <w:p w14:paraId="2F62224F">
            <w:pPr>
              <w:widowControl/>
              <w:spacing w:line="360" w:lineRule="auto"/>
              <w:ind w:firstLine="482"/>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监督区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未被确定为控制区，正常情况下不需要采取专门防护手段或安全措施，但要不断检查其职业照射状况的制定区域。在监督区入口处的合适位置张贴辐射危险警示标记</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并定期检查工作状况，确认是否需要防护措施和安全条件，或是否需要更改监督区的边界。</w:t>
            </w:r>
          </w:p>
          <w:p w14:paraId="4186D075">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本次环评中结合项目</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诊疗</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、辐射防护和环境情况特点，</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将</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划为控制区</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周边的</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前室、1间手术室、药品瓶回收间、周边通道</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划为监督区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。控制区入口处设置工作信号指示灯和电离辐射警示标志，</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装置处于工作状态时，工作指示灯运行以警示</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外来人员</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不得</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进入，职业人员须穿戴铅防护服等防护用品在控制区内进行介入手术，以避免</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受到</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不必要的照射</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在监督区设立警告标识和标牌，仅允许患者和相关</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医护人员</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进入，其余无关人员均不得随意进入。本项目控制区和监督区划分情况</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详见</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附图7</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90C1608">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（3）医患及污物路径</w:t>
            </w:r>
          </w:p>
          <w:p w14:paraId="580B0AC8">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工作区域设有</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医护人员</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通道、患者通道及污物通道。</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其中</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护人员由项目区北侧医护通道进入，经更衣室、洁净走廊后进入控制室及介入手术室；病人由项目区北侧患者通道进入，经换床间、洁净通道、前室后进入介入手术室就诊，术后原路返回；术后污物从介入手术室东侧经污物清洗收集室打包后通过东南侧污物电梯离开</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。医护人员、患者及污物在</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工作区域的运行线路详见</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附图7</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3B8AD49C">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10.1.2 </w:t>
            </w:r>
            <w:r>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辐射屏蔽设计</w:t>
            </w:r>
          </w:p>
          <w:p w14:paraId="343CC1F7">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依据医院提供的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防护设计方案，将机房各屏蔽体的主要技术参数列表分析，并根据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《放射诊断放射防护要求》（GBZ130-2020）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中对X射线机房防护设计的技术要求、最小有效使用面积及最小单边长度要求，对本评价项目屏蔽措施进行对照分析。</w:t>
            </w:r>
          </w:p>
          <w:p w14:paraId="179CE4DE">
            <w:pPr>
              <w:ind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表10-2</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本项目辐射工作场所拟采取屏蔽防护措施分析</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796"/>
              <w:gridCol w:w="1541"/>
              <w:gridCol w:w="955"/>
              <w:gridCol w:w="5"/>
              <w:gridCol w:w="813"/>
              <w:gridCol w:w="5"/>
              <w:gridCol w:w="759"/>
              <w:gridCol w:w="5"/>
              <w:gridCol w:w="1025"/>
              <w:gridCol w:w="832"/>
              <w:gridCol w:w="839"/>
            </w:tblGrid>
            <w:tr w14:paraId="3C66C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14:paraId="1402AFA8">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机房名称</w:t>
                  </w:r>
                </w:p>
              </w:tc>
              <w:tc>
                <w:tcPr>
                  <w:tcW w:w="796" w:type="dxa"/>
                  <w:vAlign w:val="center"/>
                </w:tcPr>
                <w:p w14:paraId="3E2F6496">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屏蔽体</w:t>
                  </w:r>
                </w:p>
              </w:tc>
              <w:tc>
                <w:tcPr>
                  <w:tcW w:w="1541" w:type="dxa"/>
                  <w:vAlign w:val="center"/>
                </w:tcPr>
                <w:p w14:paraId="3CB5957C">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屏蔽防护设计厚度</w:t>
                  </w:r>
                </w:p>
              </w:tc>
              <w:tc>
                <w:tcPr>
                  <w:tcW w:w="955" w:type="dxa"/>
                  <w:vAlign w:val="center"/>
                </w:tcPr>
                <w:p w14:paraId="1AF1DCF9">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p>
              </w:tc>
              <w:tc>
                <w:tcPr>
                  <w:tcW w:w="818" w:type="dxa"/>
                  <w:gridSpan w:val="2"/>
                  <w:vAlign w:val="center"/>
                </w:tcPr>
                <w:p w14:paraId="4AB5737E">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p>
              </w:tc>
              <w:tc>
                <w:tcPr>
                  <w:tcW w:w="764" w:type="dxa"/>
                  <w:gridSpan w:val="2"/>
                  <w:vAlign w:val="center"/>
                </w:tcPr>
                <w:p w14:paraId="14AB71B7">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p>
              </w:tc>
              <w:tc>
                <w:tcPr>
                  <w:tcW w:w="1030" w:type="dxa"/>
                  <w:gridSpan w:val="2"/>
                  <w:vAlign w:val="center"/>
                </w:tcPr>
                <w:p w14:paraId="47B634F9">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B</w:t>
                  </w:r>
                </w:p>
              </w:tc>
              <w:tc>
                <w:tcPr>
                  <w:tcW w:w="1671" w:type="dxa"/>
                  <w:gridSpan w:val="2"/>
                  <w:vAlign w:val="center"/>
                </w:tcPr>
                <w:p w14:paraId="22113E5D">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X</w:t>
                  </w:r>
                </w:p>
              </w:tc>
            </w:tr>
            <w:tr w14:paraId="4AAF6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14:paraId="217FB752">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屏蔽设计</w:t>
                  </w:r>
                </w:p>
              </w:tc>
              <w:tc>
                <w:tcPr>
                  <w:tcW w:w="796" w:type="dxa"/>
                  <w:vMerge w:val="restart"/>
                  <w:vAlign w:val="center"/>
                </w:tcPr>
                <w:p w14:paraId="2CD3526B">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东侧、南侧、西侧、北侧</w:t>
                  </w:r>
                </w:p>
                <w:p w14:paraId="7C658F46">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墙体</w:t>
                  </w:r>
                </w:p>
              </w:tc>
              <w:tc>
                <w:tcPr>
                  <w:tcW w:w="1541" w:type="dxa"/>
                  <w:vAlign w:val="center"/>
                </w:tcPr>
                <w:p w14:paraId="72C160F4">
                  <w:pPr>
                    <w:widowControl/>
                    <w:snapToGrid w:val="0"/>
                    <w:ind w:firstLine="0" w:firstLineChars="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50mm厚玻镁彩钢板</w:t>
                  </w:r>
                </w:p>
              </w:tc>
              <w:tc>
                <w:tcPr>
                  <w:tcW w:w="3567" w:type="dxa"/>
                  <w:gridSpan w:val="7"/>
                  <w:vAlign w:val="center"/>
                </w:tcPr>
                <w:p w14:paraId="395541F7">
                  <w:pPr>
                    <w:widowControl/>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w:t>
                  </w:r>
                </w:p>
              </w:tc>
              <w:tc>
                <w:tcPr>
                  <w:tcW w:w="832" w:type="dxa"/>
                  <w:vAlign w:val="center"/>
                </w:tcPr>
                <w:p w14:paraId="6C578C6C">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w:t>
                  </w:r>
                </w:p>
              </w:tc>
              <w:tc>
                <w:tcPr>
                  <w:tcW w:w="839" w:type="dxa"/>
                  <w:vMerge w:val="restart"/>
                  <w:vAlign w:val="center"/>
                </w:tcPr>
                <w:p w14:paraId="79FB9D7A">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4.0mmPb</w:t>
                  </w:r>
                </w:p>
              </w:tc>
            </w:tr>
            <w:tr w14:paraId="4BE9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446060D2">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Merge w:val="continue"/>
                  <w:vAlign w:val="center"/>
                </w:tcPr>
                <w:p w14:paraId="4BB67483">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p>
              </w:tc>
              <w:tc>
                <w:tcPr>
                  <w:tcW w:w="1541" w:type="dxa"/>
                  <w:vAlign w:val="center"/>
                </w:tcPr>
                <w:p w14:paraId="2A0EB680">
                  <w:pPr>
                    <w:widowControl/>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mm厚铅板</w:t>
                  </w:r>
                </w:p>
              </w:tc>
              <w:tc>
                <w:tcPr>
                  <w:tcW w:w="960" w:type="dxa"/>
                  <w:gridSpan w:val="2"/>
                  <w:shd w:val="clear" w:color="auto" w:fill="auto"/>
                  <w:vAlign w:val="center"/>
                </w:tcPr>
                <w:p w14:paraId="5242086F">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2.219</w:t>
                  </w:r>
                </w:p>
              </w:tc>
              <w:tc>
                <w:tcPr>
                  <w:tcW w:w="818" w:type="dxa"/>
                  <w:gridSpan w:val="2"/>
                  <w:shd w:val="clear" w:color="auto" w:fill="auto"/>
                  <w:vAlign w:val="center"/>
                </w:tcPr>
                <w:p w14:paraId="5BF29905">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7.923</w:t>
                  </w:r>
                </w:p>
              </w:tc>
              <w:tc>
                <w:tcPr>
                  <w:tcW w:w="764" w:type="dxa"/>
                  <w:gridSpan w:val="2"/>
                  <w:shd w:val="clear" w:color="auto" w:fill="auto"/>
                  <w:vAlign w:val="center"/>
                </w:tcPr>
                <w:p w14:paraId="6537D81D">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0.5386</w:t>
                  </w:r>
                </w:p>
              </w:tc>
              <w:tc>
                <w:tcPr>
                  <w:tcW w:w="1025" w:type="dxa"/>
                  <w:shd w:val="clear" w:color="auto" w:fill="auto"/>
                  <w:vAlign w:val="center"/>
                </w:tcPr>
                <w:p w14:paraId="0A0E13B3">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8.42×10</w:t>
                  </w:r>
                  <w:r>
                    <w:rPr>
                      <w:rFonts w:hint="eastAsia" w:ascii="Times New Roman" w:hAnsi="Times New Roman" w:cs="Times New Roman" w:eastAsiaTheme="minorEastAsia"/>
                      <w:color w:val="0D0D0D" w:themeColor="text1" w:themeTint="F2"/>
                      <w:sz w:val="18"/>
                      <w:szCs w:val="18"/>
                      <w:highlight w:val="none"/>
                      <w:vertAlign w:val="superscript"/>
                      <w:lang w:val="en-US" w:eastAsia="zh-CN"/>
                      <w14:textFill>
                        <w14:solidFill>
                          <w14:schemeClr w14:val="tx1">
                            <w14:lumMod w14:val="95000"/>
                            <w14:lumOff w14:val="5000"/>
                          </w14:schemeClr>
                        </w14:solidFill>
                      </w14:textFill>
                    </w:rPr>
                    <w:t>-3</w:t>
                  </w:r>
                </w:p>
              </w:tc>
              <w:tc>
                <w:tcPr>
                  <w:tcW w:w="832" w:type="dxa"/>
                  <w:vAlign w:val="center"/>
                </w:tcPr>
                <w:p w14:paraId="037C9ACE">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4.0mmPb</w:t>
                  </w:r>
                </w:p>
              </w:tc>
              <w:tc>
                <w:tcPr>
                  <w:tcW w:w="839" w:type="dxa"/>
                  <w:vMerge w:val="continue"/>
                  <w:vAlign w:val="center"/>
                </w:tcPr>
                <w:p w14:paraId="120580F3">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r>
            <w:tr w14:paraId="44AD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52DA5FCE">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Merge w:val="restart"/>
                  <w:vAlign w:val="center"/>
                </w:tcPr>
                <w:p w14:paraId="0AF79D15">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屋顶</w:t>
                  </w:r>
                </w:p>
              </w:tc>
              <w:tc>
                <w:tcPr>
                  <w:tcW w:w="1541" w:type="dxa"/>
                  <w:vAlign w:val="center"/>
                </w:tcPr>
                <w:p w14:paraId="7F89D01D">
                  <w:pPr>
                    <w:widowControl/>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15</w:t>
                  </w: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0mm厚混凝土</w:t>
                  </w:r>
                </w:p>
              </w:tc>
              <w:tc>
                <w:tcPr>
                  <w:tcW w:w="955" w:type="dxa"/>
                  <w:vAlign w:val="center"/>
                </w:tcPr>
                <w:p w14:paraId="51D5C64D">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0.03502</w:t>
                  </w:r>
                </w:p>
              </w:tc>
              <w:tc>
                <w:tcPr>
                  <w:tcW w:w="818" w:type="dxa"/>
                  <w:gridSpan w:val="2"/>
                  <w:vAlign w:val="center"/>
                </w:tcPr>
                <w:p w14:paraId="3E5CBE2F">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0.07113</w:t>
                  </w:r>
                </w:p>
              </w:tc>
              <w:tc>
                <w:tcPr>
                  <w:tcW w:w="764" w:type="dxa"/>
                  <w:gridSpan w:val="2"/>
                  <w:vAlign w:val="center"/>
                </w:tcPr>
                <w:p w14:paraId="3BDEC015">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0.6974</w:t>
                  </w:r>
                </w:p>
              </w:tc>
              <w:tc>
                <w:tcPr>
                  <w:tcW w:w="1030" w:type="dxa"/>
                  <w:gridSpan w:val="2"/>
                  <w:vAlign w:val="center"/>
                </w:tcPr>
                <w:p w14:paraId="1E66C14E">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3.21</w:t>
                  </w:r>
                  <w:r>
                    <w:rPr>
                      <w:rFonts w:hint="default" w:ascii="Arial" w:hAnsi="Arial" w:cs="Arial"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sz w:val="18"/>
                      <w:szCs w:val="18"/>
                      <w:highlight w:val="none"/>
                      <w:vertAlign w:val="superscript"/>
                      <w:lang w:val="en-US" w:eastAsia="zh-CN" w:bidi="ar"/>
                      <w14:textFill>
                        <w14:solidFill>
                          <w14:schemeClr w14:val="tx1">
                            <w14:lumMod w14:val="95000"/>
                            <w14:lumOff w14:val="5000"/>
                          </w14:schemeClr>
                        </w14:solidFill>
                      </w14:textFill>
                    </w:rPr>
                    <w:t>-3</w:t>
                  </w:r>
                </w:p>
              </w:tc>
              <w:tc>
                <w:tcPr>
                  <w:tcW w:w="832" w:type="dxa"/>
                  <w:vAlign w:val="center"/>
                </w:tcPr>
                <w:p w14:paraId="17E54C2C">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1.89</w:t>
                  </w:r>
                </w:p>
                <w:p w14:paraId="45DA0C22">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Merge w:val="restart"/>
                  <w:vAlign w:val="center"/>
                </w:tcPr>
                <w:p w14:paraId="46845417">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4.89mmPb</w:t>
                  </w:r>
                </w:p>
              </w:tc>
            </w:tr>
            <w:tr w14:paraId="47C71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21" w:type="dxa"/>
                  <w:vMerge w:val="continue"/>
                  <w:vAlign w:val="center"/>
                </w:tcPr>
                <w:p w14:paraId="64591449">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Merge w:val="continue"/>
                  <w:vAlign w:val="center"/>
                </w:tcPr>
                <w:p w14:paraId="5A728420">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1541" w:type="dxa"/>
                  <w:vAlign w:val="center"/>
                </w:tcPr>
                <w:p w14:paraId="04E0BB70">
                  <w:pPr>
                    <w:widowControl/>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3mm厚铅板</w:t>
                  </w:r>
                </w:p>
              </w:tc>
              <w:tc>
                <w:tcPr>
                  <w:tcW w:w="955" w:type="dxa"/>
                  <w:vAlign w:val="center"/>
                </w:tcPr>
                <w:p w14:paraId="1A2DBF8F">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2.219</w:t>
                  </w:r>
                </w:p>
              </w:tc>
              <w:tc>
                <w:tcPr>
                  <w:tcW w:w="818" w:type="dxa"/>
                  <w:gridSpan w:val="2"/>
                  <w:vAlign w:val="center"/>
                </w:tcPr>
                <w:p w14:paraId="1F4C4058">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7.923</w:t>
                  </w:r>
                </w:p>
              </w:tc>
              <w:tc>
                <w:tcPr>
                  <w:tcW w:w="764" w:type="dxa"/>
                  <w:gridSpan w:val="2"/>
                  <w:vAlign w:val="center"/>
                </w:tcPr>
                <w:p w14:paraId="2D21D010">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0.5386</w:t>
                  </w:r>
                </w:p>
              </w:tc>
              <w:tc>
                <w:tcPr>
                  <w:tcW w:w="1030" w:type="dxa"/>
                  <w:gridSpan w:val="2"/>
                  <w:vAlign w:val="center"/>
                </w:tcPr>
                <w:p w14:paraId="06952A4F">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8.42×10</w:t>
                  </w:r>
                  <w:r>
                    <w:rPr>
                      <w:rFonts w:hint="eastAsia" w:ascii="Times New Roman" w:hAnsi="Times New Roman" w:cs="Times New Roman" w:eastAsiaTheme="minorEastAsia"/>
                      <w:color w:val="0D0D0D" w:themeColor="text1" w:themeTint="F2"/>
                      <w:sz w:val="18"/>
                      <w:szCs w:val="18"/>
                      <w:highlight w:val="none"/>
                      <w:vertAlign w:val="superscript"/>
                      <w:lang w:val="en-US" w:eastAsia="zh-CN"/>
                      <w14:textFill>
                        <w14:solidFill>
                          <w14:schemeClr w14:val="tx1">
                            <w14:lumMod w14:val="95000"/>
                            <w14:lumOff w14:val="5000"/>
                          </w14:schemeClr>
                        </w14:solidFill>
                      </w14:textFill>
                    </w:rPr>
                    <w:t>-3</w:t>
                  </w:r>
                </w:p>
              </w:tc>
              <w:tc>
                <w:tcPr>
                  <w:tcW w:w="832" w:type="dxa"/>
                  <w:vAlign w:val="center"/>
                </w:tcPr>
                <w:p w14:paraId="76E07131">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3.0</w:t>
                  </w:r>
                </w:p>
                <w:p w14:paraId="73918ADB">
                  <w:pPr>
                    <w:snapToGrid w:val="0"/>
                    <w:ind w:firstLine="0" w:firstLineChars="0"/>
                    <w:jc w:val="cente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Merge w:val="continue"/>
                  <w:vAlign w:val="center"/>
                </w:tcPr>
                <w:p w14:paraId="2F736956">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r>
            <w:tr w14:paraId="3C0FD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37A7A901">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Merge w:val="restart"/>
                  <w:vAlign w:val="center"/>
                </w:tcPr>
                <w:p w14:paraId="6FC09ABC">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地面</w:t>
                  </w:r>
                </w:p>
              </w:tc>
              <w:tc>
                <w:tcPr>
                  <w:tcW w:w="1541" w:type="dxa"/>
                  <w:vAlign w:val="center"/>
                </w:tcPr>
                <w:p w14:paraId="09F450AB">
                  <w:pPr>
                    <w:widowControl/>
                    <w:snapToGrid w:val="0"/>
                    <w:ind w:firstLine="0" w:firstLineChars="0"/>
                    <w:jc w:val="cente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15</w:t>
                  </w: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0mm厚混凝土</w:t>
                  </w:r>
                </w:p>
              </w:tc>
              <w:tc>
                <w:tcPr>
                  <w:tcW w:w="955" w:type="dxa"/>
                  <w:vAlign w:val="center"/>
                </w:tcPr>
                <w:p w14:paraId="28A6965B">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0.03502</w:t>
                  </w:r>
                </w:p>
              </w:tc>
              <w:tc>
                <w:tcPr>
                  <w:tcW w:w="818" w:type="dxa"/>
                  <w:gridSpan w:val="2"/>
                  <w:vAlign w:val="center"/>
                </w:tcPr>
                <w:p w14:paraId="430EC344">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0.07113</w:t>
                  </w:r>
                </w:p>
              </w:tc>
              <w:tc>
                <w:tcPr>
                  <w:tcW w:w="764" w:type="dxa"/>
                  <w:gridSpan w:val="2"/>
                  <w:vAlign w:val="center"/>
                </w:tcPr>
                <w:p w14:paraId="0C98D8BD">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0.6974</w:t>
                  </w:r>
                </w:p>
              </w:tc>
              <w:tc>
                <w:tcPr>
                  <w:tcW w:w="1030" w:type="dxa"/>
                  <w:gridSpan w:val="2"/>
                  <w:vAlign w:val="center"/>
                </w:tcPr>
                <w:p w14:paraId="304CEE33">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3.21</w:t>
                  </w:r>
                  <w:r>
                    <w:rPr>
                      <w:rFonts w:hint="default" w:ascii="Arial" w:hAnsi="Arial" w:cs="Arial"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sz w:val="18"/>
                      <w:szCs w:val="18"/>
                      <w:highlight w:val="none"/>
                      <w:vertAlign w:val="superscript"/>
                      <w:lang w:val="en-US" w:eastAsia="zh-CN" w:bidi="ar"/>
                      <w14:textFill>
                        <w14:solidFill>
                          <w14:schemeClr w14:val="tx1">
                            <w14:lumMod w14:val="95000"/>
                            <w14:lumOff w14:val="5000"/>
                          </w14:schemeClr>
                        </w14:solidFill>
                      </w14:textFill>
                    </w:rPr>
                    <w:t>-3</w:t>
                  </w:r>
                </w:p>
              </w:tc>
              <w:tc>
                <w:tcPr>
                  <w:tcW w:w="832" w:type="dxa"/>
                  <w:vAlign w:val="center"/>
                </w:tcPr>
                <w:p w14:paraId="0AA02B21">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1.89</w:t>
                  </w:r>
                </w:p>
                <w:p w14:paraId="7B271177">
                  <w:pPr>
                    <w:snapToGrid w:val="0"/>
                    <w:ind w:firstLine="0" w:firstLineChars="0"/>
                    <w:jc w:val="cente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Merge w:val="restart"/>
                  <w:vAlign w:val="center"/>
                </w:tcPr>
                <w:p w14:paraId="42CE49DE">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4.51mmPb</w:t>
                  </w:r>
                </w:p>
              </w:tc>
            </w:tr>
            <w:tr w14:paraId="4EF2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4E189527">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Merge w:val="continue"/>
                  <w:vAlign w:val="center"/>
                </w:tcPr>
                <w:p w14:paraId="13C26419">
                  <w:pPr>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p>
              </w:tc>
              <w:tc>
                <w:tcPr>
                  <w:tcW w:w="1541" w:type="dxa"/>
                  <w:vAlign w:val="center"/>
                </w:tcPr>
                <w:p w14:paraId="7C89E01F">
                  <w:pPr>
                    <w:widowControl/>
                    <w:snapToGrid w:val="0"/>
                    <w:ind w:firstLine="0" w:firstLineChars="0"/>
                    <w:jc w:val="cente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30</w:t>
                  </w: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mm</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厚硫酸钡防护涂料层</w:t>
                  </w:r>
                </w:p>
              </w:tc>
              <w:tc>
                <w:tcPr>
                  <w:tcW w:w="3567" w:type="dxa"/>
                  <w:gridSpan w:val="7"/>
                  <w:vAlign w:val="center"/>
                </w:tcPr>
                <w:p w14:paraId="63BAC4E3">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根据《X射线和γ射线防护手册》P76表11.B，在管电压150kV下，50mm厚钡涂料为4.3mm铅当量，25mm厚钡涂料为2.2mm铅当量，采用内插法计算可知，36mm硫酸钡板相当于2.62mm铅当量</w:t>
                  </w:r>
                </w:p>
              </w:tc>
              <w:tc>
                <w:tcPr>
                  <w:tcW w:w="832" w:type="dxa"/>
                  <w:vAlign w:val="center"/>
                </w:tcPr>
                <w:p w14:paraId="670CABF1">
                  <w:pPr>
                    <w:snapToGrid w:val="0"/>
                    <w:ind w:firstLine="0" w:firstLineChars="0"/>
                    <w:jc w:val="center"/>
                    <w:rPr>
                      <w:rFonts w:hint="default"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2.62</w:t>
                  </w:r>
                </w:p>
                <w:p w14:paraId="2C72261D">
                  <w:pPr>
                    <w:snapToGrid w:val="0"/>
                    <w:ind w:firstLine="0" w:firstLineChars="0"/>
                    <w:jc w:val="cente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Merge w:val="continue"/>
                  <w:vAlign w:val="center"/>
                </w:tcPr>
                <w:p w14:paraId="61FAB6E6">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r>
            <w:tr w14:paraId="552E8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696D4D56">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Align w:val="center"/>
                </w:tcPr>
                <w:p w14:paraId="3615C22D">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防护门</w:t>
                  </w:r>
                </w:p>
                <w:p w14:paraId="7E8CB68F">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套）</w:t>
                  </w:r>
                </w:p>
              </w:tc>
              <w:tc>
                <w:tcPr>
                  <w:tcW w:w="1541" w:type="dxa"/>
                  <w:vAlign w:val="center"/>
                </w:tcPr>
                <w:p w14:paraId="65339285">
                  <w:pPr>
                    <w:widowControl/>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均为</w:t>
                  </w:r>
                  <w:r>
                    <w:rPr>
                      <w:rFonts w:hint="default"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内置4mm铅板</w:t>
                  </w:r>
                  <w: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患者通道防护门1套</w:t>
                  </w:r>
                  <w: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、控制室防护门1套、污物通道防护门1套，</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3套门均</w:t>
                  </w:r>
                  <w: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为</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电动推拉</w:t>
                  </w:r>
                  <w:r>
                    <w:rPr>
                      <w:rFonts w:hint="eastAsia" w:ascii="Times New Roman" w:hAnsi="Times New Roman" w:cs="Times New Roman" w:eastAsiaTheme="minorEastAsia"/>
                      <w:color w:val="0D0D0D" w:themeColor="text1" w:themeTint="F2"/>
                      <w:sz w:val="18"/>
                      <w:szCs w:val="18"/>
                      <w:highlight w:val="none"/>
                      <w:lang w:eastAsia="zh-CN"/>
                      <w14:textFill>
                        <w14:solidFill>
                          <w14:schemeClr w14:val="tx1">
                            <w14:lumMod w14:val="95000"/>
                            <w14:lumOff w14:val="5000"/>
                          </w14:schemeClr>
                        </w14:solidFill>
                      </w14:textFill>
                    </w:rPr>
                    <w:t>防护铅门</w:t>
                  </w:r>
                </w:p>
              </w:tc>
              <w:tc>
                <w:tcPr>
                  <w:tcW w:w="955" w:type="dxa"/>
                  <w:vAlign w:val="center"/>
                </w:tcPr>
                <w:p w14:paraId="1B9333AD">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2.219</w:t>
                  </w:r>
                </w:p>
              </w:tc>
              <w:tc>
                <w:tcPr>
                  <w:tcW w:w="818" w:type="dxa"/>
                  <w:gridSpan w:val="2"/>
                  <w:vAlign w:val="center"/>
                </w:tcPr>
                <w:p w14:paraId="3EA957FF">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7.923</w:t>
                  </w:r>
                </w:p>
              </w:tc>
              <w:tc>
                <w:tcPr>
                  <w:tcW w:w="764" w:type="dxa"/>
                  <w:gridSpan w:val="2"/>
                  <w:vAlign w:val="center"/>
                </w:tcPr>
                <w:p w14:paraId="6A149D9F">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0.5386</w:t>
                  </w:r>
                </w:p>
              </w:tc>
              <w:tc>
                <w:tcPr>
                  <w:tcW w:w="1030" w:type="dxa"/>
                  <w:gridSpan w:val="2"/>
                  <w:vAlign w:val="center"/>
                </w:tcPr>
                <w:p w14:paraId="545F2809">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8.42×10</w:t>
                  </w:r>
                  <w:r>
                    <w:rPr>
                      <w:rFonts w:hint="eastAsia" w:ascii="Times New Roman" w:hAnsi="Times New Roman" w:cs="Times New Roman" w:eastAsiaTheme="minorEastAsia"/>
                      <w:color w:val="0D0D0D" w:themeColor="text1" w:themeTint="F2"/>
                      <w:sz w:val="18"/>
                      <w:szCs w:val="18"/>
                      <w:highlight w:val="none"/>
                      <w:vertAlign w:val="superscript"/>
                      <w:lang w:val="en-US" w:eastAsia="zh-CN"/>
                      <w14:textFill>
                        <w14:solidFill>
                          <w14:schemeClr w14:val="tx1">
                            <w14:lumMod w14:val="95000"/>
                            <w14:lumOff w14:val="5000"/>
                          </w14:schemeClr>
                        </w14:solidFill>
                      </w14:textFill>
                    </w:rPr>
                    <w:t>-3</w:t>
                  </w:r>
                </w:p>
              </w:tc>
              <w:tc>
                <w:tcPr>
                  <w:tcW w:w="832" w:type="dxa"/>
                  <w:vAlign w:val="center"/>
                </w:tcPr>
                <w:p w14:paraId="488911C7">
                  <w:pPr>
                    <w:snapToGrid w:val="0"/>
                    <w:ind w:firstLine="0" w:firstLineChars="0"/>
                    <w:jc w:val="cente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.0</w:t>
                  </w:r>
                </w:p>
                <w:p w14:paraId="43153C81">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Align w:val="center"/>
                </w:tcPr>
                <w:p w14:paraId="673FC527">
                  <w:pPr>
                    <w:snapToGrid w:val="0"/>
                    <w:ind w:firstLine="0" w:firstLineChars="0"/>
                    <w:jc w:val="cente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.0</w:t>
                  </w:r>
                </w:p>
                <w:p w14:paraId="6443D154">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r>
            <w:tr w14:paraId="765F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1" w:type="dxa"/>
                  <w:vMerge w:val="continue"/>
                  <w:vAlign w:val="center"/>
                </w:tcPr>
                <w:p w14:paraId="424CD0C8">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796" w:type="dxa"/>
                  <w:vAlign w:val="center"/>
                </w:tcPr>
                <w:p w14:paraId="480315FA">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观察窗</w:t>
                  </w:r>
                </w:p>
              </w:tc>
              <w:tc>
                <w:tcPr>
                  <w:tcW w:w="1541" w:type="dxa"/>
                  <w:vAlign w:val="center"/>
                </w:tcPr>
                <w:p w14:paraId="59AB203F">
                  <w:pPr>
                    <w:widowControl/>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20mm厚铅玻璃</w:t>
                  </w:r>
                </w:p>
              </w:tc>
              <w:tc>
                <w:tcPr>
                  <w:tcW w:w="3567" w:type="dxa"/>
                  <w:gridSpan w:val="7"/>
                  <w:vAlign w:val="center"/>
                </w:tcPr>
                <w:p w14:paraId="312C3EE8">
                  <w:pPr>
                    <w:snapToGrid w:val="0"/>
                    <w:ind w:firstLine="0" w:firstLineChars="0"/>
                    <w:jc w:val="center"/>
                    <w:rPr>
                      <w:rFonts w:hint="default"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根据铅玻璃检测报告（详见附件13），20mm厚铅玻璃具有</w:t>
                  </w:r>
                  <w:r>
                    <w:rPr>
                      <w:rFonts w:hint="eastAsia"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4.</w:t>
                  </w: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38</w:t>
                  </w: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的防护水平，本项目保守取值4.0mmPb。</w:t>
                  </w:r>
                </w:p>
              </w:tc>
              <w:tc>
                <w:tcPr>
                  <w:tcW w:w="832" w:type="dxa"/>
                  <w:vAlign w:val="center"/>
                </w:tcPr>
                <w:p w14:paraId="18F3F173">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4.0</w:t>
                  </w:r>
                </w:p>
                <w:p w14:paraId="6F5598DF">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c>
                <w:tcPr>
                  <w:tcW w:w="839" w:type="dxa"/>
                  <w:vAlign w:val="center"/>
                </w:tcPr>
                <w:p w14:paraId="2F5D58D9">
                  <w:pPr>
                    <w:snapToGrid w:val="0"/>
                    <w:ind w:firstLine="0" w:firstLineChars="0"/>
                    <w:jc w:val="cente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18"/>
                      <w:szCs w:val="18"/>
                      <w:highlight w:val="none"/>
                      <w:lang w:val="en-US" w:eastAsia="zh-CN" w:bidi="ar"/>
                      <w14:textFill>
                        <w14:solidFill>
                          <w14:schemeClr w14:val="tx1">
                            <w14:lumMod w14:val="95000"/>
                            <w14:lumOff w14:val="5000"/>
                          </w14:schemeClr>
                        </w14:solidFill>
                      </w14:textFill>
                    </w:rPr>
                    <w:t>4.0</w:t>
                  </w:r>
                </w:p>
                <w:p w14:paraId="0B42FE13">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18"/>
                      <w:szCs w:val="18"/>
                      <w:highlight w:val="none"/>
                      <w:lang w:bidi="ar"/>
                      <w14:textFill>
                        <w14:solidFill>
                          <w14:schemeClr w14:val="tx1">
                            <w14:lumMod w14:val="95000"/>
                            <w14:lumOff w14:val="5000"/>
                          </w14:schemeClr>
                        </w14:solidFill>
                      </w14:textFill>
                    </w:rPr>
                    <w:t>mmPb</w:t>
                  </w:r>
                </w:p>
              </w:tc>
            </w:tr>
            <w:tr w14:paraId="62A1B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8296" w:type="dxa"/>
                  <w:gridSpan w:val="12"/>
                  <w:vAlign w:val="center"/>
                </w:tcPr>
                <w:p w14:paraId="69B96752">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注：根据医院和施工单位提供的资料，本项目采用的各种防护材料中混凝土密度为2.35g/cm</w:t>
                  </w:r>
                  <w:r>
                    <w:rPr>
                      <w:rFonts w:ascii="Times New Roman" w:hAnsi="Times New Roman" w:cs="Times New Roman" w:eastAsiaTheme="minorEastAsia"/>
                      <w:color w:val="0D0D0D" w:themeColor="text1" w:themeTint="F2"/>
                      <w:sz w:val="18"/>
                      <w:szCs w:val="18"/>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，硫酸钡</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板</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密度为3.2g/cm</w:t>
                  </w:r>
                  <w:r>
                    <w:rPr>
                      <w:rFonts w:ascii="Times New Roman" w:hAnsi="Times New Roman" w:cs="Times New Roman" w:eastAsiaTheme="minorEastAsia"/>
                      <w:color w:val="0D0D0D" w:themeColor="text1" w:themeTint="F2"/>
                      <w:sz w:val="18"/>
                      <w:szCs w:val="18"/>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，铅板密度为11.3g/cm</w:t>
                  </w:r>
                  <w:r>
                    <w:rPr>
                      <w:rFonts w:ascii="Times New Roman" w:hAnsi="Times New Roman" w:cs="Times New Roman" w:eastAsiaTheme="minorEastAsia"/>
                      <w:color w:val="0D0D0D" w:themeColor="text1" w:themeTint="F2"/>
                      <w:sz w:val="18"/>
                      <w:szCs w:val="18"/>
                      <w:highlight w:val="none"/>
                      <w:vertAlign w:val="superscript"/>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。混凝土，砖根据《放射诊断放射防护要求》（GBZ130-2020）附录C医用诊断X射线防护中不同屏蔽物质的铅当量，管电压（有用线束）为125kV时，采用附录C中的C.1、C.2公式进行拟合计算，计算公式如下：</w:t>
                  </w:r>
                </w:p>
                <w:p w14:paraId="19BCB2D0">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对给定的铅厚度，依据NCRP147号报告中给出的不同管电压X射线辐射在铅中衰减的</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拟合值按式（C.1）计算屏蔽透射因子B：</w:t>
                  </w:r>
                </w:p>
                <w:p w14:paraId="47C9130F">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drawing>
                      <wp:inline distT="0" distB="0" distL="114300" distR="114300">
                        <wp:extent cx="4203065" cy="647700"/>
                        <wp:effectExtent l="0" t="0" r="6985" b="0"/>
                        <wp:docPr id="53" name="图片 53" descr="微信截图_20220318152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微信截图_20220318152339"/>
                                <pic:cNvPicPr>
                                  <a:picLocks noChangeAspect="1"/>
                                </pic:cNvPicPr>
                              </pic:nvPicPr>
                              <pic:blipFill>
                                <a:blip r:embed="rId26"/>
                                <a:stretch>
                                  <a:fillRect/>
                                </a:stretch>
                              </pic:blipFill>
                              <pic:spPr>
                                <a:xfrm>
                                  <a:off x="0" y="0"/>
                                  <a:ext cx="4203065" cy="647700"/>
                                </a:xfrm>
                                <a:prstGeom prst="rect">
                                  <a:avLst/>
                                </a:prstGeom>
                              </pic:spPr>
                            </pic:pic>
                          </a:graphicData>
                        </a:graphic>
                      </wp:inline>
                    </w:drawing>
                  </w:r>
                </w:p>
                <w:p w14:paraId="58FDF2DD">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式中：</w:t>
                  </w:r>
                </w:p>
                <w:p w14:paraId="6C6855BE">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B——给定铅厚度的屏蔽透射因子；</w:t>
                  </w:r>
                </w:p>
                <w:p w14:paraId="5C259428">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β——铅对不同管电压x射线辐射衰减的有关的拟合参数；</w:t>
                  </w:r>
                </w:p>
                <w:p w14:paraId="1E9395D2">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——铅对不同管电压X射线辐射衰减的有关的拟合参数；</w:t>
                  </w:r>
                </w:p>
                <w:p w14:paraId="58A167D2">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——铅对不同管电压X射线辐射衰减的有关的拟合参数；</w:t>
                  </w:r>
                </w:p>
                <w:p w14:paraId="2BF192B6">
                  <w:pPr>
                    <w:spacing w:line="360" w:lineRule="auto"/>
                    <w:ind w:firstLine="420"/>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X</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——铅厚度。</w:t>
                  </w:r>
                </w:p>
                <w:p w14:paraId="5E987CEC">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b）依据NCRP147号报告中给出的不同管电压X射线辐射在其他屏蔽物质中衰减的</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拟合值</w:t>
                  </w: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C.2公式的</w:t>
                  </w: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B值，使用式（C.2）计算出各屏蔽物质的铅当量厚度X：</w:t>
                  </w:r>
                </w:p>
                <w:p w14:paraId="00189FA1">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drawing>
                      <wp:inline distT="0" distB="0" distL="114300" distR="114300">
                        <wp:extent cx="4297045" cy="944880"/>
                        <wp:effectExtent l="0" t="0" r="8255" b="7620"/>
                        <wp:docPr id="58" name="图片 58" descr="微信截图_2022031815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微信截图_20220318152535"/>
                                <pic:cNvPicPr>
                                  <a:picLocks noChangeAspect="1"/>
                                </pic:cNvPicPr>
                              </pic:nvPicPr>
                              <pic:blipFill>
                                <a:blip r:embed="rId27"/>
                                <a:stretch>
                                  <a:fillRect/>
                                </a:stretch>
                              </pic:blipFill>
                              <pic:spPr>
                                <a:xfrm>
                                  <a:off x="0" y="0"/>
                                  <a:ext cx="4297045" cy="944880"/>
                                </a:xfrm>
                                <a:prstGeom prst="rect">
                                  <a:avLst/>
                                </a:prstGeom>
                              </pic:spPr>
                            </pic:pic>
                          </a:graphicData>
                        </a:graphic>
                      </wp:inline>
                    </w:drawing>
                  </w:r>
                </w:p>
                <w:p w14:paraId="57EF1433">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式中：</w:t>
                  </w:r>
                </w:p>
                <w:p w14:paraId="57C773A3">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X——不同屏蔽物质的铅当量厚度；</w:t>
                  </w:r>
                </w:p>
                <w:p w14:paraId="467D5C64">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α——不同屏蔽物质对不同管电压X射线辐射衰减的有关的拟合参数；</w:t>
                  </w:r>
                </w:p>
                <w:p w14:paraId="59FA2ABA">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γ——不同屏蔽物质对不同管电压X射线辐射衰减的有关的拟合参数；</w:t>
                  </w:r>
                </w:p>
                <w:p w14:paraId="0EAC9B61">
                  <w:pPr>
                    <w:spacing w:line="360" w:lineRule="auto"/>
                    <w:ind w:firstLine="420"/>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B——给定铅厚度的屏蔽透射因子；</w:t>
                  </w:r>
                </w:p>
                <w:p w14:paraId="69D51DF6">
                  <w:pPr>
                    <w:adjustRightInd w:val="0"/>
                    <w:snapToGrid w:val="0"/>
                    <w:ind w:firstLine="0" w:firstLineChars="0"/>
                    <w:jc w:val="cente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表10-</w:t>
                  </w:r>
                  <w:r>
                    <w:rPr>
                      <w:rFonts w:hint="eastAsia"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3</w:t>
                  </w: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 xml:space="preserve">  铅、混凝土、砖对125管电压下X射线辐射衰减的有关的三个拟合参数</w:t>
                  </w:r>
                </w:p>
                <w:tbl>
                  <w:tblPr>
                    <w:tblStyle w:val="22"/>
                    <w:tblW w:w="8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1200"/>
                    <w:gridCol w:w="1159"/>
                    <w:gridCol w:w="1147"/>
                    <w:gridCol w:w="1023"/>
                    <w:gridCol w:w="1050"/>
                    <w:gridCol w:w="910"/>
                  </w:tblGrid>
                  <w:tr w14:paraId="723D2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3" w:type="dxa"/>
                        <w:vMerge w:val="restart"/>
                        <w:vAlign w:val="center"/>
                      </w:tcPr>
                      <w:p w14:paraId="4D5957CD">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管电压</w:t>
                        </w:r>
                      </w:p>
                      <w:p w14:paraId="34771629">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kV</w:t>
                        </w:r>
                      </w:p>
                    </w:tc>
                    <w:tc>
                      <w:tcPr>
                        <w:tcW w:w="3506" w:type="dxa"/>
                        <w:gridSpan w:val="3"/>
                        <w:vAlign w:val="center"/>
                      </w:tcPr>
                      <w:p w14:paraId="75C8540F">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铅</w:t>
                        </w:r>
                      </w:p>
                    </w:tc>
                    <w:tc>
                      <w:tcPr>
                        <w:tcW w:w="2983" w:type="dxa"/>
                        <w:gridSpan w:val="3"/>
                        <w:vAlign w:val="center"/>
                      </w:tcPr>
                      <w:p w14:paraId="26FA3238">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混凝土</w:t>
                        </w:r>
                      </w:p>
                    </w:tc>
                  </w:tr>
                  <w:tr w14:paraId="6F1CD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553" w:type="dxa"/>
                        <w:vMerge w:val="continue"/>
                        <w:vAlign w:val="center"/>
                      </w:tcPr>
                      <w:p w14:paraId="56E7050A">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p>
                    </w:tc>
                    <w:tc>
                      <w:tcPr>
                        <w:tcW w:w="1200" w:type="dxa"/>
                        <w:vAlign w:val="center"/>
                      </w:tcPr>
                      <w:p w14:paraId="139FB812">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p>
                    </w:tc>
                    <w:tc>
                      <w:tcPr>
                        <w:tcW w:w="1159" w:type="dxa"/>
                        <w:vAlign w:val="center"/>
                      </w:tcPr>
                      <w:p w14:paraId="23109835">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p>
                    </w:tc>
                    <w:tc>
                      <w:tcPr>
                        <w:tcW w:w="1147" w:type="dxa"/>
                        <w:vAlign w:val="center"/>
                      </w:tcPr>
                      <w:p w14:paraId="0C6CAB20">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p>
                    </w:tc>
                    <w:tc>
                      <w:tcPr>
                        <w:tcW w:w="1023" w:type="dxa"/>
                        <w:vAlign w:val="center"/>
                      </w:tcPr>
                      <w:p w14:paraId="7028489E">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α</w:t>
                        </w:r>
                      </w:p>
                    </w:tc>
                    <w:tc>
                      <w:tcPr>
                        <w:tcW w:w="1050" w:type="dxa"/>
                        <w:vAlign w:val="center"/>
                      </w:tcPr>
                      <w:p w14:paraId="0A65ADE2">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p>
                    </w:tc>
                    <w:tc>
                      <w:tcPr>
                        <w:tcW w:w="910" w:type="dxa"/>
                        <w:vAlign w:val="center"/>
                      </w:tcPr>
                      <w:p w14:paraId="1750C21D">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p>
                    </w:tc>
                  </w:tr>
                  <w:tr w14:paraId="110F5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3" w:type="dxa"/>
                        <w:vAlign w:val="center"/>
                      </w:tcPr>
                      <w:p w14:paraId="164534E9">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125</w:t>
                        </w:r>
                      </w:p>
                      <w:p w14:paraId="1EEFA4A4">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（主束）</w:t>
                        </w:r>
                      </w:p>
                    </w:tc>
                    <w:tc>
                      <w:tcPr>
                        <w:tcW w:w="1200" w:type="dxa"/>
                        <w:vAlign w:val="center"/>
                      </w:tcPr>
                      <w:p w14:paraId="762FB8FF">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2.219</w:t>
                        </w:r>
                      </w:p>
                    </w:tc>
                    <w:tc>
                      <w:tcPr>
                        <w:tcW w:w="1159" w:type="dxa"/>
                        <w:vAlign w:val="center"/>
                      </w:tcPr>
                      <w:p w14:paraId="428F2C6A">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7.923</w:t>
                        </w:r>
                      </w:p>
                    </w:tc>
                    <w:tc>
                      <w:tcPr>
                        <w:tcW w:w="1147" w:type="dxa"/>
                        <w:vAlign w:val="center"/>
                      </w:tcPr>
                      <w:p w14:paraId="09103BC3">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0.5386</w:t>
                        </w:r>
                      </w:p>
                    </w:tc>
                    <w:tc>
                      <w:tcPr>
                        <w:tcW w:w="1023" w:type="dxa"/>
                        <w:vAlign w:val="center"/>
                      </w:tcPr>
                      <w:p w14:paraId="4CE39839">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0.03502</w:t>
                        </w:r>
                      </w:p>
                    </w:tc>
                    <w:tc>
                      <w:tcPr>
                        <w:tcW w:w="1050" w:type="dxa"/>
                        <w:vAlign w:val="center"/>
                      </w:tcPr>
                      <w:p w14:paraId="24AA1744">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0.07113</w:t>
                        </w:r>
                      </w:p>
                    </w:tc>
                    <w:tc>
                      <w:tcPr>
                        <w:tcW w:w="910" w:type="dxa"/>
                        <w:vAlign w:val="center"/>
                      </w:tcPr>
                      <w:p w14:paraId="07D7A654">
                        <w:pPr>
                          <w:snapToGrid w:val="0"/>
                          <w:ind w:firstLine="0" w:firstLineChars="0"/>
                          <w:jc w:val="cente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0.6974</w:t>
                        </w:r>
                      </w:p>
                    </w:tc>
                  </w:tr>
                </w:tbl>
                <w:p w14:paraId="5592F5B3">
                  <w:pPr>
                    <w:snapToGrid w:val="0"/>
                    <w:spacing w:line="360" w:lineRule="auto"/>
                    <w:ind w:firstLine="420"/>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已知屋顶、地面为1</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0mm厚混凝土，将混凝土的厚度以及相应的α</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拟合值带入</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C.1公式中及可得出相应厚度的</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屏蔽透射因子（</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B</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），将</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B值和铅的α</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、β、</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γ</w:t>
                  </w:r>
                  <w:r>
                    <w:rPr>
                      <w:rFonts w:hint="default" w:ascii="Times New Roman" w:hAnsi="Times New Roman" w:cs="Times New Roman" w:eastAsiaTheme="minorEastAsia"/>
                      <w:color w:val="0D0D0D" w:themeColor="text1" w:themeTint="F2"/>
                      <w:sz w:val="18"/>
                      <w:szCs w:val="18"/>
                      <w:highlight w:val="none"/>
                      <w:lang w:val="zh-CN"/>
                      <w14:textFill>
                        <w14:solidFill>
                          <w14:schemeClr w14:val="tx1">
                            <w14:lumMod w14:val="95000"/>
                            <w14:lumOff w14:val="5000"/>
                          </w14:schemeClr>
                        </w14:solidFill>
                      </w14:textFill>
                    </w:rPr>
                    <w:t>拟合值</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带入C.2中可得出不同屏蔽物质的铅当量厚度。因此可得1</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0mm混凝土相当于1.</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89</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mm铅当量。</w:t>
                  </w:r>
                </w:p>
                <w:p w14:paraId="00AE2C9B">
                  <w:pPr>
                    <w:snapToGrid w:val="0"/>
                    <w:spacing w:line="360" w:lineRule="auto"/>
                    <w:ind w:firstLine="420"/>
                    <w:rPr>
                      <w:rFonts w:ascii="Times New Roman" w:hAnsi="Times New Roman" w:cs="Times New Roman"/>
                      <w:color w:val="0D0D0D" w:themeColor="text1" w:themeTint="F2"/>
                      <w:sz w:val="18"/>
                      <w:szCs w:val="18"/>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本项目硫酸钡板</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为预制板，其成份类似于硫酸钡涂料层，其密度不小于3.2g/cm</w:t>
                  </w:r>
                  <w:r>
                    <w:rPr>
                      <w:rFonts w:hint="eastAsia" w:ascii="Times New Roman" w:hAnsi="Times New Roman" w:cs="Times New Roman" w:eastAsiaTheme="minorEastAsia"/>
                      <w:color w:val="0D0D0D" w:themeColor="text1" w:themeTint="F2"/>
                      <w:sz w:val="18"/>
                      <w:szCs w:val="18"/>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，因此，本项目</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保守取在管电压150kV下的铅当量，根据《X射线和γ射线防护手册》P76表11.B，在管电压150kV下，50mm厚钡涂料为4.3mm铅当量，25mm厚钡涂料为2.2mm铅当量，采用内插法计算可知，</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30</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mm硫酸</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防护涂层</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相当于</w:t>
                  </w:r>
                  <w:r>
                    <w:rPr>
                      <w:rFonts w:hint="eastAsia" w:ascii="Times New Roman" w:hAnsi="Times New Roman" w:cs="Times New Roman" w:eastAsiaTheme="minorEastAsia"/>
                      <w:color w:val="0D0D0D" w:themeColor="text1" w:themeTint="F2"/>
                      <w:sz w:val="18"/>
                      <w:szCs w:val="18"/>
                      <w:highlight w:val="none"/>
                      <w:lang w:val="en-US" w:eastAsia="zh-CN"/>
                      <w14:textFill>
                        <w14:solidFill>
                          <w14:schemeClr w14:val="tx1">
                            <w14:lumMod w14:val="95000"/>
                            <w14:lumOff w14:val="5000"/>
                          </w14:schemeClr>
                        </w14:solidFill>
                      </w14:textFill>
                    </w:rPr>
                    <w:t>2.62</w:t>
                  </w:r>
                  <w:r>
                    <w:rPr>
                      <w:rFonts w:hint="default" w:ascii="Times New Roman" w:hAnsi="Times New Roman" w:cs="Times New Roman" w:eastAsiaTheme="minorEastAsia"/>
                      <w:color w:val="0D0D0D" w:themeColor="text1" w:themeTint="F2"/>
                      <w:sz w:val="18"/>
                      <w:szCs w:val="18"/>
                      <w:highlight w:val="none"/>
                      <w14:textFill>
                        <w14:solidFill>
                          <w14:schemeClr w14:val="tx1">
                            <w14:lumMod w14:val="95000"/>
                            <w14:lumOff w14:val="5000"/>
                          </w14:schemeClr>
                        </w14:solidFill>
                      </w14:textFill>
                    </w:rPr>
                    <w:t>mm铅当量。</w:t>
                  </w:r>
                </w:p>
              </w:tc>
            </w:tr>
          </w:tbl>
          <w:p w14:paraId="684603DE">
            <w:pPr>
              <w:spacing w:before="156" w:beforeLines="50"/>
              <w:ind w:firstLine="0" w:firstLineChars="0"/>
              <w:jc w:val="cente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表10-</w:t>
            </w:r>
            <w:r>
              <w:rPr>
                <w:rFonts w:hint="eastAsia"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 xml:space="preserve">4   </w:t>
            </w:r>
            <w:r>
              <w:rPr>
                <w:rFonts w:ascii="Times New Roman" w:hAnsi="Times New Roman" w:cs="Times New Roman" w:eastAsiaTheme="minorEastAsia"/>
                <w:b/>
                <w:bCs/>
                <w:color w:val="0D0D0D" w:themeColor="text1" w:themeTint="F2"/>
                <w:sz w:val="21"/>
                <w:szCs w:val="21"/>
                <w:highlight w:val="none"/>
                <w14:textFill>
                  <w14:solidFill>
                    <w14:schemeClr w14:val="tx1">
                      <w14:lumMod w14:val="95000"/>
                      <w14:lumOff w14:val="5000"/>
                    </w14:schemeClr>
                  </w14:solidFill>
                </w14:textFill>
              </w:rPr>
              <w:t>本项目机房规格与标准对照表</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1312"/>
              <w:gridCol w:w="1647"/>
              <w:gridCol w:w="1384"/>
              <w:gridCol w:w="1385"/>
              <w:gridCol w:w="1385"/>
            </w:tblGrid>
            <w:tr w14:paraId="0CD33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3" w:type="dxa"/>
                  <w:vMerge w:val="restart"/>
                  <w:vAlign w:val="center"/>
                </w:tcPr>
                <w:p w14:paraId="69B9CA5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机房名称</w:t>
                  </w:r>
                </w:p>
              </w:tc>
              <w:tc>
                <w:tcPr>
                  <w:tcW w:w="1312" w:type="dxa"/>
                  <w:vMerge w:val="restart"/>
                  <w:vAlign w:val="center"/>
                </w:tcPr>
                <w:p w14:paraId="2B7D8D5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机房尺寸</w:t>
                  </w:r>
                </w:p>
              </w:tc>
              <w:tc>
                <w:tcPr>
                  <w:tcW w:w="1647" w:type="dxa"/>
                  <w:vMerge w:val="restart"/>
                  <w:vAlign w:val="center"/>
                </w:tcPr>
                <w:p w14:paraId="1495204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有效使用面积/最小单边长</w:t>
                  </w:r>
                </w:p>
              </w:tc>
              <w:tc>
                <w:tcPr>
                  <w:tcW w:w="2769" w:type="dxa"/>
                  <w:gridSpan w:val="2"/>
                  <w:vAlign w:val="center"/>
                </w:tcPr>
                <w:p w14:paraId="7734ABC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标准要求</w:t>
                  </w:r>
                </w:p>
              </w:tc>
              <w:tc>
                <w:tcPr>
                  <w:tcW w:w="1385" w:type="dxa"/>
                  <w:vMerge w:val="restart"/>
                  <w:vAlign w:val="center"/>
                </w:tcPr>
                <w:p w14:paraId="6147C68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是否符合要求</w:t>
                  </w:r>
                </w:p>
              </w:tc>
            </w:tr>
            <w:tr w14:paraId="05775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3" w:type="dxa"/>
                  <w:vMerge w:val="continue"/>
                  <w:vAlign w:val="center"/>
                </w:tcPr>
                <w:p w14:paraId="353D9F9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312" w:type="dxa"/>
                  <w:vMerge w:val="continue"/>
                  <w:vAlign w:val="center"/>
                </w:tcPr>
                <w:p w14:paraId="4285FD9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647" w:type="dxa"/>
                  <w:vMerge w:val="continue"/>
                  <w:vAlign w:val="center"/>
                </w:tcPr>
                <w:p w14:paraId="3734875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384" w:type="dxa"/>
                  <w:vAlign w:val="center"/>
                </w:tcPr>
                <w:p w14:paraId="3B58D89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最小有效使用面积</w:t>
                  </w:r>
                </w:p>
              </w:tc>
              <w:tc>
                <w:tcPr>
                  <w:tcW w:w="1385" w:type="dxa"/>
                  <w:vAlign w:val="center"/>
                </w:tcPr>
                <w:p w14:paraId="54BB1DA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最小单边长</w:t>
                  </w:r>
                </w:p>
              </w:tc>
              <w:tc>
                <w:tcPr>
                  <w:tcW w:w="1385" w:type="dxa"/>
                  <w:vMerge w:val="continue"/>
                  <w:vAlign w:val="center"/>
                </w:tcPr>
                <w:p w14:paraId="626AD87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41A04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193" w:type="dxa"/>
                  <w:vAlign w:val="center"/>
                </w:tcPr>
                <w:p w14:paraId="1CE105BF">
                  <w:pPr>
                    <w:snapToGrid w:val="0"/>
                    <w:ind w:firstLine="0" w:firstLineChars="0"/>
                    <w:jc w:val="cente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p>
              </w:tc>
              <w:tc>
                <w:tcPr>
                  <w:tcW w:w="1312" w:type="dxa"/>
                  <w:vAlign w:val="center"/>
                </w:tcPr>
                <w:p w14:paraId="0544687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最大单边长为9.75m；最小单边长7.10m</w:t>
                  </w:r>
                </w:p>
              </w:tc>
              <w:tc>
                <w:tcPr>
                  <w:tcW w:w="1647" w:type="dxa"/>
                  <w:vAlign w:val="center"/>
                </w:tcPr>
                <w:p w14:paraId="4E65532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69.23</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7.10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p>
              </w:tc>
              <w:tc>
                <w:tcPr>
                  <w:tcW w:w="1384" w:type="dxa"/>
                  <w:vAlign w:val="center"/>
                </w:tcPr>
                <w:p w14:paraId="162E8CF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20m</w:t>
                  </w:r>
                  <w:r>
                    <w:rPr>
                      <w:rFonts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p>
              </w:tc>
              <w:tc>
                <w:tcPr>
                  <w:tcW w:w="1385" w:type="dxa"/>
                  <w:vAlign w:val="center"/>
                </w:tcPr>
                <w:p w14:paraId="35431B7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3.5m</w:t>
                  </w:r>
                </w:p>
              </w:tc>
              <w:tc>
                <w:tcPr>
                  <w:tcW w:w="1385" w:type="dxa"/>
                  <w:vAlign w:val="center"/>
                </w:tcPr>
                <w:p w14:paraId="31657B6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bl>
          <w:p w14:paraId="1BC4E07A">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通过表10-2~10-</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可知，本项目的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面积、最小单边长度均</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满足</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标准要求，其墙体、</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屋顶</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地面</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、防护门以及观察窗均采取了辐射屏蔽措施，充分考虑了邻室周围场所的人员防护与安全，且屏蔽厚度均高于有用线束和非有用线束铅当量防护厚度标准规定值。从X射线放射诊断场所的屏蔽方面考虑，本项目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的屏蔽设计的技术要求满足</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《放射诊断放射防护要求》（GBZ130-2020）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中相关防护设施的技术要求。</w:t>
            </w:r>
          </w:p>
          <w:p w14:paraId="6CDE95AC">
            <w:pPr>
              <w:widowControl/>
              <w:spacing w:line="360" w:lineRule="auto"/>
              <w:ind w:left="0" w:leftChars="0" w:firstLine="0" w:firstLineChars="0"/>
              <w:jc w:val="left"/>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10.1.3辐射防护施工工艺</w:t>
            </w:r>
          </w:p>
          <w:p w14:paraId="14EE0F49">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项目所在楼层高度为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4.2</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m，屋顶防护铅板紧贴楼顶铺设，</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采用40×60方管焊接吊架</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进行吊顶处理</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吊顶距地面高度</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3.7</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。机房防护见图10-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8DCDE1A">
            <w:pPr>
              <w:widowControl/>
              <w:spacing w:line="360" w:lineRule="auto"/>
              <w:ind w:left="0" w:leftChars="0" w:firstLine="0" w:firstLineChars="0"/>
              <w:jc w:val="cente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drawing>
                <wp:inline distT="0" distB="0" distL="114300" distR="114300">
                  <wp:extent cx="5273040" cy="3569335"/>
                  <wp:effectExtent l="0" t="0" r="3810" b="1206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28"/>
                          <a:stretch>
                            <a:fillRect/>
                          </a:stretch>
                        </pic:blipFill>
                        <pic:spPr>
                          <a:xfrm>
                            <a:off x="0" y="0"/>
                            <a:ext cx="5273040" cy="3569335"/>
                          </a:xfrm>
                          <a:prstGeom prst="rect">
                            <a:avLst/>
                          </a:prstGeom>
                          <a:noFill/>
                          <a:ln>
                            <a:noFill/>
                          </a:ln>
                        </pic:spPr>
                      </pic:pic>
                    </a:graphicData>
                  </a:graphic>
                </wp:inline>
              </w:drawing>
            </w:r>
          </w:p>
          <w:p w14:paraId="07067758">
            <w:pPr>
              <w:widowControl/>
              <w:spacing w:line="360" w:lineRule="auto"/>
              <w:ind w:left="0" w:leftChars="0" w:firstLine="0" w:firstLineChars="0"/>
              <w:jc w:val="cente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2</w:t>
            </w: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机房屏蔽防护平面图</w:t>
            </w:r>
          </w:p>
          <w:p w14:paraId="290E54DB">
            <w:pPr>
              <w:widowControl/>
              <w:spacing w:line="360" w:lineRule="auto"/>
              <w:ind w:left="0" w:leftChars="0" w:firstLine="0" w:firstLineChars="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drawing>
                <wp:inline distT="0" distB="0" distL="114300" distR="114300">
                  <wp:extent cx="5265420" cy="2580640"/>
                  <wp:effectExtent l="0" t="0" r="11430" b="1016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29"/>
                          <a:stretch>
                            <a:fillRect/>
                          </a:stretch>
                        </pic:blipFill>
                        <pic:spPr>
                          <a:xfrm>
                            <a:off x="0" y="0"/>
                            <a:ext cx="5265420" cy="2580640"/>
                          </a:xfrm>
                          <a:prstGeom prst="rect">
                            <a:avLst/>
                          </a:prstGeom>
                          <a:noFill/>
                          <a:ln>
                            <a:noFill/>
                          </a:ln>
                        </pic:spPr>
                      </pic:pic>
                    </a:graphicData>
                  </a:graphic>
                </wp:inline>
              </w:drawing>
            </w:r>
          </w:p>
          <w:p w14:paraId="67828859">
            <w:pPr>
              <w:widowControl/>
              <w:spacing w:line="360" w:lineRule="auto"/>
              <w:ind w:left="0" w:leftChars="0" w:firstLine="0" w:firstLineChars="0"/>
              <w:jc w:val="cente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机房屏蔽防护剖面图</w:t>
            </w:r>
          </w:p>
          <w:p w14:paraId="2F70C751">
            <w:pPr>
              <w:widowControl/>
              <w:spacing w:line="360" w:lineRule="auto"/>
              <w:ind w:firstLine="0" w:firstLineChars="0"/>
              <w:jc w:val="left"/>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10.1.4其他防护措施</w:t>
            </w:r>
          </w:p>
          <w:p w14:paraId="092FCBFA">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X射线的基本防护原则是减少照射时间、远离辐射源以及进行必要的屏蔽。本项目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对X射线外照射采取了以下辐射安全与防护措施：</w:t>
            </w:r>
          </w:p>
          <w:p w14:paraId="0531450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（1）设备固有措施</w:t>
            </w:r>
          </w:p>
          <w:p w14:paraId="77583BC8">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移动式C形臂X射线机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从正规厂家购买，设备本身采取了多种固有安全防护措施：</w:t>
            </w:r>
          </w:p>
          <w:p w14:paraId="789FB3D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①设备具有可调限束装置，使装置发射的线束宽度尽量减小，以减少泄漏辐射；</w:t>
            </w:r>
          </w:p>
          <w:p w14:paraId="67F9C637">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②采取光谱过滤技术：在X射线管头放置合适的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铜</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过滤板，以消除软X射线及减少二次散射，优化有用X射线谱；</w:t>
            </w:r>
          </w:p>
          <w:p w14:paraId="445D5AEF">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③采用脉冲透视技术：在透视图像数字化基础上实现脉冲透视，改善图像清晰度，可减少透视剂量；</w:t>
            </w:r>
          </w:p>
          <w:p w14:paraId="4550D4D2">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④采用图像冻结技术：每次透视的最后一帧图像被暂存并保留在监视器上显示，即称之为图像冻结，此技术可缩短总透视时间，达到减少不必要的照射；</w:t>
            </w:r>
          </w:p>
          <w:p w14:paraId="3F5B488F">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⑤本项目</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移动式C形臂X射线机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透视开关为常断式，并配有透视限时装置；机房内具有工作人员在不变换操作位置情况下能成功切换透视和摄影功能的控制键；</w:t>
            </w:r>
          </w:p>
          <w:p w14:paraId="1214C96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⑥配备个人防护用品和辅助防护设施，配置如下表</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3092F75">
            <w:pPr>
              <w:widowControl/>
              <w:ind w:firstLine="0" w:firstLineChars="0"/>
              <w:jc w:val="cente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表10-</w:t>
            </w:r>
            <w:r>
              <w:rPr>
                <w:rFonts w:hint="eastAsia"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5</w:t>
            </w: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 xml:space="preserve">   个人防护用品和辅助防护设施配置</w:t>
            </w:r>
          </w:p>
          <w:tbl>
            <w:tblPr>
              <w:tblStyle w:val="22"/>
              <w:tblW w:w="8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1587"/>
              <w:gridCol w:w="1587"/>
              <w:gridCol w:w="1746"/>
              <w:gridCol w:w="1589"/>
            </w:tblGrid>
            <w:tr w14:paraId="4BAEC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87" w:type="dxa"/>
                  <w:vMerge w:val="restart"/>
                  <w:vAlign w:val="center"/>
                </w:tcPr>
                <w:p w14:paraId="2E31CB5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放射检查类型</w:t>
                  </w:r>
                </w:p>
              </w:tc>
              <w:tc>
                <w:tcPr>
                  <w:tcW w:w="3174" w:type="dxa"/>
                  <w:gridSpan w:val="2"/>
                  <w:vAlign w:val="center"/>
                </w:tcPr>
                <w:p w14:paraId="4CE56F6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工作人员</w:t>
                  </w:r>
                </w:p>
              </w:tc>
              <w:tc>
                <w:tcPr>
                  <w:tcW w:w="3335" w:type="dxa"/>
                  <w:gridSpan w:val="2"/>
                  <w:vAlign w:val="center"/>
                </w:tcPr>
                <w:p w14:paraId="19DB119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患者和受检者</w:t>
                  </w:r>
                </w:p>
              </w:tc>
            </w:tr>
            <w:tr w14:paraId="430B4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587" w:type="dxa"/>
                  <w:vMerge w:val="continue"/>
                  <w:vAlign w:val="center"/>
                </w:tcPr>
                <w:p w14:paraId="75DE18B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587" w:type="dxa"/>
                  <w:vAlign w:val="center"/>
                </w:tcPr>
                <w:p w14:paraId="0B936F9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个人防护用品</w:t>
                  </w:r>
                </w:p>
              </w:tc>
              <w:tc>
                <w:tcPr>
                  <w:tcW w:w="1587" w:type="dxa"/>
                  <w:vAlign w:val="center"/>
                </w:tcPr>
                <w:p w14:paraId="473C86A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辅助防护用品</w:t>
                  </w:r>
                </w:p>
              </w:tc>
              <w:tc>
                <w:tcPr>
                  <w:tcW w:w="1746" w:type="dxa"/>
                  <w:vAlign w:val="center"/>
                </w:tcPr>
                <w:p w14:paraId="3A38D12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个人防护用品</w:t>
                  </w:r>
                </w:p>
              </w:tc>
              <w:tc>
                <w:tcPr>
                  <w:tcW w:w="1589" w:type="dxa"/>
                  <w:vAlign w:val="center"/>
                </w:tcPr>
                <w:p w14:paraId="7448075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辅助防护用品</w:t>
                  </w:r>
                </w:p>
              </w:tc>
            </w:tr>
            <w:tr w14:paraId="468A8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163995D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介入放射学操作</w:t>
                  </w:r>
                </w:p>
              </w:tc>
              <w:tc>
                <w:tcPr>
                  <w:tcW w:w="1587" w:type="dxa"/>
                  <w:vAlign w:val="center"/>
                </w:tcPr>
                <w:p w14:paraId="39F9590F">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铅橡胶围裙、铅橡胶颈套、铅防护眼镜、</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介入防护</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手套</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、铅橡胶帽子</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w:t>
                  </w:r>
                </w:p>
              </w:tc>
              <w:tc>
                <w:tcPr>
                  <w:tcW w:w="1587" w:type="dxa"/>
                  <w:vAlign w:val="center"/>
                </w:tcPr>
                <w:p w14:paraId="0F63BC89">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铅悬挂防护屏、床侧防护屏各1块</w:t>
                  </w:r>
                </w:p>
              </w:tc>
              <w:tc>
                <w:tcPr>
                  <w:tcW w:w="1746" w:type="dxa"/>
                  <w:vAlign w:val="center"/>
                </w:tcPr>
                <w:p w14:paraId="09B68C4B">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铅橡胶性腺防护</w:t>
                  </w:r>
                </w:p>
                <w:p w14:paraId="20986773">
                  <w:pPr>
                    <w:widowControl/>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围裙（方形）或方巾、铅橡胶颈套、铅橡胶帽子各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w:t>
                  </w:r>
                </w:p>
              </w:tc>
              <w:tc>
                <w:tcPr>
                  <w:tcW w:w="1589" w:type="dxa"/>
                  <w:vAlign w:val="center"/>
                </w:tcPr>
                <w:p w14:paraId="1C33EB8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7BB9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096" w:type="dxa"/>
                  <w:gridSpan w:val="5"/>
                  <w:vAlign w:val="center"/>
                </w:tcPr>
                <w:p w14:paraId="3F88B77D">
                  <w:pPr>
                    <w:widowControl/>
                    <w:snapToGrid w:val="0"/>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注：“—”表示不需要；防护用品铅当量为0.5mmPb。</w:t>
                  </w:r>
                </w:p>
              </w:tc>
            </w:tr>
          </w:tbl>
          <w:p w14:paraId="337B821E">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（2）场所设计安全措施</w:t>
            </w:r>
          </w:p>
          <w:p w14:paraId="57116CB0">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bookmarkStart w:id="64" w:name="OLE_LINK232"/>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采取实体屏蔽措施，</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设计的防护能力和评价依据对照情况见表10-</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，屏蔽设计满足GBZ130-2020标准相关要求，可以保证</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周围（含观察窗、楼上</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楼下</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）及防护门外30cm处辐射剂量率不大于2.5μSv/h，且工作人员和公众的受照剂量满足环评文件提出的剂量约束要求。</w:t>
            </w:r>
          </w:p>
          <w:p w14:paraId="55D231C5">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w:t>
            </w:r>
            <w:bookmarkStart w:id="65" w:name="OLE_LINK103"/>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控制室防护门、患者通道防护门、污物通道防护门</w:t>
            </w:r>
            <w:bookmarkEnd w:id="65"/>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均</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设计有工作状态指示灯，设置门灯联锁装置，工作状态指示灯与各自的防护门能有效联动，当防护门关闭时，指示灯亮起，防止无关人员误入机房，导致误照射。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控制室防护门、患者通道防护门均</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为电动</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推拉门</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，设有脚触感应式开门、并有延时自动关闭功能，防夹装置为红外感应；</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污物通道防护门</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为电动</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推拉门，设手压式开关、自动闭门装置</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4C136A6">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控制室防护门、患者通道防护门、污物通道防护门</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表面以及过道外墙上设计有电离辐射警告标志、中文警示说明，提醒人员注意射线，防止误照射；</w:t>
            </w:r>
          </w:p>
          <w:p w14:paraId="245CA183">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④</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设备上及</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控制台处各设计有</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个急停按钮</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，当设备误照射或故障时能够及时的中断照射；</w:t>
            </w:r>
          </w:p>
          <w:p w14:paraId="54FDCB22">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⑤</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内安装1套监控和对讲系统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，可实时监控</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介入室内情况</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7F70C316">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kern w:val="0"/>
                <w:highlight w:val="none"/>
                <w:lang w:bidi="ar"/>
                <w14:textFill>
                  <w14:solidFill>
                    <w14:schemeClr w14:val="tx1">
                      <w14:lumMod w14:val="95000"/>
                      <w14:lumOff w14:val="5000"/>
                    </w14:schemeClr>
                  </w14:solidFill>
                </w14:textFill>
              </w:rPr>
              <w:t>⑥</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本项目辐射工作人员须配备</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双</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剂量计</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共配备22个个人剂量剂</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项目介入工作人员应在铅围裙外锁骨对应的领口位置</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及铅围裙内躯干上各佩带一个剂量计</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剂量计应有明显标记，防止剂量计戴反，每个季度及时对剂量计送检，建立个人剂量健康档案</w:t>
            </w:r>
            <w:bookmarkEnd w:id="64"/>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另新增2台个人剂量报警仪、便携式辐射巡测仪（依托医院已有设施）。</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拟采取的辐射安全措施详见图10-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5F1C77F1">
            <w:pPr>
              <w:widowControl/>
              <w:spacing w:line="360" w:lineRule="auto"/>
              <w:ind w:left="0" w:leftChars="0" w:firstLine="0" w:firstLineChars="0"/>
              <w:jc w:val="cente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drawing>
                <wp:inline distT="0" distB="0" distL="114300" distR="114300">
                  <wp:extent cx="5266055" cy="3901440"/>
                  <wp:effectExtent l="0" t="0" r="10795" b="381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30"/>
                          <a:stretch>
                            <a:fillRect/>
                          </a:stretch>
                        </pic:blipFill>
                        <pic:spPr>
                          <a:xfrm>
                            <a:off x="0" y="0"/>
                            <a:ext cx="5266055" cy="3901440"/>
                          </a:xfrm>
                          <a:prstGeom prst="rect">
                            <a:avLst/>
                          </a:prstGeom>
                          <a:noFill/>
                          <a:ln>
                            <a:noFill/>
                          </a:ln>
                        </pic:spPr>
                      </pic:pic>
                    </a:graphicData>
                  </a:graphic>
                </wp:inline>
              </w:drawing>
            </w:r>
          </w:p>
          <w:p w14:paraId="288BD52C">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辐射安全措施平面布置图</w:t>
            </w:r>
          </w:p>
          <w:p w14:paraId="792D4AC5">
            <w:pPr>
              <w:spacing w:line="360" w:lineRule="auto"/>
              <w:ind w:firstLine="480"/>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与《放射诊断放射防护要求》（GBZ130-2020）符合性分析</w:t>
            </w:r>
          </w:p>
          <w:p w14:paraId="53404C05">
            <w:pPr>
              <w:spacing w:line="360" w:lineRule="auto"/>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表10-</w:t>
            </w:r>
            <w:r>
              <w:rPr>
                <w:rFonts w:hint="eastAsia" w:ascii="Times New Roman" w:hAnsi="Times New Roman" w:cs="Times New Roman" w:eastAsiaTheme="minorEastAsia"/>
                <w:b/>
                <w:color w:val="0D0D0D" w:themeColor="text1" w:themeTint="F2"/>
                <w:highlight w:val="none"/>
                <w:lang w:val="en-US" w:eastAsia="zh-CN"/>
                <w14:textFill>
                  <w14:solidFill>
                    <w14:schemeClr w14:val="tx1">
                      <w14:lumMod w14:val="95000"/>
                      <w14:lumOff w14:val="5000"/>
                    </w14:schemeClr>
                  </w14:solidFill>
                </w14:textFill>
              </w:rPr>
              <w:t>6</w:t>
            </w:r>
            <w:r>
              <w:rPr>
                <w:rFonts w:hint="eastAsia"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  本项目与《放射诊断放射防护要求》（GBZ130-2020）符合性分析</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3766"/>
              <w:gridCol w:w="3111"/>
              <w:gridCol w:w="766"/>
            </w:tblGrid>
            <w:tr w14:paraId="61ED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663" w:type="dxa"/>
                  <w:vAlign w:val="center"/>
                </w:tcPr>
                <w:p w14:paraId="53DC41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序号</w:t>
                  </w:r>
                </w:p>
              </w:tc>
              <w:tc>
                <w:tcPr>
                  <w:tcW w:w="3766" w:type="dxa"/>
                  <w:vAlign w:val="center"/>
                </w:tcPr>
                <w:p w14:paraId="5F4F4D7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《放射诊断放射防护要求》（GBZ130-2020）</w:t>
                  </w:r>
                </w:p>
              </w:tc>
              <w:tc>
                <w:tcPr>
                  <w:tcW w:w="3111" w:type="dxa"/>
                  <w:vAlign w:val="center"/>
                </w:tcPr>
                <w:p w14:paraId="4444E2A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本项目</w:t>
                  </w:r>
                </w:p>
              </w:tc>
              <w:tc>
                <w:tcPr>
                  <w:tcW w:w="766" w:type="dxa"/>
                  <w:vAlign w:val="center"/>
                </w:tcPr>
                <w:p w14:paraId="47D239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符合性</w:t>
                  </w:r>
                </w:p>
              </w:tc>
            </w:tr>
            <w:tr w14:paraId="7FF7C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5" w:hRule="atLeast"/>
              </w:trPr>
              <w:tc>
                <w:tcPr>
                  <w:tcW w:w="663" w:type="dxa"/>
                  <w:vAlign w:val="center"/>
                </w:tcPr>
                <w:p w14:paraId="069809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w:t>
                  </w:r>
                </w:p>
              </w:tc>
              <w:tc>
                <w:tcPr>
                  <w:tcW w:w="3766" w:type="dxa"/>
                  <w:vAlign w:val="center"/>
                </w:tcPr>
                <w:p w14:paraId="3BE50B5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5.8.1介入放射学、近台同室操作(非普通荧光屏透视)用X射线设备应满足其相应设备类型的防护性能专用要求。</w:t>
                  </w:r>
                </w:p>
                <w:p w14:paraId="31738AFE">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5.8.2在机房内应具备工作人员在不变换操作位置情况下能成功切换透视和摄影功能的控制键。</w:t>
                  </w:r>
                </w:p>
                <w:p w14:paraId="2B066C52">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5.8.3X射线设备应配备能阻止使用焦皮距小于20cm的装置。</w:t>
                  </w:r>
                </w:p>
                <w:p w14:paraId="28E5C6B4">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5.8.4介入操作中，设备控制台和机房内显示器上应能显示当前受检者的辐射剂量测定指示和多次曝光剂量记录。</w:t>
                  </w:r>
                </w:p>
              </w:tc>
              <w:tc>
                <w:tcPr>
                  <w:tcW w:w="3111" w:type="dxa"/>
                  <w:vAlign w:val="center"/>
                </w:tcPr>
                <w:p w14:paraId="3D9E1FE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设备能满足防护性能的专用要求</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p w14:paraId="2FC27C2A">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设备具备工作人员在不变换操作位置情况下能成功切换透视和摄影功能的控制键。</w:t>
                  </w:r>
                </w:p>
                <w:p w14:paraId="4FE7E0F7">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设备配备能阻止使用焦皮距小于20cm的装置。</w:t>
                  </w:r>
                </w:p>
                <w:p w14:paraId="1492767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4、本项目介入操作中，设备控制台和</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内显示器上能显示当前受检者的辐射剂量测定指示和多次曝光剂量记录。</w:t>
                  </w:r>
                </w:p>
              </w:tc>
              <w:tc>
                <w:tcPr>
                  <w:tcW w:w="766" w:type="dxa"/>
                  <w:vAlign w:val="center"/>
                </w:tcPr>
                <w:p w14:paraId="7C7CB99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符合</w:t>
                  </w:r>
                </w:p>
              </w:tc>
            </w:tr>
            <w:tr w14:paraId="5C9DF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8" w:hRule="atLeast"/>
              </w:trPr>
              <w:tc>
                <w:tcPr>
                  <w:tcW w:w="663" w:type="dxa"/>
                  <w:vAlign w:val="center"/>
                </w:tcPr>
                <w:p w14:paraId="1E37A32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w:t>
                  </w:r>
                </w:p>
              </w:tc>
              <w:tc>
                <w:tcPr>
                  <w:tcW w:w="3766" w:type="dxa"/>
                  <w:vAlign w:val="center"/>
                </w:tcPr>
                <w:p w14:paraId="2CC52EE9">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1、应合理设置X射线设备、机房的门、窗和管线口位置，应尽量避免有用线束直接照射门、窗、管线口和工作人员操作位。</w:t>
                  </w:r>
                </w:p>
                <w:p w14:paraId="3FD5CC4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2、X射线设备机房(照射室)的设置应充分考虑邻室(含楼上和楼下)及周围场所的人员防护与安全。</w:t>
                  </w:r>
                </w:p>
                <w:p w14:paraId="1479D1A6">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3、每台固定使用的X射线设备应设有单独的机房，机房应满足使用设备的布局要求。</w:t>
                  </w:r>
                </w:p>
                <w:p w14:paraId="7A2853F4">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4、除床旁摄影设备、便携式X射线设备和车载式诊断X射线设备外，对新建、改建和扩建项目和技术改造、技术引进项目的X射线设备机房，其最小有效使用面积应大于20m2、最小单边长度应大于3.5m。</w:t>
                  </w:r>
                </w:p>
              </w:tc>
              <w:tc>
                <w:tcPr>
                  <w:tcW w:w="3111" w:type="dxa"/>
                  <w:vAlign w:val="center"/>
                </w:tcPr>
                <w:p w14:paraId="107B7A88">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1、经分析，本项目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设备、</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门、窗及管线口位置布置合理，避免了有用线束直接照射门、窗、管线口和工作人员操作位。</w:t>
                  </w:r>
                </w:p>
                <w:p w14:paraId="3B728C3B">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的设置充分考虑邻室(含</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楼上、</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楼下)及周围场所的人员防护与安全。</w:t>
                  </w:r>
                </w:p>
                <w:p w14:paraId="703955C0">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设有单独的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满足使用设备的布局要求。</w:t>
                  </w:r>
                </w:p>
                <w:p w14:paraId="5479768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，其最小有效使用面积大于20m</w:t>
                  </w:r>
                  <w:r>
                    <w:rPr>
                      <w:rFonts w:hint="default" w:ascii="Times New Roman" w:hAnsi="Times New Roman" w:cs="Times New Roman" w:eastAsiaTheme="minorEastAsia"/>
                      <w:color w:val="0D0D0D" w:themeColor="text1" w:themeTint="F2"/>
                      <w:kern w:val="0"/>
                      <w:sz w:val="21"/>
                      <w:szCs w:val="21"/>
                      <w:highlight w:val="none"/>
                      <w:vertAlign w:val="superscript"/>
                      <w:lang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、最小单边长度大于3.5m。</w:t>
                  </w:r>
                </w:p>
                <w:p w14:paraId="6172F88A">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766" w:type="dxa"/>
                  <w:vAlign w:val="center"/>
                </w:tcPr>
                <w:p w14:paraId="0C6E92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符合</w:t>
                  </w:r>
                </w:p>
              </w:tc>
            </w:tr>
            <w:tr w14:paraId="0BABC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663" w:type="dxa"/>
                  <w:vAlign w:val="center"/>
                </w:tcPr>
                <w:p w14:paraId="6EA595C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w:t>
                  </w:r>
                </w:p>
              </w:tc>
              <w:tc>
                <w:tcPr>
                  <w:tcW w:w="3766" w:type="dxa"/>
                  <w:vAlign w:val="center"/>
                </w:tcPr>
                <w:p w14:paraId="4536387B">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1.C形臂X射线设备机房的屏蔽防护铅当量厚度有用线束方向铅当量和非有用线束方向铅当量都应大于2mmpb.</w:t>
                  </w:r>
                </w:p>
                <w:p w14:paraId="5B3DC8BF">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2、机房的门和窗关闭时铅防护当量应大于2mmpb。</w:t>
                  </w:r>
                </w:p>
              </w:tc>
              <w:tc>
                <w:tcPr>
                  <w:tcW w:w="3111" w:type="dxa"/>
                  <w:vAlign w:val="center"/>
                </w:tcPr>
                <w:p w14:paraId="25B90A59">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的四周墙体、楼顶、</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地面、</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铅防护门、控制室观察窗铅防护当量均大于2mmpb。</w:t>
                  </w:r>
                </w:p>
                <w:p w14:paraId="75141D62">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766" w:type="dxa"/>
                  <w:vAlign w:val="center"/>
                </w:tcPr>
                <w:p w14:paraId="490CFA5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符合</w:t>
                  </w:r>
                </w:p>
              </w:tc>
            </w:tr>
            <w:tr w14:paraId="1ABA5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center"/>
                </w:tcPr>
                <w:p w14:paraId="36701B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w:t>
                  </w:r>
                </w:p>
              </w:tc>
              <w:tc>
                <w:tcPr>
                  <w:tcW w:w="3766" w:type="dxa"/>
                  <w:vAlign w:val="center"/>
                </w:tcPr>
                <w:p w14:paraId="08D86351">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1、机房应设有观察窗或摄像监控装置，其设置的位置应便于观察到受检者状态及防护门开闭情况。</w:t>
                  </w:r>
                </w:p>
                <w:p w14:paraId="4E95B66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2、机房内不应堆放与该设备诊断工作无关的杂物。</w:t>
                  </w:r>
                </w:p>
                <w:p w14:paraId="17B79C0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3、机房应设置动力通风装置，并保持良好的通风。</w:t>
                  </w:r>
                </w:p>
                <w:p w14:paraId="6701652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4、机房门外应有电离辐射警告标志；机房门上方应有醒目的工作状态指示灯，灯箱上应设置如“射线有害、灯亮勿入”的可视警示语句；候诊区应设置放射防护注意事项告知</w:t>
                  </w:r>
                </w:p>
                <w:p w14:paraId="6EB61487">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5、平开机房门应有自动闭门装置：推拉式机房门应设有曝光时关闭机房门的管理措施；工作状态指示灯能与机房门有效关联。</w:t>
                  </w:r>
                </w:p>
                <w:p w14:paraId="343A1D7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6、电动推拉门宜设置防夹装置。</w:t>
                  </w:r>
                </w:p>
                <w:p w14:paraId="1B1FEB6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7、受检者不应在机房内候诊：非特殊情况，检查过程中陪检者不应滞留在机房内。</w:t>
                  </w:r>
                </w:p>
                <w:p w14:paraId="4BFC849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8、模拟定位设备机房防护设施应满足相应设备类型的防护要求。</w:t>
                  </w:r>
                </w:p>
                <w:p w14:paraId="2ACBC540">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9、机房出入门宜处于散射辐射相对低的位置。</w:t>
                  </w:r>
                </w:p>
                <w:p w14:paraId="7AF0889F">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p w14:paraId="06A10775">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111" w:type="dxa"/>
                  <w:vAlign w:val="center"/>
                </w:tcPr>
                <w:p w14:paraId="21BA4BD7">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1、项目</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设有观察窗及摄像监控装置，其设置的位置便于观察到受检者状态及防护门开闭情况。</w:t>
                  </w:r>
                </w:p>
                <w:p w14:paraId="6E648AB4">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内不堆放与该设备诊断工作无关的杂物。</w:t>
                  </w:r>
                </w:p>
                <w:p w14:paraId="30E7EF2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内</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已设置动力通风装置，并保持良好的通风。</w:t>
                  </w:r>
                </w:p>
                <w:p w14:paraId="338B639E">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4、每道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门外已设电离辐射警告标志；每道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门上方已设有醒目的工作状态指示灯，灯箱上设有“射线有害、灯亮勿入”的可视警示语句；候诊区置放射防护注意事项告知栏。</w:t>
                  </w:r>
                </w:p>
                <w:p w14:paraId="5A87E51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本项目介入手术室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平开门均设有自动闭门装置：推拉式门设有曝光时关闭机房门的管理措施；工作状态指示灯能与</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门有效联动。</w:t>
                  </w:r>
                </w:p>
                <w:p w14:paraId="76B77F41">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6、电动推拉门均已设置红外线防夹装置。</w:t>
                  </w:r>
                </w:p>
                <w:p w14:paraId="111C034B">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7、受检者不在</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内候诊：非特殊情况，检查过程中陪检者不滞留在</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w:t>
                  </w:r>
                </w:p>
                <w:p w14:paraId="1BCD19A9">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8、模拟定位设备</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防护设施满足相应设备类型的防护要求。</w:t>
                  </w:r>
                </w:p>
                <w:p w14:paraId="0BAF5C01">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9、</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出入门处于散射辐射相对低的位。</w:t>
                  </w:r>
                </w:p>
              </w:tc>
              <w:tc>
                <w:tcPr>
                  <w:tcW w:w="766" w:type="dxa"/>
                  <w:vAlign w:val="center"/>
                </w:tcPr>
                <w:p w14:paraId="346B15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符合</w:t>
                  </w:r>
                </w:p>
              </w:tc>
            </w:tr>
          </w:tbl>
          <w:p w14:paraId="743714EE">
            <w:pPr>
              <w:spacing w:line="360" w:lineRule="auto"/>
              <w:ind w:firstLine="480"/>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综上所述，本项目满足《放射诊断放射防护要求》（GBZ130-2020）相关要求。</w:t>
            </w:r>
          </w:p>
          <w:p w14:paraId="3DB943BB">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）电缆沟布设</w:t>
            </w:r>
          </w:p>
          <w:p w14:paraId="2DFF5A3E">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bookmarkStart w:id="66" w:name="OLE_LINK104"/>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本项目控制电缆从设备基座下方设置电缆沟</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150</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mm宽×</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0</w:t>
            </w: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mm深)，</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电缆沟布设于混凝土层内，</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电缆沟从介入手术室</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北侧</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水平倾斜45度穿墙</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进入控制室</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设备间</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穿墙</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两侧外延0.5m的电缆采用3mm铅皮包裹，防护墙下方电缆沟的坑道用硫酸钡填充作为屏蔽补偿，硫酸钡防护涂料密度为3.2g/cm</w:t>
            </w:r>
            <w:r>
              <w:rPr>
                <w:rFonts w:hint="default"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，介入手术室内延伸的电缆沟顶部</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铺设一层3mm厚铅皮，上方再用5mm厚钢板做盖板。拟采用的屏蔽防护措施满足《放射诊断放射防护要求》（GBZ130-2020）中的屏蔽防护要求。</w:t>
            </w:r>
          </w:p>
          <w:bookmarkEnd w:id="66"/>
          <w:p w14:paraId="0195BD4C">
            <w:pPr>
              <w:widowControl/>
              <w:spacing w:line="360" w:lineRule="auto"/>
              <w:ind w:left="0" w:leftChars="0" w:firstLine="0" w:firstLineChars="0"/>
              <w:jc w:val="left"/>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drawing>
                <wp:inline distT="0" distB="0" distL="114300" distR="114300">
                  <wp:extent cx="5262880" cy="3923665"/>
                  <wp:effectExtent l="0" t="0" r="13970" b="635"/>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
                          <pic:cNvPicPr>
                            <a:picLocks noChangeAspect="1"/>
                          </pic:cNvPicPr>
                        </pic:nvPicPr>
                        <pic:blipFill>
                          <a:blip r:embed="rId31"/>
                          <a:stretch>
                            <a:fillRect/>
                          </a:stretch>
                        </pic:blipFill>
                        <pic:spPr>
                          <a:xfrm>
                            <a:off x="0" y="0"/>
                            <a:ext cx="5262880" cy="3923665"/>
                          </a:xfrm>
                          <a:prstGeom prst="rect">
                            <a:avLst/>
                          </a:prstGeom>
                          <a:noFill/>
                          <a:ln>
                            <a:noFill/>
                          </a:ln>
                        </pic:spPr>
                      </pic:pic>
                    </a:graphicData>
                  </a:graphic>
                </wp:inline>
              </w:drawing>
            </w:r>
          </w:p>
          <w:p w14:paraId="3CE634FA">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电缆沟平面布置图</w:t>
            </w:r>
          </w:p>
          <w:p w14:paraId="149EB08F">
            <w:pPr>
              <w:widowControl/>
              <w:spacing w:line="360" w:lineRule="auto"/>
              <w:ind w:left="0" w:leftChars="0" w:firstLine="0" w:firstLineChars="0"/>
              <w:jc w:val="left"/>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drawing>
                <wp:inline distT="0" distB="0" distL="114300" distR="114300">
                  <wp:extent cx="5266690" cy="1931670"/>
                  <wp:effectExtent l="0" t="0" r="10160" b="11430"/>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32"/>
                          <a:stretch>
                            <a:fillRect/>
                          </a:stretch>
                        </pic:blipFill>
                        <pic:spPr>
                          <a:xfrm>
                            <a:off x="0" y="0"/>
                            <a:ext cx="5266690" cy="1931670"/>
                          </a:xfrm>
                          <a:prstGeom prst="rect">
                            <a:avLst/>
                          </a:prstGeom>
                          <a:noFill/>
                          <a:ln>
                            <a:noFill/>
                          </a:ln>
                        </pic:spPr>
                      </pic:pic>
                    </a:graphicData>
                  </a:graphic>
                </wp:inline>
              </w:drawing>
            </w:r>
          </w:p>
          <w:p w14:paraId="0A198B4E">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6</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电缆沟设计及穿墙示意图</w:t>
            </w:r>
          </w:p>
          <w:p w14:paraId="58104D32">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）通风管道布设</w:t>
            </w:r>
          </w:p>
          <w:p w14:paraId="416C6E88">
            <w:pPr>
              <w:widowControl/>
              <w:spacing w:line="360" w:lineRule="auto"/>
              <w:ind w:firstLine="480"/>
              <w:jc w:val="left"/>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1FA22D1C">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drawing>
                <wp:inline distT="0" distB="0" distL="114300" distR="114300">
                  <wp:extent cx="5265420" cy="4201160"/>
                  <wp:effectExtent l="0" t="0" r="11430" b="8890"/>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33"/>
                          <a:stretch>
                            <a:fillRect/>
                          </a:stretch>
                        </pic:blipFill>
                        <pic:spPr>
                          <a:xfrm>
                            <a:off x="0" y="0"/>
                            <a:ext cx="5265420" cy="4201160"/>
                          </a:xfrm>
                          <a:prstGeom prst="rect">
                            <a:avLst/>
                          </a:prstGeom>
                          <a:noFill/>
                          <a:ln>
                            <a:noFill/>
                          </a:ln>
                        </pic:spPr>
                      </pic:pic>
                    </a:graphicData>
                  </a:graphic>
                </wp:inline>
              </w:drawing>
            </w:r>
          </w:p>
          <w:p w14:paraId="2925E994">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7</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通风管道平面布置图</w:t>
            </w:r>
          </w:p>
          <w:p w14:paraId="548A2DF3">
            <w:pPr>
              <w:widowControl/>
              <w:spacing w:line="360" w:lineRule="auto"/>
              <w:ind w:left="0" w:leftChars="0"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drawing>
                <wp:inline distT="0" distB="0" distL="114300" distR="114300">
                  <wp:extent cx="5269865" cy="1736725"/>
                  <wp:effectExtent l="0" t="0" r="6985" b="15875"/>
                  <wp:docPr id="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3"/>
                          <pic:cNvPicPr>
                            <a:picLocks noChangeAspect="1"/>
                          </pic:cNvPicPr>
                        </pic:nvPicPr>
                        <pic:blipFill>
                          <a:blip r:embed="rId34"/>
                          <a:stretch>
                            <a:fillRect/>
                          </a:stretch>
                        </pic:blipFill>
                        <pic:spPr>
                          <a:xfrm>
                            <a:off x="0" y="0"/>
                            <a:ext cx="5269865" cy="1736725"/>
                          </a:xfrm>
                          <a:prstGeom prst="rect">
                            <a:avLst/>
                          </a:prstGeom>
                          <a:noFill/>
                          <a:ln>
                            <a:noFill/>
                          </a:ln>
                        </pic:spPr>
                      </pic:pic>
                    </a:graphicData>
                  </a:graphic>
                </wp:inline>
              </w:drawing>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图10-</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8</w:t>
            </w:r>
            <w:r>
              <w:rPr>
                <w:rFonts w:hint="default"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 xml:space="preserve">  通风管道剖面图</w:t>
            </w:r>
          </w:p>
          <w:p w14:paraId="05D2E77B">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10.2三废的治理</w:t>
            </w:r>
          </w:p>
          <w:p w14:paraId="2C36D98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（1）废气治理措施</w:t>
            </w:r>
          </w:p>
          <w:p w14:paraId="4CFB702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运营过程会产生少量的臭氧及氮氧化物，项目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设有通风系统，</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产生的臭氧</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及氮氧化物</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通过</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楼内</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排风管道</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引致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项目区东南侧通风井中，通过通风井引至医技楼楼顶排放，排放口的设置避开人了群活动区域，排放口设置合理，废气经排风管引至室外</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排放</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，常温下</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臭氧</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自行分解为氧气，</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废气再经稀释扩散后</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对环境影响很小。</w:t>
            </w:r>
          </w:p>
          <w:p w14:paraId="28A88DC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（2）废水治理措施</w:t>
            </w:r>
          </w:p>
          <w:p w14:paraId="7E97F5B0">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采用数字成像，无废显、定影液产生，无需相关治理措施。医护人员产生的生活污水及手术器械清洗产生的医疗废水进入</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依托的昆明市中医医院</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污水处理站预处理达标后排入</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项目区北侧的祥丰街城市污水管网</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，最终</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排入呈贡污水处理厂</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19B2905D">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（3）固体废弃物治理措施</w:t>
            </w:r>
          </w:p>
          <w:p w14:paraId="05E7CA5E">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采用数字成像，无废胶片产生。</w:t>
            </w:r>
          </w:p>
          <w:p w14:paraId="2F7F7E85">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②介入手术时产生的医用器具和药棉、纱布、手套等医用辅料，采用专门的容器集中收集后，转移至</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依托的昆明市中医医院</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已建医疗废物</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暂存间，定期交由</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云南正晓环保投资有限公司</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清运处置。</w:t>
            </w:r>
          </w:p>
          <w:p w14:paraId="7A1F27B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③工作人员产生的生活垃圾不属于医疗废物，集中收集后交由环卫部门统一清运。</w:t>
            </w:r>
          </w:p>
          <w:p w14:paraId="2F9C12BB">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（4）噪声治理措施</w:t>
            </w:r>
          </w:p>
          <w:p w14:paraId="43B1C452">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本项目运营期噪声主要来源于</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通风系统的风机，机房所使用的射线装置、风机均为低噪声设备，其噪声值一般低于60dB(A)，噪声较小，均处于室内，通过建筑墙体隔声及距离衰减后，运行期间厂界噪声可达到《工业企业厂界环境噪声排放标准》（GB12348-2008）</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类标准要求。</w:t>
            </w:r>
          </w:p>
          <w:p w14:paraId="2C55BE3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综上所述，</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采取的污染防治措施均符合国家相关标准的要求。</w:t>
            </w:r>
          </w:p>
          <w:p w14:paraId="68D0979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环保设施及投资分析</w:t>
            </w:r>
          </w:p>
          <w:p w14:paraId="434E3259">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本项目总投资预计为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564</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万元，其中辐射环保投资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53.9</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万元，占总投资的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9.56</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%。本项目环保投资一览表详见表10-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7</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B8ACBB3">
            <w:pPr>
              <w:widowControl/>
              <w:ind w:firstLine="0" w:firstLineChars="0"/>
              <w:jc w:val="cente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表10-</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7</w:t>
            </w:r>
            <w:r>
              <w:rPr>
                <w:rFonts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辐射防护（措施）及投资概算一览表</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131"/>
              <w:gridCol w:w="1915"/>
              <w:gridCol w:w="3450"/>
              <w:gridCol w:w="1089"/>
            </w:tblGrid>
            <w:tr w14:paraId="04C3F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21" w:type="dxa"/>
                  <w:vAlign w:val="center"/>
                </w:tcPr>
                <w:p w14:paraId="1DC74E18">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阶段</w:t>
                  </w:r>
                </w:p>
              </w:tc>
              <w:tc>
                <w:tcPr>
                  <w:tcW w:w="1131" w:type="dxa"/>
                  <w:vAlign w:val="center"/>
                </w:tcPr>
                <w:p w14:paraId="2A261445">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项目</w:t>
                  </w:r>
                </w:p>
              </w:tc>
              <w:tc>
                <w:tcPr>
                  <w:tcW w:w="1915" w:type="dxa"/>
                  <w:vAlign w:val="center"/>
                </w:tcPr>
                <w:p w14:paraId="179E8EF4">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环保及安全防护措施名称</w:t>
                  </w:r>
                </w:p>
              </w:tc>
              <w:tc>
                <w:tcPr>
                  <w:tcW w:w="3450" w:type="dxa"/>
                  <w:vAlign w:val="center"/>
                </w:tcPr>
                <w:p w14:paraId="613F078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内容</w:t>
                  </w:r>
                </w:p>
              </w:tc>
              <w:tc>
                <w:tcPr>
                  <w:tcW w:w="1089" w:type="dxa"/>
                  <w:vAlign w:val="center"/>
                </w:tcPr>
                <w:p w14:paraId="1951E335">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投资额</w:t>
                  </w:r>
                </w:p>
                <w:p w14:paraId="00429C0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（万元）</w:t>
                  </w:r>
                </w:p>
              </w:tc>
            </w:tr>
            <w:tr w14:paraId="57FF3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21" w:type="dxa"/>
                  <w:vMerge w:val="restart"/>
                  <w:vAlign w:val="center"/>
                </w:tcPr>
                <w:p w14:paraId="6CCFC340">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67" w:name="OLE_LINK60" w:colFirst="4" w:colLast="4"/>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施工期</w:t>
                  </w:r>
                </w:p>
              </w:tc>
              <w:tc>
                <w:tcPr>
                  <w:tcW w:w="1131" w:type="dxa"/>
                  <w:vAlign w:val="center"/>
                </w:tcPr>
                <w:p w14:paraId="42323F79">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废气</w:t>
                  </w:r>
                </w:p>
              </w:tc>
              <w:tc>
                <w:tcPr>
                  <w:tcW w:w="1915" w:type="dxa"/>
                  <w:vAlign w:val="center"/>
                </w:tcPr>
                <w:p w14:paraId="7C0D9F2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便携式喷雾洒水装置、</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彩条布</w:t>
                  </w:r>
                </w:p>
              </w:tc>
              <w:tc>
                <w:tcPr>
                  <w:tcW w:w="3450" w:type="dxa"/>
                  <w:vAlign w:val="center"/>
                </w:tcPr>
                <w:p w14:paraId="6F423B21">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洒水降尘、</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彩条布围挡</w:t>
                  </w:r>
                </w:p>
              </w:tc>
              <w:tc>
                <w:tcPr>
                  <w:tcW w:w="1089" w:type="dxa"/>
                  <w:vAlign w:val="center"/>
                </w:tcPr>
                <w:p w14:paraId="70D4D041">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0.8</w:t>
                  </w:r>
                </w:p>
              </w:tc>
            </w:tr>
            <w:tr w14:paraId="03AB8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21" w:type="dxa"/>
                  <w:vMerge w:val="continue"/>
                  <w:vAlign w:val="center"/>
                </w:tcPr>
                <w:p w14:paraId="0834BC73">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131" w:type="dxa"/>
                  <w:vAlign w:val="center"/>
                </w:tcPr>
                <w:p w14:paraId="5607BCEE">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固废</w:t>
                  </w:r>
                </w:p>
              </w:tc>
              <w:tc>
                <w:tcPr>
                  <w:tcW w:w="1915" w:type="dxa"/>
                  <w:vAlign w:val="center"/>
                </w:tcPr>
                <w:p w14:paraId="6C88704C">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收集袋、车辆遮盖运输</w:t>
                  </w:r>
                </w:p>
              </w:tc>
              <w:tc>
                <w:tcPr>
                  <w:tcW w:w="3450" w:type="dxa"/>
                  <w:vAlign w:val="center"/>
                </w:tcPr>
                <w:p w14:paraId="013B5219">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集中收集后能回收利用的尽量回收利用，不能回收利用的通过袋装装车，车辆遮盖清运至住建部门指定堆放点</w:t>
                  </w:r>
                </w:p>
              </w:tc>
              <w:tc>
                <w:tcPr>
                  <w:tcW w:w="1089" w:type="dxa"/>
                  <w:vAlign w:val="center"/>
                </w:tcPr>
                <w:p w14:paraId="1908C002">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0.6</w:t>
                  </w:r>
                </w:p>
              </w:tc>
            </w:tr>
            <w:tr w14:paraId="2B126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14:paraId="435AD8BB">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运营期</w:t>
                  </w:r>
                </w:p>
              </w:tc>
              <w:tc>
                <w:tcPr>
                  <w:tcW w:w="1131" w:type="dxa"/>
                  <w:vMerge w:val="restart"/>
                  <w:vAlign w:val="center"/>
                </w:tcPr>
                <w:p w14:paraId="68DEBA31">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辐射安全防护措施和环保治理措施</w:t>
                  </w:r>
                </w:p>
              </w:tc>
              <w:tc>
                <w:tcPr>
                  <w:tcW w:w="1915" w:type="dxa"/>
                  <w:vAlign w:val="center"/>
                </w:tcPr>
                <w:p w14:paraId="428B3C1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屏蔽措施</w:t>
                  </w:r>
                </w:p>
              </w:tc>
              <w:tc>
                <w:tcPr>
                  <w:tcW w:w="3450" w:type="dxa"/>
                  <w:vAlign w:val="center"/>
                </w:tcPr>
                <w:p w14:paraId="340968D4">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防护门（嵌</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4.0</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mm厚铅板）</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00</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00×20mm高铅玻璃观察窗</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扇、墙面</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及</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屋顶</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铅板、地面硫酸钡防护涂层、</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电缆及通风管道包裹铅皮、填充硫酸钡的购买与施工。</w:t>
                  </w:r>
                </w:p>
              </w:tc>
              <w:tc>
                <w:tcPr>
                  <w:tcW w:w="1089" w:type="dxa"/>
                  <w:vAlign w:val="center"/>
                </w:tcPr>
                <w:p w14:paraId="16238C19">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21.0</w:t>
                  </w:r>
                </w:p>
              </w:tc>
            </w:tr>
            <w:tr w14:paraId="6C877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39CC4734">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131" w:type="dxa"/>
                  <w:vMerge w:val="continue"/>
                  <w:vAlign w:val="center"/>
                </w:tcPr>
                <w:p w14:paraId="1CAA0931">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915" w:type="dxa"/>
                  <w:vAlign w:val="center"/>
                </w:tcPr>
                <w:p w14:paraId="6DEC64D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安全措施</w:t>
                  </w:r>
                </w:p>
              </w:tc>
              <w:tc>
                <w:tcPr>
                  <w:tcW w:w="3450" w:type="dxa"/>
                  <w:vAlign w:val="center"/>
                </w:tcPr>
                <w:p w14:paraId="62CB52A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门灯联锁</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套，急停按钮</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个，监控和对讲系统</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套，工作指示灯</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套等。</w:t>
                  </w:r>
                </w:p>
              </w:tc>
              <w:tc>
                <w:tcPr>
                  <w:tcW w:w="1089" w:type="dxa"/>
                  <w:vAlign w:val="center"/>
                </w:tcPr>
                <w:p w14:paraId="59ACF9B5">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p>
              </w:tc>
            </w:tr>
            <w:tr w14:paraId="10D08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21" w:type="dxa"/>
                  <w:vMerge w:val="continue"/>
                  <w:vAlign w:val="center"/>
                </w:tcPr>
                <w:p w14:paraId="0E8B051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131" w:type="dxa"/>
                  <w:vMerge w:val="continue"/>
                  <w:vAlign w:val="center"/>
                </w:tcPr>
                <w:p w14:paraId="49F1891F">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915" w:type="dxa"/>
                  <w:vAlign w:val="center"/>
                </w:tcPr>
                <w:p w14:paraId="40FBB78C">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废气治理</w:t>
                  </w:r>
                </w:p>
              </w:tc>
              <w:tc>
                <w:tcPr>
                  <w:tcW w:w="3450" w:type="dxa"/>
                  <w:vAlign w:val="center"/>
                </w:tcPr>
                <w:p w14:paraId="69E4FD26">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通风系统1套</w:t>
                  </w:r>
                </w:p>
              </w:tc>
              <w:tc>
                <w:tcPr>
                  <w:tcW w:w="1089" w:type="dxa"/>
                  <w:vAlign w:val="center"/>
                </w:tcPr>
                <w:p w14:paraId="6AA4ADE5">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w:t>
                  </w:r>
                </w:p>
              </w:tc>
            </w:tr>
            <w:tr w14:paraId="42D21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21" w:type="dxa"/>
                  <w:vMerge w:val="continue"/>
                  <w:vAlign w:val="center"/>
                </w:tcPr>
                <w:p w14:paraId="19E4D86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131" w:type="dxa"/>
                  <w:vMerge w:val="restart"/>
                  <w:vAlign w:val="center"/>
                </w:tcPr>
                <w:p w14:paraId="63AAC45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人员防护措施</w:t>
                  </w:r>
                </w:p>
              </w:tc>
              <w:tc>
                <w:tcPr>
                  <w:tcW w:w="1915" w:type="dxa"/>
                  <w:vAlign w:val="center"/>
                </w:tcPr>
                <w:p w14:paraId="4813D33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个人剂量监测和职业健康监护</w:t>
                  </w:r>
                </w:p>
              </w:tc>
              <w:tc>
                <w:tcPr>
                  <w:tcW w:w="3450" w:type="dxa"/>
                  <w:vAlign w:val="center"/>
                </w:tcPr>
                <w:p w14:paraId="18DDBD16">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辐射工作人员定期进行健康检查、个人剂量监测，医院建立个人职业健康监护档案和个人剂量档案。</w:t>
                  </w:r>
                </w:p>
              </w:tc>
              <w:tc>
                <w:tcPr>
                  <w:tcW w:w="1089" w:type="dxa"/>
                  <w:vAlign w:val="center"/>
                </w:tcPr>
                <w:p w14:paraId="46AC127A">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w:t>
                  </w:r>
                </w:p>
              </w:tc>
            </w:tr>
            <w:tr w14:paraId="3B6CB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30CC418A">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131" w:type="dxa"/>
                  <w:vMerge w:val="continue"/>
                  <w:vAlign w:val="center"/>
                </w:tcPr>
                <w:p w14:paraId="47DA23F4">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915" w:type="dxa"/>
                  <w:vAlign w:val="center"/>
                </w:tcPr>
                <w:p w14:paraId="7ECF4F4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防护用品</w:t>
                  </w:r>
                </w:p>
              </w:tc>
              <w:tc>
                <w:tcPr>
                  <w:tcW w:w="3450" w:type="dxa"/>
                  <w:vAlign w:val="center"/>
                </w:tcPr>
                <w:p w14:paraId="3A457912">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拟为辐射工作人员配备</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套0.5mm铅当量的铅橡胶围裙、铅橡胶颈套、铅防护眼镜、</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介入防护</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手套</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、铅橡胶帽子</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等个人防护用品。拟为患者配备</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套0.5mm铅当量的铅橡胶围裙、铅橡胶颈套、</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铅橡胶帽子</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等个人防护用品。</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手术室内配备0.5mm铅当量的铅悬挂防护屏、床侧防护帘各1件。</w:t>
                  </w:r>
                </w:p>
              </w:tc>
              <w:tc>
                <w:tcPr>
                  <w:tcW w:w="1089" w:type="dxa"/>
                  <w:vAlign w:val="center"/>
                </w:tcPr>
                <w:p w14:paraId="427DCBB0">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r>
            <w:tr w14:paraId="046FE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3C90692F">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Align w:val="center"/>
                </w:tcPr>
                <w:p w14:paraId="3D77E71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警示标识</w:t>
                  </w:r>
                </w:p>
              </w:tc>
              <w:tc>
                <w:tcPr>
                  <w:tcW w:w="3450" w:type="dxa"/>
                  <w:vAlign w:val="center"/>
                </w:tcPr>
                <w:p w14:paraId="2BBC0159">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电离辐射警示标志</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副，控制区、监督区标示牌等。</w:t>
                  </w:r>
                </w:p>
              </w:tc>
              <w:tc>
                <w:tcPr>
                  <w:tcW w:w="1089" w:type="dxa"/>
                  <w:vAlign w:val="center"/>
                </w:tcPr>
                <w:p w14:paraId="25CD0BFA">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w:t>
                  </w:r>
                </w:p>
              </w:tc>
            </w:tr>
            <w:tr w14:paraId="565A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5A4BC2E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Merge w:val="restart"/>
                  <w:vAlign w:val="center"/>
                </w:tcPr>
                <w:p w14:paraId="15394F71">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环境监测</w:t>
                  </w:r>
                </w:p>
              </w:tc>
              <w:tc>
                <w:tcPr>
                  <w:tcW w:w="3450" w:type="dxa"/>
                  <w:vAlign w:val="center"/>
                </w:tcPr>
                <w:p w14:paraId="79EA846E">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委托有资质单位开展</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工作场所辐射环境年度监测。</w:t>
                  </w:r>
                </w:p>
              </w:tc>
              <w:tc>
                <w:tcPr>
                  <w:tcW w:w="1089" w:type="dxa"/>
                  <w:vAlign w:val="center"/>
                </w:tcPr>
                <w:p w14:paraId="7E86A505">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2740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721" w:type="dxa"/>
                  <w:vMerge w:val="continue"/>
                  <w:vAlign w:val="center"/>
                </w:tcPr>
                <w:p w14:paraId="480DEC18">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Merge w:val="continue"/>
                  <w:vAlign w:val="center"/>
                </w:tcPr>
                <w:p w14:paraId="10AE4E9A">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450" w:type="dxa"/>
                  <w:vAlign w:val="center"/>
                </w:tcPr>
                <w:p w14:paraId="047D296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竣工环保验收</w:t>
                  </w:r>
                </w:p>
              </w:tc>
              <w:tc>
                <w:tcPr>
                  <w:tcW w:w="1089" w:type="dxa"/>
                  <w:vAlign w:val="center"/>
                </w:tcPr>
                <w:p w14:paraId="62E4E8EA">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w:t>
                  </w:r>
                </w:p>
              </w:tc>
            </w:tr>
            <w:tr w14:paraId="3F0B9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351B7D1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Align w:val="center"/>
                </w:tcPr>
                <w:p w14:paraId="685BA165">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运行维护</w:t>
                  </w:r>
                </w:p>
              </w:tc>
              <w:tc>
                <w:tcPr>
                  <w:tcW w:w="3450" w:type="dxa"/>
                  <w:vAlign w:val="center"/>
                </w:tcPr>
                <w:p w14:paraId="46F1675F">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监测仪器的维护、校准，安全设施的维护等。</w:t>
                  </w:r>
                </w:p>
              </w:tc>
              <w:tc>
                <w:tcPr>
                  <w:tcW w:w="1089" w:type="dxa"/>
                  <w:vAlign w:val="center"/>
                </w:tcPr>
                <w:p w14:paraId="1384F7BB">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3.0</w:t>
                  </w:r>
                </w:p>
              </w:tc>
            </w:tr>
            <w:tr w14:paraId="56DD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1AB9EE08">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Align w:val="center"/>
                </w:tcPr>
                <w:p w14:paraId="34D98E37">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监测仪器</w:t>
                  </w:r>
                </w:p>
              </w:tc>
              <w:tc>
                <w:tcPr>
                  <w:tcW w:w="3450" w:type="dxa"/>
                  <w:vAlign w:val="center"/>
                </w:tcPr>
                <w:p w14:paraId="0D243A04">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便携式辐射巡测仪</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依托医院已有</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新增</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台个人剂量报警仪，</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新增22</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枚个人剂量计。</w:t>
                  </w:r>
                </w:p>
              </w:tc>
              <w:tc>
                <w:tcPr>
                  <w:tcW w:w="1089" w:type="dxa"/>
                  <w:vAlign w:val="center"/>
                </w:tcPr>
                <w:p w14:paraId="72E0FFA6">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r>
            <w:tr w14:paraId="78953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14:paraId="182FCF03">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3046" w:type="dxa"/>
                  <w:gridSpan w:val="2"/>
                  <w:vAlign w:val="center"/>
                </w:tcPr>
                <w:p w14:paraId="32E35DB6">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环境风险投资</w:t>
                  </w:r>
                </w:p>
              </w:tc>
              <w:tc>
                <w:tcPr>
                  <w:tcW w:w="3450" w:type="dxa"/>
                  <w:vAlign w:val="center"/>
                </w:tcPr>
                <w:p w14:paraId="21E37221">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购买应急物资，开展辐射事件应急演练等</w:t>
                  </w:r>
                </w:p>
              </w:tc>
              <w:tc>
                <w:tcPr>
                  <w:tcW w:w="1089" w:type="dxa"/>
                  <w:vAlign w:val="center"/>
                </w:tcPr>
                <w:p w14:paraId="7AFCAB27">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w:t>
                  </w:r>
                </w:p>
              </w:tc>
            </w:tr>
            <w:bookmarkEnd w:id="67"/>
            <w:tr w14:paraId="2068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767" w:type="dxa"/>
                  <w:gridSpan w:val="3"/>
                  <w:vAlign w:val="center"/>
                </w:tcPr>
                <w:p w14:paraId="465CD622">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合计</w:t>
                  </w:r>
                </w:p>
              </w:tc>
              <w:tc>
                <w:tcPr>
                  <w:tcW w:w="3450" w:type="dxa"/>
                  <w:vAlign w:val="center"/>
                </w:tcPr>
                <w:p w14:paraId="56D73E50">
                  <w:pPr>
                    <w:widowControl/>
                    <w:snapToGrid w:val="0"/>
                    <w:ind w:firstLine="0" w:firstLineChars="0"/>
                    <w:jc w:val="cente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089" w:type="dxa"/>
                  <w:vAlign w:val="center"/>
                </w:tcPr>
                <w:p w14:paraId="1B0FE87B">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53.9</w:t>
                  </w:r>
                </w:p>
              </w:tc>
            </w:tr>
          </w:tbl>
          <w:p w14:paraId="25947F5C">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p w14:paraId="01D93CC1">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43244F3F">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p w14:paraId="17FF7802">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12CA535B">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334B6F38">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12AEA5E9">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75A64C92">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2766BB73">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13DA0A60">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28395A02">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0D67BFAE">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5198D116">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4B79BC1F">
            <w:pPr>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p>
          <w:p w14:paraId="3B8B1C8B">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p w14:paraId="6201B295">
            <w:pPr>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p>
        </w:tc>
      </w:tr>
    </w:tbl>
    <w:p w14:paraId="318A837D">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68" w:name="_Toc60227353"/>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表11环境影响分析</w:t>
      </w:r>
      <w:bookmarkEnd w:id="68"/>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B6A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6" w:hRule="atLeast"/>
        </w:trPr>
        <w:tc>
          <w:tcPr>
            <w:tcW w:w="8522" w:type="dxa"/>
          </w:tcPr>
          <w:p w14:paraId="5536E256">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11.1建设阶段对环境的影响</w:t>
            </w:r>
          </w:p>
          <w:p w14:paraId="41653DE8">
            <w:pPr>
              <w:widowControl/>
              <w:spacing w:line="360" w:lineRule="auto"/>
              <w:ind w:firstLine="0" w:firstLineChars="0"/>
              <w:jc w:val="left"/>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11.1.1机房施工的环境影响</w:t>
            </w:r>
          </w:p>
          <w:p w14:paraId="5BDD6337">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所在</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（呈贡医院）医技楼</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已建成运行多年</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本次</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利用</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医院医技楼4楼</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原有医疗用房改建为1间</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介入手术室</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及配套辅助用房，并进行防辐射装修后，新增1台</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装置</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。本项目施工期间所产生的废水与固废均依托医院的环保措施进行处理。本项目施工期间主要产生的污染物主要为扬尘、废水、噪声、固废和装修废气等。</w:t>
            </w:r>
          </w:p>
          <w:p w14:paraId="7315BCD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（1）大气环境影响分析 </w:t>
            </w:r>
          </w:p>
          <w:p w14:paraId="57B6B0EB">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本项目施工期产生废气主要为粉尘及装修废气等。在拆除原有隔断墙、凿电缆沟、通风管道过墙凿洞、四周墙体及顶部装修等过程会有一定施工扬尘产生，采取洒水降尘，</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彩条布围挡、</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加强通风透气，降低扬尘的影响。严格按《大气污染物综合排放标准》(GB16297-1996)表2无组织排放监控浓度限值控制，将装修废气的影响降至最低，项目装修过程对周围环境影响较小。</w:t>
            </w:r>
          </w:p>
          <w:p w14:paraId="5707E76C">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综上所述，本项目工程量较小，施工期大气污染物对项目所在地环境空气质量影响较小。</w:t>
            </w:r>
          </w:p>
          <w:p w14:paraId="759962B9">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（2）声环境影响分析</w:t>
            </w:r>
          </w:p>
          <w:p w14:paraId="78F6D518">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本项目施工期噪声源主要有施工机械和设备，由于本项目工程量小，施工作业较少，施工方式主要为人工施工，机械设备的使用较少，</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且</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装修施工</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均</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在室内进行</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项目施工噪声影响是暂时的，将随着施工期的结束而消失。施工期间采取的措施为：</w:t>
            </w:r>
          </w:p>
          <w:p w14:paraId="1326E5E4">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①合理安排施工进度和作业时间，对主要噪声设备应采取相应的限时作业，并尽量避开</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周边人员</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休息时间，12:00~14:00及22:00~6:00禁止施工作业。</w:t>
            </w:r>
          </w:p>
          <w:p w14:paraId="466C2C2E">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②合理安排施工机械安放位置，施工机械应尽可能放置于场界外造成影响最小的地点。</w:t>
            </w:r>
          </w:p>
          <w:p w14:paraId="4019AAD6">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③优先选用低噪声设备，以减少施工噪声。</w:t>
            </w:r>
          </w:p>
          <w:p w14:paraId="45A34B4C">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④对高噪声设备采取隔声、隔振或消声措施，如在声源周围设置掩蔽物、加隔振垫、安装消声器等，可降低噪声源强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dB(A)。</w:t>
            </w:r>
          </w:p>
          <w:p w14:paraId="0FBF4E03">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⑤日常应注意对施工设备的维修、保养，使各种施工机械保持良好的运行状态。</w:t>
            </w:r>
          </w:p>
          <w:p w14:paraId="4B4CAE77">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⑥对施工人员进场进行文明施工教育，施工中或生活中不准大声喧哗。</w:t>
            </w:r>
          </w:p>
          <w:p w14:paraId="6C77AB5D">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⑦施工单位应处理好与施工场界周围居民的关系，避免因噪声污染引发纠纷，影响社会稳定。</w:t>
            </w:r>
          </w:p>
          <w:p w14:paraId="595C60A1">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⑧有关施工现场声环境保护的其它措施按照</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建设工程施工现场环境保护工作基本标准</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执行。</w:t>
            </w:r>
          </w:p>
          <w:p w14:paraId="63BE3D7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经采取上述有效措施后，大大降低了本项目施工过程中噪声对周围的影响，项目施工期噪声可满足《建筑施工场界环境噪声排放标准》</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GB12523-2011</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，施工期噪声对周围环境影响较小。</w:t>
            </w:r>
          </w:p>
          <w:p w14:paraId="282D08B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（3）水环境影响分析 </w:t>
            </w:r>
          </w:p>
          <w:p w14:paraId="6536350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本项目施工期间，</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切</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割机、电钻降温、降尘用水蒸发不产生废水，</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施工人员日常生活会排放一定量的生活污水，主要依托医院污水收集</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系统收集后，排入项目区西北侧依托的昆明市中医医院污水处理站预处理达标后排入项目区北侧的祥丰街城市污水管网</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，不会对周围水环境产生大的影响。</w:t>
            </w:r>
          </w:p>
          <w:p w14:paraId="5864D748">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（4）固体废物 </w:t>
            </w:r>
          </w:p>
          <w:p w14:paraId="18B25EF7">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固体废弃物主要是生活垃圾、建筑垃圾。</w:t>
            </w:r>
          </w:p>
          <w:p w14:paraId="3BE52773">
            <w:pPr>
              <w:pStyle w:val="30"/>
              <w:widowControl/>
              <w:spacing w:line="360" w:lineRule="auto"/>
              <w:ind w:left="480"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①生活垃圾 </w:t>
            </w:r>
          </w:p>
          <w:p w14:paraId="29E462B0">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施工期生活垃圾产生量较小，生活垃圾采用垃圾箱集中收集后由环卫部门统一清运。</w:t>
            </w:r>
          </w:p>
          <w:p w14:paraId="60F78A1B">
            <w:pPr>
              <w:pStyle w:val="30"/>
              <w:widowControl/>
              <w:spacing w:line="360" w:lineRule="auto"/>
              <w:ind w:left="480" w:firstLine="0" w:firstLineChars="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②建筑垃圾 </w:t>
            </w:r>
          </w:p>
          <w:p w14:paraId="6A08987B">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项目产生建筑垃圾主要是</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施工过程</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及装修过程产生的建筑垃圾</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，拆除墙体时产生的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建筑垃圾</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、装修时产生的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包装袋、包装箱、碎木块</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、铅板及钢板边角料</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等。施工期对其中可回收利用部分（如铅</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板</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、钢材等建筑材料）进行回收，其次对建筑垃圾要定点堆放，运至住建部门指定的堆放点。</w:t>
            </w:r>
          </w:p>
          <w:p w14:paraId="3C950F3F">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本项目施工期较短，施工量不大，在建设单位的严格监督下，施工方严格落实各项环保措施，对环境影响不大。</w:t>
            </w:r>
          </w:p>
          <w:p w14:paraId="4E891945">
            <w:pPr>
              <w:widowControl/>
              <w:spacing w:line="360" w:lineRule="auto"/>
              <w:ind w:firstLine="0" w:firstLineChars="0"/>
              <w:jc w:val="left"/>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kern w:val="0"/>
                <w:highlight w:val="none"/>
                <w:lang w:bidi="ar"/>
                <w14:textFill>
                  <w14:solidFill>
                    <w14:schemeClr w14:val="tx1">
                      <w14:lumMod w14:val="95000"/>
                      <w14:lumOff w14:val="5000"/>
                    </w14:schemeClr>
                  </w14:solidFill>
                </w14:textFill>
              </w:rPr>
              <w:t>11.1.2设备安装调试的环境影响</w:t>
            </w:r>
          </w:p>
          <w:p w14:paraId="4C9AB430">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设备安装过程会产生一定的噪声，但产生的噪声很小，且随着设备的安装完毕而消失，对周围环境影响很小</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设备在调试过程会产生X射线，对周围人员产生外照射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设备安装、调试均由厂家专业技术人员负责完成，医院方不得自行拆卸、安装设备</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设备在调试时，</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的防护措施已经建设完成，各屏蔽体屏蔽到位，关闭防护门，在</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门外设立辐射警示标志，禁止无关人员靠近</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由于设备</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调试时间很短，产生的X射线经</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屏蔽后对周围环境影响很小</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设备在调试过程X射线电离空气产生臭氧和氮氧化物</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设备调试时间很短，产生的臭氧和氮氧化物量很少，且可通过</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的排风装置排至室外，对周围环境影响很小</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项目设备调试结束人员离开时手术室必须上锁。</w:t>
            </w:r>
          </w:p>
          <w:p w14:paraId="10094FF9">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11.2运行阶段对环境的影响</w:t>
            </w:r>
          </w:p>
          <w:p w14:paraId="4413260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位于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昆明市中医医院（呈贡医院）医技楼4楼介入手术室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设备</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尚未安装投入使用，因此，对</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周围辐射环境影响评价采用模式预测的方法进行影响分析。</w:t>
            </w:r>
          </w:p>
          <w:p w14:paraId="1D98CAA3">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（1）本项目移动C臂X射线机介入手术室的辐射环境影响</w:t>
            </w:r>
          </w:p>
          <w:p w14:paraId="2FEB0AB6">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本建设项目运营期的主要环境问题是电离辐射污染，即</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开机曝光时产生的X射线。</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本项目手术室尚未</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改造，</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移动C臂X射线机装置</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尚未安装，本次环评通过理论预测的评价方法进行辐射环境影响分析。</w:t>
            </w:r>
          </w:p>
          <w:p w14:paraId="7729BBF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为分析拟建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项目的辐射环境影响分析，根据建设单位提供的相关技术参数和设计方案，对射线装置运行后辐射环境影响进行理论预测。本项目</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主射方向均向上，机头有用线束直接照向患者及影像接收器，不会直射到手术室四周墙体、顶面、地面、防护门及铅窗，且</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图像增强器对X射线主束有屏蔽作用，参照NCRP147报告《StructuralShieldingDesignForMedicalX-RayImagingFacilities》4.1.6章节指出，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屏蔽估算时不需要考虑有用线束（主束）照射，只需考虑散射及漏射线的影响，因此本项目重点考虑手术过程中散射辐射和泄漏辐射对手术室外周围环境的辐射影响。由于电离辐射水平随着距离的增加而衰减，因此选取离辐射工作场所较近、具有代表性的关注点进行分析。</w:t>
            </w:r>
          </w:p>
          <w:p w14:paraId="45F12BAD">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本项目移动C臂X射线机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在使用时，机头会在床旁一定范围移动，在本次散射漏射屏蔽计算时，</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本项目实际运行时透视模式下最大管电压70kV、最大管电流15mA，减影模式下最大管电压80kV、最大管电流20mA</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；保守取设备球管靶点到四周墙壁最近处、观察窗和防护门外0.3m处，顶棚上方（楼上）距顶棚地面100cm，</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地面下方（楼下）距楼下地面170cm，人员受照剂量当量可能最大的位置作为关注点。</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机房外各关注点位置，见图11-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～图11-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w:t>
            </w:r>
          </w:p>
          <w:p w14:paraId="20A5CC55">
            <w:pPr>
              <w:widowControl/>
              <w:spacing w:line="360" w:lineRule="auto"/>
              <w:ind w:left="0" w:leftChars="0" w:firstLine="0" w:firstLineChars="0"/>
              <w:jc w:val="cente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5273040" cy="4282440"/>
                  <wp:effectExtent l="0" t="0" r="3810" b="3810"/>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pic:cNvPicPr>
                        </pic:nvPicPr>
                        <pic:blipFill>
                          <a:blip r:embed="rId35"/>
                          <a:stretch>
                            <a:fillRect/>
                          </a:stretch>
                        </pic:blipFill>
                        <pic:spPr>
                          <a:xfrm>
                            <a:off x="0" y="0"/>
                            <a:ext cx="5273040" cy="4282440"/>
                          </a:xfrm>
                          <a:prstGeom prst="rect">
                            <a:avLst/>
                          </a:prstGeom>
                          <a:noFill/>
                          <a:ln>
                            <a:noFill/>
                          </a:ln>
                        </pic:spPr>
                      </pic:pic>
                    </a:graphicData>
                  </a:graphic>
                </wp:inline>
              </w:drawing>
            </w:r>
          </w:p>
          <w:p w14:paraId="6C33C0F8">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图11-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w:t>
            </w:r>
            <w: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外四周</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各关注点位置</w:t>
            </w:r>
          </w:p>
          <w:p w14:paraId="645D289E">
            <w:pPr>
              <w:pStyle w:val="6"/>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p>
          <w:p w14:paraId="76CBC4A0">
            <w:pPr>
              <w:pStyle w:val="9"/>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p>
          <w:p w14:paraId="5795AD51">
            <w:pPr>
              <w:rPr>
                <w:rFonts w:hint="default"/>
                <w:color w:val="0D0D0D" w:themeColor="text1" w:themeTint="F2"/>
                <w:lang w:val="en-US" w:eastAsia="zh-CN"/>
                <w14:textFill>
                  <w14:solidFill>
                    <w14:schemeClr w14:val="tx1">
                      <w14:lumMod w14:val="95000"/>
                      <w14:lumOff w14:val="5000"/>
                    </w14:schemeClr>
                  </w14:solidFill>
                </w14:textFill>
              </w:rPr>
            </w:pPr>
          </w:p>
          <w:p w14:paraId="7CE4120C">
            <w:pPr>
              <w:widowControl/>
              <w:spacing w:line="360" w:lineRule="auto"/>
              <w:ind w:left="0" w:leftChars="0" w:firstLine="0" w:firstLineChars="0"/>
              <w:jc w:val="cente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4533900" cy="4648200"/>
                  <wp:effectExtent l="0" t="0" r="0" b="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36"/>
                          <a:stretch>
                            <a:fillRect/>
                          </a:stretch>
                        </pic:blipFill>
                        <pic:spPr>
                          <a:xfrm>
                            <a:off x="0" y="0"/>
                            <a:ext cx="4533900" cy="4648200"/>
                          </a:xfrm>
                          <a:prstGeom prst="rect">
                            <a:avLst/>
                          </a:prstGeom>
                          <a:noFill/>
                          <a:ln>
                            <a:noFill/>
                          </a:ln>
                        </pic:spPr>
                      </pic:pic>
                    </a:graphicData>
                  </a:graphic>
                </wp:inline>
              </w:drawing>
            </w:r>
          </w:p>
          <w:p w14:paraId="22C49F90">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图11-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w:t>
            </w:r>
            <w: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楼上</w:t>
            </w:r>
            <w:r>
              <w:rPr>
                <w:rFonts w:hint="default"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楼下注点位置</w:t>
            </w:r>
          </w:p>
          <w:p w14:paraId="00A31BBD">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mc:AlternateContent>
                <mc:Choice Requires="wps">
                  <w:drawing>
                    <wp:anchor distT="0" distB="0" distL="114300" distR="114300" simplePos="0" relativeHeight="251666432" behindDoc="1" locked="0" layoutInCell="1" allowOverlap="1">
                      <wp:simplePos x="0" y="0"/>
                      <wp:positionH relativeFrom="rightMargin">
                        <wp:posOffset>-2806700</wp:posOffset>
                      </wp:positionH>
                      <wp:positionV relativeFrom="topMargin">
                        <wp:posOffset>6007100</wp:posOffset>
                      </wp:positionV>
                      <wp:extent cx="60960" cy="3175"/>
                      <wp:effectExtent l="0" t="0" r="0" b="0"/>
                      <wp:wrapNone/>
                      <wp:docPr id="12" name="任意多边形 12"/>
                      <wp:cNvGraphicFramePr/>
                      <a:graphic xmlns:a="http://schemas.openxmlformats.org/drawingml/2006/main">
                        <a:graphicData uri="http://schemas.microsoft.com/office/word/2010/wordprocessingShape">
                          <wps:wsp>
                            <wps:cNvSpPr/>
                            <wps:spPr>
                              <a:xfrm>
                                <a:off x="0" y="0"/>
                                <a:ext cx="60960" cy="3175"/>
                              </a:xfrm>
                              <a:custGeom>
                                <a:avLst/>
                                <a:gdLst/>
                                <a:ahLst/>
                                <a:cxnLst/>
                                <a:pathLst>
                                  <a:path w="96" h="5">
                                    <a:moveTo>
                                      <a:pt x="2" y="2"/>
                                    </a:moveTo>
                                    <a:lnTo>
                                      <a:pt x="92" y="2"/>
                                    </a:lnTo>
                                  </a:path>
                                </a:pathLst>
                              </a:custGeom>
                              <a:noFill/>
                              <a:ln w="3175"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199.7pt;margin-top:473.5pt;height:0.25pt;width:4.8pt;mso-position-horizontal-relative:page;mso-position-vertical-relative:page;z-index:-251650048;mso-width-relative:page;mso-height-relative:page;" filled="f" stroked="t" coordsize="96,5" o:gfxdata="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oLEAJ2wAAAA0BAAAPAAAAAAAAAAEAIAAAACIAAABkcnMvZG93bnJldi54&#10;bWxQSwECFAAUAAAACACHTuJAGEz1ZTACAACGBAAADgAAAAAAAAABACAAAAAqAQAAZHJzL2Uyb0Rv&#10;Yy54bWxQSwUGAAAAAAYABgBZAQAAzAUAAAAA&#10;" path="m2,2l92,2e">
                      <v:fill on="f" focussize="0,0"/>
                      <v:stroke weight="0.25pt" color="#000000" joinstyle="round" endcap="round"/>
                      <v:imagedata o:title=""/>
                      <o:lock v:ext="edit" aspectratio="f"/>
                    </v:shape>
                  </w:pict>
                </mc:Fallback>
              </mc:AlternateConten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外各关注点位置，各关注点距离见表11-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573620B">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 xml:space="preserve"> </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 xml:space="preserve">   介入手术室</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外各关注点距离</w:t>
            </w:r>
          </w:p>
          <w:tbl>
            <w:tblPr>
              <w:tblStyle w:val="42"/>
              <w:tblW w:w="8441" w:type="dxa"/>
              <w:tblInd w:w="6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8"/>
              <w:gridCol w:w="2718"/>
              <w:gridCol w:w="1510"/>
              <w:gridCol w:w="1476"/>
              <w:gridCol w:w="1939"/>
            </w:tblGrid>
            <w:tr w14:paraId="33B335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6" w:hRule="atLeast"/>
              </w:trPr>
              <w:tc>
                <w:tcPr>
                  <w:tcW w:w="798" w:type="dxa"/>
                  <w:vAlign w:val="center"/>
                </w:tcPr>
                <w:p w14:paraId="774E81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w:t>
                  </w:r>
                </w:p>
                <w:p w14:paraId="1A4CA7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编号</w:t>
                  </w:r>
                </w:p>
              </w:tc>
              <w:tc>
                <w:tcPr>
                  <w:tcW w:w="2718" w:type="dxa"/>
                  <w:vAlign w:val="center"/>
                </w:tcPr>
                <w:p w14:paraId="3D947CE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关注点位置</w:t>
                  </w:r>
                </w:p>
              </w:tc>
              <w:tc>
                <w:tcPr>
                  <w:tcW w:w="1510" w:type="dxa"/>
                  <w:vAlign w:val="center"/>
                </w:tcPr>
                <w:p w14:paraId="5A2D53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靶距防护墙</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防护门</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或防护窗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外距离（m）</w:t>
                  </w:r>
                </w:p>
              </w:tc>
              <w:tc>
                <w:tcPr>
                  <w:tcW w:w="1476" w:type="dxa"/>
                  <w:vAlign w:val="center"/>
                </w:tcPr>
                <w:p w14:paraId="7AF6E90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防护墙</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防护门</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或防护窗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外关注点的距离（m）</w:t>
                  </w:r>
                </w:p>
              </w:tc>
              <w:tc>
                <w:tcPr>
                  <w:tcW w:w="1939" w:type="dxa"/>
                  <w:vAlign w:val="center"/>
                </w:tcPr>
                <w:p w14:paraId="69DCC12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靶距防护墙</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防护</w:t>
                  </w:r>
                </w:p>
                <w:p w14:paraId="6ACCB4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门</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或防护窗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外关注点的距离（m）</w:t>
                  </w:r>
                </w:p>
              </w:tc>
            </w:tr>
            <w:tr w14:paraId="7266C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2D72D9B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69" w:name="OLE_LINK136" w:colFirst="0" w:colLast="1"/>
                  <w:bookmarkStart w:id="70" w:name="OLE_LINK152" w:colFirst="4" w:colLast="4"/>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2718" w:type="dxa"/>
                  <w:vAlign w:val="center"/>
                </w:tcPr>
                <w:p w14:paraId="2A90970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1510" w:type="dxa"/>
                  <w:vAlign w:val="center"/>
                </w:tcPr>
                <w:p w14:paraId="7B73AB4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3.930</w:t>
                  </w:r>
                </w:p>
              </w:tc>
              <w:tc>
                <w:tcPr>
                  <w:tcW w:w="1476" w:type="dxa"/>
                  <w:vAlign w:val="center"/>
                </w:tcPr>
                <w:p w14:paraId="4AB915C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40BA4F3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4.230</w:t>
                  </w:r>
                </w:p>
              </w:tc>
            </w:tr>
            <w:tr w14:paraId="0E6F4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798" w:type="dxa"/>
                  <w:shd w:val="clear" w:color="auto" w:fill="auto"/>
                  <w:vAlign w:val="center"/>
                </w:tcPr>
                <w:p w14:paraId="7C8CFDD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2718" w:type="dxa"/>
                  <w:vAlign w:val="center"/>
                </w:tcPr>
                <w:p w14:paraId="4A87F2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1510" w:type="dxa"/>
                  <w:vAlign w:val="center"/>
                </w:tcPr>
                <w:p w14:paraId="33A1C53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3.902</w:t>
                  </w:r>
                </w:p>
              </w:tc>
              <w:tc>
                <w:tcPr>
                  <w:tcW w:w="1476" w:type="dxa"/>
                  <w:vAlign w:val="center"/>
                </w:tcPr>
                <w:p w14:paraId="5D72A53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4412B9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4.202</w:t>
                  </w:r>
                </w:p>
              </w:tc>
            </w:tr>
            <w:tr w14:paraId="46CDB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3340D2A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2718" w:type="dxa"/>
                  <w:vAlign w:val="center"/>
                </w:tcPr>
                <w:p w14:paraId="267BA56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vAlign w:val="center"/>
                </w:tcPr>
                <w:p w14:paraId="24ADE40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5.279</w:t>
                  </w:r>
                </w:p>
              </w:tc>
              <w:tc>
                <w:tcPr>
                  <w:tcW w:w="1476" w:type="dxa"/>
                  <w:vAlign w:val="center"/>
                </w:tcPr>
                <w:p w14:paraId="049170E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68E16E9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5.579</w:t>
                  </w:r>
                </w:p>
              </w:tc>
            </w:tr>
            <w:tr w14:paraId="5BDE6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599CA1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2718" w:type="dxa"/>
                  <w:vAlign w:val="center"/>
                </w:tcPr>
                <w:p w14:paraId="411C55E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vAlign w:val="center"/>
                </w:tcPr>
                <w:p w14:paraId="29C613A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4.286</w:t>
                  </w:r>
                </w:p>
              </w:tc>
              <w:tc>
                <w:tcPr>
                  <w:tcW w:w="1476" w:type="dxa"/>
                  <w:vAlign w:val="center"/>
                </w:tcPr>
                <w:p w14:paraId="1B10F11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247291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4.586</w:t>
                  </w:r>
                </w:p>
              </w:tc>
            </w:tr>
            <w:tr w14:paraId="71782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1B7F58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2718" w:type="dxa"/>
                  <w:vAlign w:val="center"/>
                </w:tcPr>
                <w:p w14:paraId="21B1614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1510" w:type="dxa"/>
                  <w:vAlign w:val="center"/>
                </w:tcPr>
                <w:p w14:paraId="72F00A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5.981</w:t>
                  </w:r>
                </w:p>
              </w:tc>
              <w:tc>
                <w:tcPr>
                  <w:tcW w:w="1476" w:type="dxa"/>
                  <w:vAlign w:val="center"/>
                </w:tcPr>
                <w:p w14:paraId="55908B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6B87F19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6.281</w:t>
                  </w:r>
                </w:p>
              </w:tc>
            </w:tr>
            <w:tr w14:paraId="281E4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0C88A45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2718" w:type="dxa"/>
                  <w:vAlign w:val="center"/>
                </w:tcPr>
                <w:p w14:paraId="60E4F37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1510" w:type="dxa"/>
                  <w:vAlign w:val="center"/>
                </w:tcPr>
                <w:p w14:paraId="115D75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5.966</w:t>
                  </w:r>
                </w:p>
              </w:tc>
              <w:tc>
                <w:tcPr>
                  <w:tcW w:w="1476" w:type="dxa"/>
                  <w:vAlign w:val="center"/>
                </w:tcPr>
                <w:p w14:paraId="6ACCA15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7BAE900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6.266</w:t>
                  </w:r>
                </w:p>
              </w:tc>
            </w:tr>
            <w:tr w14:paraId="7869E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1502D9E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2718" w:type="dxa"/>
                  <w:vAlign w:val="center"/>
                </w:tcPr>
                <w:p w14:paraId="0E710EF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vAlign w:val="center"/>
                </w:tcPr>
                <w:p w14:paraId="7F993D2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4.110</w:t>
                  </w:r>
                </w:p>
              </w:tc>
              <w:tc>
                <w:tcPr>
                  <w:tcW w:w="1476" w:type="dxa"/>
                  <w:vAlign w:val="center"/>
                </w:tcPr>
                <w:p w14:paraId="6859D1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6CE6C4B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4.410</w:t>
                  </w:r>
                </w:p>
              </w:tc>
            </w:tr>
            <w:tr w14:paraId="23BEE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15700E3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2718" w:type="dxa"/>
                  <w:vAlign w:val="center"/>
                </w:tcPr>
                <w:p w14:paraId="70DAD12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vAlign w:val="center"/>
                </w:tcPr>
                <w:p w14:paraId="338A213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4.004</w:t>
                  </w:r>
                </w:p>
              </w:tc>
              <w:tc>
                <w:tcPr>
                  <w:tcW w:w="1476" w:type="dxa"/>
                  <w:vAlign w:val="center"/>
                </w:tcPr>
                <w:p w14:paraId="60520A1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3EBE01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4.304</w:t>
                  </w:r>
                </w:p>
              </w:tc>
            </w:tr>
            <w:tr w14:paraId="1B3E5F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7FBB913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2718" w:type="dxa"/>
                  <w:vAlign w:val="center"/>
                </w:tcPr>
                <w:p w14:paraId="47C8B02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vAlign w:val="center"/>
                </w:tcPr>
                <w:p w14:paraId="2E9B9C8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5.335</w:t>
                  </w:r>
                </w:p>
              </w:tc>
              <w:tc>
                <w:tcPr>
                  <w:tcW w:w="1476" w:type="dxa"/>
                  <w:vAlign w:val="center"/>
                </w:tcPr>
                <w:p w14:paraId="320747F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vAlign w:val="center"/>
                </w:tcPr>
                <w:p w14:paraId="2F53DD5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5.635</w:t>
                  </w:r>
                </w:p>
              </w:tc>
            </w:tr>
            <w:tr w14:paraId="0B1150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4ADF7A7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2718" w:type="dxa"/>
                  <w:vAlign w:val="center"/>
                </w:tcPr>
                <w:p w14:paraId="2459DE2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510" w:type="dxa"/>
                  <w:shd w:val="clear" w:color="auto" w:fill="auto"/>
                  <w:vAlign w:val="center"/>
                </w:tcPr>
                <w:p w14:paraId="4F66F6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5.174</w:t>
                  </w:r>
                </w:p>
              </w:tc>
              <w:tc>
                <w:tcPr>
                  <w:tcW w:w="1476" w:type="dxa"/>
                  <w:shd w:val="clear" w:color="auto" w:fill="auto"/>
                  <w:vAlign w:val="center"/>
                </w:tcPr>
                <w:p w14:paraId="4B143B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w:t>
                  </w:r>
                </w:p>
              </w:tc>
              <w:tc>
                <w:tcPr>
                  <w:tcW w:w="1939" w:type="dxa"/>
                  <w:shd w:val="clear" w:color="auto" w:fill="auto"/>
                  <w:vAlign w:val="center"/>
                </w:tcPr>
                <w:p w14:paraId="33F7EA0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5.474</w:t>
                  </w:r>
                </w:p>
              </w:tc>
            </w:tr>
            <w:tr w14:paraId="1C489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6A3FE59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2718" w:type="dxa"/>
                  <w:shd w:val="clear" w:color="auto" w:fill="auto"/>
                  <w:vAlign w:val="center"/>
                </w:tcPr>
                <w:p w14:paraId="095A436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510" w:type="dxa"/>
                  <w:vAlign w:val="center"/>
                </w:tcPr>
                <w:p w14:paraId="0CD1717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2.70</w:t>
                  </w:r>
                </w:p>
              </w:tc>
              <w:tc>
                <w:tcPr>
                  <w:tcW w:w="1476" w:type="dxa"/>
                  <w:vAlign w:val="center"/>
                </w:tcPr>
                <w:p w14:paraId="6394DBE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1.15</w:t>
                  </w:r>
                </w:p>
              </w:tc>
              <w:tc>
                <w:tcPr>
                  <w:tcW w:w="1939" w:type="dxa"/>
                  <w:vAlign w:val="center"/>
                </w:tcPr>
                <w:p w14:paraId="0524BE3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3.85</w:t>
                  </w:r>
                </w:p>
              </w:tc>
            </w:tr>
            <w:tr w14:paraId="15C64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98" w:type="dxa"/>
                  <w:shd w:val="clear" w:color="auto" w:fill="auto"/>
                  <w:vAlign w:val="center"/>
                </w:tcPr>
                <w:p w14:paraId="6D1F858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2718" w:type="dxa"/>
                  <w:shd w:val="clear" w:color="auto" w:fill="auto"/>
                  <w:vAlign w:val="center"/>
                </w:tcPr>
                <w:p w14:paraId="4FB27BE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1510" w:type="dxa"/>
                  <w:vAlign w:val="center"/>
                </w:tcPr>
                <w:p w14:paraId="2211A97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w:t>
                  </w:r>
                </w:p>
              </w:tc>
              <w:tc>
                <w:tcPr>
                  <w:tcW w:w="1476" w:type="dxa"/>
                  <w:vAlign w:val="center"/>
                </w:tcPr>
                <w:p w14:paraId="19739E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2.65</w:t>
                  </w:r>
                </w:p>
              </w:tc>
              <w:tc>
                <w:tcPr>
                  <w:tcW w:w="1939" w:type="dxa"/>
                  <w:vAlign w:val="center"/>
                </w:tcPr>
                <w:p w14:paraId="058613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3.15</w:t>
                  </w:r>
                </w:p>
              </w:tc>
            </w:tr>
            <w:bookmarkEnd w:id="69"/>
            <w:bookmarkEnd w:id="70"/>
          </w:tbl>
          <w:p w14:paraId="72813A0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①散射辐射剂量率估算</w:t>
            </w:r>
          </w:p>
          <w:p w14:paraId="29D045A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按照《放射诊断放射防护要求》（GBZ130—2020）附录C计算，见公式11-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4A44B4D">
            <w:pPr>
              <w:widowControl/>
              <w:spacing w:line="360" w:lineRule="auto"/>
              <w:ind w:firstLine="1200" w:firstLineChars="5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1396365" cy="328930"/>
                  <wp:effectExtent l="0" t="0" r="13335" b="1397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37"/>
                          <a:stretch>
                            <a:fillRect/>
                          </a:stretch>
                        </pic:blipFill>
                        <pic:spPr>
                          <a:xfrm>
                            <a:off x="0" y="0"/>
                            <a:ext cx="1396365" cy="328930"/>
                          </a:xfrm>
                          <a:prstGeom prst="rect">
                            <a:avLst/>
                          </a:prstGeom>
                          <a:noFill/>
                          <a:ln>
                            <a:noFill/>
                          </a:ln>
                        </pic:spPr>
                      </pic:pic>
                    </a:graphicData>
                  </a:graphic>
                </wp:inline>
              </w:drawing>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 xml:space="preserve">           </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（式</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11-2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0DE2A3D0">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式中：</w:t>
            </w:r>
          </w:p>
          <w:p w14:paraId="278E72B4">
            <w:pPr>
              <w:widowControl/>
              <w:spacing w:line="360" w:lineRule="auto"/>
              <w:ind w:firstLine="1200" w:firstLineChars="50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B：透射因子</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449DD0D9">
            <w:pPr>
              <w:widowControl/>
              <w:spacing w:line="360" w:lineRule="auto"/>
              <w:ind w:firstLine="1200" w:firstLineChars="50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X：铅厚度</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299C9CBE">
            <w:pPr>
              <w:widowControl/>
              <w:spacing w:line="360" w:lineRule="auto"/>
              <w:ind w:firstLine="1200" w:firstLineChars="5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α、β、γ：铅对不同管电压X射线辐射衰减的有关拟合参数。</w:t>
            </w:r>
          </w:p>
          <w:p w14:paraId="2AD54F26">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根据《放射诊断放射防护要求》（GBZ130-2020）附录C表C.2及公式</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11-2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周围各关注点散射透射因子。</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各关注点散射透射因子计算结果见表</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11-2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777F79FC">
            <w:pPr>
              <w:widowControl/>
              <w:spacing w:line="360" w:lineRule="auto"/>
              <w:ind w:left="0" w:leftChars="0" w:firstLine="0" w:firstLineChars="0"/>
              <w:jc w:val="cente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表11-2    移动C臂X射线机各关注点散射透射因子结果</w:t>
            </w:r>
          </w:p>
          <w:tbl>
            <w:tblPr>
              <w:tblStyle w:val="22"/>
              <w:tblW w:w="8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841"/>
              <w:gridCol w:w="1672"/>
              <w:gridCol w:w="1253"/>
              <w:gridCol w:w="823"/>
              <w:gridCol w:w="864"/>
              <w:gridCol w:w="863"/>
              <w:gridCol w:w="1262"/>
            </w:tblGrid>
            <w:tr w14:paraId="7F71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67" w:type="dxa"/>
                  <w:vAlign w:val="center"/>
                </w:tcPr>
                <w:p w14:paraId="65522B7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71" w:name="OLE_LINK158"/>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模式</w:t>
                  </w:r>
                </w:p>
              </w:tc>
              <w:tc>
                <w:tcPr>
                  <w:tcW w:w="841" w:type="dxa"/>
                  <w:vAlign w:val="center"/>
                </w:tcPr>
                <w:p w14:paraId="100012F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关注点编号</w:t>
                  </w:r>
                </w:p>
              </w:tc>
              <w:tc>
                <w:tcPr>
                  <w:tcW w:w="1672" w:type="dxa"/>
                  <w:vAlign w:val="center"/>
                </w:tcPr>
                <w:p w14:paraId="5FD08AC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关注点位置</w:t>
                  </w:r>
                </w:p>
              </w:tc>
              <w:tc>
                <w:tcPr>
                  <w:tcW w:w="1253" w:type="dxa"/>
                  <w:vAlign w:val="center"/>
                </w:tcPr>
                <w:p w14:paraId="3CDBCA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屏蔽铅当量</w:t>
                  </w:r>
                </w:p>
              </w:tc>
              <w:tc>
                <w:tcPr>
                  <w:tcW w:w="823" w:type="dxa"/>
                  <w:vAlign w:val="center"/>
                </w:tcPr>
                <w:p w14:paraId="5222EE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α</w:t>
                  </w:r>
                </w:p>
              </w:tc>
              <w:tc>
                <w:tcPr>
                  <w:tcW w:w="864" w:type="dxa"/>
                  <w:vAlign w:val="center"/>
                </w:tcPr>
                <w:p w14:paraId="2EC3559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β</w:t>
                  </w:r>
                </w:p>
              </w:tc>
              <w:tc>
                <w:tcPr>
                  <w:tcW w:w="863" w:type="dxa"/>
                  <w:vAlign w:val="center"/>
                </w:tcPr>
                <w:p w14:paraId="6247FB8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γ</w:t>
                  </w:r>
                </w:p>
              </w:tc>
              <w:tc>
                <w:tcPr>
                  <w:tcW w:w="1262" w:type="dxa"/>
                  <w:vAlign w:val="center"/>
                </w:tcPr>
                <w:p w14:paraId="0A96BE2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B</w:t>
                  </w:r>
                </w:p>
              </w:tc>
            </w:tr>
            <w:tr w14:paraId="78734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restart"/>
                  <w:vAlign w:val="center"/>
                </w:tcPr>
                <w:p w14:paraId="499B6EA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72" w:name="OLE_LINK145" w:colFirst="1" w:colLast="2"/>
                  <w:bookmarkStart w:id="73" w:name="OLE_LINK154" w:colFirst="7" w:colLast="7"/>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kV</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透视及</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减影模式</w:t>
                  </w:r>
                </w:p>
              </w:tc>
              <w:tc>
                <w:tcPr>
                  <w:tcW w:w="841" w:type="dxa"/>
                  <w:vAlign w:val="center"/>
                </w:tcPr>
                <w:p w14:paraId="2ED947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672" w:type="dxa"/>
                  <w:vAlign w:val="center"/>
                </w:tcPr>
                <w:p w14:paraId="5D21F92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1253" w:type="dxa"/>
                  <w:vAlign w:val="center"/>
                </w:tcPr>
                <w:p w14:paraId="0007E27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4.0mmPb</w:t>
                  </w:r>
                </w:p>
              </w:tc>
              <w:tc>
                <w:tcPr>
                  <w:tcW w:w="823" w:type="dxa"/>
                  <w:vAlign w:val="center"/>
                </w:tcPr>
                <w:p w14:paraId="3C5AA6C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4810D96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66EC0F4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7C76EC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74" w:name="OLE_LINK144"/>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bookmarkEnd w:id="74"/>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r>
            <w:tr w14:paraId="0A4C0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0F416B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7FC8E42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672" w:type="dxa"/>
                  <w:vAlign w:val="center"/>
                </w:tcPr>
                <w:p w14:paraId="053D8E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1253" w:type="dxa"/>
                  <w:vAlign w:val="center"/>
                </w:tcPr>
                <w:p w14:paraId="773D55A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mmPb</w:t>
                  </w:r>
                </w:p>
              </w:tc>
              <w:tc>
                <w:tcPr>
                  <w:tcW w:w="823" w:type="dxa"/>
                  <w:vAlign w:val="center"/>
                </w:tcPr>
                <w:p w14:paraId="2E1C28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69931E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70B5CB4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14A11D4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r>
            <w:tr w14:paraId="50FC5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30008D5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176D07E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672" w:type="dxa"/>
                  <w:vAlign w:val="center"/>
                </w:tcPr>
                <w:p w14:paraId="542904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2411EE4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mmPb</w:t>
                  </w:r>
                </w:p>
              </w:tc>
              <w:tc>
                <w:tcPr>
                  <w:tcW w:w="823" w:type="dxa"/>
                  <w:vAlign w:val="center"/>
                </w:tcPr>
                <w:p w14:paraId="6DCAE6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113DE9F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5E39B44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5277F93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r>
            <w:tr w14:paraId="772E1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6BE109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76C264D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672" w:type="dxa"/>
                  <w:vAlign w:val="center"/>
                </w:tcPr>
                <w:p w14:paraId="4083425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2816853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mmPb</w:t>
                  </w:r>
                </w:p>
              </w:tc>
              <w:tc>
                <w:tcPr>
                  <w:tcW w:w="823" w:type="dxa"/>
                  <w:vAlign w:val="center"/>
                </w:tcPr>
                <w:p w14:paraId="2B2BF0C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4339117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319E766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5758DB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r>
            <w:tr w14:paraId="32CF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0B5B5A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5B41BFD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672" w:type="dxa"/>
                  <w:vAlign w:val="center"/>
                </w:tcPr>
                <w:p w14:paraId="4E89F1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1253" w:type="dxa"/>
                  <w:vAlign w:val="center"/>
                </w:tcPr>
                <w:p w14:paraId="4D3F5DA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4.0mmPb</w:t>
                  </w:r>
                </w:p>
              </w:tc>
              <w:tc>
                <w:tcPr>
                  <w:tcW w:w="823" w:type="dxa"/>
                  <w:vAlign w:val="center"/>
                </w:tcPr>
                <w:p w14:paraId="3E003E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699855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29AD3F6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34FDEF4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r>
            <w:tr w14:paraId="1B853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3AFF57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3EFBD13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672" w:type="dxa"/>
                  <w:vAlign w:val="center"/>
                </w:tcPr>
                <w:p w14:paraId="1713D6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1253" w:type="dxa"/>
                  <w:vAlign w:val="center"/>
                </w:tcPr>
                <w:p w14:paraId="6225B14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4.0mmPb</w:t>
                  </w:r>
                </w:p>
              </w:tc>
              <w:tc>
                <w:tcPr>
                  <w:tcW w:w="823" w:type="dxa"/>
                  <w:vAlign w:val="center"/>
                </w:tcPr>
                <w:p w14:paraId="4601C44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583C135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25E5BC1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627F9EE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r>
            <w:tr w14:paraId="1EDB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216000F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22DF7D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672" w:type="dxa"/>
                  <w:vAlign w:val="center"/>
                </w:tcPr>
                <w:p w14:paraId="47FC1F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28A9A5B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4.0mmPb</w:t>
                  </w:r>
                </w:p>
              </w:tc>
              <w:tc>
                <w:tcPr>
                  <w:tcW w:w="823" w:type="dxa"/>
                  <w:vAlign w:val="center"/>
                </w:tcPr>
                <w:p w14:paraId="192EBAA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6DF67AD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0FC39E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60A94EF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r>
            <w:tr w14:paraId="6A95C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03C748B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7F66034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672" w:type="dxa"/>
                  <w:vAlign w:val="center"/>
                </w:tcPr>
                <w:p w14:paraId="4642C4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662DCB2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mmPb</w:t>
                  </w:r>
                </w:p>
              </w:tc>
              <w:tc>
                <w:tcPr>
                  <w:tcW w:w="823" w:type="dxa"/>
                  <w:vAlign w:val="center"/>
                </w:tcPr>
                <w:p w14:paraId="626A8A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64283E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0808202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3B8B849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r>
            <w:tr w14:paraId="27E6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2E483D0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75" w:name="OLE_LINK141" w:colFirst="4" w:colLast="6"/>
                </w:p>
              </w:tc>
              <w:tc>
                <w:tcPr>
                  <w:tcW w:w="841" w:type="dxa"/>
                  <w:vAlign w:val="center"/>
                </w:tcPr>
                <w:p w14:paraId="468339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672" w:type="dxa"/>
                  <w:vAlign w:val="center"/>
                </w:tcPr>
                <w:p w14:paraId="346E70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062387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mmPb</w:t>
                  </w:r>
                </w:p>
              </w:tc>
              <w:tc>
                <w:tcPr>
                  <w:tcW w:w="823" w:type="dxa"/>
                  <w:vAlign w:val="center"/>
                </w:tcPr>
                <w:p w14:paraId="2DB824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vAlign w:val="center"/>
                </w:tcPr>
                <w:p w14:paraId="6BE455A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vAlign w:val="center"/>
                </w:tcPr>
                <w:p w14:paraId="4299A2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4CC3D3A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r>
            <w:tr w14:paraId="1DC05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099223F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503DEE7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672" w:type="dxa"/>
                  <w:vAlign w:val="center"/>
                </w:tcPr>
                <w:p w14:paraId="1CADF0C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253" w:type="dxa"/>
                  <w:vAlign w:val="center"/>
                </w:tcPr>
                <w:p w14:paraId="2493C9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4.0mmPb</w:t>
                  </w:r>
                </w:p>
              </w:tc>
              <w:tc>
                <w:tcPr>
                  <w:tcW w:w="823" w:type="dxa"/>
                  <w:shd w:val="clear" w:color="auto" w:fill="auto"/>
                  <w:vAlign w:val="center"/>
                </w:tcPr>
                <w:p w14:paraId="5BCF3C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shd w:val="clear" w:color="auto" w:fill="auto"/>
                  <w:vAlign w:val="center"/>
                </w:tcPr>
                <w:p w14:paraId="06F92B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shd w:val="clear" w:color="auto" w:fill="auto"/>
                  <w:vAlign w:val="center"/>
                </w:tcPr>
                <w:p w14:paraId="6A6305B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4FB006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r>
            <w:tr w14:paraId="636D9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767" w:type="dxa"/>
                  <w:vMerge w:val="continue"/>
                  <w:vAlign w:val="center"/>
                </w:tcPr>
                <w:p w14:paraId="007AE8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7A6B19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672" w:type="dxa"/>
                  <w:vAlign w:val="center"/>
                </w:tcPr>
                <w:p w14:paraId="6E90DBB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253" w:type="dxa"/>
                  <w:vAlign w:val="center"/>
                </w:tcPr>
                <w:p w14:paraId="3B7BD8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4.89mmPb</w:t>
                  </w:r>
                </w:p>
              </w:tc>
              <w:tc>
                <w:tcPr>
                  <w:tcW w:w="823" w:type="dxa"/>
                  <w:shd w:val="clear" w:color="auto" w:fill="auto"/>
                  <w:vAlign w:val="center"/>
                </w:tcPr>
                <w:p w14:paraId="694F12A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shd w:val="clear" w:color="auto" w:fill="auto"/>
                  <w:vAlign w:val="center"/>
                </w:tcPr>
                <w:p w14:paraId="039FD16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shd w:val="clear" w:color="auto" w:fill="auto"/>
                  <w:vAlign w:val="center"/>
                </w:tcPr>
                <w:p w14:paraId="402574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0769C53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2.41E-08</w:t>
                  </w:r>
                </w:p>
              </w:tc>
            </w:tr>
            <w:tr w14:paraId="7772C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Merge w:val="continue"/>
                  <w:vAlign w:val="center"/>
                </w:tcPr>
                <w:p w14:paraId="7467CD7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41" w:type="dxa"/>
                  <w:vAlign w:val="center"/>
                </w:tcPr>
                <w:p w14:paraId="17B65D5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672" w:type="dxa"/>
                  <w:vAlign w:val="center"/>
                </w:tcPr>
                <w:p w14:paraId="6CA6CD7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1253" w:type="dxa"/>
                  <w:vAlign w:val="center"/>
                </w:tcPr>
                <w:p w14:paraId="33561B8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4.51mmPb</w:t>
                  </w:r>
                </w:p>
              </w:tc>
              <w:tc>
                <w:tcPr>
                  <w:tcW w:w="823" w:type="dxa"/>
                  <w:shd w:val="clear" w:color="auto" w:fill="auto"/>
                  <w:vAlign w:val="center"/>
                </w:tcPr>
                <w:p w14:paraId="4F7F063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3.067</w:t>
                  </w:r>
                </w:p>
              </w:tc>
              <w:tc>
                <w:tcPr>
                  <w:tcW w:w="864" w:type="dxa"/>
                  <w:shd w:val="clear" w:color="auto" w:fill="auto"/>
                  <w:vAlign w:val="center"/>
                </w:tcPr>
                <w:p w14:paraId="7390B57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18.83</w:t>
                  </w:r>
                </w:p>
              </w:tc>
              <w:tc>
                <w:tcPr>
                  <w:tcW w:w="863" w:type="dxa"/>
                  <w:shd w:val="clear" w:color="auto" w:fill="auto"/>
                  <w:vAlign w:val="center"/>
                </w:tcPr>
                <w:p w14:paraId="6C60F1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0.7726</w:t>
                  </w:r>
                </w:p>
              </w:tc>
              <w:tc>
                <w:tcPr>
                  <w:tcW w:w="1262" w:type="dxa"/>
                  <w:vAlign w:val="center"/>
                </w:tcPr>
                <w:p w14:paraId="5671E3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7.72E-08</w:t>
                  </w:r>
                </w:p>
              </w:tc>
            </w:tr>
            <w:bookmarkEnd w:id="72"/>
            <w:bookmarkEnd w:id="73"/>
            <w:bookmarkEnd w:id="75"/>
            <w:tr w14:paraId="1D07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5" w:type="dxa"/>
                  <w:gridSpan w:val="8"/>
                  <w:vAlign w:val="center"/>
                </w:tcPr>
                <w:p w14:paraId="3539A0ED">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注：《放射诊断放射防护要求》（GBZ130—2020）中无75kV工况下α、β、γ X射线辐射衰减的有关拟合参数，透视模式下保守取90kV工况拟合参数。</w:t>
                  </w:r>
                </w:p>
              </w:tc>
            </w:tr>
            <w:bookmarkEnd w:id="71"/>
          </w:tbl>
          <w:p w14:paraId="3B003D2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根据李德平、潘自强主编《辐射防护手册》（第一分册）计算公式（10.10），患者体表散射屏蔽估算，并进行单位换算，公式如下式 11-3</w:t>
            </w:r>
          </w:p>
          <w:p w14:paraId="305060A7">
            <w:pPr>
              <w:widowControl/>
              <w:spacing w:line="360" w:lineRule="auto"/>
              <w:ind w:firstLine="1440" w:firstLineChars="6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Xws= </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0" distR="0">
                  <wp:extent cx="799465" cy="44132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38"/>
                          <a:stretch>
                            <a:fillRect/>
                          </a:stretch>
                        </pic:blipFill>
                        <pic:spPr>
                          <a:xfrm>
                            <a:off x="0" y="0"/>
                            <a:ext cx="799706" cy="441889"/>
                          </a:xfrm>
                          <a:prstGeom prst="rect">
                            <a:avLst/>
                          </a:prstGeom>
                        </pic:spPr>
                      </pic:pic>
                    </a:graphicData>
                  </a:graphic>
                </wp:inline>
              </w:drawing>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                 （式 11-3）</w:t>
            </w:r>
          </w:p>
          <w:p w14:paraId="1B0E844D">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式中：</w:t>
            </w:r>
          </w:p>
          <w:p w14:paraId="6508CB78">
            <w:pPr>
              <w:widowControl/>
              <w:spacing w:line="360" w:lineRule="auto"/>
              <w:jc w:val="left"/>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X</w:t>
            </w:r>
            <w:r>
              <w:rPr>
                <w:rFonts w:hint="default" w:ascii="Times New Roman" w:hAnsi="Times New Roman" w:cs="Times New Roman" w:eastAsiaTheme="minorEastAsia"/>
                <w:color w:val="0D0D0D" w:themeColor="text1" w:themeTint="F2"/>
                <w:kern w:val="0"/>
                <w:highlight w:val="none"/>
                <w:vertAlign w:val="subscript"/>
                <w:lang w:bidi="ar"/>
                <w14:textFill>
                  <w14:solidFill>
                    <w14:schemeClr w14:val="tx1">
                      <w14:lumMod w14:val="95000"/>
                      <w14:lumOff w14:val="5000"/>
                    </w14:schemeClr>
                  </w14:solidFill>
                </w14:textFill>
              </w:rPr>
              <w:t>WS</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——预测点处的周照射剂量，μGy/h</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1R/mA•min=8.72</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highlight w:val="none"/>
                <w:vertAlign w:val="superscript"/>
                <w:lang w:val="en-US" w:eastAsia="zh-CN" w:bidi="ar"/>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Gy/h</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）。由于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手术室内第一、第二术者位医师及协助手术的护士</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处于射线的非主射束方向，仅位于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射线束散射、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漏射束方向，因此照射量率取主射束方向的1‰（注：国家辐射防护及测量委员会（NCRP）报告（第49号出版）第147号和151号报告中针对能量在10MV以下医用X射线结构屏蔽设计和评价，</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散射、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漏射辐射比率不大于有用束剂量的1‰）。</w:t>
            </w:r>
          </w:p>
          <w:p w14:paraId="625FF248">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object>
                <v:shape id="_x0000_i1028" o:spt="75" type="#_x0000_t75" style="height:21pt;width:13.95pt;" o:ole="t" filled="f" o:preferrelative="t" stroked="f" coordsize="21600,21600">
                  <v:path/>
                  <v:fill on="f" focussize="0,0"/>
                  <v:stroke on="f"/>
                  <v:imagedata r:id="rId40" o:title=""/>
                  <o:lock v:ext="edit" aspectratio="t"/>
                  <w10:wrap type="none"/>
                  <w10:anchorlock/>
                </v:shape>
                <o:OLEObject Type="Embed" ProgID="Equation.KSEE3" ShapeID="_x0000_i1028" DrawAspect="Content" ObjectID="_1468075728" r:id="rId39">
                  <o:LockedField>false</o:LockedField>
                </o:OLEObject>
              </w:object>
            </w:r>
            <w:r>
              <w:rPr>
                <w:rFonts w:hint="default" w:ascii="Times New Roman" w:hAnsi="Times New Roman" w:cs="Times New Roman" w:eastAsiaTheme="minorEastAsia"/>
                <w:color w:val="0D0D0D" w:themeColor="text1" w:themeTint="F2"/>
                <w:kern w:val="0"/>
                <w:highlight w:val="none"/>
                <w:vertAlign w:val="subscript"/>
                <w:lang w:bidi="ar"/>
                <w14:textFill>
                  <w14:solidFill>
                    <w14:schemeClr w14:val="tx1">
                      <w14:lumMod w14:val="95000"/>
                      <w14:lumOff w14:val="5000"/>
                    </w14:schemeClr>
                  </w14:solidFill>
                </w14:textFill>
              </w:rPr>
              <w:t>10</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恒定电压X射线机的输出量，根据查阅《辐射防护手册》（第一分册）图4.4c（恒定电压为50-200KV的X射线机的输出量）可知，本项目移动C臂X射线机采用2.5mmAl过滤板（数据来源于项目设备说明书），则可知透视模式75KV电压下X</w:t>
            </w:r>
            <w:r>
              <w:rPr>
                <w:rFonts w:hint="eastAsia" w:ascii="Times New Roman" w:hAnsi="Times New Roman" w:cs="Times New Roman" w:eastAsiaTheme="minorEastAsia"/>
                <w:color w:val="0D0D0D" w:themeColor="text1" w:themeTint="F2"/>
                <w:kern w:val="0"/>
                <w:highlight w:val="none"/>
                <w:vertAlign w:val="subscript"/>
                <w:lang w:val="en-US" w:eastAsia="zh-CN"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=0.56R/mA•min，减影模式90KV电压下X</w:t>
            </w:r>
            <w:r>
              <w:rPr>
                <w:rFonts w:hint="eastAsia" w:ascii="Times New Roman" w:hAnsi="Times New Roman" w:cs="Times New Roman" w:eastAsiaTheme="minorEastAsia"/>
                <w:color w:val="0D0D0D" w:themeColor="text1" w:themeTint="F2"/>
                <w:kern w:val="0"/>
                <w:highlight w:val="none"/>
                <w:vertAlign w:val="subscript"/>
                <w:lang w:val="en-US" w:eastAsia="zh-CN" w:bidi="ar"/>
                <w14:textFill>
                  <w14:solidFill>
                    <w14:schemeClr w14:val="tx1">
                      <w14:lumMod w14:val="95000"/>
                      <w14:lumOff w14:val="5000"/>
                    </w14:schemeClr>
                  </w14:solidFill>
                </w14:textFill>
              </w:rPr>
              <w:t>10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=0.78R/mA•min。</w:t>
            </w:r>
          </w:p>
          <w:p w14:paraId="23FD00EF">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W——X射线机的每周工作负荷，</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透视模式下W=</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3600</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mA.min</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计算为：年透视时间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200</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h×60min/h÷250（年工作天数）×5（每周工作天数）×15（实际运行时最大管电流）取整得出</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减影模式下W=</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480</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mA.min</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计算为：年减影时间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20</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h×60min/h÷250（年工作天数）×5（每周工作天数）×</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20</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（实际运行时最大管电流）</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5550BC7D">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u——利用因子，取u=1</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470D6AB4">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η——防护区占用因子，在“全居住”的情况下，η=1</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39B305C8">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α——患者（照射体）对X射线的散射比，α=a/400查《辐射防护手册</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 xml:space="preserve"> </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第一分册》P437表10.1，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减影</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和透视保守按</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0kV下取值：a=0.00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(90˚散射)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67F7BAA8">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s——散射面积，cm</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，根据医院提供使用技术参数取400cm</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7B3A7CAF">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d0——源与患者（照射体）的距离，m，根据医院提供使用技术参数取0.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207C64FA">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ds——患者（照射体）与预测点的距离，m</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6785B71D">
            <w:pPr>
              <w:widowControl/>
              <w:spacing w:line="360" w:lineRule="auto"/>
              <w:ind w:firstLine="48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f——屏蔽透射因子；取表11-2中B值</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6492016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据公式11-3和表11-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中</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各关注点漏射透射因子值，本项目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机房各关注点散射辐射剂量率计算参数及结果列表见表11-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6B57DCD2">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 xml:space="preserve"> </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 xml:space="preserve">  各关注点散射辐射辐射剂量率计算参数及结果</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
              <w:gridCol w:w="638"/>
              <w:gridCol w:w="1473"/>
              <w:gridCol w:w="739"/>
              <w:gridCol w:w="650"/>
              <w:gridCol w:w="713"/>
              <w:gridCol w:w="637"/>
              <w:gridCol w:w="638"/>
              <w:gridCol w:w="650"/>
              <w:gridCol w:w="925"/>
              <w:gridCol w:w="864"/>
            </w:tblGrid>
            <w:tr w14:paraId="230CB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379" w:type="dxa"/>
                  <w:vAlign w:val="center"/>
                </w:tcPr>
                <w:p w14:paraId="08AC87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模式</w:t>
                  </w:r>
                </w:p>
              </w:tc>
              <w:tc>
                <w:tcPr>
                  <w:tcW w:w="638" w:type="dxa"/>
                  <w:vAlign w:val="center"/>
                </w:tcPr>
                <w:p w14:paraId="61A5A9A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关注点编号</w:t>
                  </w:r>
                </w:p>
              </w:tc>
              <w:tc>
                <w:tcPr>
                  <w:tcW w:w="1473" w:type="dxa"/>
                  <w:vAlign w:val="center"/>
                </w:tcPr>
                <w:p w14:paraId="5552C11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关注点位置</w:t>
                  </w:r>
                </w:p>
              </w:tc>
              <w:tc>
                <w:tcPr>
                  <w:tcW w:w="739" w:type="dxa"/>
                  <w:vAlign w:val="center"/>
                </w:tcPr>
                <w:p w14:paraId="4265A8F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object>
                      <v:shape id="_x0000_i1029" o:spt="75" type="#_x0000_t75" style="height:21pt;width:13.95pt;" o:ole="t" filled="f" o:preferrelative="t" stroked="f" coordsize="21600,21600">
                        <v:path/>
                        <v:fill on="f" focussize="0,0"/>
                        <v:stroke on="f"/>
                        <v:imagedata r:id="rId40" o:title=""/>
                        <o:lock v:ext="edit" aspectratio="t"/>
                        <w10:wrap type="none"/>
                        <w10:anchorlock/>
                      </v:shape>
                      <o:OLEObject Type="Embed" ProgID="Equation.KSEE3" ShapeID="_x0000_i1029" DrawAspect="Content" ObjectID="_1468075729" r:id="rId41">
                        <o:LockedField>false</o:LockedField>
                      </o:OLEObject>
                    </w:object>
                  </w:r>
                  <w:r>
                    <w:rPr>
                      <w:rFonts w:hint="default" w:ascii="Times New Roman" w:hAnsi="Times New Roman" w:cs="Times New Roman" w:eastAsiaTheme="minorEastAsia"/>
                      <w:color w:val="0D0D0D" w:themeColor="text1" w:themeTint="F2"/>
                      <w:kern w:val="0"/>
                      <w:sz w:val="21"/>
                      <w:szCs w:val="21"/>
                      <w:highlight w:val="none"/>
                      <w:vertAlign w:val="subscript"/>
                      <w:lang w:val="en-US" w:eastAsia="zh-CN" w:bidi="ar"/>
                      <w14:textFill>
                        <w14:solidFill>
                          <w14:schemeClr w14:val="tx1">
                            <w14:lumMod w14:val="95000"/>
                            <w14:lumOff w14:val="5000"/>
                          </w14:schemeClr>
                        </w14:solidFill>
                      </w14:textFill>
                    </w:rPr>
                    <w:t>10</w:t>
                  </w:r>
                </w:p>
                <w:p w14:paraId="6DCD3AB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(R/mA•min）</w:t>
                  </w:r>
                </w:p>
              </w:tc>
              <w:tc>
                <w:tcPr>
                  <w:tcW w:w="650" w:type="dxa"/>
                  <w:vAlign w:val="center"/>
                </w:tcPr>
                <w:p w14:paraId="1CD9D70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w:t>
                  </w:r>
                </w:p>
                <w:p w14:paraId="1C0081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（mA.min）</w:t>
                  </w:r>
                </w:p>
              </w:tc>
              <w:tc>
                <w:tcPr>
                  <w:tcW w:w="713" w:type="dxa"/>
                  <w:vAlign w:val="center"/>
                </w:tcPr>
                <w:p w14:paraId="193728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α</w:t>
                  </w:r>
                </w:p>
              </w:tc>
              <w:tc>
                <w:tcPr>
                  <w:tcW w:w="637" w:type="dxa"/>
                  <w:vAlign w:val="center"/>
                </w:tcPr>
                <w:p w14:paraId="297A88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s</w:t>
                  </w:r>
                </w:p>
                <w:p w14:paraId="789CE51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（cm</w:t>
                  </w:r>
                  <w:r>
                    <w:rPr>
                      <w:rFonts w:hint="default" w:ascii="Times New Roman" w:hAnsi="Times New Roman" w:cs="Times New Roman" w:eastAsiaTheme="minorEastAsia"/>
                      <w:color w:val="0D0D0D" w:themeColor="text1" w:themeTint="F2"/>
                      <w:kern w:val="0"/>
                      <w:sz w:val="21"/>
                      <w:szCs w:val="21"/>
                      <w:highlight w:val="none"/>
                      <w:vertAlign w:val="superscript"/>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638" w:type="dxa"/>
                  <w:vAlign w:val="center"/>
                </w:tcPr>
                <w:p w14:paraId="3D08348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d0</w:t>
                  </w:r>
                </w:p>
                <w:p w14:paraId="5928F6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w:t>
                  </w:r>
                </w:p>
              </w:tc>
              <w:tc>
                <w:tcPr>
                  <w:tcW w:w="650" w:type="dxa"/>
                  <w:vAlign w:val="center"/>
                </w:tcPr>
                <w:p w14:paraId="4860CA5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ds</w:t>
                  </w:r>
                </w:p>
                <w:p w14:paraId="0451BED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w:t>
                  </w:r>
                </w:p>
              </w:tc>
              <w:tc>
                <w:tcPr>
                  <w:tcW w:w="925" w:type="dxa"/>
                  <w:vAlign w:val="center"/>
                </w:tcPr>
                <w:p w14:paraId="59C85F3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f</w:t>
                  </w:r>
                </w:p>
              </w:tc>
              <w:tc>
                <w:tcPr>
                  <w:tcW w:w="864" w:type="dxa"/>
                  <w:vAlign w:val="center"/>
                </w:tcPr>
                <w:p w14:paraId="0FECC1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Xws</w:t>
                  </w:r>
                </w:p>
                <w:p w14:paraId="1927E91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(μGy/h）</w:t>
                  </w:r>
                </w:p>
              </w:tc>
            </w:tr>
            <w:tr w14:paraId="22D10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restart"/>
                  <w:vAlign w:val="center"/>
                </w:tcPr>
                <w:p w14:paraId="06E5097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76" w:name="OLE_LINK164" w:colFirst="10" w:colLast="10"/>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透视</w:t>
                  </w:r>
                </w:p>
              </w:tc>
              <w:tc>
                <w:tcPr>
                  <w:tcW w:w="638" w:type="dxa"/>
                  <w:vAlign w:val="center"/>
                </w:tcPr>
                <w:p w14:paraId="08F0A61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473" w:type="dxa"/>
                  <w:vAlign w:val="center"/>
                </w:tcPr>
                <w:p w14:paraId="27E1F24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739" w:type="dxa"/>
                  <w:vAlign w:val="center"/>
                </w:tcPr>
                <w:p w14:paraId="416B11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0B72DE2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41F621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68F4208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72F0A0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744113A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4.230</w:t>
                  </w:r>
                </w:p>
              </w:tc>
              <w:tc>
                <w:tcPr>
                  <w:tcW w:w="925" w:type="dxa"/>
                  <w:vAlign w:val="center"/>
                </w:tcPr>
                <w:p w14:paraId="3810A5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191B7A5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w:t>
                  </w:r>
                </w:p>
              </w:tc>
            </w:tr>
            <w:tr w14:paraId="20939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600F609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2F5BA4F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473" w:type="dxa"/>
                  <w:vAlign w:val="center"/>
                </w:tcPr>
                <w:p w14:paraId="72026D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739" w:type="dxa"/>
                  <w:vAlign w:val="center"/>
                </w:tcPr>
                <w:p w14:paraId="4BC237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567374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018AAC2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7BA5DE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1072A9E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76C2585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4.202</w:t>
                  </w:r>
                </w:p>
              </w:tc>
              <w:tc>
                <w:tcPr>
                  <w:tcW w:w="925" w:type="dxa"/>
                  <w:vAlign w:val="center"/>
                </w:tcPr>
                <w:p w14:paraId="4C263F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3026A51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r>
            <w:tr w14:paraId="61029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304CD7A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2FB1DB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473" w:type="dxa"/>
                  <w:vAlign w:val="center"/>
                </w:tcPr>
                <w:p w14:paraId="151093D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7DE8BA5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1865E00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088F30B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48148C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273F73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6CCADCA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5.579</w:t>
                  </w:r>
                </w:p>
              </w:tc>
              <w:tc>
                <w:tcPr>
                  <w:tcW w:w="925" w:type="dxa"/>
                  <w:vAlign w:val="center"/>
                </w:tcPr>
                <w:p w14:paraId="57301CA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2FA5B7D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8.49E-03</w:t>
                  </w:r>
                </w:p>
              </w:tc>
            </w:tr>
            <w:tr w14:paraId="54D7D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4EE0938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946969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473" w:type="dxa"/>
                  <w:vAlign w:val="center"/>
                </w:tcPr>
                <w:p w14:paraId="5101927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0D4E71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6D3CC2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14A99B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5C4F7E3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0D5405D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67F3C9A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4.586</w:t>
                  </w:r>
                </w:p>
              </w:tc>
              <w:tc>
                <w:tcPr>
                  <w:tcW w:w="925" w:type="dxa"/>
                  <w:vAlign w:val="center"/>
                </w:tcPr>
                <w:p w14:paraId="6717D79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62206B5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1.26E-02</w:t>
                  </w:r>
                </w:p>
              </w:tc>
            </w:tr>
            <w:tr w14:paraId="57D57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2B94C96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36BA7E2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473" w:type="dxa"/>
                  <w:vAlign w:val="center"/>
                </w:tcPr>
                <w:p w14:paraId="50603FB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739" w:type="dxa"/>
                  <w:vAlign w:val="center"/>
                </w:tcPr>
                <w:p w14:paraId="6CFD437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702F44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77C3407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563930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0736BD9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0239D1D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6.281</w:t>
                  </w:r>
                </w:p>
              </w:tc>
              <w:tc>
                <w:tcPr>
                  <w:tcW w:w="925" w:type="dxa"/>
                  <w:vAlign w:val="center"/>
                </w:tcPr>
                <w:p w14:paraId="0FC9469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64F5A93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6.70E-03</w:t>
                  </w:r>
                </w:p>
              </w:tc>
            </w:tr>
            <w:tr w14:paraId="361A8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13B5FF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404404E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473" w:type="dxa"/>
                  <w:vAlign w:val="center"/>
                </w:tcPr>
                <w:p w14:paraId="5BB3810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739" w:type="dxa"/>
                  <w:vAlign w:val="center"/>
                </w:tcPr>
                <w:p w14:paraId="3271ADA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16F10D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126434A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1947EAB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5136B18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352EB0A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6.266</w:t>
                  </w:r>
                </w:p>
              </w:tc>
              <w:tc>
                <w:tcPr>
                  <w:tcW w:w="925" w:type="dxa"/>
                  <w:vAlign w:val="center"/>
                </w:tcPr>
                <w:p w14:paraId="0EF88FB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787ABC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6.73E-03</w:t>
                  </w:r>
                </w:p>
              </w:tc>
            </w:tr>
            <w:tr w14:paraId="6E6B8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1DFDC92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2FCAAF3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473" w:type="dxa"/>
                  <w:vAlign w:val="center"/>
                </w:tcPr>
                <w:p w14:paraId="4AFC24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42BF25C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3BE6CCB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1C6306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0AC538A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4257D6B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4D838D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4.410</w:t>
                  </w:r>
                </w:p>
              </w:tc>
              <w:tc>
                <w:tcPr>
                  <w:tcW w:w="925" w:type="dxa"/>
                  <w:vAlign w:val="center"/>
                </w:tcPr>
                <w:p w14:paraId="0EB52D4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0A8BAB7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1.36E-02</w:t>
                  </w:r>
                </w:p>
              </w:tc>
            </w:tr>
            <w:tr w14:paraId="0856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65687C6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382B182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473" w:type="dxa"/>
                  <w:vAlign w:val="center"/>
                </w:tcPr>
                <w:p w14:paraId="6604CA2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710792E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77247E2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2417A64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5105589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041950C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6FD17B9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4.304</w:t>
                  </w:r>
                </w:p>
              </w:tc>
              <w:tc>
                <w:tcPr>
                  <w:tcW w:w="925" w:type="dxa"/>
                  <w:vAlign w:val="center"/>
                </w:tcPr>
                <w:p w14:paraId="05D81D4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467461E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1.43E-02</w:t>
                  </w:r>
                </w:p>
              </w:tc>
            </w:tr>
            <w:tr w14:paraId="324A6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50475D3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4E204A5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473" w:type="dxa"/>
                  <w:vAlign w:val="center"/>
                </w:tcPr>
                <w:p w14:paraId="559BE7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14889EC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vAlign w:val="center"/>
                </w:tcPr>
                <w:p w14:paraId="7BD00A3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vAlign w:val="center"/>
                </w:tcPr>
                <w:p w14:paraId="36BCE26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6EF696A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29FA85F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3CD393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5.635</w:t>
                  </w:r>
                </w:p>
              </w:tc>
              <w:tc>
                <w:tcPr>
                  <w:tcW w:w="925" w:type="dxa"/>
                  <w:vAlign w:val="center"/>
                </w:tcPr>
                <w:p w14:paraId="7AE353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1E82389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8.32E-03</w:t>
                  </w:r>
                </w:p>
              </w:tc>
            </w:tr>
            <w:tr w14:paraId="7AAF7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4E22E93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77" w:name="OLE_LINK151" w:colFirst="5" w:colLast="7"/>
                </w:p>
              </w:tc>
              <w:tc>
                <w:tcPr>
                  <w:tcW w:w="638" w:type="dxa"/>
                  <w:vAlign w:val="center"/>
                </w:tcPr>
                <w:p w14:paraId="61109C8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473" w:type="dxa"/>
                  <w:vAlign w:val="center"/>
                </w:tcPr>
                <w:p w14:paraId="063C609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shd w:val="clear" w:color="auto" w:fill="auto"/>
                  <w:vAlign w:val="center"/>
                </w:tcPr>
                <w:p w14:paraId="75C42F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shd w:val="clear" w:color="auto" w:fill="auto"/>
                  <w:vAlign w:val="center"/>
                </w:tcPr>
                <w:p w14:paraId="33B7F82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shd w:val="clear" w:color="auto" w:fill="auto"/>
                  <w:vAlign w:val="center"/>
                </w:tcPr>
                <w:p w14:paraId="6283DF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3A5C506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5A3F455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shd w:val="clear" w:color="auto" w:fill="auto"/>
                  <w:vAlign w:val="center"/>
                </w:tcPr>
                <w:p w14:paraId="10BDF43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5.474</w:t>
                  </w:r>
                </w:p>
              </w:tc>
              <w:tc>
                <w:tcPr>
                  <w:tcW w:w="925" w:type="dxa"/>
                  <w:vAlign w:val="center"/>
                </w:tcPr>
                <w:p w14:paraId="319BBEB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6E616B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8.82E-03</w:t>
                  </w:r>
                </w:p>
              </w:tc>
            </w:tr>
            <w:bookmarkEnd w:id="77"/>
            <w:tr w14:paraId="503E7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03959CE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bookmarkStart w:id="78" w:name="OLE_LINK156" w:colFirst="1" w:colLast="1"/>
                </w:p>
              </w:tc>
              <w:tc>
                <w:tcPr>
                  <w:tcW w:w="638" w:type="dxa"/>
                  <w:vAlign w:val="center"/>
                </w:tcPr>
                <w:p w14:paraId="6494D88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473" w:type="dxa"/>
                  <w:vAlign w:val="center"/>
                </w:tcPr>
                <w:p w14:paraId="3CD00F3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739" w:type="dxa"/>
                  <w:shd w:val="clear" w:color="auto" w:fill="auto"/>
                  <w:vAlign w:val="center"/>
                </w:tcPr>
                <w:p w14:paraId="537A9D9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shd w:val="clear" w:color="auto" w:fill="auto"/>
                  <w:vAlign w:val="center"/>
                </w:tcPr>
                <w:p w14:paraId="61D9316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shd w:val="clear" w:color="auto" w:fill="auto"/>
                  <w:vAlign w:val="center"/>
                </w:tcPr>
                <w:p w14:paraId="033D6BB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501F5F0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7FCAD6D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shd w:val="clear" w:color="auto" w:fill="auto"/>
                  <w:vAlign w:val="center"/>
                </w:tcPr>
                <w:p w14:paraId="23D0B82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3.85</w:t>
                  </w:r>
                </w:p>
              </w:tc>
              <w:tc>
                <w:tcPr>
                  <w:tcW w:w="925" w:type="dxa"/>
                  <w:vAlign w:val="center"/>
                </w:tcPr>
                <w:p w14:paraId="6BE1F28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2.41E-08</w:t>
                  </w:r>
                </w:p>
              </w:tc>
              <w:tc>
                <w:tcPr>
                  <w:tcW w:w="864" w:type="dxa"/>
                  <w:vAlign w:val="center"/>
                </w:tcPr>
                <w:p w14:paraId="15DD94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1.16E-03</w:t>
                  </w:r>
                </w:p>
              </w:tc>
            </w:tr>
            <w:tr w14:paraId="500B4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2BBF1B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08E7A2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473" w:type="dxa"/>
                  <w:vAlign w:val="center"/>
                </w:tcPr>
                <w:p w14:paraId="089E73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739" w:type="dxa"/>
                  <w:shd w:val="clear" w:color="auto" w:fill="auto"/>
                  <w:vAlign w:val="center"/>
                </w:tcPr>
                <w:p w14:paraId="4B5ADC4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0.56</w:t>
                  </w:r>
                </w:p>
              </w:tc>
              <w:tc>
                <w:tcPr>
                  <w:tcW w:w="650" w:type="dxa"/>
                  <w:shd w:val="clear" w:color="auto" w:fill="auto"/>
                  <w:vAlign w:val="center"/>
                </w:tcPr>
                <w:p w14:paraId="46250E8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3600</w:t>
                  </w:r>
                </w:p>
              </w:tc>
              <w:tc>
                <w:tcPr>
                  <w:tcW w:w="713" w:type="dxa"/>
                  <w:shd w:val="clear" w:color="auto" w:fill="auto"/>
                  <w:vAlign w:val="center"/>
                </w:tcPr>
                <w:p w14:paraId="741F26B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48770D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70FB86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shd w:val="clear" w:color="auto" w:fill="auto"/>
                  <w:vAlign w:val="center"/>
                </w:tcPr>
                <w:p w14:paraId="55FC46C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3.15</w:t>
                  </w:r>
                </w:p>
              </w:tc>
              <w:tc>
                <w:tcPr>
                  <w:tcW w:w="925" w:type="dxa"/>
                  <w:vAlign w:val="center"/>
                </w:tcPr>
                <w:p w14:paraId="1C204B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7.72E-08</w:t>
                  </w:r>
                </w:p>
              </w:tc>
              <w:tc>
                <w:tcPr>
                  <w:tcW w:w="864" w:type="dxa"/>
                  <w:vAlign w:val="center"/>
                </w:tcPr>
                <w:p w14:paraId="370C4F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5.57E-03</w:t>
                  </w:r>
                </w:p>
              </w:tc>
            </w:tr>
            <w:bookmarkEnd w:id="78"/>
            <w:tr w14:paraId="0C42B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restart"/>
                  <w:vAlign w:val="center"/>
                </w:tcPr>
                <w:p w14:paraId="22F4CC5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减影</w:t>
                  </w:r>
                </w:p>
              </w:tc>
              <w:tc>
                <w:tcPr>
                  <w:tcW w:w="638" w:type="dxa"/>
                  <w:vAlign w:val="center"/>
                </w:tcPr>
                <w:p w14:paraId="6E7585E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473" w:type="dxa"/>
                  <w:vAlign w:val="center"/>
                </w:tcPr>
                <w:p w14:paraId="6EBB43A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739" w:type="dxa"/>
                  <w:vAlign w:val="center"/>
                </w:tcPr>
                <w:p w14:paraId="79BD2FC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2D36936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237D59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7131003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3A6BADA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25CA88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4.230</w:t>
                  </w:r>
                </w:p>
              </w:tc>
              <w:tc>
                <w:tcPr>
                  <w:tcW w:w="925" w:type="dxa"/>
                  <w:vAlign w:val="center"/>
                </w:tcPr>
                <w:p w14:paraId="31FAB34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26FB5E0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2.74E-03</w:t>
                  </w:r>
                </w:p>
              </w:tc>
            </w:tr>
            <w:tr w14:paraId="7517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4EC9D37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03C6540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473" w:type="dxa"/>
                  <w:vAlign w:val="center"/>
                </w:tcPr>
                <w:p w14:paraId="1EB5427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739" w:type="dxa"/>
                  <w:vAlign w:val="center"/>
                </w:tcPr>
                <w:p w14:paraId="09D6B7E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65AFD4A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33E3F1C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5FCC284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121D2CF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18FCB07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4.202</w:t>
                  </w:r>
                </w:p>
              </w:tc>
              <w:tc>
                <w:tcPr>
                  <w:tcW w:w="925" w:type="dxa"/>
                  <w:vAlign w:val="center"/>
                </w:tcPr>
                <w:p w14:paraId="44FA41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686738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2.79E-03</w:t>
                  </w:r>
                </w:p>
              </w:tc>
            </w:tr>
            <w:tr w14:paraId="26EC4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0E2A622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18FEE5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473" w:type="dxa"/>
                  <w:vAlign w:val="center"/>
                </w:tcPr>
                <w:p w14:paraId="04F45BE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1A81039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093B30B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7DAC5F6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5FA1110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2B2E39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6A31393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5.579</w:t>
                  </w:r>
                </w:p>
              </w:tc>
              <w:tc>
                <w:tcPr>
                  <w:tcW w:w="925" w:type="dxa"/>
                  <w:vAlign w:val="center"/>
                </w:tcPr>
                <w:p w14:paraId="2C8FCB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014DD07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1.58E-03</w:t>
                  </w:r>
                </w:p>
              </w:tc>
            </w:tr>
            <w:tr w14:paraId="45A92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3FE54A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CA126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473" w:type="dxa"/>
                  <w:vAlign w:val="center"/>
                </w:tcPr>
                <w:p w14:paraId="6899D5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5425FB1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48BACDB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18E305E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7F657EB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7819DA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12CF41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4.586</w:t>
                  </w:r>
                </w:p>
              </w:tc>
              <w:tc>
                <w:tcPr>
                  <w:tcW w:w="925" w:type="dxa"/>
                  <w:vAlign w:val="center"/>
                </w:tcPr>
                <w:p w14:paraId="383C51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786F1F1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2.33E-03</w:t>
                  </w:r>
                </w:p>
              </w:tc>
            </w:tr>
            <w:tr w14:paraId="55B0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43C4F55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55DB316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473" w:type="dxa"/>
                  <w:vAlign w:val="center"/>
                </w:tcPr>
                <w:p w14:paraId="2385FC3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739" w:type="dxa"/>
                  <w:vAlign w:val="center"/>
                </w:tcPr>
                <w:p w14:paraId="7D8444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4DBB69F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5D2257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0E3F68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3133732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08F981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6.281</w:t>
                  </w:r>
                </w:p>
              </w:tc>
              <w:tc>
                <w:tcPr>
                  <w:tcW w:w="925" w:type="dxa"/>
                  <w:vAlign w:val="center"/>
                </w:tcPr>
                <w:p w14:paraId="599C68D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2BDF68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1.24E-03</w:t>
                  </w:r>
                </w:p>
              </w:tc>
            </w:tr>
            <w:tr w14:paraId="74D2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2446059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76AF94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473" w:type="dxa"/>
                  <w:vAlign w:val="center"/>
                </w:tcPr>
                <w:p w14:paraId="7040558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739" w:type="dxa"/>
                  <w:vAlign w:val="center"/>
                </w:tcPr>
                <w:p w14:paraId="3EC9916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5705072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4CF3D02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3D1DDAD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485C6B0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64F507B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6.266</w:t>
                  </w:r>
                </w:p>
              </w:tc>
              <w:tc>
                <w:tcPr>
                  <w:tcW w:w="925" w:type="dxa"/>
                  <w:vAlign w:val="center"/>
                </w:tcPr>
                <w:p w14:paraId="17A5A8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0B85E71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1.25E-03</w:t>
                  </w:r>
                </w:p>
              </w:tc>
            </w:tr>
            <w:tr w14:paraId="66D20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639FB45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1903568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473" w:type="dxa"/>
                  <w:vAlign w:val="center"/>
                </w:tcPr>
                <w:p w14:paraId="3AC13CB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159E802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1A82D4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504D839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455603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5CC3B2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204776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4.410</w:t>
                  </w:r>
                </w:p>
              </w:tc>
              <w:tc>
                <w:tcPr>
                  <w:tcW w:w="925" w:type="dxa"/>
                  <w:vAlign w:val="center"/>
                </w:tcPr>
                <w:p w14:paraId="28520B0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4917BE6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2.52E-03</w:t>
                  </w:r>
                </w:p>
              </w:tc>
            </w:tr>
            <w:tr w14:paraId="46210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53CE74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D7405B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473" w:type="dxa"/>
                  <w:vAlign w:val="center"/>
                </w:tcPr>
                <w:p w14:paraId="3775C46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6822A8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2B6A1EB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7D612C1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2BB8B3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6BC0116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vAlign w:val="center"/>
                </w:tcPr>
                <w:p w14:paraId="3202A6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4.304</w:t>
                  </w:r>
                </w:p>
              </w:tc>
              <w:tc>
                <w:tcPr>
                  <w:tcW w:w="925" w:type="dxa"/>
                  <w:vAlign w:val="center"/>
                </w:tcPr>
                <w:p w14:paraId="6ABB550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vAlign w:val="center"/>
                </w:tcPr>
                <w:p w14:paraId="323D52B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2.65E-03</w:t>
                  </w:r>
                </w:p>
              </w:tc>
            </w:tr>
            <w:tr w14:paraId="6BF6E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1CCE4E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76668D7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473" w:type="dxa"/>
                  <w:vAlign w:val="center"/>
                </w:tcPr>
                <w:p w14:paraId="4CF8B55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63B8B77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vAlign w:val="center"/>
                </w:tcPr>
                <w:p w14:paraId="7AB587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vAlign w:val="center"/>
                </w:tcPr>
                <w:p w14:paraId="3CFF06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vAlign w:val="center"/>
                </w:tcPr>
                <w:p w14:paraId="2B2E86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vAlign w:val="center"/>
                </w:tcPr>
                <w:p w14:paraId="5BD1A8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vAlign w:val="center"/>
                </w:tcPr>
                <w:p w14:paraId="7458D05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5.635</w:t>
                  </w:r>
                </w:p>
              </w:tc>
              <w:tc>
                <w:tcPr>
                  <w:tcW w:w="925" w:type="dxa"/>
                  <w:vAlign w:val="center"/>
                </w:tcPr>
                <w:p w14:paraId="10D281D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864" w:type="dxa"/>
                  <w:vAlign w:val="center"/>
                </w:tcPr>
                <w:p w14:paraId="42D9F3D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1.54E-03</w:t>
                  </w:r>
                </w:p>
              </w:tc>
            </w:tr>
            <w:tr w14:paraId="5E946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423BAA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438091E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473" w:type="dxa"/>
                  <w:vAlign w:val="center"/>
                </w:tcPr>
                <w:p w14:paraId="069D05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739" w:type="dxa"/>
                  <w:vAlign w:val="center"/>
                </w:tcPr>
                <w:p w14:paraId="484E2B8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shd w:val="clear" w:color="auto" w:fill="auto"/>
                  <w:vAlign w:val="center"/>
                </w:tcPr>
                <w:p w14:paraId="7A5720F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shd w:val="clear" w:color="auto" w:fill="auto"/>
                  <w:vAlign w:val="center"/>
                </w:tcPr>
                <w:p w14:paraId="7699A3F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6036BE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492992F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shd w:val="clear" w:color="auto" w:fill="auto"/>
                  <w:vAlign w:val="center"/>
                </w:tcPr>
                <w:p w14:paraId="27D62F3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5.474</w:t>
                  </w:r>
                </w:p>
              </w:tc>
              <w:tc>
                <w:tcPr>
                  <w:tcW w:w="925" w:type="dxa"/>
                  <w:shd w:val="clear" w:color="auto" w:fill="auto"/>
                  <w:vAlign w:val="center"/>
                </w:tcPr>
                <w:p w14:paraId="652AE8C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864" w:type="dxa"/>
                  <w:shd w:val="clear" w:color="auto" w:fill="auto"/>
                  <w:vAlign w:val="center"/>
                </w:tcPr>
                <w:p w14:paraId="5953D35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1.64E-03</w:t>
                  </w:r>
                </w:p>
              </w:tc>
            </w:tr>
            <w:tr w14:paraId="7D2A2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5FCD83A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D4E456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473" w:type="dxa"/>
                  <w:vAlign w:val="center"/>
                </w:tcPr>
                <w:p w14:paraId="2FB4ACB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739" w:type="dxa"/>
                  <w:vAlign w:val="center"/>
                </w:tcPr>
                <w:p w14:paraId="088548C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shd w:val="clear" w:color="auto" w:fill="auto"/>
                  <w:vAlign w:val="center"/>
                </w:tcPr>
                <w:p w14:paraId="6F53B8C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shd w:val="clear" w:color="auto" w:fill="auto"/>
                  <w:vAlign w:val="center"/>
                </w:tcPr>
                <w:p w14:paraId="3DF3731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084AA4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5A12FE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35</w:t>
                  </w:r>
                </w:p>
              </w:tc>
              <w:tc>
                <w:tcPr>
                  <w:tcW w:w="650" w:type="dxa"/>
                  <w:shd w:val="clear" w:color="auto" w:fill="auto"/>
                  <w:vAlign w:val="center"/>
                </w:tcPr>
                <w:p w14:paraId="6F0799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3.85</w:t>
                  </w:r>
                </w:p>
              </w:tc>
              <w:tc>
                <w:tcPr>
                  <w:tcW w:w="925" w:type="dxa"/>
                  <w:shd w:val="clear" w:color="auto" w:fill="auto"/>
                  <w:vAlign w:val="center"/>
                </w:tcPr>
                <w:p w14:paraId="5B11D52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2.41E-08</w:t>
                  </w:r>
                </w:p>
              </w:tc>
              <w:tc>
                <w:tcPr>
                  <w:tcW w:w="864" w:type="dxa"/>
                  <w:shd w:val="clear" w:color="auto" w:fill="auto"/>
                  <w:vAlign w:val="center"/>
                </w:tcPr>
                <w:p w14:paraId="3FAE5FE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2.16E-04</w:t>
                  </w:r>
                </w:p>
              </w:tc>
            </w:tr>
            <w:tr w14:paraId="35A50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dxa"/>
                  <w:vMerge w:val="continue"/>
                  <w:vAlign w:val="center"/>
                </w:tcPr>
                <w:p w14:paraId="5A1C7EC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38" w:type="dxa"/>
                  <w:vAlign w:val="center"/>
                </w:tcPr>
                <w:p w14:paraId="6ED5E38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473" w:type="dxa"/>
                  <w:vAlign w:val="center"/>
                </w:tcPr>
                <w:p w14:paraId="656CEDE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739" w:type="dxa"/>
                  <w:vAlign w:val="center"/>
                </w:tcPr>
                <w:p w14:paraId="6A0AD90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0.78</w:t>
                  </w:r>
                </w:p>
              </w:tc>
              <w:tc>
                <w:tcPr>
                  <w:tcW w:w="650" w:type="dxa"/>
                  <w:shd w:val="clear" w:color="auto" w:fill="auto"/>
                  <w:vAlign w:val="center"/>
                </w:tcPr>
                <w:p w14:paraId="331BF82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480</w:t>
                  </w:r>
                </w:p>
              </w:tc>
              <w:tc>
                <w:tcPr>
                  <w:tcW w:w="713" w:type="dxa"/>
                  <w:shd w:val="clear" w:color="auto" w:fill="auto"/>
                  <w:vAlign w:val="center"/>
                </w:tcPr>
                <w:p w14:paraId="71EA8B6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c>
                <w:tcPr>
                  <w:tcW w:w="637" w:type="dxa"/>
                  <w:shd w:val="clear" w:color="auto" w:fill="auto"/>
                  <w:vAlign w:val="center"/>
                </w:tcPr>
                <w:p w14:paraId="63301FA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400</w:t>
                  </w:r>
                </w:p>
              </w:tc>
              <w:tc>
                <w:tcPr>
                  <w:tcW w:w="638" w:type="dxa"/>
                  <w:shd w:val="clear" w:color="auto" w:fill="auto"/>
                  <w:vAlign w:val="center"/>
                </w:tcPr>
                <w:p w14:paraId="597A6C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0.35</w:t>
                  </w:r>
                </w:p>
              </w:tc>
              <w:tc>
                <w:tcPr>
                  <w:tcW w:w="650" w:type="dxa"/>
                  <w:shd w:val="clear" w:color="auto" w:fill="auto"/>
                  <w:vAlign w:val="center"/>
                </w:tcPr>
                <w:p w14:paraId="48A93A6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3.15</w:t>
                  </w:r>
                </w:p>
              </w:tc>
              <w:tc>
                <w:tcPr>
                  <w:tcW w:w="925" w:type="dxa"/>
                  <w:shd w:val="clear" w:color="auto" w:fill="auto"/>
                  <w:vAlign w:val="center"/>
                </w:tcPr>
                <w:p w14:paraId="477D61D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7.72E-08</w:t>
                  </w:r>
                </w:p>
              </w:tc>
              <w:tc>
                <w:tcPr>
                  <w:tcW w:w="864" w:type="dxa"/>
                  <w:shd w:val="clear" w:color="auto" w:fill="auto"/>
                  <w:vAlign w:val="center"/>
                </w:tcPr>
                <w:p w14:paraId="26F973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1.03E-03</w:t>
                  </w:r>
                </w:p>
              </w:tc>
            </w:tr>
            <w:bookmarkEnd w:id="76"/>
          </w:tbl>
          <w:p w14:paraId="79F92132">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由表11-</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计算结果可知，</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外</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各关注点处（除床旁手术位）散射剂量率水平最大值为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1.50E-02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μSv/h。</w:t>
            </w:r>
          </w:p>
          <w:p w14:paraId="46F74F22">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②漏射辐射剂量率</w:t>
            </w:r>
          </w:p>
          <w:p w14:paraId="7900381A">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2计算出的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各关注点漏射透射因子</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详见上文表</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183D9D09">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泄漏辐射剂量率利用点源辐射进行计算，剂量率计算公式参考《放射治疗机房的辐射屏蔽规范第2部分：电子直线加速器放射治疗机房》（GBZ/T201.2-2011）中5.2.1b）给出的公式进行计算。</w:t>
            </w:r>
          </w:p>
          <w:p w14:paraId="1FF9E022">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846455" cy="313690"/>
                  <wp:effectExtent l="0" t="0" r="10795" b="1016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42"/>
                          <a:stretch>
                            <a:fillRect/>
                          </a:stretch>
                        </pic:blipFill>
                        <pic:spPr>
                          <a:xfrm>
                            <a:off x="0" y="0"/>
                            <a:ext cx="846455" cy="313690"/>
                          </a:xfrm>
                          <a:prstGeom prst="rect">
                            <a:avLst/>
                          </a:prstGeom>
                          <a:noFill/>
                          <a:ln>
                            <a:noFill/>
                          </a:ln>
                        </pic:spPr>
                      </pic:pic>
                    </a:graphicData>
                  </a:graphic>
                </wp:inline>
              </w:drawing>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              （式11-4）</w:t>
            </w:r>
          </w:p>
          <w:p w14:paraId="7C7425EC">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式中：</w:t>
            </w:r>
          </w:p>
          <w:p w14:paraId="0463C606">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HL——预测点处的泄漏辐射剂量率，μSv/h</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，由于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手术室内第一、第二术者位医师及协助手术的护士</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处于射线的非主射束方向，仅位于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射线束散射、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漏射束方向，因此照射量率取主射束方向的1‰（注：国家辐射防护及测量委员会（NCRP）报告（第49号出版）第147号和151号报告中针对能量在10MV以下医用X射线结构屏蔽设计和评价，</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散射、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漏射辐射比率不大于有用束剂量的1‰）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94600E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0•f——距靶1m处的泄漏辐射在空气中的比释动能率，μGy/h，根据国际放射防护委员会第33号出版物《医用外照射源的辐射防护》“（77）用于诊断目的的每一个X射线管必须封闭在管套内，以使得位于该套管内的X射线管在制造厂规定的每个额定值时，离焦点1m处所测得的泄漏辐射在空气中的比释动能不超过1mGy/h”即1000μGy/h</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根据</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项目设备说明材料，项目所使用北京通用的GEOEC ONE CFD型</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离焦点1m处所测得的泄漏辐射在空气中的比释动能不超过</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00μGy/h</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6B5B98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R——靶点距关注点的距离，m；</w:t>
            </w:r>
          </w:p>
          <w:p w14:paraId="684EF59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B——屏蔽透射因子，取表1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6F808C3A">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f—对有用束为1，对泄漏辐射为泄漏辐射比率；</w:t>
            </w:r>
          </w:p>
          <w:p w14:paraId="41E5198F">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根据公式11-4，各关注点位泄漏辐射剂量率计算参数及结果见表11-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7E3D825F">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各关注点位泄漏辐射剂量率计算参数及结果</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969"/>
              <w:gridCol w:w="1816"/>
              <w:gridCol w:w="1187"/>
              <w:gridCol w:w="1187"/>
              <w:gridCol w:w="1187"/>
              <w:gridCol w:w="1187"/>
            </w:tblGrid>
            <w:tr w14:paraId="0BFC1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773" w:type="dxa"/>
                  <w:vAlign w:val="center"/>
                </w:tcPr>
                <w:p w14:paraId="4A27EA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模式</w:t>
                  </w:r>
                </w:p>
              </w:tc>
              <w:tc>
                <w:tcPr>
                  <w:tcW w:w="969" w:type="dxa"/>
                  <w:vAlign w:val="center"/>
                </w:tcPr>
                <w:p w14:paraId="55AA0AB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 编号</w:t>
                  </w:r>
                </w:p>
              </w:tc>
              <w:tc>
                <w:tcPr>
                  <w:tcW w:w="1816" w:type="dxa"/>
                  <w:vAlign w:val="center"/>
                </w:tcPr>
                <w:p w14:paraId="2CC4383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w:t>
                  </w:r>
                </w:p>
                <w:p w14:paraId="3CAC485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位置</w:t>
                  </w:r>
                </w:p>
              </w:tc>
              <w:tc>
                <w:tcPr>
                  <w:tcW w:w="1187" w:type="dxa"/>
                  <w:vAlign w:val="center"/>
                </w:tcPr>
                <w:p w14:paraId="658106F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H0</w:t>
                  </w:r>
                </w:p>
                <w:p w14:paraId="4CE0DD4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(μGy/h）</w:t>
                  </w:r>
                </w:p>
              </w:tc>
              <w:tc>
                <w:tcPr>
                  <w:tcW w:w="1187" w:type="dxa"/>
                  <w:vAlign w:val="center"/>
                </w:tcPr>
                <w:p w14:paraId="0342AB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R</w:t>
                  </w:r>
                </w:p>
                <w:p w14:paraId="153AFD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w:t>
                  </w:r>
                </w:p>
              </w:tc>
              <w:tc>
                <w:tcPr>
                  <w:tcW w:w="1187" w:type="dxa"/>
                  <w:vAlign w:val="center"/>
                </w:tcPr>
                <w:p w14:paraId="700B9D8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B</w:t>
                  </w:r>
                </w:p>
              </w:tc>
              <w:tc>
                <w:tcPr>
                  <w:tcW w:w="1187" w:type="dxa"/>
                  <w:vAlign w:val="center"/>
                </w:tcPr>
                <w:p w14:paraId="77AF4B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HL</w:t>
                  </w:r>
                </w:p>
                <w:p w14:paraId="5ACC905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(μGy/h）</w:t>
                  </w:r>
                </w:p>
              </w:tc>
            </w:tr>
            <w:tr w14:paraId="3A65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restart"/>
                  <w:vAlign w:val="center"/>
                </w:tcPr>
                <w:p w14:paraId="5D2FD6F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79" w:name="OLE_LINK165" w:colFirst="6" w:colLast="6"/>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透视</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及减影</w:t>
                  </w:r>
                </w:p>
              </w:tc>
              <w:tc>
                <w:tcPr>
                  <w:tcW w:w="969" w:type="dxa"/>
                  <w:vAlign w:val="center"/>
                </w:tcPr>
                <w:p w14:paraId="32CA78B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816" w:type="dxa"/>
                  <w:vAlign w:val="center"/>
                </w:tcPr>
                <w:p w14:paraId="579DCB6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1187" w:type="dxa"/>
                  <w:vAlign w:val="center"/>
                </w:tcPr>
                <w:p w14:paraId="5F9753A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617E4F4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4.230</w:t>
                  </w:r>
                </w:p>
              </w:tc>
              <w:tc>
                <w:tcPr>
                  <w:tcW w:w="1187" w:type="dxa"/>
                  <w:vAlign w:val="center"/>
                </w:tcPr>
                <w:p w14:paraId="303D8F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1187" w:type="dxa"/>
                  <w:vAlign w:val="center"/>
                </w:tcPr>
                <w:p w14:paraId="4FCE95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bookmarkStart w:id="80" w:name="OLE_LINK162"/>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bookmarkEnd w:id="80"/>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r>
            <w:tr w14:paraId="598E2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7C08C0F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52A90D8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816" w:type="dxa"/>
                  <w:vAlign w:val="center"/>
                </w:tcPr>
                <w:p w14:paraId="44928A1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1187" w:type="dxa"/>
                  <w:vAlign w:val="center"/>
                </w:tcPr>
                <w:p w14:paraId="7EAA7F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2C4F804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4.202</w:t>
                  </w:r>
                </w:p>
              </w:tc>
              <w:tc>
                <w:tcPr>
                  <w:tcW w:w="1187" w:type="dxa"/>
                  <w:vAlign w:val="center"/>
                </w:tcPr>
                <w:p w14:paraId="57BCFA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1187" w:type="dxa"/>
                  <w:vAlign w:val="center"/>
                </w:tcPr>
                <w:p w14:paraId="77C0990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1.67E-05</w:t>
                  </w:r>
                </w:p>
              </w:tc>
            </w:tr>
            <w:tr w14:paraId="144D8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599B859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597AEA3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816" w:type="dxa"/>
                  <w:vAlign w:val="center"/>
                </w:tcPr>
                <w:p w14:paraId="32B507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68BCE1A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67BE0B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5.579</w:t>
                  </w:r>
                </w:p>
              </w:tc>
              <w:tc>
                <w:tcPr>
                  <w:tcW w:w="1187" w:type="dxa"/>
                  <w:vAlign w:val="center"/>
                </w:tcPr>
                <w:p w14:paraId="6D7FB85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1187" w:type="dxa"/>
                  <w:vAlign w:val="center"/>
                </w:tcPr>
                <w:p w14:paraId="5221C6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9.48E-06</w:t>
                  </w:r>
                </w:p>
              </w:tc>
            </w:tr>
            <w:tr w14:paraId="10C07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37C5278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4DFD197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816" w:type="dxa"/>
                  <w:vAlign w:val="center"/>
                </w:tcPr>
                <w:p w14:paraId="6E9F307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6DE7E32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388B31F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4.586</w:t>
                  </w:r>
                </w:p>
              </w:tc>
              <w:tc>
                <w:tcPr>
                  <w:tcW w:w="1187" w:type="dxa"/>
                  <w:vAlign w:val="center"/>
                </w:tcPr>
                <w:p w14:paraId="552023E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1187" w:type="dxa"/>
                  <w:vAlign w:val="center"/>
                </w:tcPr>
                <w:p w14:paraId="607C474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1.40E-05</w:t>
                  </w:r>
                </w:p>
              </w:tc>
            </w:tr>
            <w:tr w14:paraId="5DB9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72AB079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267E79D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816" w:type="dxa"/>
                  <w:vAlign w:val="center"/>
                </w:tcPr>
                <w:p w14:paraId="69BE1A8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1187" w:type="dxa"/>
                  <w:vAlign w:val="center"/>
                </w:tcPr>
                <w:p w14:paraId="31BA66D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633836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6.281</w:t>
                  </w:r>
                </w:p>
              </w:tc>
              <w:tc>
                <w:tcPr>
                  <w:tcW w:w="1187" w:type="dxa"/>
                  <w:vAlign w:val="center"/>
                </w:tcPr>
                <w:p w14:paraId="4CDB36A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1187" w:type="dxa"/>
                  <w:vAlign w:val="center"/>
                </w:tcPr>
                <w:p w14:paraId="600AF3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7.48E-06</w:t>
                  </w:r>
                </w:p>
              </w:tc>
            </w:tr>
            <w:tr w14:paraId="3C971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43FD516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70A4FD0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816" w:type="dxa"/>
                  <w:vAlign w:val="center"/>
                </w:tcPr>
                <w:p w14:paraId="336FF96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1187" w:type="dxa"/>
                  <w:vAlign w:val="center"/>
                </w:tcPr>
                <w:p w14:paraId="4C667A3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64373B6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6.266</w:t>
                  </w:r>
                </w:p>
              </w:tc>
              <w:tc>
                <w:tcPr>
                  <w:tcW w:w="1187" w:type="dxa"/>
                  <w:vAlign w:val="center"/>
                </w:tcPr>
                <w:p w14:paraId="7FC56E8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1187" w:type="dxa"/>
                  <w:vAlign w:val="center"/>
                </w:tcPr>
                <w:p w14:paraId="219CFAE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7.52E-06</w:t>
                  </w:r>
                </w:p>
              </w:tc>
            </w:tr>
            <w:tr w14:paraId="2C185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672C09F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7BC8FD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816" w:type="dxa"/>
                  <w:vAlign w:val="center"/>
                </w:tcPr>
                <w:p w14:paraId="0F4AC1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7D9C12D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43DB777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4.410</w:t>
                  </w:r>
                </w:p>
              </w:tc>
              <w:tc>
                <w:tcPr>
                  <w:tcW w:w="1187" w:type="dxa"/>
                  <w:vAlign w:val="center"/>
                </w:tcPr>
                <w:p w14:paraId="01F68B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1187" w:type="dxa"/>
                  <w:vAlign w:val="center"/>
                </w:tcPr>
                <w:p w14:paraId="2A47BAF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1.52E-05</w:t>
                  </w:r>
                </w:p>
              </w:tc>
            </w:tr>
            <w:tr w14:paraId="601DF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696DD7A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224CA54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816" w:type="dxa"/>
                  <w:vAlign w:val="center"/>
                </w:tcPr>
                <w:p w14:paraId="44E0F3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1BE72D7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37125A2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4.304</w:t>
                  </w:r>
                </w:p>
              </w:tc>
              <w:tc>
                <w:tcPr>
                  <w:tcW w:w="1187" w:type="dxa"/>
                  <w:vAlign w:val="center"/>
                </w:tcPr>
                <w:p w14:paraId="65A642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1187" w:type="dxa"/>
                  <w:vAlign w:val="center"/>
                </w:tcPr>
                <w:p w14:paraId="1EAF53A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1.59E-05</w:t>
                  </w:r>
                </w:p>
              </w:tc>
            </w:tr>
            <w:tr w14:paraId="4465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2F6296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48C8E7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816" w:type="dxa"/>
                  <w:vAlign w:val="center"/>
                </w:tcPr>
                <w:p w14:paraId="514CB7D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6B6FCC4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4287229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5.635</w:t>
                  </w:r>
                </w:p>
              </w:tc>
              <w:tc>
                <w:tcPr>
                  <w:tcW w:w="1187" w:type="dxa"/>
                  <w:vAlign w:val="center"/>
                </w:tcPr>
                <w:p w14:paraId="7C275C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w:t>
                  </w:r>
                </w:p>
              </w:tc>
              <w:tc>
                <w:tcPr>
                  <w:tcW w:w="1187" w:type="dxa"/>
                  <w:vAlign w:val="center"/>
                </w:tcPr>
                <w:p w14:paraId="03E00F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9.30E-06</w:t>
                  </w:r>
                </w:p>
              </w:tc>
            </w:tr>
            <w:tr w14:paraId="72671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015320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2EF6249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816" w:type="dxa"/>
                  <w:vAlign w:val="center"/>
                </w:tcPr>
                <w:p w14:paraId="0C017D6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6EFD943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1BCC35F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5.474</w:t>
                  </w:r>
                </w:p>
              </w:tc>
              <w:tc>
                <w:tcPr>
                  <w:tcW w:w="1187" w:type="dxa"/>
                  <w:vAlign w:val="center"/>
                </w:tcPr>
                <w:p w14:paraId="22B5CC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3.69E-07</w:t>
                  </w:r>
                </w:p>
              </w:tc>
              <w:tc>
                <w:tcPr>
                  <w:tcW w:w="1187" w:type="dxa"/>
                  <w:vAlign w:val="center"/>
                </w:tcPr>
                <w:p w14:paraId="082472CF">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9.85E-06</w:t>
                  </w:r>
                </w:p>
              </w:tc>
            </w:tr>
            <w:tr w14:paraId="679E4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4E5FB8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06344B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16" w:type="dxa"/>
                  <w:vAlign w:val="center"/>
                </w:tcPr>
                <w:p w14:paraId="01D875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187" w:type="dxa"/>
                  <w:vAlign w:val="center"/>
                </w:tcPr>
                <w:p w14:paraId="1E6A41C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00</w:t>
                  </w:r>
                </w:p>
              </w:tc>
              <w:tc>
                <w:tcPr>
                  <w:tcW w:w="1187" w:type="dxa"/>
                  <w:vAlign w:val="center"/>
                </w:tcPr>
                <w:p w14:paraId="57724EA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3.85</w:t>
                  </w:r>
                </w:p>
              </w:tc>
              <w:tc>
                <w:tcPr>
                  <w:tcW w:w="1187" w:type="dxa"/>
                  <w:vAlign w:val="center"/>
                </w:tcPr>
                <w:p w14:paraId="167EF53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2.41E-08</w:t>
                  </w:r>
                </w:p>
              </w:tc>
              <w:tc>
                <w:tcPr>
                  <w:tcW w:w="1187" w:type="dxa"/>
                  <w:vAlign w:val="center"/>
                </w:tcPr>
                <w:p w14:paraId="01FD8725">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1.30E-06</w:t>
                  </w:r>
                </w:p>
              </w:tc>
            </w:tr>
            <w:tr w14:paraId="7DD60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Merge w:val="continue"/>
                  <w:vAlign w:val="center"/>
                </w:tcPr>
                <w:p w14:paraId="05D304B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69" w:type="dxa"/>
                  <w:vAlign w:val="center"/>
                </w:tcPr>
                <w:p w14:paraId="6D94EEB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16" w:type="dxa"/>
                  <w:vAlign w:val="center"/>
                </w:tcPr>
                <w:p w14:paraId="7FE262C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1187" w:type="dxa"/>
                  <w:vAlign w:val="center"/>
                </w:tcPr>
                <w:p w14:paraId="55E49D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800</w:t>
                  </w:r>
                </w:p>
              </w:tc>
              <w:tc>
                <w:tcPr>
                  <w:tcW w:w="1187" w:type="dxa"/>
                  <w:vAlign w:val="center"/>
                </w:tcPr>
                <w:p w14:paraId="32DD25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3.15</w:t>
                  </w:r>
                </w:p>
              </w:tc>
              <w:tc>
                <w:tcPr>
                  <w:tcW w:w="1187" w:type="dxa"/>
                  <w:vAlign w:val="center"/>
                </w:tcPr>
                <w:p w14:paraId="012F354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7.72E-08</w:t>
                  </w:r>
                </w:p>
              </w:tc>
              <w:tc>
                <w:tcPr>
                  <w:tcW w:w="1187" w:type="dxa"/>
                  <w:vAlign w:val="center"/>
                </w:tcPr>
                <w:p w14:paraId="5F49D2AC">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6.22E-06</w:t>
                  </w:r>
                </w:p>
              </w:tc>
            </w:tr>
            <w:bookmarkEnd w:id="79"/>
          </w:tbl>
          <w:p w14:paraId="3A0945AC">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由表11-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计算结果可知，</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外</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各关注点处（除床旁手术位）泄漏辐射剂量率水平最大值为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1.67E-05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μSv/h。</w:t>
            </w:r>
          </w:p>
          <w:p w14:paraId="62B4E5DB">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③床旁手术位剂量率估算</w:t>
            </w:r>
          </w:p>
          <w:p w14:paraId="10AC4C6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a</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预测模式及参数选择</w:t>
            </w:r>
          </w:p>
          <w:p w14:paraId="374CF0F5">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床旁手术位剂量率估算选用李士骏编著的《电离辐射剂量学》中的估算方法预测分析</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透视情况下对介入手术室内工作人员的辐射剂量，估算模式如下：</w:t>
            </w:r>
          </w:p>
          <w:p w14:paraId="1ABA9C5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1063625" cy="296545"/>
                  <wp:effectExtent l="0" t="0" r="3175" b="8255"/>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43"/>
                          <a:stretch>
                            <a:fillRect/>
                          </a:stretch>
                        </pic:blipFill>
                        <pic:spPr>
                          <a:xfrm>
                            <a:off x="0" y="0"/>
                            <a:ext cx="1063625" cy="296545"/>
                          </a:xfrm>
                          <a:prstGeom prst="rect">
                            <a:avLst/>
                          </a:prstGeom>
                          <a:noFill/>
                          <a:ln>
                            <a:noFill/>
                          </a:ln>
                        </pic:spPr>
                      </pic:pic>
                    </a:graphicData>
                  </a:graphic>
                </wp:inline>
              </w:drawing>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              （式11-</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8349377">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1021715" cy="230505"/>
                  <wp:effectExtent l="0" t="0" r="6985" b="1714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44"/>
                          <a:stretch>
                            <a:fillRect/>
                          </a:stretch>
                        </pic:blipFill>
                        <pic:spPr>
                          <a:xfrm>
                            <a:off x="0" y="0"/>
                            <a:ext cx="1021715" cy="230505"/>
                          </a:xfrm>
                          <a:prstGeom prst="rect">
                            <a:avLst/>
                          </a:prstGeom>
                          <a:noFill/>
                          <a:ln>
                            <a:noFill/>
                          </a:ln>
                        </pic:spPr>
                      </pic:pic>
                    </a:graphicData>
                  </a:graphic>
                </wp:inline>
              </w:drawing>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              （式11-</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1FB6849D">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drawing>
                <wp:inline distT="0" distB="0" distL="114300" distR="114300">
                  <wp:extent cx="701040" cy="258445"/>
                  <wp:effectExtent l="0" t="0" r="3810" b="8255"/>
                  <wp:docPr id="3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pic:cNvPicPr>
                            <a:picLocks noChangeAspect="1"/>
                          </pic:cNvPicPr>
                        </pic:nvPicPr>
                        <pic:blipFill>
                          <a:blip r:embed="rId45"/>
                          <a:stretch>
                            <a:fillRect/>
                          </a:stretch>
                        </pic:blipFill>
                        <pic:spPr>
                          <a:xfrm>
                            <a:off x="0" y="0"/>
                            <a:ext cx="701040" cy="258445"/>
                          </a:xfrm>
                          <a:prstGeom prst="rect">
                            <a:avLst/>
                          </a:prstGeom>
                          <a:noFill/>
                          <a:ln>
                            <a:noFill/>
                          </a:ln>
                        </pic:spPr>
                      </pic:pic>
                    </a:graphicData>
                  </a:graphic>
                </wp:inline>
              </w:drawing>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 xml:space="preserve">              （式11-</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31B2CB6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式中：</w:t>
            </w:r>
          </w:p>
          <w:p w14:paraId="05576BD2">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X：离射线装置r处产生的照射量，R。</w:t>
            </w:r>
          </w:p>
          <w:p w14:paraId="57B3E1CA">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D：离射线装置r处产生的空气吸收剂量，Gy。</w:t>
            </w:r>
          </w:p>
          <w:p w14:paraId="324832F1">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I：管电流（mA），根据医院提供资料，本项目介入手术透视时最大管电流为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mA。</w:t>
            </w:r>
          </w:p>
          <w:p w14:paraId="3F6ED96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Vro：在给定的管电压和射线过滤情况下，距射线装置r0（r0=1m）处，由单位管电流（1mA）造成的照射量率，R·mA</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；查《辐射防护手册》（第一分册）图4.4c，在过滤板</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mmAl</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（数据来源于项目设备说明书）</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、管电压75kV以下，Vr0=</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R·mA</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w:t>
            </w:r>
            <w:r>
              <w:rPr>
                <w:rFonts w:hint="default" w:ascii="Times New Roman" w:hAnsi="Times New Roman" w:cs="Times New Roman" w:eastAsiaTheme="minorEastAsia"/>
                <w:color w:val="0D0D0D" w:themeColor="text1" w:themeTint="F2"/>
                <w:kern w:val="0"/>
                <w:highlight w:val="none"/>
                <w:vertAlign w:val="superscript"/>
                <w:lang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27C99F4">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r：与主射束距离，第一术者位与主射束距离r约为0.3m；第二术者位r约为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w:t>
            </w:r>
          </w:p>
          <w:p w14:paraId="7D64BA3C">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f：防护材料对X射线的减弱因子，无量纲；</w:t>
            </w:r>
          </w:p>
          <w:p w14:paraId="47568B0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µ：转换因子，</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对γ、X射线取1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1F0E810">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H：有效剂量，Sv。</w:t>
            </w:r>
          </w:p>
          <w:p w14:paraId="0C1127A0">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医师</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在</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内操作时身穿铅衣、戴</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介入防护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手套、铅眼镜、铅围脖，同时使用床侧吊帘进行防护，这些防护用品均相当于0.5mm铅当量，第一术者位医生实际受到两层保护，防护能力相当于1mm铅当量；第二术者位医生仅受铅衣、铅眼镜、铅围脖等防护，防护能力相当于0.5mm铅当量。查《辐射防护手册》（第一分册，李德平、潘自强主编）图10.5e，在75kV时，1mmPb对X射线的减弱因子f=0.0012，0.5mmPb减弱因子f=0.013。由于医生处于射线的非主射束方向，仅位于X漏射</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散射</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束方向，因此照射量率取主射束方向的1‰（注：国家辐射防护及测量委员会（NCRP）报告（第49号出版）第147号和151号报告中针对能量在10MV以下医用X射线结构屏蔽设计和评价，漏射</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散射</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辐射比率不大于有用束剂量的1‰）。</w:t>
            </w:r>
          </w:p>
          <w:p w14:paraId="6299F088">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b</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预测结果及评价</w:t>
            </w:r>
          </w:p>
          <w:p w14:paraId="015D35FF">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将相关参数代入公式11-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，经估算，各科室手术医生受到的有效剂量见表11-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7F271D9D">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 xml:space="preserve">   各科室医生操作</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所致年有效剂量</w:t>
            </w:r>
          </w:p>
          <w:tbl>
            <w:tblPr>
              <w:tblStyle w:val="22"/>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163"/>
              <w:gridCol w:w="1276"/>
              <w:gridCol w:w="1275"/>
              <w:gridCol w:w="1503"/>
              <w:gridCol w:w="1557"/>
            </w:tblGrid>
            <w:tr w14:paraId="4A05C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6" w:type="dxa"/>
                  <w:vAlign w:val="center"/>
                </w:tcPr>
                <w:p w14:paraId="41EA64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科室</w:t>
                  </w:r>
                </w:p>
              </w:tc>
              <w:tc>
                <w:tcPr>
                  <w:tcW w:w="1163" w:type="dxa"/>
                  <w:vAlign w:val="center"/>
                </w:tcPr>
                <w:p w14:paraId="3ACE5F7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年手术量</w:t>
                  </w:r>
                </w:p>
                <w:p w14:paraId="373D077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（台数）</w:t>
                  </w:r>
                </w:p>
              </w:tc>
              <w:tc>
                <w:tcPr>
                  <w:tcW w:w="1276" w:type="dxa"/>
                  <w:vAlign w:val="center"/>
                </w:tcPr>
                <w:p w14:paraId="6A8904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年透视时间（h）</w:t>
                  </w:r>
                </w:p>
              </w:tc>
              <w:tc>
                <w:tcPr>
                  <w:tcW w:w="1275" w:type="dxa"/>
                  <w:vAlign w:val="center"/>
                </w:tcPr>
                <w:p w14:paraId="7F2787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本次计算手术医生组数</w:t>
                  </w:r>
                </w:p>
              </w:tc>
              <w:tc>
                <w:tcPr>
                  <w:tcW w:w="1503" w:type="dxa"/>
                  <w:vAlign w:val="center"/>
                </w:tcPr>
                <w:p w14:paraId="08ED18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单个医疗组</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第一术者位医生有效剂量（mSv/a）</w:t>
                  </w:r>
                </w:p>
              </w:tc>
              <w:tc>
                <w:tcPr>
                  <w:tcW w:w="1557" w:type="dxa"/>
                  <w:vAlign w:val="center"/>
                </w:tcPr>
                <w:p w14:paraId="6F6D39F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单个医疗组</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第二术者位医生有效剂量（mSv/a）</w:t>
                  </w:r>
                </w:p>
              </w:tc>
            </w:tr>
            <w:tr w14:paraId="426BB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586" w:type="dxa"/>
                  <w:shd w:val="clear" w:color="auto" w:fill="auto"/>
                  <w:vAlign w:val="center"/>
                </w:tcPr>
                <w:p w14:paraId="0899B288">
                  <w:pPr>
                    <w:snapToGrid w:val="0"/>
                    <w:ind w:firstLine="0" w:firstLineChars="0"/>
                    <w:jc w:val="center"/>
                    <w:rPr>
                      <w:rFonts w:hint="default" w:ascii="Times New Roman" w:hAnsi="Times New Roman" w:cs="Times New Roman" w:eastAsiaTheme="minorEastAsia"/>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外科</w:t>
                  </w:r>
                </w:p>
              </w:tc>
              <w:tc>
                <w:tcPr>
                  <w:tcW w:w="1163" w:type="dxa"/>
                  <w:vAlign w:val="center"/>
                </w:tcPr>
                <w:p w14:paraId="15B9FE5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800</w:t>
                  </w:r>
                </w:p>
              </w:tc>
              <w:tc>
                <w:tcPr>
                  <w:tcW w:w="1276" w:type="dxa"/>
                  <w:vAlign w:val="center"/>
                </w:tcPr>
                <w:p w14:paraId="043D74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200</w:t>
                  </w:r>
                </w:p>
              </w:tc>
              <w:tc>
                <w:tcPr>
                  <w:tcW w:w="1275" w:type="dxa"/>
                  <w:vAlign w:val="center"/>
                </w:tcPr>
                <w:p w14:paraId="48A23F5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c>
                <w:tcPr>
                  <w:tcW w:w="1503" w:type="dxa"/>
                  <w:vAlign w:val="center"/>
                </w:tcPr>
                <w:p w14:paraId="10EEB98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2.93</w:t>
                  </w:r>
                </w:p>
              </w:tc>
              <w:tc>
                <w:tcPr>
                  <w:tcW w:w="1557" w:type="dxa"/>
                  <w:vAlign w:val="center"/>
                </w:tcPr>
                <w:p w14:paraId="179E426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2.86</w:t>
                  </w:r>
                </w:p>
              </w:tc>
            </w:tr>
          </w:tbl>
          <w:p w14:paraId="2EB64EAB">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根据以上计算结果，</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考虑多个医疗组平摊手术量，则</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脉冲透视对</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外科</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第一术者位附加的有效剂量</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最大为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2.93</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mSv/a</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第二术者位附加的有效剂量</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最大为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2.86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mSv/a</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，均</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低于5mSv/a的管理限值。上述理论预测结果是基于同一组操作医生承担的假设之上，然而，在实际操作过程中，手术量会根据医生工作时间、技术水平等因素进行不均等分配，医生也不会固定在第一术者位或者第二术者位。因此，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实际运行时对</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内工作人员的累积剂量应更小，更能够满足评价标准要求。</w:t>
            </w:r>
          </w:p>
          <w:p w14:paraId="5E08DA58">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环评要求：建设单位应合理分配医生的手术量，尽量做到平均分配，</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对第一术者位和第二术者位进行轮换操作，</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以防因手术量过多造成个人剂量</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过大，甚至超过</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管理限值要求</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同时，应加强第一、第二术者医生的辐射防护措施。</w:t>
            </w:r>
          </w:p>
          <w:p w14:paraId="3EBD0477">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③散射和泄漏总辐射剂量率估算</w:t>
            </w:r>
          </w:p>
          <w:p w14:paraId="5C15A38C">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和表11-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的计算结果</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各关注点处散漏射所致附加剂量率总和，见表11-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5239D74B">
            <w:pPr>
              <w:widowControl/>
              <w:spacing w:line="360" w:lineRule="auto"/>
              <w:ind w:firstLine="480"/>
              <w:jc w:val="left"/>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w:t>
            </w:r>
            <w:r>
              <w:rPr>
                <w:rFonts w:hint="default"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 xml:space="preserve">   </w:t>
            </w:r>
            <w:r>
              <w:rPr>
                <w:rFonts w:hint="eastAsia" w:ascii="Times New Roman" w:hAnsi="Times New Roman" w:cs="Times New Roman" w:eastAsiaTheme="minorEastAsia"/>
                <w:b/>
                <w:bCs/>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散漏射所致附加剂量率总和  单位： (μSv/h）</w:t>
            </w:r>
          </w:p>
          <w:tbl>
            <w:tblPr>
              <w:tblStyle w:val="22"/>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81"/>
              <w:gridCol w:w="1844"/>
              <w:gridCol w:w="1187"/>
              <w:gridCol w:w="1187"/>
              <w:gridCol w:w="1332"/>
              <w:gridCol w:w="1042"/>
            </w:tblGrid>
            <w:tr w14:paraId="1DF53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33" w:type="dxa"/>
                  <w:vAlign w:val="center"/>
                </w:tcPr>
                <w:p w14:paraId="77DC43F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模式</w:t>
                  </w:r>
                </w:p>
              </w:tc>
              <w:tc>
                <w:tcPr>
                  <w:tcW w:w="981" w:type="dxa"/>
                  <w:vAlign w:val="center"/>
                </w:tcPr>
                <w:p w14:paraId="5B9D9AD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w:t>
                  </w:r>
                </w:p>
                <w:p w14:paraId="4B1F07B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编号</w:t>
                  </w:r>
                </w:p>
              </w:tc>
              <w:tc>
                <w:tcPr>
                  <w:tcW w:w="1844" w:type="dxa"/>
                  <w:vAlign w:val="center"/>
                </w:tcPr>
                <w:p w14:paraId="7061E2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关注点</w:t>
                  </w:r>
                </w:p>
                <w:p w14:paraId="5098C27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位置</w:t>
                  </w:r>
                </w:p>
              </w:tc>
              <w:tc>
                <w:tcPr>
                  <w:tcW w:w="1187" w:type="dxa"/>
                  <w:vAlign w:val="center"/>
                </w:tcPr>
                <w:p w14:paraId="3271A1E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散射辐射</w:t>
                  </w:r>
                </w:p>
              </w:tc>
              <w:tc>
                <w:tcPr>
                  <w:tcW w:w="1187" w:type="dxa"/>
                  <w:vAlign w:val="center"/>
                </w:tcPr>
                <w:p w14:paraId="33F109F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泄漏辐射</w:t>
                  </w:r>
                </w:p>
              </w:tc>
              <w:tc>
                <w:tcPr>
                  <w:tcW w:w="1332" w:type="dxa"/>
                  <w:vAlign w:val="center"/>
                </w:tcPr>
                <w:p w14:paraId="3B110D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散射辐射+泄漏辐射</w:t>
                  </w:r>
                </w:p>
              </w:tc>
              <w:tc>
                <w:tcPr>
                  <w:tcW w:w="1042" w:type="dxa"/>
                  <w:vAlign w:val="center"/>
                </w:tcPr>
                <w:p w14:paraId="7A6030F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标准限值</w:t>
                  </w:r>
                </w:p>
              </w:tc>
            </w:tr>
            <w:tr w14:paraId="4E750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vAlign w:val="center"/>
                </w:tcPr>
                <w:p w14:paraId="2E38769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透视</w:t>
                  </w:r>
                </w:p>
              </w:tc>
              <w:tc>
                <w:tcPr>
                  <w:tcW w:w="981" w:type="dxa"/>
                  <w:vAlign w:val="center"/>
                </w:tcPr>
                <w:p w14:paraId="0007D9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844" w:type="dxa"/>
                  <w:vAlign w:val="center"/>
                </w:tcPr>
                <w:p w14:paraId="3D78BF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1187" w:type="dxa"/>
                  <w:vAlign w:val="center"/>
                </w:tcPr>
                <w:p w14:paraId="46DFC54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w:t>
                  </w:r>
                </w:p>
              </w:tc>
              <w:tc>
                <w:tcPr>
                  <w:tcW w:w="1187" w:type="dxa"/>
                  <w:vAlign w:val="center"/>
                </w:tcPr>
                <w:p w14:paraId="35E2990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E-05</w:t>
                  </w:r>
                </w:p>
              </w:tc>
              <w:tc>
                <w:tcPr>
                  <w:tcW w:w="1332" w:type="dxa"/>
                  <w:vAlign w:val="center"/>
                </w:tcPr>
                <w:p w14:paraId="471266E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w:t>
                  </w:r>
                </w:p>
              </w:tc>
              <w:tc>
                <w:tcPr>
                  <w:tcW w:w="1042" w:type="dxa"/>
                  <w:vAlign w:val="center"/>
                </w:tcPr>
                <w:p w14:paraId="34DF96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4782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227CC31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2DB1E2C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844" w:type="dxa"/>
                  <w:vAlign w:val="center"/>
                </w:tcPr>
                <w:p w14:paraId="02D4872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1187" w:type="dxa"/>
                  <w:vAlign w:val="center"/>
                </w:tcPr>
                <w:p w14:paraId="5E1F30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c>
                <w:tcPr>
                  <w:tcW w:w="1187" w:type="dxa"/>
                  <w:vAlign w:val="center"/>
                </w:tcPr>
                <w:p w14:paraId="55A9522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1.67E-05</w:t>
                  </w:r>
                </w:p>
              </w:tc>
              <w:tc>
                <w:tcPr>
                  <w:tcW w:w="1332" w:type="dxa"/>
                  <w:vAlign w:val="center"/>
                </w:tcPr>
                <w:p w14:paraId="207B658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c>
                <w:tcPr>
                  <w:tcW w:w="1042" w:type="dxa"/>
                  <w:vAlign w:val="center"/>
                </w:tcPr>
                <w:p w14:paraId="5A62AAA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4ACC2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3" w:type="dxa"/>
                  <w:vMerge w:val="continue"/>
                  <w:vAlign w:val="center"/>
                </w:tcPr>
                <w:p w14:paraId="05B5C25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46F6A69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844" w:type="dxa"/>
                  <w:vAlign w:val="center"/>
                </w:tcPr>
                <w:p w14:paraId="5865A30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211D7C3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8.49E-03</w:t>
                  </w:r>
                </w:p>
              </w:tc>
              <w:tc>
                <w:tcPr>
                  <w:tcW w:w="1187" w:type="dxa"/>
                  <w:vAlign w:val="center"/>
                </w:tcPr>
                <w:p w14:paraId="040E3DA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9.48E-06</w:t>
                  </w:r>
                </w:p>
              </w:tc>
              <w:tc>
                <w:tcPr>
                  <w:tcW w:w="1332" w:type="dxa"/>
                  <w:shd w:val="clear" w:color="auto" w:fill="auto"/>
                  <w:vAlign w:val="center"/>
                </w:tcPr>
                <w:p w14:paraId="36798E5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8.50E-03</w:t>
                  </w:r>
                </w:p>
              </w:tc>
              <w:tc>
                <w:tcPr>
                  <w:tcW w:w="1042" w:type="dxa"/>
                  <w:vAlign w:val="center"/>
                </w:tcPr>
                <w:p w14:paraId="50D901C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0505D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5B678AD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063C90A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844" w:type="dxa"/>
                  <w:vAlign w:val="center"/>
                </w:tcPr>
                <w:p w14:paraId="289FAA0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72FAB4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1.26E-02</w:t>
                  </w:r>
                </w:p>
              </w:tc>
              <w:tc>
                <w:tcPr>
                  <w:tcW w:w="1187" w:type="dxa"/>
                  <w:vAlign w:val="center"/>
                </w:tcPr>
                <w:p w14:paraId="16276F6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1.40E-05</w:t>
                  </w:r>
                </w:p>
              </w:tc>
              <w:tc>
                <w:tcPr>
                  <w:tcW w:w="1332" w:type="dxa"/>
                  <w:shd w:val="clear" w:color="auto" w:fill="auto"/>
                  <w:vAlign w:val="center"/>
                </w:tcPr>
                <w:p w14:paraId="60009E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1.26E-02</w:t>
                  </w:r>
                </w:p>
              </w:tc>
              <w:tc>
                <w:tcPr>
                  <w:tcW w:w="1042" w:type="dxa"/>
                  <w:vAlign w:val="center"/>
                </w:tcPr>
                <w:p w14:paraId="4D9AC4F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28D98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1E9BBA5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269AC0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844" w:type="dxa"/>
                  <w:vAlign w:val="center"/>
                </w:tcPr>
                <w:p w14:paraId="087158A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1187" w:type="dxa"/>
                  <w:vAlign w:val="center"/>
                </w:tcPr>
                <w:p w14:paraId="763E121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6.70E-03</w:t>
                  </w:r>
                </w:p>
              </w:tc>
              <w:tc>
                <w:tcPr>
                  <w:tcW w:w="1187" w:type="dxa"/>
                  <w:vAlign w:val="center"/>
                </w:tcPr>
                <w:p w14:paraId="690DEE0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7.48E-06</w:t>
                  </w:r>
                </w:p>
              </w:tc>
              <w:tc>
                <w:tcPr>
                  <w:tcW w:w="1332" w:type="dxa"/>
                  <w:shd w:val="clear" w:color="auto" w:fill="auto"/>
                  <w:vAlign w:val="center"/>
                </w:tcPr>
                <w:p w14:paraId="41A4F48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6.71E-03</w:t>
                  </w:r>
                </w:p>
              </w:tc>
              <w:tc>
                <w:tcPr>
                  <w:tcW w:w="1042" w:type="dxa"/>
                  <w:vAlign w:val="center"/>
                </w:tcPr>
                <w:p w14:paraId="6DEFB17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77B7B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2E51F96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2F24660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844" w:type="dxa"/>
                  <w:vAlign w:val="center"/>
                </w:tcPr>
                <w:p w14:paraId="597E2C6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1187" w:type="dxa"/>
                  <w:vAlign w:val="center"/>
                </w:tcPr>
                <w:p w14:paraId="288E4DA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6.73E-03</w:t>
                  </w:r>
                </w:p>
              </w:tc>
              <w:tc>
                <w:tcPr>
                  <w:tcW w:w="1187" w:type="dxa"/>
                  <w:vAlign w:val="center"/>
                </w:tcPr>
                <w:p w14:paraId="0D01EF8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7.52E-06</w:t>
                  </w:r>
                </w:p>
              </w:tc>
              <w:tc>
                <w:tcPr>
                  <w:tcW w:w="1332" w:type="dxa"/>
                  <w:vAlign w:val="center"/>
                </w:tcPr>
                <w:p w14:paraId="2233703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6.74E-03</w:t>
                  </w:r>
                </w:p>
              </w:tc>
              <w:tc>
                <w:tcPr>
                  <w:tcW w:w="1042" w:type="dxa"/>
                  <w:vAlign w:val="center"/>
                </w:tcPr>
                <w:p w14:paraId="1ACF013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64E9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1096F6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7244DEA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844" w:type="dxa"/>
                  <w:vAlign w:val="center"/>
                </w:tcPr>
                <w:p w14:paraId="64D8AE7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199D5A9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1.36E-02</w:t>
                  </w:r>
                </w:p>
              </w:tc>
              <w:tc>
                <w:tcPr>
                  <w:tcW w:w="1187" w:type="dxa"/>
                  <w:vAlign w:val="center"/>
                </w:tcPr>
                <w:p w14:paraId="517C6E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1.52E-05</w:t>
                  </w:r>
                </w:p>
              </w:tc>
              <w:tc>
                <w:tcPr>
                  <w:tcW w:w="1332" w:type="dxa"/>
                  <w:shd w:val="clear" w:color="auto" w:fill="auto"/>
                  <w:vAlign w:val="center"/>
                </w:tcPr>
                <w:p w14:paraId="7AF345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1.36E-02</w:t>
                  </w:r>
                </w:p>
              </w:tc>
              <w:tc>
                <w:tcPr>
                  <w:tcW w:w="1042" w:type="dxa"/>
                  <w:vAlign w:val="center"/>
                </w:tcPr>
                <w:p w14:paraId="3C0697D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66739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733" w:type="dxa"/>
                  <w:vMerge w:val="continue"/>
                  <w:vAlign w:val="center"/>
                </w:tcPr>
                <w:p w14:paraId="2DB65D6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116B5E5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844" w:type="dxa"/>
                  <w:vAlign w:val="center"/>
                </w:tcPr>
                <w:p w14:paraId="4C04FB6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2483F91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1.43E-02</w:t>
                  </w:r>
                </w:p>
              </w:tc>
              <w:tc>
                <w:tcPr>
                  <w:tcW w:w="1187" w:type="dxa"/>
                  <w:vAlign w:val="center"/>
                </w:tcPr>
                <w:p w14:paraId="3A8A61D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1.59E-05</w:t>
                  </w:r>
                </w:p>
              </w:tc>
              <w:tc>
                <w:tcPr>
                  <w:tcW w:w="1332" w:type="dxa"/>
                  <w:shd w:val="clear" w:color="auto" w:fill="auto"/>
                  <w:vAlign w:val="center"/>
                </w:tcPr>
                <w:p w14:paraId="122279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1.43E-02</w:t>
                  </w:r>
                </w:p>
              </w:tc>
              <w:tc>
                <w:tcPr>
                  <w:tcW w:w="1042" w:type="dxa"/>
                  <w:vAlign w:val="center"/>
                </w:tcPr>
                <w:p w14:paraId="5BF08FE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5C2C1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258CAA9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47D55D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844" w:type="dxa"/>
                  <w:vAlign w:val="center"/>
                </w:tcPr>
                <w:p w14:paraId="74958A5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144B37F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8.32E-03</w:t>
                  </w:r>
                </w:p>
              </w:tc>
              <w:tc>
                <w:tcPr>
                  <w:tcW w:w="1187" w:type="dxa"/>
                  <w:vAlign w:val="center"/>
                </w:tcPr>
                <w:p w14:paraId="7D50A0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9.30E-06</w:t>
                  </w:r>
                </w:p>
              </w:tc>
              <w:tc>
                <w:tcPr>
                  <w:tcW w:w="1332" w:type="dxa"/>
                  <w:shd w:val="clear" w:color="auto" w:fill="auto"/>
                  <w:vAlign w:val="center"/>
                </w:tcPr>
                <w:p w14:paraId="6186706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8.33E-03</w:t>
                  </w:r>
                </w:p>
              </w:tc>
              <w:tc>
                <w:tcPr>
                  <w:tcW w:w="1042" w:type="dxa"/>
                  <w:vAlign w:val="center"/>
                </w:tcPr>
                <w:p w14:paraId="6DBE48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1B8E6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05A1D71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1CAF4B8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844" w:type="dxa"/>
                  <w:vAlign w:val="center"/>
                </w:tcPr>
                <w:p w14:paraId="204F93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36B471D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8.82E-03</w:t>
                  </w:r>
                </w:p>
              </w:tc>
              <w:tc>
                <w:tcPr>
                  <w:tcW w:w="1187" w:type="dxa"/>
                  <w:vAlign w:val="center"/>
                </w:tcPr>
                <w:p w14:paraId="58F0A51A">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9.85E-06</w:t>
                  </w:r>
                </w:p>
              </w:tc>
              <w:tc>
                <w:tcPr>
                  <w:tcW w:w="1332" w:type="dxa"/>
                  <w:shd w:val="clear" w:color="auto" w:fill="auto"/>
                  <w:vAlign w:val="center"/>
                </w:tcPr>
                <w:p w14:paraId="6D1A25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8.83E-03</w:t>
                  </w:r>
                </w:p>
              </w:tc>
              <w:tc>
                <w:tcPr>
                  <w:tcW w:w="1042" w:type="dxa"/>
                  <w:vAlign w:val="center"/>
                </w:tcPr>
                <w:p w14:paraId="1EB7DC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53BFC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78491A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64648E6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44" w:type="dxa"/>
                  <w:vAlign w:val="center"/>
                </w:tcPr>
                <w:p w14:paraId="2AE0D36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187" w:type="dxa"/>
                  <w:vAlign w:val="center"/>
                </w:tcPr>
                <w:p w14:paraId="31619E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1.16E-03</w:t>
                  </w:r>
                </w:p>
              </w:tc>
              <w:tc>
                <w:tcPr>
                  <w:tcW w:w="1187" w:type="dxa"/>
                  <w:vAlign w:val="center"/>
                </w:tcPr>
                <w:p w14:paraId="5E6F432D">
                  <w:pPr>
                    <w:widowControl/>
                    <w:snapToGrid w:val="0"/>
                    <w:ind w:firstLine="0" w:firstLineChars="0"/>
                    <w:jc w:val="cente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1.30E-06</w:t>
                  </w:r>
                </w:p>
              </w:tc>
              <w:tc>
                <w:tcPr>
                  <w:tcW w:w="1332" w:type="dxa"/>
                  <w:shd w:val="clear" w:color="auto" w:fill="auto"/>
                  <w:vAlign w:val="center"/>
                </w:tcPr>
                <w:p w14:paraId="7D32DBE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1.16E-03</w:t>
                  </w:r>
                </w:p>
              </w:tc>
              <w:tc>
                <w:tcPr>
                  <w:tcW w:w="1042" w:type="dxa"/>
                  <w:vAlign w:val="center"/>
                </w:tcPr>
                <w:p w14:paraId="0D0719E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6F26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0C2ED1E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6E61C3B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44" w:type="dxa"/>
                  <w:vAlign w:val="center"/>
                </w:tcPr>
                <w:p w14:paraId="6028BA6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1187" w:type="dxa"/>
                  <w:vAlign w:val="center"/>
                </w:tcPr>
                <w:p w14:paraId="34CAF47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5.57E-03</w:t>
                  </w:r>
                </w:p>
              </w:tc>
              <w:tc>
                <w:tcPr>
                  <w:tcW w:w="1187" w:type="dxa"/>
                  <w:vAlign w:val="center"/>
                </w:tcPr>
                <w:p w14:paraId="23C7A778">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6.22E-06</w:t>
                  </w:r>
                </w:p>
              </w:tc>
              <w:tc>
                <w:tcPr>
                  <w:tcW w:w="1332" w:type="dxa"/>
                  <w:shd w:val="clear" w:color="auto" w:fill="auto"/>
                  <w:vAlign w:val="center"/>
                </w:tcPr>
                <w:p w14:paraId="0F1B81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5.58E-03</w:t>
                  </w:r>
                </w:p>
              </w:tc>
              <w:tc>
                <w:tcPr>
                  <w:tcW w:w="1042" w:type="dxa"/>
                  <w:vAlign w:val="center"/>
                </w:tcPr>
                <w:p w14:paraId="722B0BA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55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vAlign w:val="center"/>
                </w:tcPr>
                <w:p w14:paraId="290143C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减影</w:t>
                  </w:r>
                </w:p>
              </w:tc>
              <w:tc>
                <w:tcPr>
                  <w:tcW w:w="981" w:type="dxa"/>
                  <w:vAlign w:val="center"/>
                </w:tcPr>
                <w:p w14:paraId="5D1BEC5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①</w:t>
                  </w:r>
                </w:p>
              </w:tc>
              <w:tc>
                <w:tcPr>
                  <w:tcW w:w="1844" w:type="dxa"/>
                  <w:vAlign w:val="center"/>
                </w:tcPr>
                <w:p w14:paraId="7B0C3A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介入手术室北侧铅窗外30cm处（操作台）</w:t>
                  </w:r>
                </w:p>
              </w:tc>
              <w:tc>
                <w:tcPr>
                  <w:tcW w:w="1187" w:type="dxa"/>
                  <w:vAlign w:val="center"/>
                </w:tcPr>
                <w:p w14:paraId="434975C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2.74E-03</w:t>
                  </w:r>
                </w:p>
              </w:tc>
              <w:tc>
                <w:tcPr>
                  <w:tcW w:w="1187" w:type="dxa"/>
                  <w:vAlign w:val="center"/>
                </w:tcPr>
                <w:p w14:paraId="7366CC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E-05</w:t>
                  </w:r>
                </w:p>
              </w:tc>
              <w:tc>
                <w:tcPr>
                  <w:tcW w:w="1332" w:type="dxa"/>
                  <w:shd w:val="clear" w:color="auto" w:fill="auto"/>
                  <w:vAlign w:val="center"/>
                </w:tcPr>
                <w:p w14:paraId="6E9F1EE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2.76E-03</w:t>
                  </w:r>
                </w:p>
              </w:tc>
              <w:tc>
                <w:tcPr>
                  <w:tcW w:w="1042" w:type="dxa"/>
                  <w:vAlign w:val="center"/>
                </w:tcPr>
                <w:p w14:paraId="6AA4DFC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64F7C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0ECAE0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1318EDB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w:t>
                  </w:r>
                </w:p>
              </w:tc>
              <w:tc>
                <w:tcPr>
                  <w:tcW w:w="1844" w:type="dxa"/>
                  <w:vAlign w:val="center"/>
                </w:tcPr>
                <w:p w14:paraId="24201D0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介入手术室北侧墙体外30cm处（控制室）</w:t>
                  </w:r>
                </w:p>
              </w:tc>
              <w:tc>
                <w:tcPr>
                  <w:tcW w:w="1187" w:type="dxa"/>
                  <w:vAlign w:val="center"/>
                </w:tcPr>
                <w:p w14:paraId="798B4B5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2.79E-03</w:t>
                  </w:r>
                </w:p>
              </w:tc>
              <w:tc>
                <w:tcPr>
                  <w:tcW w:w="1187" w:type="dxa"/>
                  <w:vAlign w:val="center"/>
                </w:tcPr>
                <w:p w14:paraId="59DCEEF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1.67E-05</w:t>
                  </w:r>
                </w:p>
              </w:tc>
              <w:tc>
                <w:tcPr>
                  <w:tcW w:w="1332" w:type="dxa"/>
                  <w:shd w:val="clear" w:color="auto" w:fill="auto"/>
                  <w:vAlign w:val="center"/>
                </w:tcPr>
                <w:p w14:paraId="36BC171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2.81E-03</w:t>
                  </w:r>
                </w:p>
              </w:tc>
              <w:tc>
                <w:tcPr>
                  <w:tcW w:w="1042" w:type="dxa"/>
                  <w:vAlign w:val="center"/>
                </w:tcPr>
                <w:p w14:paraId="6C3336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44DB0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7B81EC6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31E050B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③</w:t>
                  </w:r>
                </w:p>
              </w:tc>
              <w:tc>
                <w:tcPr>
                  <w:tcW w:w="1844" w:type="dxa"/>
                  <w:vAlign w:val="center"/>
                </w:tcPr>
                <w:p w14:paraId="666C3C0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控制室</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3B75DCE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1.58E-03</w:t>
                  </w:r>
                </w:p>
              </w:tc>
              <w:tc>
                <w:tcPr>
                  <w:tcW w:w="1187" w:type="dxa"/>
                  <w:vAlign w:val="center"/>
                </w:tcPr>
                <w:p w14:paraId="4DBD9F2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9.48E-06</w:t>
                  </w:r>
                </w:p>
              </w:tc>
              <w:tc>
                <w:tcPr>
                  <w:tcW w:w="1332" w:type="dxa"/>
                  <w:shd w:val="clear" w:color="auto" w:fill="auto"/>
                  <w:vAlign w:val="center"/>
                </w:tcPr>
                <w:p w14:paraId="220203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1.59E-03</w:t>
                  </w:r>
                </w:p>
              </w:tc>
              <w:tc>
                <w:tcPr>
                  <w:tcW w:w="1042" w:type="dxa"/>
                  <w:vAlign w:val="center"/>
                </w:tcPr>
                <w:p w14:paraId="0AE3BC6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508E1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6B4A968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661412C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④</w:t>
                  </w:r>
                </w:p>
              </w:tc>
              <w:tc>
                <w:tcPr>
                  <w:tcW w:w="1844" w:type="dxa"/>
                  <w:vAlign w:val="center"/>
                </w:tcPr>
                <w:p w14:paraId="5574081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麻醉耗材库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7A44E51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2.33E-03</w:t>
                  </w:r>
                </w:p>
              </w:tc>
              <w:tc>
                <w:tcPr>
                  <w:tcW w:w="1187" w:type="dxa"/>
                  <w:vAlign w:val="center"/>
                </w:tcPr>
                <w:p w14:paraId="1C31C3B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1.40E-05</w:t>
                  </w:r>
                </w:p>
              </w:tc>
              <w:tc>
                <w:tcPr>
                  <w:tcW w:w="1332" w:type="dxa"/>
                  <w:shd w:val="clear" w:color="auto" w:fill="auto"/>
                  <w:vAlign w:val="center"/>
                </w:tcPr>
                <w:p w14:paraId="2F3CA10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2.34E-03</w:t>
                  </w:r>
                </w:p>
              </w:tc>
              <w:tc>
                <w:tcPr>
                  <w:tcW w:w="1042" w:type="dxa"/>
                  <w:vAlign w:val="center"/>
                </w:tcPr>
                <w:p w14:paraId="13B5F8A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60AA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6362FF6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3B89CF7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⑤</w:t>
                  </w:r>
                </w:p>
              </w:tc>
              <w:tc>
                <w:tcPr>
                  <w:tcW w:w="1844" w:type="dxa"/>
                  <w:vAlign w:val="center"/>
                </w:tcPr>
                <w:p w14:paraId="48463B9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西侧墙体外30cm处（前室）</w:t>
                  </w:r>
                </w:p>
              </w:tc>
              <w:tc>
                <w:tcPr>
                  <w:tcW w:w="1187" w:type="dxa"/>
                  <w:vAlign w:val="center"/>
                </w:tcPr>
                <w:p w14:paraId="4BF016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1.24E-03</w:t>
                  </w:r>
                </w:p>
              </w:tc>
              <w:tc>
                <w:tcPr>
                  <w:tcW w:w="1187" w:type="dxa"/>
                  <w:vAlign w:val="center"/>
                </w:tcPr>
                <w:p w14:paraId="6506D9B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7.48E-06</w:t>
                  </w:r>
                </w:p>
              </w:tc>
              <w:tc>
                <w:tcPr>
                  <w:tcW w:w="1332" w:type="dxa"/>
                  <w:shd w:val="clear" w:color="auto" w:fill="auto"/>
                  <w:vAlign w:val="center"/>
                </w:tcPr>
                <w:p w14:paraId="1A4A433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1.25E-03</w:t>
                  </w:r>
                </w:p>
              </w:tc>
              <w:tc>
                <w:tcPr>
                  <w:tcW w:w="1042" w:type="dxa"/>
                  <w:vAlign w:val="center"/>
                </w:tcPr>
                <w:p w14:paraId="04BACA2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7081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6BD182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5B0B2C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⑥</w:t>
                  </w:r>
                </w:p>
              </w:tc>
              <w:tc>
                <w:tcPr>
                  <w:tcW w:w="1844" w:type="dxa"/>
                  <w:vAlign w:val="center"/>
                </w:tcPr>
                <w:p w14:paraId="02DE4AE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西侧患者通道防护铅门外30cm处（前室）</w:t>
                  </w:r>
                </w:p>
              </w:tc>
              <w:tc>
                <w:tcPr>
                  <w:tcW w:w="1187" w:type="dxa"/>
                  <w:vAlign w:val="center"/>
                </w:tcPr>
                <w:p w14:paraId="4E37225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1.25E-03</w:t>
                  </w:r>
                </w:p>
              </w:tc>
              <w:tc>
                <w:tcPr>
                  <w:tcW w:w="1187" w:type="dxa"/>
                  <w:vAlign w:val="center"/>
                </w:tcPr>
                <w:p w14:paraId="405B4BE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7.52E-06</w:t>
                  </w:r>
                </w:p>
              </w:tc>
              <w:tc>
                <w:tcPr>
                  <w:tcW w:w="1332" w:type="dxa"/>
                  <w:shd w:val="clear" w:color="auto" w:fill="auto"/>
                  <w:vAlign w:val="center"/>
                </w:tcPr>
                <w:p w14:paraId="568F59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1.26E-03</w:t>
                  </w:r>
                </w:p>
              </w:tc>
              <w:tc>
                <w:tcPr>
                  <w:tcW w:w="1042" w:type="dxa"/>
                  <w:vAlign w:val="center"/>
                </w:tcPr>
                <w:p w14:paraId="474EE34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202A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26E260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4238E5E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⑦</w:t>
                  </w:r>
                </w:p>
              </w:tc>
              <w:tc>
                <w:tcPr>
                  <w:tcW w:w="1844" w:type="dxa"/>
                  <w:vAlign w:val="center"/>
                </w:tcPr>
                <w:p w14:paraId="0CE8F8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南侧墙体外30cm处（</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508FD22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2.52E-03</w:t>
                  </w:r>
                </w:p>
              </w:tc>
              <w:tc>
                <w:tcPr>
                  <w:tcW w:w="1187" w:type="dxa"/>
                  <w:vAlign w:val="center"/>
                </w:tcPr>
                <w:p w14:paraId="598D196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1.52E-05</w:t>
                  </w:r>
                </w:p>
              </w:tc>
              <w:tc>
                <w:tcPr>
                  <w:tcW w:w="1332" w:type="dxa"/>
                  <w:shd w:val="clear" w:color="auto" w:fill="auto"/>
                  <w:vAlign w:val="center"/>
                </w:tcPr>
                <w:p w14:paraId="0E134AE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2.54E-03</w:t>
                  </w:r>
                </w:p>
              </w:tc>
              <w:tc>
                <w:tcPr>
                  <w:tcW w:w="1042" w:type="dxa"/>
                  <w:vAlign w:val="center"/>
                </w:tcPr>
                <w:p w14:paraId="1DEC24E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4EB6D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07E9FEE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61F99F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⑧</w:t>
                  </w:r>
                </w:p>
              </w:tc>
              <w:tc>
                <w:tcPr>
                  <w:tcW w:w="1844" w:type="dxa"/>
                  <w:vAlign w:val="center"/>
                </w:tcPr>
                <w:p w14:paraId="192A14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介入手术室南侧墙体外30cm处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药瓶品回收间</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39D0C6F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2.65E-03</w:t>
                  </w:r>
                </w:p>
              </w:tc>
              <w:tc>
                <w:tcPr>
                  <w:tcW w:w="1187" w:type="dxa"/>
                  <w:vAlign w:val="center"/>
                </w:tcPr>
                <w:p w14:paraId="5444FAA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1.59E-05</w:t>
                  </w:r>
                </w:p>
              </w:tc>
              <w:tc>
                <w:tcPr>
                  <w:tcW w:w="1332" w:type="dxa"/>
                  <w:shd w:val="clear" w:color="auto" w:fill="auto"/>
                  <w:vAlign w:val="center"/>
                </w:tcPr>
                <w:p w14:paraId="2CADAE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2.67E-03</w:t>
                  </w:r>
                </w:p>
              </w:tc>
              <w:tc>
                <w:tcPr>
                  <w:tcW w:w="1042" w:type="dxa"/>
                  <w:vAlign w:val="center"/>
                </w:tcPr>
                <w:p w14:paraId="658DB3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0E120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7D3CA2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773A876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⑨</w:t>
                  </w:r>
                </w:p>
              </w:tc>
              <w:tc>
                <w:tcPr>
                  <w:tcW w:w="1844" w:type="dxa"/>
                  <w:vAlign w:val="center"/>
                </w:tcPr>
                <w:p w14:paraId="641FC4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防护</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铅门外30cm处</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2474A05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1.54E-03</w:t>
                  </w:r>
                </w:p>
              </w:tc>
              <w:tc>
                <w:tcPr>
                  <w:tcW w:w="1187" w:type="dxa"/>
                  <w:vAlign w:val="center"/>
                </w:tcPr>
                <w:p w14:paraId="7BF11F1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9.30E-06</w:t>
                  </w:r>
                </w:p>
              </w:tc>
              <w:tc>
                <w:tcPr>
                  <w:tcW w:w="1332" w:type="dxa"/>
                  <w:shd w:val="clear" w:color="auto" w:fill="auto"/>
                  <w:vAlign w:val="center"/>
                </w:tcPr>
                <w:p w14:paraId="08C5EA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1.55E-03</w:t>
                  </w:r>
                </w:p>
              </w:tc>
              <w:tc>
                <w:tcPr>
                  <w:tcW w:w="1042" w:type="dxa"/>
                  <w:vAlign w:val="center"/>
                </w:tcPr>
                <w:p w14:paraId="288BA70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0958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3D63F94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2886977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⑩</w:t>
                  </w:r>
                </w:p>
              </w:tc>
              <w:tc>
                <w:tcPr>
                  <w:tcW w:w="1844" w:type="dxa"/>
                  <w:vAlign w:val="center"/>
                </w:tcPr>
                <w:p w14:paraId="1241ABB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介入手术室东侧墙体外30cm处</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污物通道</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w:t>
                  </w:r>
                </w:p>
              </w:tc>
              <w:tc>
                <w:tcPr>
                  <w:tcW w:w="1187" w:type="dxa"/>
                  <w:vAlign w:val="center"/>
                </w:tcPr>
                <w:p w14:paraId="61D5261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1.64E-03</w:t>
                  </w:r>
                </w:p>
              </w:tc>
              <w:tc>
                <w:tcPr>
                  <w:tcW w:w="1187" w:type="dxa"/>
                  <w:vAlign w:val="center"/>
                </w:tcPr>
                <w:p w14:paraId="51503A7C">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9.85E-06</w:t>
                  </w:r>
                </w:p>
              </w:tc>
              <w:tc>
                <w:tcPr>
                  <w:tcW w:w="1332" w:type="dxa"/>
                  <w:shd w:val="clear" w:color="auto" w:fill="auto"/>
                  <w:vAlign w:val="center"/>
                </w:tcPr>
                <w:p w14:paraId="07A4A7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1.65E-03</w:t>
                  </w:r>
                </w:p>
              </w:tc>
              <w:tc>
                <w:tcPr>
                  <w:tcW w:w="1042" w:type="dxa"/>
                  <w:vAlign w:val="center"/>
                </w:tcPr>
                <w:p w14:paraId="75BC3A8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4AC6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0F9D367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6AEB865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,11)</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44" w:type="dxa"/>
                  <w:vAlign w:val="center"/>
                </w:tcPr>
                <w:p w14:paraId="4DE75C5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正上方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（设备摆放区）</w:t>
                  </w:r>
                </w:p>
              </w:tc>
              <w:tc>
                <w:tcPr>
                  <w:tcW w:w="1187" w:type="dxa"/>
                  <w:vAlign w:val="center"/>
                </w:tcPr>
                <w:p w14:paraId="514FAF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2.16E-04</w:t>
                  </w:r>
                </w:p>
              </w:tc>
              <w:tc>
                <w:tcPr>
                  <w:tcW w:w="1187" w:type="dxa"/>
                  <w:vAlign w:val="center"/>
                </w:tcPr>
                <w:p w14:paraId="26B34576">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1.30E-06</w:t>
                  </w:r>
                </w:p>
              </w:tc>
              <w:tc>
                <w:tcPr>
                  <w:tcW w:w="1332" w:type="dxa"/>
                  <w:shd w:val="clear" w:color="auto" w:fill="auto"/>
                  <w:vAlign w:val="center"/>
                </w:tcPr>
                <w:p w14:paraId="541280D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2.17E-04</w:t>
                  </w:r>
                </w:p>
              </w:tc>
              <w:tc>
                <w:tcPr>
                  <w:tcW w:w="1042" w:type="dxa"/>
                  <w:vAlign w:val="center"/>
                </w:tcPr>
                <w:p w14:paraId="44EEF35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r w14:paraId="2DA6C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vAlign w:val="center"/>
                </w:tcPr>
                <w:p w14:paraId="65BD30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981" w:type="dxa"/>
                  <w:vAlign w:val="center"/>
                </w:tcPr>
                <w:p w14:paraId="23A1B29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begin"/>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 EQ \o\ac(</w:instrText>
                  </w:r>
                  <w:r>
                    <w:rPr>
                      <w:rFonts w:hint="eastAsia" w:ascii="Times New Roman" w:hAnsi="Times New Roman" w:cs="Times New Roman" w:eastAsiaTheme="minorEastAsia"/>
                      <w:color w:val="0D0D0D" w:themeColor="text1" w:themeTint="F2"/>
                      <w:kern w:val="0"/>
                      <w:position w:val="-4"/>
                      <w:sz w:val="31"/>
                      <w:szCs w:val="21"/>
                      <w:highlight w:val="none"/>
                      <w:lang w:val="en-US" w:eastAsia="zh-CN" w:bidi="ar"/>
                      <w14:textFill>
                        <w14:solidFill>
                          <w14:schemeClr w14:val="tx1">
                            <w14:lumMod w14:val="95000"/>
                            <w14:lumOff w14:val="5000"/>
                          </w14:schemeClr>
                        </w14:solidFill>
                      </w14:textFill>
                    </w:rPr>
                    <w:instrText xml:space="preserve">○</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instrText xml:space="preserve">,12)</w:instrTex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fldChar w:fldCharType="end"/>
                  </w:r>
                </w:p>
              </w:tc>
              <w:tc>
                <w:tcPr>
                  <w:tcW w:w="1844" w:type="dxa"/>
                  <w:vAlign w:val="center"/>
                </w:tcPr>
                <w:p w14:paraId="0579657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正</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下方（</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室内通道、检查室、阅片室、腔镜室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w:t>
                  </w:r>
                </w:p>
              </w:tc>
              <w:tc>
                <w:tcPr>
                  <w:tcW w:w="1187" w:type="dxa"/>
                  <w:vAlign w:val="center"/>
                </w:tcPr>
                <w:p w14:paraId="43FBC6E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1.03E-03</w:t>
                  </w:r>
                </w:p>
              </w:tc>
              <w:tc>
                <w:tcPr>
                  <w:tcW w:w="1187" w:type="dxa"/>
                  <w:vAlign w:val="center"/>
                </w:tcPr>
                <w:p w14:paraId="684077DE">
                  <w:pPr>
                    <w:widowControl/>
                    <w:snapToGrid w:val="0"/>
                    <w:ind w:firstLine="0" w:firstLineChars="0"/>
                    <w:jc w:val="cente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6.22E-06</w:t>
                  </w:r>
                </w:p>
              </w:tc>
              <w:tc>
                <w:tcPr>
                  <w:tcW w:w="1332" w:type="dxa"/>
                  <w:shd w:val="clear" w:color="auto" w:fill="auto"/>
                  <w:vAlign w:val="center"/>
                </w:tcPr>
                <w:p w14:paraId="56EB086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1.04E-03</w:t>
                  </w:r>
                </w:p>
              </w:tc>
              <w:tc>
                <w:tcPr>
                  <w:tcW w:w="1042" w:type="dxa"/>
                  <w:vAlign w:val="center"/>
                </w:tcPr>
                <w:p w14:paraId="27569A3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2.5</w:t>
                  </w:r>
                </w:p>
              </w:tc>
            </w:tr>
          </w:tbl>
          <w:p w14:paraId="2AB24E6E">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由表11-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计算结果可知，</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外</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各关注点处散射、漏射辐射剂量率水平总和最大值为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1.50E-02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μSv/h</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，满足《放射诊断放射防护要求》（GBZ130—2020）中“周围剂量当量率应不大于2.5μSv/h”的限制要求。</w:t>
            </w:r>
          </w:p>
          <w:p w14:paraId="0921CB0F">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highlight w:val="none"/>
                <w:lang w:bidi="ar"/>
                <w14:textFill>
                  <w14:solidFill>
                    <w14:schemeClr w14:val="tx1">
                      <w14:lumMod w14:val="95000"/>
                      <w14:lumOff w14:val="5000"/>
                    </w14:schemeClr>
                  </w14:solidFill>
                </w14:textFill>
              </w:rPr>
              <w:t>④</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剂量估算</w:t>
            </w:r>
          </w:p>
          <w:p w14:paraId="1D84A3E0">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根据辐射安全手册，X-γ射线产生的外照射人均年有效剂量计算公式如下：</w:t>
            </w:r>
          </w:p>
          <w:p w14:paraId="18BD23CB">
            <w:pPr>
              <w:widowControl/>
              <w:spacing w:line="360" w:lineRule="auto"/>
              <w:ind w:firstLine="1920" w:firstLineChars="800"/>
              <w:jc w:val="left"/>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i/>
                <w:iCs/>
                <w:color w:val="0D0D0D" w:themeColor="text1" w:themeTint="F2"/>
                <w:kern w:val="0"/>
                <w:highlight w:val="none"/>
                <w:lang w:bidi="ar"/>
                <w14:textFill>
                  <w14:solidFill>
                    <w14:schemeClr w14:val="tx1">
                      <w14:lumMod w14:val="95000"/>
                      <w14:lumOff w14:val="5000"/>
                    </w14:schemeClr>
                  </w14:solidFill>
                </w14:textFill>
              </w:rPr>
              <w:t>Hg</w:t>
            </w: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w:t>
            </w:r>
            <w:r>
              <w:rPr>
                <w:rFonts w:hint="default" w:ascii="Times New Roman" w:hAnsi="Times New Roman" w:cs="Times New Roman" w:eastAsiaTheme="minorEastAsia"/>
                <w:i/>
                <w:iCs/>
                <w:color w:val="0D0D0D" w:themeColor="text1" w:themeTint="F2"/>
                <w:kern w:val="0"/>
                <w:highlight w:val="none"/>
                <w:lang w:val="de-DE" w:bidi="ar"/>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×10</w:t>
            </w:r>
            <w:r>
              <w:rPr>
                <w:rFonts w:hint="default" w:ascii="Times New Roman" w:hAnsi="Times New Roman" w:cs="Times New Roman" w:eastAsiaTheme="minorEastAsia"/>
                <w:color w:val="0D0D0D" w:themeColor="text1" w:themeTint="F2"/>
                <w:kern w:val="0"/>
                <w:highlight w:val="none"/>
                <w:vertAlign w:val="superscript"/>
                <w:lang w:val="de-DE"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w:t>
            </w:r>
            <w:r>
              <w:rPr>
                <w:rFonts w:hint="default" w:ascii="Times New Roman" w:hAnsi="Times New Roman" w:cs="Times New Roman" w:eastAsiaTheme="minorEastAsia"/>
                <w:i/>
                <w:iCs/>
                <w:color w:val="0D0D0D" w:themeColor="text1" w:themeTint="F2"/>
                <w:kern w:val="0"/>
                <w:highlight w:val="none"/>
                <w:lang w:val="de-DE" w:bidi="ar"/>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w:t>
            </w:r>
            <w:r>
              <w:rPr>
                <w:rFonts w:hint="default" w:ascii="Times New Roman" w:hAnsi="Times New Roman" w:cs="Times New Roman" w:eastAsiaTheme="minorEastAsia"/>
                <w:i/>
                <w:iCs/>
                <w:color w:val="0D0D0D" w:themeColor="text1" w:themeTint="F2"/>
                <w:kern w:val="0"/>
                <w:highlight w:val="none"/>
                <w:lang w:bidi="ar"/>
                <w14:textFill>
                  <w14:solidFill>
                    <w14:schemeClr w14:val="tx1">
                      <w14:lumMod w14:val="95000"/>
                      <w14:lumOff w14:val="5000"/>
                    </w14:schemeClr>
                  </w14:solidFill>
                </w14:textFill>
              </w:rPr>
              <w:t>η</w:t>
            </w: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w:t>
            </w:r>
            <w:r>
              <w:rPr>
                <w:rFonts w:hint="default" w:ascii="Times New Roman" w:hAnsi="Times New Roman" w:cs="Times New Roman" w:eastAsiaTheme="minorEastAsia"/>
                <w:i/>
                <w:iCs/>
                <w:color w:val="0D0D0D" w:themeColor="text1" w:themeTint="F2"/>
                <w:kern w:val="0"/>
                <w:highlight w:val="none"/>
                <w:lang w:val="de-DE" w:bidi="ar"/>
                <w14:textFill>
                  <w14:solidFill>
                    <w14:schemeClr w14:val="tx1">
                      <w14:lumMod w14:val="95000"/>
                      <w14:lumOff w14:val="5000"/>
                    </w14:schemeClr>
                  </w14:solidFill>
                </w14:textFill>
              </w:rPr>
              <w:t>W</w:t>
            </w:r>
            <w:r>
              <w:rPr>
                <w:rFonts w:hint="default" w:ascii="Times New Roman" w:hAnsi="Times New Roman" w:cs="Times New Roman" w:eastAsiaTheme="minorEastAsia"/>
                <w:i/>
                <w:iCs/>
                <w:color w:val="0D0D0D" w:themeColor="text1" w:themeTint="F2"/>
                <w:kern w:val="0"/>
                <w:highlight w:val="none"/>
                <w:vertAlign w:val="subscript"/>
                <w:lang w:val="de-DE" w:bidi="ar"/>
                <w14:textFill>
                  <w14:solidFill>
                    <w14:schemeClr w14:val="tx1">
                      <w14:lumMod w14:val="95000"/>
                      <w14:lumOff w14:val="5000"/>
                    </w14:schemeClr>
                  </w14:solidFill>
                </w14:textFill>
              </w:rPr>
              <w:t>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 xml:space="preserve">             （式11-8）</w:t>
            </w:r>
          </w:p>
          <w:p w14:paraId="78E89F40">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式中：</w:t>
            </w:r>
            <w:r>
              <w:rPr>
                <w:rFonts w:hint="default" w:ascii="Times New Roman" w:hAnsi="Times New Roman" w:cs="Times New Roman" w:eastAsiaTheme="minorEastAsia"/>
                <w:i/>
                <w:iCs/>
                <w:color w:val="0D0D0D" w:themeColor="text1" w:themeTint="F2"/>
                <w:kern w:val="0"/>
                <w:highlight w:val="none"/>
                <w:lang w:bidi="ar"/>
                <w14:textFill>
                  <w14:solidFill>
                    <w14:schemeClr w14:val="tx1">
                      <w14:lumMod w14:val="95000"/>
                      <w14:lumOff w14:val="5000"/>
                    </w14:schemeClr>
                  </w14:solidFill>
                </w14:textFill>
              </w:rPr>
              <w:t>Hg</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关注点的附加有效剂量</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/a</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4F02122C">
            <w:pPr>
              <w:widowControl/>
              <w:spacing w:line="360" w:lineRule="auto"/>
              <w:ind w:firstLine="1200" w:firstLineChars="5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i/>
                <w:iCs/>
                <w:color w:val="0D0D0D" w:themeColor="text1" w:themeTint="F2"/>
                <w:kern w:val="0"/>
                <w:highlight w:val="none"/>
                <w:lang w:val="de-DE" w:bidi="ar"/>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关注点的剂量当量率</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，μ</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S</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v/h；</w:t>
            </w:r>
          </w:p>
          <w:p w14:paraId="6F34CE21">
            <w:pPr>
              <w:widowControl/>
              <w:spacing w:line="360" w:lineRule="auto"/>
              <w:ind w:firstLine="1200" w:firstLineChars="5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de-DE" w:bidi="ar"/>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工作负荷</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/a</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E5E940E">
            <w:pPr>
              <w:widowControl/>
              <w:spacing w:line="360" w:lineRule="auto"/>
              <w:ind w:firstLine="1200" w:firstLineChars="500"/>
              <w:jc w:val="left"/>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η</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对防护区的占用因子，表示人员在防护区停留的时间</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经常有人员停留的地方取1，有部分时间有人员停留的地方取1/4，偶然有人员停留的地方取1/16</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4E30BF3E">
            <w:pPr>
              <w:widowControl/>
              <w:spacing w:line="360" w:lineRule="auto"/>
              <w:ind w:firstLine="1200" w:firstLineChars="50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i/>
                <w:iCs/>
                <w:color w:val="0D0D0D" w:themeColor="text1" w:themeTint="F2"/>
                <w:kern w:val="0"/>
                <w:highlight w:val="none"/>
                <w:lang w:val="de-DE" w:bidi="ar"/>
                <w14:textFill>
                  <w14:solidFill>
                    <w14:schemeClr w14:val="tx1">
                      <w14:lumMod w14:val="95000"/>
                      <w14:lumOff w14:val="5000"/>
                    </w14:schemeClr>
                  </w14:solidFill>
                </w14:textFill>
              </w:rPr>
              <w:t>WT</w:t>
            </w:r>
            <w:r>
              <w:rPr>
                <w:rFonts w:hint="default" w:ascii="Times New Roman" w:hAnsi="Times New Roman" w:cs="Times New Roman" w:eastAsiaTheme="minorEastAsia"/>
                <w:color w:val="0D0D0D" w:themeColor="text1" w:themeTint="F2"/>
                <w:kern w:val="0"/>
                <w:highlight w:val="none"/>
                <w:lang w:val="de-DE"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组织权重因子，取1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3998E1E7">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本项目确定的评价范围，环境保护目标主要是医院辐射工作人员和周围停留的公众，由于电离辐射水平随着距离的增加而衰减，因此保守选取离辐射工作场所最近的四周环境各关注点附加剂量率进行剂量估算。</w:t>
            </w:r>
          </w:p>
          <w:p w14:paraId="64D70451">
            <w:pPr>
              <w:widowControl/>
              <w:spacing w:line="360" w:lineRule="auto"/>
              <w:ind w:left="0" w:leftChars="0" w:firstLine="0" w:firstLineChars="0"/>
              <w:jc w:val="cente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表11-</w:t>
            </w:r>
            <w:r>
              <w:rPr>
                <w:rFonts w:hint="eastAsia" w:ascii="Times New Roman" w:hAnsi="Times New Roman" w:cs="Times New Roman" w:eastAsiaTheme="minorEastAsia"/>
                <w:b/>
                <w:bCs/>
                <w:color w:val="0D0D0D" w:themeColor="text1" w:themeTint="F2"/>
                <w:kern w:val="0"/>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b/>
                <w:bCs/>
                <w:color w:val="0D0D0D" w:themeColor="text1" w:themeTint="F2"/>
                <w:kern w:val="0"/>
                <w:highlight w:val="none"/>
                <w:lang w:bidi="ar"/>
                <w14:textFill>
                  <w14:solidFill>
                    <w14:schemeClr w14:val="tx1">
                      <w14:lumMod w14:val="95000"/>
                      <w14:lumOff w14:val="5000"/>
                    </w14:schemeClr>
                  </w14:solidFill>
                </w14:textFill>
              </w:rPr>
              <w:t xml:space="preserve"> 项目所致周围环境保护目标所致年有效剂量率估算</w:t>
            </w:r>
          </w:p>
          <w:tbl>
            <w:tblPr>
              <w:tblStyle w:val="42"/>
              <w:tblW w:w="81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
              <w:gridCol w:w="519"/>
              <w:gridCol w:w="696"/>
              <w:gridCol w:w="858"/>
              <w:gridCol w:w="851"/>
              <w:gridCol w:w="835"/>
              <w:gridCol w:w="783"/>
              <w:gridCol w:w="683"/>
              <w:gridCol w:w="684"/>
              <w:gridCol w:w="735"/>
              <w:gridCol w:w="1062"/>
            </w:tblGrid>
            <w:tr w14:paraId="6041DE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jc w:val="center"/>
              </w:trPr>
              <w:tc>
                <w:tcPr>
                  <w:tcW w:w="1010" w:type="dxa"/>
                  <w:gridSpan w:val="2"/>
                  <w:vMerge w:val="restart"/>
                  <w:tcBorders>
                    <w:bottom w:val="nil"/>
                  </w:tcBorders>
                  <w:vAlign w:val="center"/>
                </w:tcPr>
                <w:p w14:paraId="1280BD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主要环境保护目标</w:t>
                  </w:r>
                </w:p>
              </w:tc>
              <w:tc>
                <w:tcPr>
                  <w:tcW w:w="696" w:type="dxa"/>
                  <w:vMerge w:val="restart"/>
                  <w:tcBorders>
                    <w:bottom w:val="nil"/>
                  </w:tcBorders>
                  <w:vAlign w:val="center"/>
                </w:tcPr>
                <w:p w14:paraId="1342F3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方位</w:t>
                  </w:r>
                </w:p>
              </w:tc>
              <w:tc>
                <w:tcPr>
                  <w:tcW w:w="1709" w:type="dxa"/>
                  <w:gridSpan w:val="2"/>
                  <w:vMerge w:val="restart"/>
                  <w:tcBorders>
                    <w:bottom w:val="nil"/>
                  </w:tcBorders>
                  <w:vAlign w:val="center"/>
                </w:tcPr>
                <w:p w14:paraId="15D3F14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位置</w:t>
                  </w:r>
                </w:p>
              </w:tc>
              <w:tc>
                <w:tcPr>
                  <w:tcW w:w="1618" w:type="dxa"/>
                  <w:gridSpan w:val="2"/>
                  <w:vAlign w:val="center"/>
                </w:tcPr>
                <w:p w14:paraId="23B60C2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附加剂量率</w:t>
                  </w:r>
                </w:p>
                <w:p w14:paraId="389B518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(μSv/h）</w:t>
                  </w:r>
                </w:p>
              </w:tc>
              <w:tc>
                <w:tcPr>
                  <w:tcW w:w="1367" w:type="dxa"/>
                  <w:gridSpan w:val="2"/>
                  <w:vAlign w:val="center"/>
                </w:tcPr>
                <w:p w14:paraId="205C19E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出束时间</w:t>
                  </w:r>
                </w:p>
                <w:p w14:paraId="0E1632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（h/a）</w:t>
                  </w:r>
                </w:p>
              </w:tc>
              <w:tc>
                <w:tcPr>
                  <w:tcW w:w="735" w:type="dxa"/>
                  <w:vMerge w:val="restart"/>
                  <w:tcBorders>
                    <w:bottom w:val="nil"/>
                    <w:right w:val="single" w:color="auto" w:sz="4" w:space="0"/>
                  </w:tcBorders>
                  <w:vAlign w:val="center"/>
                </w:tcPr>
                <w:p w14:paraId="341FDF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居留因子</w:t>
                  </w:r>
                </w:p>
              </w:tc>
              <w:tc>
                <w:tcPr>
                  <w:tcW w:w="1062" w:type="dxa"/>
                  <w:vMerge w:val="restart"/>
                  <w:tcBorders>
                    <w:left w:val="single" w:color="auto" w:sz="4" w:space="0"/>
                    <w:bottom w:val="nil"/>
                  </w:tcBorders>
                  <w:vAlign w:val="center"/>
                </w:tcPr>
                <w:p w14:paraId="74ACD60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年有效剂量</w:t>
                  </w:r>
                </w:p>
                <w:p w14:paraId="1370411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估算总和</w:t>
                  </w:r>
                </w:p>
                <w:p w14:paraId="5AD9A82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（mSv/a）</w:t>
                  </w:r>
                </w:p>
              </w:tc>
            </w:tr>
            <w:tr w14:paraId="156111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010" w:type="dxa"/>
                  <w:gridSpan w:val="2"/>
                  <w:vMerge w:val="continue"/>
                  <w:tcBorders>
                    <w:top w:val="nil"/>
                  </w:tcBorders>
                  <w:vAlign w:val="center"/>
                </w:tcPr>
                <w:p w14:paraId="7DF932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tcBorders>
                    <w:top w:val="nil"/>
                  </w:tcBorders>
                  <w:vAlign w:val="center"/>
                </w:tcPr>
                <w:p w14:paraId="7777087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709" w:type="dxa"/>
                  <w:gridSpan w:val="2"/>
                  <w:vMerge w:val="continue"/>
                  <w:tcBorders>
                    <w:top w:val="nil"/>
                  </w:tcBorders>
                  <w:vAlign w:val="center"/>
                </w:tcPr>
                <w:p w14:paraId="70693F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35" w:type="dxa"/>
                  <w:vAlign w:val="center"/>
                </w:tcPr>
                <w:p w14:paraId="62303BF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透视</w:t>
                  </w:r>
                </w:p>
              </w:tc>
              <w:tc>
                <w:tcPr>
                  <w:tcW w:w="783" w:type="dxa"/>
                  <w:vAlign w:val="center"/>
                </w:tcPr>
                <w:p w14:paraId="02013FB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减影</w:t>
                  </w:r>
                </w:p>
              </w:tc>
              <w:tc>
                <w:tcPr>
                  <w:tcW w:w="683" w:type="dxa"/>
                  <w:vAlign w:val="center"/>
                </w:tcPr>
                <w:p w14:paraId="33A06B2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透视</w:t>
                  </w:r>
                </w:p>
              </w:tc>
              <w:tc>
                <w:tcPr>
                  <w:tcW w:w="684" w:type="dxa"/>
                  <w:vAlign w:val="center"/>
                </w:tcPr>
                <w:p w14:paraId="0705CBE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减影</w:t>
                  </w:r>
                </w:p>
              </w:tc>
              <w:tc>
                <w:tcPr>
                  <w:tcW w:w="735" w:type="dxa"/>
                  <w:vMerge w:val="continue"/>
                  <w:tcBorders>
                    <w:top w:val="nil"/>
                    <w:right w:val="single" w:color="auto" w:sz="4" w:space="0"/>
                  </w:tcBorders>
                  <w:vAlign w:val="center"/>
                </w:tcPr>
                <w:p w14:paraId="2FBA01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1062" w:type="dxa"/>
                  <w:vMerge w:val="continue"/>
                  <w:tcBorders>
                    <w:top w:val="nil"/>
                    <w:left w:val="single" w:color="auto" w:sz="4" w:space="0"/>
                  </w:tcBorders>
                  <w:vAlign w:val="center"/>
                </w:tcPr>
                <w:p w14:paraId="67A45A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r>
            <w:tr w14:paraId="17F64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491" w:type="dxa"/>
                  <w:vMerge w:val="restart"/>
                  <w:vAlign w:val="center"/>
                </w:tcPr>
                <w:p w14:paraId="6B3D57F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 xml:space="preserve"> </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w:t>
                  </w:r>
                </w:p>
              </w:tc>
              <w:tc>
                <w:tcPr>
                  <w:tcW w:w="519" w:type="dxa"/>
                  <w:vMerge w:val="restart"/>
                  <w:tcBorders>
                    <w:bottom w:val="nil"/>
                  </w:tcBorders>
                  <w:vAlign w:val="center"/>
                </w:tcPr>
                <w:p w14:paraId="2DDF24D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职业 人员</w:t>
                  </w:r>
                </w:p>
              </w:tc>
              <w:tc>
                <w:tcPr>
                  <w:tcW w:w="696" w:type="dxa"/>
                  <w:vMerge w:val="restart"/>
                  <w:tcBorders>
                    <w:bottom w:val="nil"/>
                  </w:tcBorders>
                  <w:vAlign w:val="center"/>
                </w:tcPr>
                <w:p w14:paraId="5371ED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w:t>
                  </w:r>
                </w:p>
              </w:tc>
              <w:tc>
                <w:tcPr>
                  <w:tcW w:w="858" w:type="dxa"/>
                  <w:vMerge w:val="restart"/>
                  <w:tcBorders>
                    <w:right w:val="single" w:color="auto" w:sz="4" w:space="0"/>
                  </w:tcBorders>
                  <w:vAlign w:val="center"/>
                </w:tcPr>
                <w:p w14:paraId="0812A82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外科</w:t>
                  </w:r>
                </w:p>
              </w:tc>
              <w:tc>
                <w:tcPr>
                  <w:tcW w:w="851" w:type="dxa"/>
                  <w:tcBorders>
                    <w:left w:val="single" w:color="auto" w:sz="4" w:space="0"/>
                  </w:tcBorders>
                  <w:vAlign w:val="center"/>
                </w:tcPr>
                <w:p w14:paraId="3B985B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第一术者位医生</w:t>
                  </w:r>
                </w:p>
              </w:tc>
              <w:tc>
                <w:tcPr>
                  <w:tcW w:w="835" w:type="dxa"/>
                  <w:vAlign w:val="center"/>
                </w:tcPr>
                <w:p w14:paraId="70118C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783" w:type="dxa"/>
                  <w:vAlign w:val="center"/>
                </w:tcPr>
                <w:p w14:paraId="4B31C93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683" w:type="dxa"/>
                  <w:vAlign w:val="center"/>
                </w:tcPr>
                <w:p w14:paraId="173AA2E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684" w:type="dxa"/>
                  <w:vAlign w:val="center"/>
                </w:tcPr>
                <w:p w14:paraId="2FC1339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735" w:type="dxa"/>
                  <w:tcBorders>
                    <w:right w:val="single" w:color="auto" w:sz="4" w:space="0"/>
                  </w:tcBorders>
                  <w:shd w:val="clear" w:color="auto" w:fill="auto"/>
                  <w:vAlign w:val="center"/>
                </w:tcPr>
                <w:p w14:paraId="0C76626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shd w:val="clear" w:color="auto" w:fill="auto"/>
                  <w:vAlign w:val="center"/>
                </w:tcPr>
                <w:p w14:paraId="47EBF99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2.93</w:t>
                  </w:r>
                </w:p>
              </w:tc>
            </w:tr>
            <w:tr w14:paraId="667D92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491" w:type="dxa"/>
                  <w:vMerge w:val="continue"/>
                  <w:vAlign w:val="center"/>
                </w:tcPr>
                <w:p w14:paraId="021F7C7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tcBorders>
                    <w:top w:val="nil"/>
                    <w:bottom w:val="nil"/>
                  </w:tcBorders>
                  <w:vAlign w:val="center"/>
                </w:tcPr>
                <w:p w14:paraId="6C007D9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tcBorders>
                    <w:top w:val="nil"/>
                    <w:bottom w:val="nil"/>
                  </w:tcBorders>
                  <w:vAlign w:val="center"/>
                </w:tcPr>
                <w:p w14:paraId="26AFB56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858" w:type="dxa"/>
                  <w:vMerge w:val="continue"/>
                  <w:tcBorders>
                    <w:right w:val="single" w:color="auto" w:sz="4" w:space="0"/>
                  </w:tcBorders>
                  <w:vAlign w:val="center"/>
                </w:tcPr>
                <w:p w14:paraId="0ABAE7E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p>
              </w:tc>
              <w:tc>
                <w:tcPr>
                  <w:tcW w:w="851" w:type="dxa"/>
                  <w:tcBorders>
                    <w:left w:val="single" w:color="auto" w:sz="4" w:space="0"/>
                  </w:tcBorders>
                  <w:vAlign w:val="center"/>
                </w:tcPr>
                <w:p w14:paraId="09E2B4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第二术者位医生</w:t>
                  </w:r>
                </w:p>
              </w:tc>
              <w:tc>
                <w:tcPr>
                  <w:tcW w:w="835" w:type="dxa"/>
                  <w:vAlign w:val="center"/>
                </w:tcPr>
                <w:p w14:paraId="6CD36C0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783" w:type="dxa"/>
                  <w:vAlign w:val="center"/>
                </w:tcPr>
                <w:p w14:paraId="07518E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683" w:type="dxa"/>
                  <w:vAlign w:val="center"/>
                </w:tcPr>
                <w:p w14:paraId="7616C9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684" w:type="dxa"/>
                  <w:vAlign w:val="center"/>
                </w:tcPr>
                <w:p w14:paraId="28710CE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w:t>
                  </w:r>
                </w:p>
              </w:tc>
              <w:tc>
                <w:tcPr>
                  <w:tcW w:w="735" w:type="dxa"/>
                  <w:tcBorders>
                    <w:right w:val="single" w:color="auto" w:sz="4" w:space="0"/>
                  </w:tcBorders>
                  <w:shd w:val="clear" w:color="auto" w:fill="auto"/>
                  <w:vAlign w:val="center"/>
                </w:tcPr>
                <w:p w14:paraId="754D1C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shd w:val="clear" w:color="auto" w:fill="auto"/>
                  <w:vAlign w:val="center"/>
                </w:tcPr>
                <w:p w14:paraId="278DBAC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2.86</w:t>
                  </w:r>
                </w:p>
              </w:tc>
            </w:tr>
            <w:tr w14:paraId="61FC8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jc w:val="center"/>
              </w:trPr>
              <w:tc>
                <w:tcPr>
                  <w:tcW w:w="491" w:type="dxa"/>
                  <w:vMerge w:val="continue"/>
                  <w:vAlign w:val="center"/>
                </w:tcPr>
                <w:p w14:paraId="4A6EB9C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tcBorders>
                    <w:top w:val="nil"/>
                  </w:tcBorders>
                  <w:vAlign w:val="center"/>
                </w:tcPr>
                <w:p w14:paraId="1E38F4B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Align w:val="center"/>
                </w:tcPr>
                <w:p w14:paraId="15F1FA3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手术室北侧、西侧</w:t>
                  </w:r>
                </w:p>
              </w:tc>
              <w:tc>
                <w:tcPr>
                  <w:tcW w:w="1709" w:type="dxa"/>
                  <w:gridSpan w:val="2"/>
                  <w:vAlign w:val="center"/>
                </w:tcPr>
                <w:p w14:paraId="187F5E0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控制室、前室</w:t>
                  </w:r>
                </w:p>
              </w:tc>
              <w:tc>
                <w:tcPr>
                  <w:tcW w:w="835" w:type="dxa"/>
                  <w:vAlign w:val="center"/>
                </w:tcPr>
                <w:p w14:paraId="267CF98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c>
                <w:tcPr>
                  <w:tcW w:w="783" w:type="dxa"/>
                  <w:vAlign w:val="center"/>
                </w:tcPr>
                <w:p w14:paraId="7768D32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2.81E-03</w:t>
                  </w:r>
                </w:p>
              </w:tc>
              <w:tc>
                <w:tcPr>
                  <w:tcW w:w="683" w:type="dxa"/>
                  <w:vAlign w:val="center"/>
                </w:tcPr>
                <w:p w14:paraId="3E6EE62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6945550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4EDE3F2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46F96A6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r>
            <w:tr w14:paraId="09CC02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jc w:val="center"/>
              </w:trPr>
              <w:tc>
                <w:tcPr>
                  <w:tcW w:w="491" w:type="dxa"/>
                  <w:vMerge w:val="continue"/>
                  <w:vAlign w:val="center"/>
                </w:tcPr>
                <w:p w14:paraId="22A39DC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restart"/>
                  <w:vAlign w:val="center"/>
                </w:tcPr>
                <w:p w14:paraId="0ED2E24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公众</w:t>
                  </w:r>
                </w:p>
              </w:tc>
              <w:tc>
                <w:tcPr>
                  <w:tcW w:w="696" w:type="dxa"/>
                  <w:vMerge w:val="restart"/>
                  <w:vAlign w:val="center"/>
                </w:tcPr>
                <w:p w14:paraId="22273D6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p>
              </w:tc>
              <w:tc>
                <w:tcPr>
                  <w:tcW w:w="1709" w:type="dxa"/>
                  <w:gridSpan w:val="2"/>
                  <w:vAlign w:val="center"/>
                </w:tcPr>
                <w:p w14:paraId="6DB2213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室内道路</w:t>
                  </w:r>
                </w:p>
              </w:tc>
              <w:tc>
                <w:tcPr>
                  <w:tcW w:w="835" w:type="dxa"/>
                  <w:vAlign w:val="center"/>
                </w:tcPr>
                <w:p w14:paraId="31A2D4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c>
                <w:tcPr>
                  <w:tcW w:w="783" w:type="dxa"/>
                  <w:vAlign w:val="center"/>
                </w:tcPr>
                <w:p w14:paraId="30B71A9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2.81E-03</w:t>
                  </w:r>
                </w:p>
              </w:tc>
              <w:tc>
                <w:tcPr>
                  <w:tcW w:w="683" w:type="dxa"/>
                  <w:vAlign w:val="center"/>
                </w:tcPr>
                <w:p w14:paraId="32F4AD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2CD804A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622B72A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12D183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7.64E-04</w:t>
                  </w:r>
                </w:p>
              </w:tc>
            </w:tr>
            <w:tr w14:paraId="43669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491" w:type="dxa"/>
                  <w:vMerge w:val="continue"/>
                  <w:vAlign w:val="center"/>
                </w:tcPr>
                <w:p w14:paraId="4EE5FD4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22B505A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vAlign w:val="center"/>
                </w:tcPr>
                <w:p w14:paraId="4F2A07B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709" w:type="dxa"/>
                  <w:gridSpan w:val="2"/>
                  <w:vAlign w:val="center"/>
                </w:tcPr>
                <w:p w14:paraId="249D0E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麻醉耗材库、体位垫库房、仪器室、药品室、住院楼</w:t>
                  </w:r>
                </w:p>
              </w:tc>
              <w:tc>
                <w:tcPr>
                  <w:tcW w:w="835" w:type="dxa"/>
                  <w:vAlign w:val="center"/>
                </w:tcPr>
                <w:p w14:paraId="74C761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1.50E-02</w:t>
                  </w:r>
                </w:p>
              </w:tc>
              <w:tc>
                <w:tcPr>
                  <w:tcW w:w="783" w:type="dxa"/>
                  <w:vAlign w:val="center"/>
                </w:tcPr>
                <w:p w14:paraId="1EB551D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2.81E-03</w:t>
                  </w:r>
                </w:p>
              </w:tc>
              <w:tc>
                <w:tcPr>
                  <w:tcW w:w="683" w:type="dxa"/>
                  <w:vAlign w:val="center"/>
                </w:tcPr>
                <w:p w14:paraId="176A91D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3C26E80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53B32FA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524E38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3.06E-03</w:t>
                  </w:r>
                </w:p>
              </w:tc>
            </w:tr>
            <w:tr w14:paraId="0A12EB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491" w:type="dxa"/>
                  <w:vMerge w:val="continue"/>
                  <w:vAlign w:val="center"/>
                </w:tcPr>
                <w:p w14:paraId="405275C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651EAE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restart"/>
                  <w:vAlign w:val="center"/>
                </w:tcPr>
                <w:p w14:paraId="36620FD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手术室西</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p>
              </w:tc>
              <w:tc>
                <w:tcPr>
                  <w:tcW w:w="1709" w:type="dxa"/>
                  <w:gridSpan w:val="2"/>
                  <w:vAlign w:val="center"/>
                </w:tcPr>
                <w:p w14:paraId="3DCFE96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室内道路</w:t>
                  </w:r>
                </w:p>
              </w:tc>
              <w:tc>
                <w:tcPr>
                  <w:tcW w:w="835" w:type="dxa"/>
                  <w:vAlign w:val="center"/>
                </w:tcPr>
                <w:p w14:paraId="3FD3F07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6.74E-03</w:t>
                  </w:r>
                </w:p>
              </w:tc>
              <w:tc>
                <w:tcPr>
                  <w:tcW w:w="783" w:type="dxa"/>
                  <w:vAlign w:val="center"/>
                </w:tcPr>
                <w:p w14:paraId="33A8B78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1.26E-03</w:t>
                  </w:r>
                </w:p>
              </w:tc>
              <w:tc>
                <w:tcPr>
                  <w:tcW w:w="683" w:type="dxa"/>
                  <w:vAlign w:val="center"/>
                </w:tcPr>
                <w:p w14:paraId="566B5BD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46959EE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66B7C24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5F28E74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3.43</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w:t>
                  </w:r>
                </w:p>
              </w:tc>
            </w:tr>
            <w:tr w14:paraId="7AC75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491" w:type="dxa"/>
                  <w:vMerge w:val="continue"/>
                  <w:vAlign w:val="center"/>
                </w:tcPr>
                <w:p w14:paraId="61559AC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5550C75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vAlign w:val="center"/>
                </w:tcPr>
                <w:p w14:paraId="4124358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709" w:type="dxa"/>
                  <w:gridSpan w:val="2"/>
                  <w:vAlign w:val="center"/>
                </w:tcPr>
                <w:p w14:paraId="34A028E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其他手术室、麻醉药品库、配电室、库房、医护办公室</w:t>
                  </w:r>
                </w:p>
              </w:tc>
              <w:tc>
                <w:tcPr>
                  <w:tcW w:w="835" w:type="dxa"/>
                  <w:shd w:val="clear" w:color="auto" w:fill="auto"/>
                  <w:vAlign w:val="center"/>
                </w:tcPr>
                <w:p w14:paraId="0C76CD5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6.74E-03</w:t>
                  </w:r>
                </w:p>
              </w:tc>
              <w:tc>
                <w:tcPr>
                  <w:tcW w:w="783" w:type="dxa"/>
                  <w:shd w:val="clear" w:color="auto" w:fill="auto"/>
                  <w:vAlign w:val="center"/>
                </w:tcPr>
                <w:p w14:paraId="3835FE6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1.26E-03</w:t>
                  </w:r>
                </w:p>
              </w:tc>
              <w:tc>
                <w:tcPr>
                  <w:tcW w:w="683" w:type="dxa"/>
                  <w:shd w:val="clear" w:color="auto" w:fill="auto"/>
                  <w:vAlign w:val="center"/>
                </w:tcPr>
                <w:p w14:paraId="4708357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shd w:val="clear" w:color="auto" w:fill="auto"/>
                  <w:vAlign w:val="center"/>
                </w:tcPr>
                <w:p w14:paraId="46DBB59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67F7F1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73A181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1.37</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r>
            <w:tr w14:paraId="6D1167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491" w:type="dxa"/>
                  <w:vMerge w:val="continue"/>
                  <w:vAlign w:val="center"/>
                </w:tcPr>
                <w:p w14:paraId="10B417D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7C96D51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restart"/>
                  <w:vAlign w:val="center"/>
                </w:tcPr>
                <w:p w14:paraId="4F9700D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手术室南</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p>
              </w:tc>
              <w:tc>
                <w:tcPr>
                  <w:tcW w:w="1709" w:type="dxa"/>
                  <w:gridSpan w:val="2"/>
                  <w:shd w:val="clear" w:color="auto" w:fill="auto"/>
                  <w:vAlign w:val="center"/>
                </w:tcPr>
                <w:p w14:paraId="102444F3">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室内道路</w:t>
                  </w:r>
                </w:p>
              </w:tc>
              <w:tc>
                <w:tcPr>
                  <w:tcW w:w="835" w:type="dxa"/>
                  <w:vAlign w:val="center"/>
                </w:tcPr>
                <w:p w14:paraId="583D978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1.43E-02</w:t>
                  </w:r>
                </w:p>
              </w:tc>
              <w:tc>
                <w:tcPr>
                  <w:tcW w:w="783" w:type="dxa"/>
                  <w:vAlign w:val="center"/>
                </w:tcPr>
                <w:p w14:paraId="4245E23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2.67E-03</w:t>
                  </w:r>
                </w:p>
              </w:tc>
              <w:tc>
                <w:tcPr>
                  <w:tcW w:w="683" w:type="dxa"/>
                  <w:vAlign w:val="center"/>
                </w:tcPr>
                <w:p w14:paraId="298988B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5432517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5018E5D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22B7055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7.28</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w:t>
                  </w:r>
                </w:p>
              </w:tc>
            </w:tr>
            <w:tr w14:paraId="44490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491" w:type="dxa"/>
                  <w:vMerge w:val="continue"/>
                  <w:vAlign w:val="center"/>
                </w:tcPr>
                <w:p w14:paraId="69D7FB3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0D19382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vAlign w:val="center"/>
                </w:tcPr>
                <w:p w14:paraId="00AB0F7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709" w:type="dxa"/>
                  <w:gridSpan w:val="2"/>
                  <w:shd w:val="clear" w:color="auto" w:fill="auto"/>
                  <w:vAlign w:val="center"/>
                </w:tcPr>
                <w:p w14:paraId="1F3AA12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其他手术室、药品瓶回收间、样本间、清洁间、门诊楼</w:t>
                  </w:r>
                </w:p>
              </w:tc>
              <w:tc>
                <w:tcPr>
                  <w:tcW w:w="835" w:type="dxa"/>
                  <w:shd w:val="clear" w:color="auto" w:fill="auto"/>
                  <w:vAlign w:val="center"/>
                </w:tcPr>
                <w:p w14:paraId="3F5E5D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1.43E-02</w:t>
                  </w:r>
                </w:p>
              </w:tc>
              <w:tc>
                <w:tcPr>
                  <w:tcW w:w="783" w:type="dxa"/>
                  <w:shd w:val="clear" w:color="auto" w:fill="auto"/>
                  <w:vAlign w:val="center"/>
                </w:tcPr>
                <w:p w14:paraId="23B6323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2.67E-03</w:t>
                  </w:r>
                </w:p>
              </w:tc>
              <w:tc>
                <w:tcPr>
                  <w:tcW w:w="683" w:type="dxa"/>
                  <w:shd w:val="clear" w:color="auto" w:fill="auto"/>
                  <w:vAlign w:val="center"/>
                </w:tcPr>
                <w:p w14:paraId="4152A11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shd w:val="clear" w:color="auto" w:fill="auto"/>
                  <w:vAlign w:val="center"/>
                </w:tcPr>
                <w:p w14:paraId="56B45FE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7D74D46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50BAD22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2.91</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r>
            <w:tr w14:paraId="5006F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491" w:type="dxa"/>
                  <w:vMerge w:val="continue"/>
                  <w:vAlign w:val="center"/>
                </w:tcPr>
                <w:p w14:paraId="4EE4E5E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177804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restart"/>
                  <w:vAlign w:val="center"/>
                </w:tcPr>
                <w:p w14:paraId="2115F86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手术室东</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侧</w:t>
                  </w:r>
                </w:p>
              </w:tc>
              <w:tc>
                <w:tcPr>
                  <w:tcW w:w="1709" w:type="dxa"/>
                  <w:gridSpan w:val="2"/>
                  <w:shd w:val="clear" w:color="auto" w:fill="auto"/>
                  <w:vAlign w:val="center"/>
                </w:tcPr>
                <w:p w14:paraId="790877E4">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室内通道、电梯间、楼梯间、院内休息花园</w:t>
                  </w:r>
                </w:p>
              </w:tc>
              <w:tc>
                <w:tcPr>
                  <w:tcW w:w="835" w:type="dxa"/>
                  <w:vAlign w:val="center"/>
                </w:tcPr>
                <w:p w14:paraId="2D49978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8.83E-03</w:t>
                  </w:r>
                </w:p>
              </w:tc>
              <w:tc>
                <w:tcPr>
                  <w:tcW w:w="783" w:type="dxa"/>
                  <w:vAlign w:val="center"/>
                </w:tcPr>
                <w:p w14:paraId="246E89D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1.65E-03</w:t>
                  </w:r>
                </w:p>
              </w:tc>
              <w:tc>
                <w:tcPr>
                  <w:tcW w:w="683" w:type="dxa"/>
                  <w:vAlign w:val="center"/>
                </w:tcPr>
                <w:p w14:paraId="30C2C0A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55AA794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2F9CA02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184962A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4.50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4</w:t>
                  </w:r>
                </w:p>
              </w:tc>
            </w:tr>
            <w:tr w14:paraId="3AC7A4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491" w:type="dxa"/>
                  <w:vMerge w:val="continue"/>
                  <w:vAlign w:val="center"/>
                </w:tcPr>
                <w:p w14:paraId="4555CB8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5BB0B3F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vAlign w:val="center"/>
                </w:tcPr>
                <w:p w14:paraId="781E021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709" w:type="dxa"/>
                  <w:gridSpan w:val="2"/>
                  <w:shd w:val="clear" w:color="auto" w:fill="auto"/>
                  <w:vAlign w:val="center"/>
                </w:tcPr>
                <w:p w14:paraId="2F1AC66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无菌物品库房、工友间、污物清洗收集室、污物间</w:t>
                  </w:r>
                </w:p>
              </w:tc>
              <w:tc>
                <w:tcPr>
                  <w:tcW w:w="835" w:type="dxa"/>
                  <w:shd w:val="clear" w:color="auto" w:fill="auto"/>
                  <w:vAlign w:val="center"/>
                </w:tcPr>
                <w:p w14:paraId="7DF1D60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8.83E-03</w:t>
                  </w:r>
                </w:p>
              </w:tc>
              <w:tc>
                <w:tcPr>
                  <w:tcW w:w="783" w:type="dxa"/>
                  <w:shd w:val="clear" w:color="auto" w:fill="auto"/>
                  <w:vAlign w:val="center"/>
                </w:tcPr>
                <w:p w14:paraId="2539F36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1.65E-03</w:t>
                  </w:r>
                </w:p>
              </w:tc>
              <w:tc>
                <w:tcPr>
                  <w:tcW w:w="683" w:type="dxa"/>
                  <w:shd w:val="clear" w:color="auto" w:fill="auto"/>
                  <w:vAlign w:val="center"/>
                </w:tcPr>
                <w:p w14:paraId="6F36669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shd w:val="clear" w:color="auto" w:fill="auto"/>
                  <w:vAlign w:val="center"/>
                </w:tcPr>
                <w:p w14:paraId="7B6C329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0A64DAB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7AF621A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1.80</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r>
            <w:tr w14:paraId="4472C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491" w:type="dxa"/>
                  <w:vMerge w:val="continue"/>
                  <w:vAlign w:val="center"/>
                </w:tcPr>
                <w:p w14:paraId="5EB453A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73ABA2C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Align w:val="center"/>
                </w:tcPr>
                <w:p w14:paraId="409E6A4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上方</w:t>
                  </w:r>
                </w:p>
              </w:tc>
              <w:tc>
                <w:tcPr>
                  <w:tcW w:w="1709" w:type="dxa"/>
                  <w:gridSpan w:val="2"/>
                  <w:vAlign w:val="center"/>
                </w:tcPr>
                <w:p w14:paraId="32FF1D79">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楼顶设备摆放区</w:t>
                  </w:r>
                </w:p>
              </w:tc>
              <w:tc>
                <w:tcPr>
                  <w:tcW w:w="835" w:type="dxa"/>
                  <w:vAlign w:val="center"/>
                </w:tcPr>
                <w:p w14:paraId="361332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1.16E-03</w:t>
                  </w:r>
                </w:p>
              </w:tc>
              <w:tc>
                <w:tcPr>
                  <w:tcW w:w="783" w:type="dxa"/>
                  <w:vAlign w:val="center"/>
                </w:tcPr>
                <w:p w14:paraId="59011FB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2.17E-04</w:t>
                  </w:r>
                </w:p>
              </w:tc>
              <w:tc>
                <w:tcPr>
                  <w:tcW w:w="683" w:type="dxa"/>
                  <w:vAlign w:val="center"/>
                </w:tcPr>
                <w:p w14:paraId="00951D5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7F2B728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6DECFEB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1851C5B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5.91</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w:t>
                  </w:r>
                </w:p>
              </w:tc>
            </w:tr>
            <w:tr w14:paraId="43AB39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491" w:type="dxa"/>
                  <w:vMerge w:val="continue"/>
                  <w:vAlign w:val="center"/>
                </w:tcPr>
                <w:p w14:paraId="422F7EF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314A70C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restart"/>
                  <w:vAlign w:val="center"/>
                </w:tcPr>
                <w:p w14:paraId="7948402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手术室下方</w:t>
                  </w:r>
                </w:p>
              </w:tc>
              <w:tc>
                <w:tcPr>
                  <w:tcW w:w="1709" w:type="dxa"/>
                  <w:gridSpan w:val="2"/>
                  <w:vAlign w:val="center"/>
                </w:tcPr>
                <w:p w14:paraId="13803CE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室内通道</w:t>
                  </w:r>
                </w:p>
              </w:tc>
              <w:tc>
                <w:tcPr>
                  <w:tcW w:w="835" w:type="dxa"/>
                  <w:shd w:val="clear" w:color="auto" w:fill="auto"/>
                  <w:vAlign w:val="center"/>
                </w:tcPr>
                <w:p w14:paraId="5746480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5.58E-03</w:t>
                  </w:r>
                </w:p>
              </w:tc>
              <w:tc>
                <w:tcPr>
                  <w:tcW w:w="783" w:type="dxa"/>
                  <w:shd w:val="clear" w:color="auto" w:fill="auto"/>
                  <w:vAlign w:val="center"/>
                </w:tcPr>
                <w:p w14:paraId="274E119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1.04E-03</w:t>
                  </w:r>
                </w:p>
              </w:tc>
              <w:tc>
                <w:tcPr>
                  <w:tcW w:w="683" w:type="dxa"/>
                  <w:shd w:val="clear" w:color="auto" w:fill="auto"/>
                  <w:vAlign w:val="center"/>
                </w:tcPr>
                <w:p w14:paraId="1043483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shd w:val="clear" w:color="auto" w:fill="auto"/>
                  <w:vAlign w:val="center"/>
                </w:tcPr>
                <w:p w14:paraId="4592581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2841B7E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1/4</w:t>
                  </w:r>
                </w:p>
              </w:tc>
              <w:tc>
                <w:tcPr>
                  <w:tcW w:w="1062" w:type="dxa"/>
                  <w:tcBorders>
                    <w:left w:val="single" w:color="auto" w:sz="4" w:space="0"/>
                  </w:tcBorders>
                  <w:vAlign w:val="center"/>
                </w:tcPr>
                <w:p w14:paraId="10EDCF1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84</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E-04</w:t>
                  </w:r>
                </w:p>
              </w:tc>
            </w:tr>
            <w:tr w14:paraId="2C6CD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491" w:type="dxa"/>
                  <w:vMerge w:val="continue"/>
                  <w:vAlign w:val="center"/>
                </w:tcPr>
                <w:p w14:paraId="1EB5507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519" w:type="dxa"/>
                  <w:vMerge w:val="continue"/>
                  <w:vAlign w:val="center"/>
                </w:tcPr>
                <w:p w14:paraId="36D21C7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p>
              </w:tc>
              <w:tc>
                <w:tcPr>
                  <w:tcW w:w="696" w:type="dxa"/>
                  <w:vMerge w:val="continue"/>
                  <w:vAlign w:val="center"/>
                </w:tcPr>
                <w:p w14:paraId="7FD4C4F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p>
              </w:tc>
              <w:tc>
                <w:tcPr>
                  <w:tcW w:w="1709" w:type="dxa"/>
                  <w:gridSpan w:val="2"/>
                  <w:vAlign w:val="center"/>
                </w:tcPr>
                <w:p w14:paraId="0F79932D">
                  <w:pPr>
                    <w:keepNext w:val="0"/>
                    <w:keepLines w:val="0"/>
                    <w:pageBreakBefore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检查室、阅片室、腔镜室</w:t>
                  </w:r>
                </w:p>
              </w:tc>
              <w:tc>
                <w:tcPr>
                  <w:tcW w:w="835" w:type="dxa"/>
                  <w:vAlign w:val="center"/>
                </w:tcPr>
                <w:p w14:paraId="332ADFB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5.58E-03</w:t>
                  </w:r>
                </w:p>
              </w:tc>
              <w:tc>
                <w:tcPr>
                  <w:tcW w:w="783" w:type="dxa"/>
                  <w:vAlign w:val="center"/>
                </w:tcPr>
                <w:p w14:paraId="715CCD7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1.04E-03</w:t>
                  </w:r>
                </w:p>
              </w:tc>
              <w:tc>
                <w:tcPr>
                  <w:tcW w:w="683" w:type="dxa"/>
                  <w:vAlign w:val="center"/>
                </w:tcPr>
                <w:p w14:paraId="05D227B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200</w:t>
                  </w:r>
                </w:p>
              </w:tc>
              <w:tc>
                <w:tcPr>
                  <w:tcW w:w="684" w:type="dxa"/>
                  <w:vAlign w:val="center"/>
                </w:tcPr>
                <w:p w14:paraId="5C25B5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20</w:t>
                  </w:r>
                </w:p>
              </w:tc>
              <w:tc>
                <w:tcPr>
                  <w:tcW w:w="735" w:type="dxa"/>
                  <w:tcBorders>
                    <w:right w:val="single" w:color="auto" w:sz="4" w:space="0"/>
                  </w:tcBorders>
                  <w:vAlign w:val="center"/>
                </w:tcPr>
                <w:p w14:paraId="093F52C7">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w:t>
                  </w:r>
                </w:p>
              </w:tc>
              <w:tc>
                <w:tcPr>
                  <w:tcW w:w="1062" w:type="dxa"/>
                  <w:tcBorders>
                    <w:left w:val="single" w:color="auto" w:sz="4" w:space="0"/>
                  </w:tcBorders>
                  <w:vAlign w:val="center"/>
                </w:tcPr>
                <w:p w14:paraId="21E847CA">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1.14</w:t>
                  </w: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E-0</w:t>
                  </w:r>
                  <w:r>
                    <w:rPr>
                      <w:rFonts w:hint="eastAsia"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3</w:t>
                  </w:r>
                </w:p>
              </w:tc>
            </w:tr>
            <w:tr w14:paraId="260D64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8197" w:type="dxa"/>
                  <w:gridSpan w:val="11"/>
                  <w:vAlign w:val="center"/>
                </w:tcPr>
                <w:p w14:paraId="491B3022">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auto"/>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注：①使用科室手术位操作医生不进行交叉使用，故按年透视出束时间进行估算年剂量。其余保护目标均按照年透视出束时间和年减影出束时间总和进行保守估算。</w:t>
                  </w:r>
                </w:p>
                <w:p w14:paraId="54B4DF3E">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auto"/>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sz w:val="21"/>
                      <w:szCs w:val="21"/>
                      <w:highlight w:val="none"/>
                      <w:lang w:val="en-US" w:eastAsia="zh-CN" w:bidi="ar"/>
                      <w14:textFill>
                        <w14:solidFill>
                          <w14:schemeClr w14:val="tx1">
                            <w14:lumMod w14:val="95000"/>
                            <w14:lumOff w14:val="5000"/>
                          </w14:schemeClr>
                        </w14:solidFill>
                      </w14:textFill>
                    </w:rPr>
                    <w:t>②第一、第二术者位减影工况下可能在控制室内阅片，因此考虑叠加控制室内的有效剂量率，即3.06E-03mSv/a。</w:t>
                  </w:r>
                </w:p>
              </w:tc>
            </w:tr>
          </w:tbl>
          <w:p w14:paraId="29AA778D">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据表11-</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可知，</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叠加减影工况下第一、第二术者可能在控制室内阅片，因此在考虑叠加控制室内的有效剂量率，即3.06E-03mSv/a的情况下，本项目移动C臂X射线机对第一术者位造成的最大年有效剂量估算为2.93mSv/a；对第二术者位造成的最大年有效剂量估算为2.86mSv/a</w:t>
            </w:r>
            <w:r>
              <w:rPr>
                <w:rFonts w:hint="eastAsia" w:ascii="Times New Roman" w:hAnsi="Times New Roman" w:cs="Times New Roman" w:eastAsiaTheme="minorEastAsia"/>
                <w:color w:val="0D0D0D" w:themeColor="text1" w:themeTint="F2"/>
                <w:kern w:val="0"/>
                <w:sz w:val="24"/>
                <w:szCs w:val="24"/>
                <w:highlight w:val="none"/>
                <w:lang w:eastAsia="zh-CN"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对手术室外护士、技师等职业人员</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造成的最大年有效剂量估算为</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3.06E-03</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mSv/a</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，均</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低于职业年有效剂量管理限值5mSv/a</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对保护范围内的公众人员造成的最大年有效剂量估算为</w:t>
            </w:r>
            <w:r>
              <w:rPr>
                <w:rFonts w:hint="eastAsia" w:ascii="Times New Roman" w:hAnsi="Times New Roman" w:cs="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3.06E-03</w:t>
            </w:r>
            <w:r>
              <w:rPr>
                <w:rFonts w:hint="default" w:ascii="Times New Roman" w:hAnsi="Times New Roman" w:cs="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mSv/a，低于公众年有效剂量管理限值0.25mSv/a，满足《电离辐射防护与辐射源安全基本标准》（GB 18871—2002）和《云南省环保局关于〈在辐射安全许可工作中确定电离辐射安全管理限值请示〉的复函》（云环函[2006]727号）对职业人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员及公众照射的要求。</w:t>
            </w:r>
          </w:p>
          <w:p w14:paraId="062A35FC">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（2）叠加影响分析</w:t>
            </w:r>
          </w:p>
          <w:p w14:paraId="04CBE4CA">
            <w:pPr>
              <w:widowControl/>
              <w:spacing w:line="360" w:lineRule="auto"/>
              <w:ind w:firstLine="480"/>
              <w:jc w:val="left"/>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bookmarkStart w:id="81" w:name="OLE_LINK223"/>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根据医院提供的平面布局，本项目新增的</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介入手术室实体屏蔽物边界外50m范围内有</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多台射线装置，但距离本项目区较远，</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根据编制的202</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年度评估报告所做监测结果</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可知</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昆明市中医医院（呈贡医院）在用的17台射线装置：具有透视功能的X射线设备、CT机、牙科全景摄影机、骨密度仪、乳腺检测仪等设备在出束状态下，机房外围X-γ空气吸收剂量率在0.121~1.94μSv/h之间，空气吸收剂量率小于2.5μSv/h；DR、数字肠胃机等设备在出束状态下，机房外围X-γ空气吸收剂量率在0.163~2.5μSv/h之间，空气吸收剂量率小于25μSv/h要求，满足《放射诊断放射防护要求》（GBZ130-2020）中的相关标准要求</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，说明</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各射线装置使用场所</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防护设施屏蔽效果良好，在考虑距离衰减和</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中间</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多道墙体屏蔽后，对本项目的影响</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很小</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且通过项目区域辐射现状监测可知，本项目介入手术室拟建场所周围环境的X-γ辐射剂量率在0.07~0.12μSv/h范围内，与监测的医院背景值X-γ辐射剂量率0.0</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μGy/h水平相当，本项目拟建场所及周围环境的X-γ辐射剂量率处于医院所在区域正常辐射水平范围内，因此本项目不再考虑与院内其他射线装置的叠加影响。</w:t>
            </w:r>
            <w:bookmarkEnd w:id="81"/>
          </w:p>
          <w:p w14:paraId="4C287041">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本项目所有辐射工作人员均由医院其他科室调配，以往及之后均不操作院内其他辐射装置，因此不再考虑本项目辐射工作人员的叠加影响</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56E0B101">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11.2.</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2</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运营期水环境、固体废弃物、声环境、废气影响分析</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 xml:space="preserve"> </w:t>
            </w:r>
          </w:p>
          <w:p w14:paraId="4DEFBF63">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（1）水环境影响分析</w:t>
            </w:r>
          </w:p>
          <w:p w14:paraId="22459341">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①项目污水处理措施</w:t>
            </w:r>
          </w:p>
          <w:p w14:paraId="590E64CD">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本项目</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移动C臂X射线机</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机房及</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移动C臂X射线机</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设备在使用的过程中无需用水，也无废水产生。仅医护人员在工作中产生少量生活污水；介入手术及器械清洗时会产生少量的医疗废水。本项目产生量为</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0.06m</w:t>
            </w:r>
            <w:r>
              <w:rPr>
                <w:rFonts w:hint="eastAsia" w:ascii="Times New Roman" w:hAnsi="Times New Roman" w:eastAsiaTheme="minorEastAsia"/>
                <w:color w:val="0D0D0D" w:themeColor="text1" w:themeTint="F2"/>
                <w:sz w:val="24"/>
                <w:szCs w:val="24"/>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/d，14m</w:t>
            </w:r>
            <w:r>
              <w:rPr>
                <w:rFonts w:hint="eastAsia" w:ascii="Times New Roman" w:hAnsi="Times New Roman" w:eastAsiaTheme="minorEastAsia"/>
                <w:color w:val="0D0D0D" w:themeColor="text1" w:themeTint="F2"/>
                <w:sz w:val="24"/>
                <w:szCs w:val="24"/>
                <w:highlight w:val="none"/>
                <w:vertAlign w:val="superscript"/>
                <w:lang w:val="en-US" w:eastAsia="zh-CN"/>
                <w14:textFill>
                  <w14:solidFill>
                    <w14:schemeClr w14:val="tx1">
                      <w14:lumMod w14:val="95000"/>
                      <w14:lumOff w14:val="5000"/>
                    </w14:schemeClr>
                  </w14:solidFill>
                </w14:textFill>
              </w:rPr>
              <w:t>3</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/a</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。该部分废水进入</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依托的昆明市中医医院（呈贡医院）</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污水处理站处理达标后，通过</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项目区北侧的祥丰街城市污水管网</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进入</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呈贡污水处理厂</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进行深度处理，对区域水体环境影响较小。</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依托的昆明市中医医院</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污水处理站设计处理规模为</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8</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00m</w:t>
            </w:r>
            <w:r>
              <w:rPr>
                <w:rFonts w:hint="eastAsia" w:ascii="Times New Roman" w:hAnsi="Times New Roman" w:eastAsiaTheme="minorEastAsia"/>
                <w:color w:val="0D0D0D" w:themeColor="text1" w:themeTint="F2"/>
                <w:sz w:val="24"/>
                <w:szCs w:val="24"/>
                <w:highlight w:val="none"/>
                <w:vertAlign w:val="superscript"/>
                <w14:textFill>
                  <w14:solidFill>
                    <w14:schemeClr w14:val="tx1">
                      <w14:lumMod w14:val="95000"/>
                      <w14:lumOff w14:val="5000"/>
                    </w14:schemeClr>
                  </w14:solidFill>
                </w14:textFill>
              </w:rPr>
              <w:t>3</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/d，现状污水处理量为</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530</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560</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m</w:t>
            </w:r>
            <w:r>
              <w:rPr>
                <w:rFonts w:hint="eastAsia" w:ascii="Times New Roman" w:hAnsi="Times New Roman" w:eastAsiaTheme="minorEastAsia"/>
                <w:color w:val="0D0D0D" w:themeColor="text1" w:themeTint="F2"/>
                <w:sz w:val="24"/>
                <w:szCs w:val="24"/>
                <w:highlight w:val="none"/>
                <w:vertAlign w:val="superscript"/>
                <w14:textFill>
                  <w14:solidFill>
                    <w14:schemeClr w14:val="tx1">
                      <w14:lumMod w14:val="95000"/>
                      <w14:lumOff w14:val="5000"/>
                    </w14:schemeClr>
                  </w14:solidFill>
                </w14:textFill>
              </w:rPr>
              <w:t>3</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/d，污水站处理能力仍有较大盈余，因此依托</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昆明市中医医院</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污水处理站处理本项目医疗废水是可行的。</w:t>
            </w:r>
          </w:p>
          <w:p w14:paraId="201418D7">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（2）固体废弃物</w:t>
            </w:r>
          </w:p>
          <w:p w14:paraId="387FBE2D">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①本项目</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移动C臂X射线机</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采用数字成像，成像结果刻入光盘内由病人带走，无废胶片产生</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p>
          <w:p w14:paraId="77016E2C">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②本项目介入手术产生</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的</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医疗废物</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主要为</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药棉</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纱布</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手套</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、废药品、废药瓶</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等</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该部分医疗废物</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采用专门的收集容器收集后，转移至</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依托的昆明市中医医院（呈贡医院）</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医疗废物</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暂存间，定期交由</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云南正晓环保投资有限公司</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清运处置。</w:t>
            </w:r>
          </w:p>
          <w:p w14:paraId="2C20B23C">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③医护人员产生的生活垃圾不属于医疗废物。生活垃圾集中收集并交由环卫部门统一清运。本项目产生的固体废物经妥善处理后对周围环境影响较小。</w:t>
            </w:r>
          </w:p>
          <w:p w14:paraId="5913F4D1">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 xml:space="preserve">（3）声环境影响分析 </w:t>
            </w:r>
          </w:p>
          <w:p w14:paraId="5239B51E">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本项目运营期噪声主要来源于</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移动C臂X射线机</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设备、通风系统的风机，机房所使用的射线装置、风机均选用低噪声设备，其噪声值一般低于60dB(A)，噪声较小，均处于室内，通过建筑墙体隔声及距离衰减后，运行期间厂界噪声可达到GB12348-2008《工业企业厂界环境噪声排放标准》</w:t>
            </w:r>
            <w:r>
              <w:rPr>
                <w:rFonts w:hint="eastAsia" w:ascii="Times New Roman" w:hAnsi="Times New Roman" w:eastAsiaTheme="minorEastAsia"/>
                <w:color w:val="0D0D0D" w:themeColor="text1" w:themeTint="F2"/>
                <w:sz w:val="24"/>
                <w:szCs w:val="24"/>
                <w:highlight w:val="none"/>
                <w:lang w:val="en-US" w:eastAsia="zh-CN"/>
                <w14:textFill>
                  <w14:solidFill>
                    <w14:schemeClr w14:val="tx1">
                      <w14:lumMod w14:val="95000"/>
                      <w14:lumOff w14:val="5000"/>
                    </w14:schemeClr>
                  </w14:solidFill>
                </w14:textFill>
              </w:rPr>
              <w:t>2</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类标准要求。</w:t>
            </w:r>
          </w:p>
          <w:p w14:paraId="4F42C3FA">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（4）大气环境影响分析</w:t>
            </w:r>
          </w:p>
          <w:p w14:paraId="20D396DA">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本项目</w:t>
            </w:r>
            <w:r>
              <w:rPr>
                <w:rFonts w:hint="eastAsia" w:ascii="Times New Roman" w:hAnsi="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t>介入手术室</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内采用上进下排的通风系统，产生的少量臭氧</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及氮氧化物</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经</w:t>
            </w:r>
            <w:r>
              <w:rPr>
                <w:rFonts w:hint="eastAsia" w:ascii="Times New Roman" w:hAnsi="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楼内</w:t>
            </w:r>
            <w:r>
              <w:rPr>
                <w:rFonts w:ascii="Times New Roman" w:hAnsi="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排风管道</w:t>
            </w:r>
            <w:r>
              <w:rPr>
                <w:rFonts w:hint="eastAsia" w:ascii="Times New Roman" w:hAnsi="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引致</w:t>
            </w:r>
            <w:r>
              <w:rPr>
                <w:rFonts w:hint="eastAsia" w:ascii="Times New Roman" w:hAnsi="Times New Roman" w:eastAsiaTheme="minorEastAsia"/>
                <w:color w:val="0D0D0D" w:themeColor="text1" w:themeTint="F2"/>
                <w:kern w:val="0"/>
                <w:sz w:val="24"/>
                <w:szCs w:val="24"/>
                <w:highlight w:val="none"/>
                <w:lang w:val="en-US" w:eastAsia="zh-CN" w:bidi="ar"/>
                <w14:textFill>
                  <w14:solidFill>
                    <w14:schemeClr w14:val="tx1">
                      <w14:lumMod w14:val="95000"/>
                      <w14:lumOff w14:val="5000"/>
                    </w14:schemeClr>
                  </w14:solidFill>
                </w14:textFill>
              </w:rPr>
              <w:t>室外</w:t>
            </w:r>
            <w:r>
              <w:rPr>
                <w:rFonts w:hint="eastAsia" w:ascii="Times New Roman" w:hAnsi="Times New Roman" w:eastAsiaTheme="minorEastAsia"/>
                <w:color w:val="0D0D0D" w:themeColor="text1" w:themeTint="F2"/>
                <w:kern w:val="0"/>
                <w:sz w:val="24"/>
                <w:szCs w:val="24"/>
                <w:highlight w:val="none"/>
                <w:lang w:bidi="ar"/>
                <w14:textFill>
                  <w14:solidFill>
                    <w14:schemeClr w14:val="tx1">
                      <w14:lumMod w14:val="95000"/>
                      <w14:lumOff w14:val="5000"/>
                    </w14:schemeClr>
                  </w14:solidFill>
                </w14:textFill>
              </w:rPr>
              <w:t>排放</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，常温下臭氧自行分解为氧气，废气再经稀释扩散后对环境影响很小。</w:t>
            </w:r>
          </w:p>
          <w:p w14:paraId="743687A1">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11.3辐射事故影响分析</w:t>
            </w:r>
          </w:p>
          <w:p w14:paraId="1437EA49">
            <w:pPr>
              <w:spacing w:line="360" w:lineRule="auto"/>
              <w:ind w:firstLine="480"/>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本项目涉及</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台</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属于Ⅱ类射线装置。对于X射线装置，当设备关机时不会产生X射线，不存在影响辐射环境质量的事故，只有当设备开机时才会产生X射线等危害因素。事故情况下，人员误入或误照射情况下，可能导致人员受到超过年剂量限值的照射。</w:t>
            </w:r>
          </w:p>
          <w:p w14:paraId="6C1C2DB5">
            <w:pPr>
              <w:spacing w:line="360" w:lineRule="auto"/>
              <w:ind w:firstLine="480"/>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1、本项目可能发生的事故情况</w:t>
            </w:r>
          </w:p>
          <w:p w14:paraId="03F00E22">
            <w:pPr>
              <w:spacing w:line="360" w:lineRule="auto"/>
              <w:ind w:firstLine="480"/>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（1）患者通道开关装置和报警系统发生故障，导致无关人员误入正在运行的射线装置机房受到照射；</w:t>
            </w:r>
          </w:p>
          <w:p w14:paraId="2CA22066">
            <w:pPr>
              <w:spacing w:line="360" w:lineRule="auto"/>
              <w:ind w:firstLine="480"/>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（2）在患者通道防护门未关闭时即进行曝光，造成防护门附近人员受到照射</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p>
          <w:p w14:paraId="085F0743">
            <w:pPr>
              <w:spacing w:line="360" w:lineRule="auto"/>
              <w:ind w:firstLine="480"/>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项目医护人员介入手术期间，未正确使用个人防护用品情况下受到照射。</w:t>
            </w:r>
          </w:p>
          <w:p w14:paraId="71A7F557">
            <w:pPr>
              <w:spacing w:line="360" w:lineRule="auto"/>
              <w:ind w:firstLine="480"/>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事故情况下环境影响分析</w:t>
            </w:r>
          </w:p>
          <w:p w14:paraId="17D20FFC">
            <w:pPr>
              <w:spacing w:line="360" w:lineRule="auto"/>
              <w:ind w:firstLine="480"/>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项目</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可能发生的事故可以看出，事故情况下人员均处于非主束方向。</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事故状态下介入手术室内工作人员的辐射剂量估算采用李士骏编著的《电离辐射剂量学》中的估算方法。</w:t>
            </w:r>
          </w:p>
          <w:p w14:paraId="4BC5C73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事故状态下，项目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一台手术累计透视时间最长</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以15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计</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，公众误入或未撤离最长受照时间</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以1.5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计</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。按公式(11-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5</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6</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)及公式(11-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7</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)，本项目一台手术事故情况下工作人员及公众所受到的有效剂量当量见表11-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8</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9662737">
            <w:pPr>
              <w:ind w:firstLine="964" w:firstLineChars="400"/>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表11-</w:t>
            </w:r>
            <w:r>
              <w:rPr>
                <w:rFonts w:hint="eastAsia" w:ascii="Times New Roman" w:hAnsi="Times New Roman" w:cs="Times New Roman" w:eastAsiaTheme="minorEastAsia"/>
                <w:b/>
                <w:color w:val="0D0D0D" w:themeColor="text1" w:themeTint="F2"/>
                <w:highlight w:val="none"/>
                <w:lang w:val="en-US" w:eastAsia="zh-CN"/>
                <w14:textFill>
                  <w14:solidFill>
                    <w14:schemeClr w14:val="tx1">
                      <w14:lumMod w14:val="95000"/>
                      <w14:lumOff w14:val="5000"/>
                    </w14:schemeClr>
                  </w14:solidFill>
                </w14:textFill>
              </w:rPr>
              <w:t>8</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   本台事故情况下工作人员和公众所受到的有效剂量</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096"/>
              <w:gridCol w:w="1387"/>
              <w:gridCol w:w="907"/>
              <w:gridCol w:w="886"/>
              <w:gridCol w:w="2277"/>
              <w:gridCol w:w="1181"/>
            </w:tblGrid>
            <w:tr w14:paraId="49ADD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gridSpan w:val="2"/>
                  <w:vAlign w:val="center"/>
                </w:tcPr>
                <w:p w14:paraId="1C87C4C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事故工况</w:t>
                  </w:r>
                </w:p>
              </w:tc>
              <w:tc>
                <w:tcPr>
                  <w:tcW w:w="1387" w:type="dxa"/>
                  <w:vAlign w:val="center"/>
                </w:tcPr>
                <w:p w14:paraId="14C3ABA7">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与射线竖侧向之间的距离（m）</w:t>
                  </w:r>
                </w:p>
              </w:tc>
              <w:tc>
                <w:tcPr>
                  <w:tcW w:w="907" w:type="dxa"/>
                  <w:vAlign w:val="center"/>
                </w:tcPr>
                <w:p w14:paraId="1740CBF7">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曝光方式</w:t>
                  </w:r>
                </w:p>
              </w:tc>
              <w:tc>
                <w:tcPr>
                  <w:tcW w:w="886" w:type="dxa"/>
                  <w:vAlign w:val="center"/>
                </w:tcPr>
                <w:p w14:paraId="0E7A3C0C">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曝光时间（min）</w:t>
                  </w:r>
                </w:p>
              </w:tc>
              <w:tc>
                <w:tcPr>
                  <w:tcW w:w="2277" w:type="dxa"/>
                  <w:vAlign w:val="center"/>
                </w:tcPr>
                <w:p w14:paraId="3861FD3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防护情况</w:t>
                  </w:r>
                </w:p>
              </w:tc>
              <w:tc>
                <w:tcPr>
                  <w:tcW w:w="1181" w:type="dxa"/>
                  <w:vAlign w:val="center"/>
                </w:tcPr>
                <w:p w14:paraId="64D1C7E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致剂量当量估算（mSv）</w:t>
                  </w:r>
                </w:p>
              </w:tc>
            </w:tr>
            <w:tr w14:paraId="06128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gridSpan w:val="2"/>
                  <w:vAlign w:val="center"/>
                </w:tcPr>
                <w:p w14:paraId="3184F94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公众（误入或未撤离）</w:t>
                  </w:r>
                </w:p>
              </w:tc>
              <w:tc>
                <w:tcPr>
                  <w:tcW w:w="1387" w:type="dxa"/>
                  <w:vAlign w:val="center"/>
                </w:tcPr>
                <w:p w14:paraId="3D979600">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0.3（非主射方向）</w:t>
                  </w:r>
                </w:p>
              </w:tc>
              <w:tc>
                <w:tcPr>
                  <w:tcW w:w="907" w:type="dxa"/>
                  <w:vAlign w:val="center"/>
                </w:tcPr>
                <w:p w14:paraId="61E4D74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透视</w:t>
                  </w:r>
                </w:p>
              </w:tc>
              <w:tc>
                <w:tcPr>
                  <w:tcW w:w="886" w:type="dxa"/>
                  <w:vAlign w:val="center"/>
                </w:tcPr>
                <w:p w14:paraId="6A9728B4">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2277" w:type="dxa"/>
                  <w:vAlign w:val="center"/>
                </w:tcPr>
                <w:p w14:paraId="1A92F13A">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公众无防护</w:t>
                  </w:r>
                </w:p>
              </w:tc>
              <w:tc>
                <w:tcPr>
                  <w:tcW w:w="1181" w:type="dxa"/>
                  <w:vAlign w:val="center"/>
                </w:tcPr>
                <w:p w14:paraId="22BA410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1.22</w:t>
                  </w:r>
                </w:p>
              </w:tc>
            </w:tr>
            <w:tr w14:paraId="16BF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62" w:type="dxa"/>
                  <w:vMerge w:val="restart"/>
                  <w:vAlign w:val="center"/>
                </w:tcPr>
                <w:p w14:paraId="4BFC39C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职业</w:t>
                  </w:r>
                </w:p>
              </w:tc>
              <w:tc>
                <w:tcPr>
                  <w:tcW w:w="1096" w:type="dxa"/>
                  <w:vMerge w:val="restart"/>
                  <w:vAlign w:val="center"/>
                </w:tcPr>
                <w:p w14:paraId="40CCA53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第一术者位医生</w:t>
                  </w:r>
                </w:p>
              </w:tc>
              <w:tc>
                <w:tcPr>
                  <w:tcW w:w="1387" w:type="dxa"/>
                  <w:vMerge w:val="restart"/>
                  <w:vAlign w:val="center"/>
                </w:tcPr>
                <w:p w14:paraId="5D59B21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0.3（非主射方向）</w:t>
                  </w:r>
                </w:p>
              </w:tc>
              <w:tc>
                <w:tcPr>
                  <w:tcW w:w="907" w:type="dxa"/>
                  <w:vMerge w:val="restart"/>
                  <w:vAlign w:val="center"/>
                </w:tcPr>
                <w:p w14:paraId="3B122FE3">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透视</w:t>
                  </w:r>
                </w:p>
              </w:tc>
              <w:tc>
                <w:tcPr>
                  <w:tcW w:w="886" w:type="dxa"/>
                  <w:vMerge w:val="restart"/>
                  <w:vAlign w:val="center"/>
                </w:tcPr>
                <w:p w14:paraId="2864F225">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2277" w:type="dxa"/>
                  <w:vAlign w:val="center"/>
                </w:tcPr>
                <w:p w14:paraId="53F2ACF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医生在设备自带铅帘（0.5mm铅当量）后操作，未穿铅衣</w:t>
                  </w:r>
                </w:p>
              </w:tc>
              <w:tc>
                <w:tcPr>
                  <w:tcW w:w="1181" w:type="dxa"/>
                  <w:vAlign w:val="center"/>
                </w:tcPr>
                <w:p w14:paraId="042AE9F0">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0.16</w:t>
                  </w:r>
                </w:p>
              </w:tc>
            </w:tr>
            <w:tr w14:paraId="3923C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62" w:type="dxa"/>
                  <w:vMerge w:val="continue"/>
                  <w:vAlign w:val="center"/>
                </w:tcPr>
                <w:p w14:paraId="0F71A254">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96" w:type="dxa"/>
                  <w:vMerge w:val="continue"/>
                  <w:vAlign w:val="center"/>
                </w:tcPr>
                <w:p w14:paraId="70247C41">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387" w:type="dxa"/>
                  <w:vMerge w:val="continue"/>
                  <w:vAlign w:val="center"/>
                </w:tcPr>
                <w:p w14:paraId="7A767F80">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907" w:type="dxa"/>
                  <w:vMerge w:val="continue"/>
                  <w:vAlign w:val="center"/>
                </w:tcPr>
                <w:p w14:paraId="5F42F6C8">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886" w:type="dxa"/>
                  <w:vMerge w:val="continue"/>
                  <w:vAlign w:val="center"/>
                </w:tcPr>
                <w:p w14:paraId="73E858E6">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277" w:type="dxa"/>
                  <w:vAlign w:val="center"/>
                </w:tcPr>
                <w:p w14:paraId="31F10FA5">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医生未使用铅帘遮挡，未穿铅衣，无防护</w:t>
                  </w:r>
                </w:p>
              </w:tc>
              <w:tc>
                <w:tcPr>
                  <w:tcW w:w="1181" w:type="dxa"/>
                  <w:vAlign w:val="center"/>
                </w:tcPr>
                <w:p w14:paraId="78BE8480">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12.21</w:t>
                  </w:r>
                </w:p>
              </w:tc>
            </w:tr>
            <w:tr w14:paraId="693A8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62" w:type="dxa"/>
                  <w:vMerge w:val="continue"/>
                  <w:vAlign w:val="center"/>
                </w:tcPr>
                <w:p w14:paraId="67FB6EB8">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096" w:type="dxa"/>
                  <w:vAlign w:val="center"/>
                </w:tcPr>
                <w:p w14:paraId="2665D758">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第二术者位医生</w:t>
                  </w:r>
                </w:p>
              </w:tc>
              <w:tc>
                <w:tcPr>
                  <w:tcW w:w="1387" w:type="dxa"/>
                  <w:vAlign w:val="center"/>
                </w:tcPr>
                <w:p w14:paraId="361963AB">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（非主射方向）</w:t>
                  </w:r>
                </w:p>
              </w:tc>
              <w:tc>
                <w:tcPr>
                  <w:tcW w:w="907" w:type="dxa"/>
                  <w:vAlign w:val="center"/>
                </w:tcPr>
                <w:p w14:paraId="78D5326C">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透视</w:t>
                  </w:r>
                </w:p>
              </w:tc>
              <w:tc>
                <w:tcPr>
                  <w:tcW w:w="886" w:type="dxa"/>
                  <w:vAlign w:val="center"/>
                </w:tcPr>
                <w:p w14:paraId="02B726F2">
                  <w:pPr>
                    <w:ind w:firstLine="0" w:firstLineChars="0"/>
                    <w:jc w:val="cente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p>
              </w:tc>
              <w:tc>
                <w:tcPr>
                  <w:tcW w:w="2277" w:type="dxa"/>
                  <w:vAlign w:val="center"/>
                </w:tcPr>
                <w:p w14:paraId="6A7BF63F">
                  <w:pPr>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医生未穿铅衣，无防护</w:t>
                  </w:r>
                </w:p>
              </w:tc>
              <w:tc>
                <w:tcPr>
                  <w:tcW w:w="1181" w:type="dxa"/>
                  <w:vAlign w:val="center"/>
                </w:tcPr>
                <w:p w14:paraId="4FA34AE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lang w:val="en-US" w:eastAsia="zh-CN"/>
                      <w14:textFill>
                        <w14:solidFill>
                          <w14:schemeClr w14:val="tx1">
                            <w14:lumMod w14:val="95000"/>
                            <w14:lumOff w14:val="5000"/>
                          </w14:schemeClr>
                        </w14:solidFill>
                      </w14:textFill>
                    </w:rPr>
                    <w:t>1.10</w:t>
                  </w:r>
                </w:p>
              </w:tc>
            </w:tr>
            <w:tr w14:paraId="7DE53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7"/>
                  <w:vAlign w:val="center"/>
                </w:tcPr>
                <w:p w14:paraId="102BE19F">
                  <w:pP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说明：以透视工况管电压</w:t>
                  </w:r>
                  <w:bookmarkStart w:id="82" w:name="OLE_LINK193"/>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kV</w:t>
                  </w:r>
                  <w:bookmarkEnd w:id="82"/>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，管电流</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mA计算。</w:t>
                  </w:r>
                </w:p>
              </w:tc>
            </w:tr>
          </w:tbl>
          <w:p w14:paraId="56581E5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从表11-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8</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估算结果可看出：</w:t>
            </w:r>
          </w:p>
          <w:p w14:paraId="62E59A4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①第一术者位医生在使用设备自带床侧吊帘、未穿防护服的情况下，一台手术所受剂量为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0.</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mSv，低于职业人员5mSv/a的行政管理限值；在未使用设备自带床侧吊帘、未穿防护服的情况下，一台手术所受剂量为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mSv，</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超过</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职业人员5mSv/a的行政管理限值</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，未超过职业人员20mSv/a的国家标准限值，不属于辐射事故</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49E98A8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②第二术者位医生在未穿防护服的情况下，一台手术所受剂量为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mSv，低于职业人员5mSv/a的行政管理限值。</w:t>
            </w:r>
          </w:p>
          <w:p w14:paraId="77C04A7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③公众误留、误入机房无防护的情况下，</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距离射线束侧向0.3m</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一台手术</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受照时间达1.5min的情况下，</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所受剂量为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mSv，超过公众0.25mSv/a的行政管理限值，</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未</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超过公众1mSv/a的国家标准限值，不属于辐射事故。</w:t>
            </w:r>
          </w:p>
          <w:p w14:paraId="1F0D477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根据计算，本项目工作人员和公众在不同误照射情况下受到超年剂量限值曝光时间的计算见表11-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9</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1E54DCC">
            <w:pPr>
              <w:ind w:firstLine="0" w:firstLineChars="0"/>
              <w:jc w:val="cente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表11-</w:t>
            </w:r>
            <w:r>
              <w:rPr>
                <w:rFonts w:hint="eastAsia" w:ascii="Times New Roman" w:hAnsi="Times New Roman" w:cs="Times New Roman" w:eastAsiaTheme="minorEastAsia"/>
                <w:b/>
                <w:color w:val="0D0D0D" w:themeColor="text1" w:themeTint="F2"/>
                <w:highlight w:val="none"/>
                <w:lang w:val="en-US" w:eastAsia="zh-CN"/>
                <w14:textFill>
                  <w14:solidFill>
                    <w14:schemeClr w14:val="tx1">
                      <w14:lumMod w14:val="95000"/>
                      <w14:lumOff w14:val="5000"/>
                    </w14:schemeClr>
                  </w14:solidFill>
                </w14:textFill>
              </w:rPr>
              <w:t>9</w:t>
            </w:r>
            <w:r>
              <w:rPr>
                <w:rFonts w:ascii="Times New Roman" w:hAnsi="Times New Roman" w:cs="Times New Roman" w:eastAsiaTheme="minorEastAsia"/>
                <w:b/>
                <w:color w:val="0D0D0D" w:themeColor="text1" w:themeTint="F2"/>
                <w:highlight w:val="none"/>
                <w14:textFill>
                  <w14:solidFill>
                    <w14:schemeClr w14:val="tx1">
                      <w14:lumMod w14:val="95000"/>
                      <w14:lumOff w14:val="5000"/>
                    </w14:schemeClr>
                  </w14:solidFill>
                </w14:textFill>
              </w:rPr>
              <w:t xml:space="preserve">   不同误照射情况下受到超年剂量限值曝光时间</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175"/>
              <w:gridCol w:w="1832"/>
              <w:gridCol w:w="2249"/>
              <w:gridCol w:w="1276"/>
              <w:gridCol w:w="1126"/>
            </w:tblGrid>
            <w:tr w14:paraId="4A26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2"/>
                  <w:vAlign w:val="center"/>
                </w:tcPr>
                <w:p w14:paraId="313EFF5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事故工况</w:t>
                  </w:r>
                </w:p>
              </w:tc>
              <w:tc>
                <w:tcPr>
                  <w:tcW w:w="1832" w:type="dxa"/>
                  <w:vAlign w:val="center"/>
                </w:tcPr>
                <w:p w14:paraId="3460924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与射线竖侧向之间的距离（m）</w:t>
                  </w:r>
                </w:p>
              </w:tc>
              <w:tc>
                <w:tcPr>
                  <w:tcW w:w="2249" w:type="dxa"/>
                  <w:vAlign w:val="center"/>
                </w:tcPr>
                <w:p w14:paraId="03DA2BD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防护情况</w:t>
                  </w:r>
                </w:p>
              </w:tc>
              <w:tc>
                <w:tcPr>
                  <w:tcW w:w="1276" w:type="dxa"/>
                  <w:vAlign w:val="center"/>
                </w:tcPr>
                <w:p w14:paraId="4A65E30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年剂量限制（mSv）</w:t>
                  </w:r>
                </w:p>
              </w:tc>
              <w:tc>
                <w:tcPr>
                  <w:tcW w:w="1126" w:type="dxa"/>
                  <w:vAlign w:val="center"/>
                </w:tcPr>
                <w:p w14:paraId="0FD5CFC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曝光时间</w:t>
                  </w:r>
                </w:p>
              </w:tc>
            </w:tr>
            <w:tr w14:paraId="6617C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13" w:type="dxa"/>
                  <w:gridSpan w:val="2"/>
                  <w:vAlign w:val="center"/>
                </w:tcPr>
                <w:p w14:paraId="4014CBE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公众（误入或未撤离）</w:t>
                  </w:r>
                </w:p>
              </w:tc>
              <w:tc>
                <w:tcPr>
                  <w:tcW w:w="1832" w:type="dxa"/>
                  <w:vAlign w:val="center"/>
                </w:tcPr>
                <w:p w14:paraId="7D1D837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0.3（非主射方向）</w:t>
                  </w:r>
                </w:p>
              </w:tc>
              <w:tc>
                <w:tcPr>
                  <w:tcW w:w="2249" w:type="dxa"/>
                  <w:vAlign w:val="center"/>
                </w:tcPr>
                <w:p w14:paraId="64BFFE2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公众无防护</w:t>
                  </w:r>
                </w:p>
              </w:tc>
              <w:tc>
                <w:tcPr>
                  <w:tcW w:w="1276" w:type="dxa"/>
                  <w:vAlign w:val="center"/>
                </w:tcPr>
                <w:p w14:paraId="745B615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w:t>
                  </w:r>
                </w:p>
              </w:tc>
              <w:tc>
                <w:tcPr>
                  <w:tcW w:w="1126" w:type="dxa"/>
                  <w:vAlign w:val="center"/>
                </w:tcPr>
                <w:p w14:paraId="222CD0A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1.23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w:t>
                  </w:r>
                </w:p>
              </w:tc>
            </w:tr>
            <w:tr w14:paraId="35B3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638" w:type="dxa"/>
                  <w:vMerge w:val="restart"/>
                  <w:vAlign w:val="center"/>
                </w:tcPr>
                <w:p w14:paraId="13BF0AC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职业</w:t>
                  </w:r>
                </w:p>
              </w:tc>
              <w:tc>
                <w:tcPr>
                  <w:tcW w:w="1175" w:type="dxa"/>
                  <w:vMerge w:val="restart"/>
                  <w:vAlign w:val="center"/>
                </w:tcPr>
                <w:p w14:paraId="35AA328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第一术者位医生</w:t>
                  </w:r>
                </w:p>
              </w:tc>
              <w:tc>
                <w:tcPr>
                  <w:tcW w:w="1832" w:type="dxa"/>
                  <w:vMerge w:val="restart"/>
                  <w:vAlign w:val="center"/>
                </w:tcPr>
                <w:p w14:paraId="63273AD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0.3（非主射方向）</w:t>
                  </w:r>
                </w:p>
              </w:tc>
              <w:tc>
                <w:tcPr>
                  <w:tcW w:w="2249" w:type="dxa"/>
                  <w:vAlign w:val="center"/>
                </w:tcPr>
                <w:p w14:paraId="11CA36C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医生在设备自带铅帘（0.5mm铅当量）后操作，未穿铅衣</w:t>
                  </w:r>
                </w:p>
              </w:tc>
              <w:tc>
                <w:tcPr>
                  <w:tcW w:w="1276" w:type="dxa"/>
                  <w:vMerge w:val="restart"/>
                  <w:vAlign w:val="center"/>
                </w:tcPr>
                <w:p w14:paraId="04DAFA1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20</w:t>
                  </w:r>
                </w:p>
              </w:tc>
              <w:tc>
                <w:tcPr>
                  <w:tcW w:w="1126" w:type="dxa"/>
                  <w:vAlign w:val="center"/>
                </w:tcPr>
                <w:p w14:paraId="21044F9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31.51</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h</w:t>
                  </w:r>
                </w:p>
              </w:tc>
            </w:tr>
            <w:tr w14:paraId="0FC06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38" w:type="dxa"/>
                  <w:vMerge w:val="continue"/>
                  <w:vAlign w:val="center"/>
                </w:tcPr>
                <w:p w14:paraId="488C784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75" w:type="dxa"/>
                  <w:vMerge w:val="continue"/>
                  <w:vAlign w:val="center"/>
                </w:tcPr>
                <w:p w14:paraId="7613158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832" w:type="dxa"/>
                  <w:vMerge w:val="continue"/>
                  <w:vAlign w:val="center"/>
                </w:tcPr>
                <w:p w14:paraId="7A17AAD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249" w:type="dxa"/>
                  <w:vAlign w:val="center"/>
                </w:tcPr>
                <w:p w14:paraId="657E8E7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医生未使用铅板遮挡，未穿铅衣，无防护</w:t>
                  </w:r>
                </w:p>
              </w:tc>
              <w:tc>
                <w:tcPr>
                  <w:tcW w:w="1276" w:type="dxa"/>
                  <w:vMerge w:val="continue"/>
                  <w:vAlign w:val="center"/>
                </w:tcPr>
                <w:p w14:paraId="41F2E2E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26" w:type="dxa"/>
                  <w:vAlign w:val="center"/>
                </w:tcPr>
                <w:p w14:paraId="353CD2F6">
                  <w:pPr>
                    <w:snapToGrid w:val="0"/>
                    <w:ind w:firstLine="0" w:firstLineChars="0"/>
                    <w:jc w:val="center"/>
                    <w:rPr>
                      <w:rFonts w:hint="default" w:ascii="Times New Roman" w:hAnsi="Times New Roman" w:cs="Times New Roman" w:eastAsiaTheme="minorEastAsia"/>
                      <w:color w:val="0D0D0D" w:themeColor="text1" w:themeTint="F2"/>
                      <w:sz w:val="21"/>
                      <w:szCs w:val="21"/>
                      <w:highlight w:val="none"/>
                      <w:lang w:val="en-US"/>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24.57min</w:t>
                  </w:r>
                </w:p>
              </w:tc>
            </w:tr>
            <w:tr w14:paraId="3C8ED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638" w:type="dxa"/>
                  <w:vMerge w:val="continue"/>
                  <w:vAlign w:val="center"/>
                </w:tcPr>
                <w:p w14:paraId="159881E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75" w:type="dxa"/>
                  <w:vAlign w:val="center"/>
                </w:tcPr>
                <w:p w14:paraId="7F5841D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第二术者位医生</w:t>
                  </w:r>
                </w:p>
              </w:tc>
              <w:tc>
                <w:tcPr>
                  <w:tcW w:w="1832" w:type="dxa"/>
                  <w:vAlign w:val="center"/>
                </w:tcPr>
                <w:p w14:paraId="32521A35">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（非主射方向）</w:t>
                  </w:r>
                </w:p>
              </w:tc>
              <w:tc>
                <w:tcPr>
                  <w:tcW w:w="2249" w:type="dxa"/>
                  <w:vAlign w:val="center"/>
                </w:tcPr>
                <w:p w14:paraId="45E658E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医生未穿铅衣，无防护</w:t>
                  </w:r>
                </w:p>
              </w:tc>
              <w:tc>
                <w:tcPr>
                  <w:tcW w:w="1276" w:type="dxa"/>
                  <w:vMerge w:val="continue"/>
                  <w:vAlign w:val="center"/>
                </w:tcPr>
                <w:p w14:paraId="2A271D9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26" w:type="dxa"/>
                  <w:vAlign w:val="center"/>
                </w:tcPr>
                <w:p w14:paraId="4B992BC2">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4.55</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h</w:t>
                  </w:r>
                </w:p>
              </w:tc>
            </w:tr>
            <w:tr w14:paraId="5EF0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8296" w:type="dxa"/>
                  <w:gridSpan w:val="6"/>
                  <w:vAlign w:val="center"/>
                </w:tcPr>
                <w:p w14:paraId="2A90377B">
                  <w:pPr>
                    <w:snapToGrid w:val="0"/>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说明：以透视工况管电压</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75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kV，管电流</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mA计算。</w:t>
                  </w:r>
                </w:p>
              </w:tc>
            </w:tr>
          </w:tbl>
          <w:p w14:paraId="7B5E2067">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从表11-</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9</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估算结果可看出：①公众误入或未撤离机房，在机房内与射线束侧向之间为0.3m，受照射时间达到</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1.23</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min时所致剂量为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1</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mSv，达到公众年剂量限值，可造成公众人员超剂量照射；②</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室内第一术者位医生在没有穿防护服</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，但</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有铅帘遮挡情况下，受照射时间达到</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31.51</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h时所致剂量为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，达到职业年剂量限值，可造成职业人员超剂量照射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室内第一术者位医生在没有穿防护服且无铅帘遮挡情况下，受照射时间达到</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24.57min</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时所致剂量为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，达到职业年剂量限值，可造成职业人员超剂量照射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室内第二术者位医生在没有穿防护服情况下，受照射时间达到</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4.55</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h</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时所致剂量为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20</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mSv，</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达到职业年剂量限值，可造成职业人员超剂量照射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3DCECC14">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《云南省生态环境厅辐射事故应急响应预案》（20</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22</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年版）第2部分规定：根据辐射事故的性质、程度、可控性和影响范围等因素，将辐射事故分为特别重大辐射事故、重大辐射事故、较大辐射事故和一般辐射事故四个等级。</w:t>
            </w:r>
          </w:p>
          <w:p w14:paraId="240E6222">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根据其规定，本项目可能发生的辐射事故属第2.4点中</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属于放射性同位素和射线装置失控导致人员受到超过年剂量限值的照射</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，为一般辐射事故。</w:t>
            </w:r>
          </w:p>
          <w:p w14:paraId="2605F339">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（3）辐射事故防范措施</w:t>
            </w:r>
          </w:p>
          <w:p w14:paraId="525628EF">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对前述本项目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可能发生的事故情况，为了防止其发生，应采取多种防范措施：</w:t>
            </w:r>
          </w:p>
          <w:p w14:paraId="454D04A6">
            <w:pPr>
              <w:widowControl/>
              <w:spacing w:line="360" w:lineRule="auto"/>
              <w:ind w:firstLine="480"/>
              <w:jc w:val="left"/>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①</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控制室内</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操作台和</w:t>
            </w:r>
            <w:bookmarkStart w:id="83" w:name="OLE_LINK194"/>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bookmarkEnd w:id="83"/>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上均安装有紧急停机按钮，当设备出现故障</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或</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发现人员误入</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介入室发生误照射，医务人员应立即按下急停按钮，停止照射。发生辐射事故时，启动辐射事故应急预案，按照《关于建立放射性同位素与射线装置辐射事故分级处理和报告制度的通知》（环发〔2006〕145号）采取应急措施。</w:t>
            </w:r>
          </w:p>
          <w:p w14:paraId="2514324A">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②</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防护门外醒目位置设置电离辐射警告标志及工作指示灯，具备门灯联锁装置，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处于工作状态时，</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防护门关闭，防护门顶部的工作状态指示灯变亮，警示非工作人员不得入内；</w:t>
            </w:r>
          </w:p>
          <w:p w14:paraId="1A0A0431">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③必须按操作规程并经控制台确认验证设置无误时，才能由</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启动</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键启动照射；</w:t>
            </w:r>
          </w:p>
          <w:p w14:paraId="282037F4">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④手术时，医生需确认</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内无其他闲杂人等、铅防护门正常关闭后才能开启曝光；</w:t>
            </w:r>
          </w:p>
          <w:p w14:paraId="1A976221">
            <w:pPr>
              <w:widowControl/>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⑤辐射工作人员在进行放射工作时必须穿戴防护用品，并佩带个人剂量计，严禁在无任何防护措施情况下进行曝光；</w:t>
            </w:r>
          </w:p>
          <w:p w14:paraId="484672C3">
            <w:pPr>
              <w:spacing w:line="360" w:lineRule="auto"/>
              <w:ind w:firstLine="480"/>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⑥曝光时，曝光方向严禁正对</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内医生所在位置。</w:t>
            </w:r>
          </w:p>
          <w:p w14:paraId="0EF2DECE">
            <w:pPr>
              <w:spacing w:line="360" w:lineRule="auto"/>
              <w:ind w:firstLine="480"/>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上述各种安全装置，体现了《电离辐射防护与辐射源安全基本标准》（GB18871-2002）中规定要求。有了以上安全防范设施、加上人员的正确操作和认真执行各种安全规章制度，即可减少或避免人员误入和超剂量照射事故的发生</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p>
          <w:p w14:paraId="2ADDEE14">
            <w:pPr>
              <w:ind w:firstLine="0" w:firstLineChars="0"/>
              <w:rPr>
                <w:rFonts w:hint="eastAsia" w:ascii="Times New Roman" w:hAnsi="Times New Roman" w:cs="Times New Roman" w:eastAsiaTheme="minorEastAsia"/>
                <w:color w:val="0D0D0D" w:themeColor="text1" w:themeTint="F2"/>
                <w:highlight w:val="none"/>
                <w:lang w:val="en-US" w:eastAsia="zh-CN" w:bidi="ar"/>
                <w14:textFill>
                  <w14:solidFill>
                    <w14:schemeClr w14:val="tx1">
                      <w14:lumMod w14:val="95000"/>
                      <w14:lumOff w14:val="5000"/>
                    </w14:schemeClr>
                  </w14:solidFill>
                </w14:textFill>
              </w:rPr>
            </w:pPr>
          </w:p>
          <w:p w14:paraId="443A8406">
            <w:pPr>
              <w:ind w:firstLine="0" w:firstLineChars="0"/>
              <w:rPr>
                <w:rFonts w:hint="eastAsia" w:ascii="Times New Roman" w:hAnsi="Times New Roman" w:cs="Times New Roman" w:eastAsiaTheme="minorEastAsia"/>
                <w:color w:val="0D0D0D" w:themeColor="text1" w:themeTint="F2"/>
                <w:highlight w:val="none"/>
                <w:lang w:val="en-US" w:eastAsia="zh-CN" w:bidi="ar"/>
                <w14:textFill>
                  <w14:solidFill>
                    <w14:schemeClr w14:val="tx1">
                      <w14:lumMod w14:val="95000"/>
                      <w14:lumOff w14:val="5000"/>
                    </w14:schemeClr>
                  </w14:solidFill>
                </w14:textFill>
              </w:rPr>
            </w:pPr>
          </w:p>
          <w:p w14:paraId="327F9976">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6B2A6BBE">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7E68AAFF">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100DCF3F">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39817B04">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00A66B5C">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p w14:paraId="646E4E0E">
            <w:pPr>
              <w:ind w:firstLine="0" w:firstLineChars="0"/>
              <w:rPr>
                <w:rFonts w:hint="eastAsia" w:ascii="Times New Roman" w:hAnsi="Times New Roman" w:cs="Times New Roman" w:eastAsiaTheme="minorEastAsia"/>
                <w:color w:val="0D0D0D" w:themeColor="text1" w:themeTint="F2"/>
                <w:highlight w:val="none"/>
                <w:lang w:eastAsia="zh-CN" w:bidi="ar"/>
                <w14:textFill>
                  <w14:solidFill>
                    <w14:schemeClr w14:val="tx1">
                      <w14:lumMod w14:val="95000"/>
                      <w14:lumOff w14:val="5000"/>
                    </w14:schemeClr>
                  </w14:solidFill>
                </w14:textFill>
              </w:rPr>
            </w:pPr>
          </w:p>
        </w:tc>
      </w:tr>
    </w:tbl>
    <w:p w14:paraId="6D147550">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84" w:name="_Toc60227354"/>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表12辐射安全管理</w:t>
      </w:r>
      <w:bookmarkEnd w:id="84"/>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493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CF901E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12.1辐射安全与环境保护管理机构的设置</w:t>
            </w:r>
          </w:p>
          <w:p w14:paraId="21E4833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根据《放射性同位素与射线装置安全和防护条例》、《放射性同位素与射线装置安全许可管理办法》（2</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021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版</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）等法律法规要求，使用II类射线装置的单位应设有专门的辐射安全与环境保护管理机构，或者至少有1名具有本科以上学历的技术人员专职负责辐射安全与环境保护管理工作；</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从事</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辐射工作人员必须通过辐射安全和防护专业知识及相关法律法规的培训和考核。</w:t>
            </w:r>
          </w:p>
          <w:p w14:paraId="2D0A3B8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医院已成立了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辐射安全与防护管理委员会</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并发布了文件，文件中明确了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管理委员会</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成员组成和工作职责。</w:t>
            </w:r>
          </w:p>
          <w:p w14:paraId="7978CBA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本项目辐射工作人员及管理人员均应按要求参加辐射安全与防护培训，考核合格后方能满足辐射工作岗位的要求。</w:t>
            </w:r>
          </w:p>
          <w:p w14:paraId="28487C37">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12.2辐射安全管理规章制度</w:t>
            </w:r>
          </w:p>
          <w:p w14:paraId="737633C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根据《放射性同位素与射线装置安全许可管理办法》（20</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版</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和《放射性同位素与射线装置安全和防护管理办法》（环保部第18号令）的相关管理要求，使用射线装置的单位应当具备有健全的操作规程、岗位职责、辐射防护和安全保卫制度、设备检修维护制度、人员培训计划、监测方案等。《环保部辐射安全与防护监督检查技术程序》列出了医院使用</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应建立的管理制度，具有很强的指导意义和参考价值。有关管理制度要求与医院管理制度现状的对照分析如表12-1所示。</w:t>
            </w:r>
          </w:p>
          <w:p w14:paraId="3ABF5871">
            <w:pPr>
              <w:pStyle w:val="13"/>
              <w:pBdr>
                <w:bottom w:val="none" w:color="auto" w:sz="0" w:space="0"/>
              </w:pBdr>
              <w:ind w:firstLine="0" w:firstLineChars="0"/>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表12-1     管理制度汇总对照表</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905"/>
              <w:gridCol w:w="2946"/>
              <w:gridCol w:w="1081"/>
              <w:gridCol w:w="2647"/>
            </w:tblGrid>
            <w:tr w14:paraId="3B091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7" w:type="dxa"/>
                  <w:vAlign w:val="center"/>
                </w:tcPr>
                <w:p w14:paraId="0162EDF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序号</w:t>
                  </w:r>
                </w:p>
              </w:tc>
              <w:tc>
                <w:tcPr>
                  <w:tcW w:w="3851" w:type="dxa"/>
                  <w:gridSpan w:val="2"/>
                  <w:vAlign w:val="center"/>
                </w:tcPr>
                <w:p w14:paraId="545A722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检查项目</w:t>
                  </w:r>
                </w:p>
              </w:tc>
              <w:tc>
                <w:tcPr>
                  <w:tcW w:w="1081" w:type="dxa"/>
                  <w:vAlign w:val="center"/>
                </w:tcPr>
                <w:p w14:paraId="634F8FE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落实情况</w:t>
                  </w:r>
                </w:p>
              </w:tc>
              <w:tc>
                <w:tcPr>
                  <w:tcW w:w="2647" w:type="dxa"/>
                  <w:vAlign w:val="center"/>
                </w:tcPr>
                <w:p w14:paraId="4E5C2CD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备注</w:t>
                  </w:r>
                </w:p>
              </w:tc>
            </w:tr>
            <w:tr w14:paraId="7FD11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17" w:type="dxa"/>
                  <w:vAlign w:val="center"/>
                </w:tcPr>
                <w:p w14:paraId="7477567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w:t>
                  </w:r>
                </w:p>
              </w:tc>
              <w:tc>
                <w:tcPr>
                  <w:tcW w:w="905" w:type="dxa"/>
                  <w:vAlign w:val="center"/>
                </w:tcPr>
                <w:p w14:paraId="304243BE">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A综合</w:t>
                  </w:r>
                </w:p>
              </w:tc>
              <w:tc>
                <w:tcPr>
                  <w:tcW w:w="2946" w:type="dxa"/>
                  <w:vAlign w:val="center"/>
                </w:tcPr>
                <w:p w14:paraId="30FAFB41">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辐射安全管理规定</w:t>
                  </w:r>
                </w:p>
              </w:tc>
              <w:tc>
                <w:tcPr>
                  <w:tcW w:w="1081" w:type="dxa"/>
                  <w:vAlign w:val="center"/>
                </w:tcPr>
                <w:p w14:paraId="10F84C6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50C0165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辐射防护和安全保卫制度</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w:t>
                  </w:r>
                </w:p>
              </w:tc>
            </w:tr>
            <w:tr w14:paraId="42EA2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17" w:type="dxa"/>
                  <w:vAlign w:val="center"/>
                </w:tcPr>
                <w:p w14:paraId="64CE8AA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w:t>
                  </w:r>
                </w:p>
              </w:tc>
              <w:tc>
                <w:tcPr>
                  <w:tcW w:w="905" w:type="dxa"/>
                  <w:vMerge w:val="restart"/>
                  <w:vAlign w:val="center"/>
                </w:tcPr>
                <w:p w14:paraId="28DFF09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B场所设施</w:t>
                  </w:r>
                </w:p>
              </w:tc>
              <w:tc>
                <w:tcPr>
                  <w:tcW w:w="2946" w:type="dxa"/>
                  <w:vAlign w:val="center"/>
                </w:tcPr>
                <w:p w14:paraId="41666C1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操作规程</w:t>
                  </w:r>
                </w:p>
              </w:tc>
              <w:tc>
                <w:tcPr>
                  <w:tcW w:w="1081" w:type="dxa"/>
                  <w:vAlign w:val="center"/>
                </w:tcPr>
                <w:p w14:paraId="7073CF2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477D2233">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辐射人员岗位职责</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450A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17" w:type="dxa"/>
                  <w:vAlign w:val="center"/>
                </w:tcPr>
                <w:p w14:paraId="7ABD8E5E">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w:t>
                  </w:r>
                </w:p>
              </w:tc>
              <w:tc>
                <w:tcPr>
                  <w:tcW w:w="905" w:type="dxa"/>
                  <w:vMerge w:val="continue"/>
                  <w:vAlign w:val="center"/>
                </w:tcPr>
                <w:p w14:paraId="529997F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946" w:type="dxa"/>
                  <w:vAlign w:val="center"/>
                </w:tcPr>
                <w:p w14:paraId="3947BE59">
                  <w:pPr>
                    <w:pStyle w:val="13"/>
                    <w:pBdr>
                      <w:bottom w:val="none" w:color="auto" w:sz="0" w:space="0"/>
                    </w:pBdr>
                    <w:ind w:firstLine="0" w:firstLineChars="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辐射安全防护设施的维护与维修制度</w:t>
                  </w:r>
                </w:p>
              </w:tc>
              <w:tc>
                <w:tcPr>
                  <w:tcW w:w="1081" w:type="dxa"/>
                  <w:vAlign w:val="center"/>
                </w:tcPr>
                <w:p w14:paraId="58DCAF16">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27A7958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辐射设备检修维护制度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4D719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17" w:type="dxa"/>
                  <w:vAlign w:val="center"/>
                </w:tcPr>
                <w:p w14:paraId="1467776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4</w:t>
                  </w:r>
                </w:p>
              </w:tc>
              <w:tc>
                <w:tcPr>
                  <w:tcW w:w="905" w:type="dxa"/>
                  <w:vMerge w:val="restart"/>
                  <w:vAlign w:val="center"/>
                </w:tcPr>
                <w:p w14:paraId="6337D93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C监测</w:t>
                  </w:r>
                </w:p>
              </w:tc>
              <w:tc>
                <w:tcPr>
                  <w:tcW w:w="2946" w:type="dxa"/>
                  <w:vAlign w:val="center"/>
                </w:tcPr>
                <w:p w14:paraId="1485185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监测方案</w:t>
                  </w:r>
                </w:p>
              </w:tc>
              <w:tc>
                <w:tcPr>
                  <w:tcW w:w="1081" w:type="dxa"/>
                  <w:vAlign w:val="center"/>
                </w:tcPr>
                <w:p w14:paraId="078D45F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14DAEAD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辐射工作场所监测制度、方案计划</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7FE77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717" w:type="dxa"/>
                  <w:vAlign w:val="center"/>
                </w:tcPr>
                <w:p w14:paraId="02C3627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5</w:t>
                  </w:r>
                </w:p>
              </w:tc>
              <w:tc>
                <w:tcPr>
                  <w:tcW w:w="905" w:type="dxa"/>
                  <w:vMerge w:val="continue"/>
                  <w:vAlign w:val="center"/>
                </w:tcPr>
                <w:p w14:paraId="25795C4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946" w:type="dxa"/>
                  <w:vAlign w:val="center"/>
                </w:tcPr>
                <w:p w14:paraId="5974E19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监测仪表使用与校验管理制度</w:t>
                  </w:r>
                </w:p>
              </w:tc>
              <w:tc>
                <w:tcPr>
                  <w:tcW w:w="1081" w:type="dxa"/>
                  <w:vAlign w:val="center"/>
                </w:tcPr>
                <w:p w14:paraId="475AB3D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464102E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监测仪器检验与刻度管理</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7150B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7B487D3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6</w:t>
                  </w:r>
                </w:p>
              </w:tc>
              <w:tc>
                <w:tcPr>
                  <w:tcW w:w="905" w:type="dxa"/>
                  <w:vMerge w:val="restart"/>
                  <w:vAlign w:val="center"/>
                </w:tcPr>
                <w:p w14:paraId="6F20A5C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D人员</w:t>
                  </w:r>
                </w:p>
              </w:tc>
              <w:tc>
                <w:tcPr>
                  <w:tcW w:w="2946" w:type="dxa"/>
                  <w:vAlign w:val="center"/>
                </w:tcPr>
                <w:p w14:paraId="51862EA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辐射工作人员培训/再培训管理制度</w:t>
                  </w:r>
                </w:p>
              </w:tc>
              <w:tc>
                <w:tcPr>
                  <w:tcW w:w="1081" w:type="dxa"/>
                  <w:vAlign w:val="center"/>
                </w:tcPr>
                <w:p w14:paraId="67FF249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2F3D779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辐射工作人员培训制度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3A96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7972902E">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7</w:t>
                  </w:r>
                </w:p>
              </w:tc>
              <w:tc>
                <w:tcPr>
                  <w:tcW w:w="905" w:type="dxa"/>
                  <w:vMerge w:val="continue"/>
                  <w:vAlign w:val="center"/>
                </w:tcPr>
                <w:p w14:paraId="7DB7D683">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946" w:type="dxa"/>
                  <w:vAlign w:val="center"/>
                </w:tcPr>
                <w:p w14:paraId="47F414F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辐射工作人员个人剂量管理制度</w:t>
                  </w:r>
                </w:p>
              </w:tc>
              <w:tc>
                <w:tcPr>
                  <w:tcW w:w="1081" w:type="dxa"/>
                  <w:vAlign w:val="center"/>
                </w:tcPr>
                <w:p w14:paraId="65086B5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27EB7BE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辐射工作人员健康及个人剂量管理制度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r w14:paraId="4D09F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17" w:type="dxa"/>
                  <w:vAlign w:val="center"/>
                </w:tcPr>
                <w:p w14:paraId="4168160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8</w:t>
                  </w:r>
                </w:p>
              </w:tc>
              <w:tc>
                <w:tcPr>
                  <w:tcW w:w="905" w:type="dxa"/>
                  <w:vAlign w:val="center"/>
                </w:tcPr>
                <w:p w14:paraId="7D7C15A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E应急</w:t>
                  </w:r>
                </w:p>
              </w:tc>
              <w:tc>
                <w:tcPr>
                  <w:tcW w:w="2946" w:type="dxa"/>
                  <w:vAlign w:val="center"/>
                </w:tcPr>
                <w:p w14:paraId="15CEE2A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辐射事故应急预案</w:t>
                  </w:r>
                </w:p>
              </w:tc>
              <w:tc>
                <w:tcPr>
                  <w:tcW w:w="1081" w:type="dxa"/>
                  <w:vAlign w:val="center"/>
                </w:tcPr>
                <w:p w14:paraId="3EDAF11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已有</w:t>
                  </w:r>
                </w:p>
              </w:tc>
              <w:tc>
                <w:tcPr>
                  <w:tcW w:w="2647" w:type="dxa"/>
                  <w:vAlign w:val="center"/>
                </w:tcPr>
                <w:p w14:paraId="79159046">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辐射安全事故应急预案</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r>
          </w:tbl>
          <w:p w14:paraId="40E45174">
            <w:pPr>
              <w:spacing w:line="360" w:lineRule="auto"/>
              <w:ind w:firstLine="480"/>
              <w:rPr>
                <w:rFonts w:hint="default"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医院目前</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已拟定</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了</w:t>
            </w:r>
            <w:bookmarkStart w:id="85" w:name="OLE_LINK211"/>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辐射人员岗位职责</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辐射防护和安全保卫制度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辐射设备检修维护制度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辐射工作人员培训制度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辐射工作场所监测制度、方案计划</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辐射工作人员健康及个人剂量管理制度</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辐射安全事故应急预案</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质量保证大纲和质量控制计划</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监测仪器检验与刻度管理</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bookmarkEnd w:id="85"/>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等制度</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综上，医院制定的各种安全管理制度较全面，具有可行性。医院</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应在辐射安全与防护管理委员会</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领导下，明确各科室人员责任，按照制定的辐射安全管理规章制度各科室人员严格落实，定期对辐射安全控制效果进行评议。此外，医院需</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不断</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完善各项规章制度，并落实专人负责</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从事辐射诊疗的工作人员必须严格按照制定的规章制度和应急处理措施进行辐射诊疗工作</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对于操作规程、岗位职责和辐射事故应急预案响应程序等制度应张贴于工作场所墙面醒目处</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院方应及时安排本项目医护人员参加生态环境部组织的培训，通过考核并取得上岗证后方能上岗。同时医院应及时办理辐射安全许可证，将移动C臂X射线机的使用纳入日常监管。</w:t>
            </w:r>
          </w:p>
          <w:p w14:paraId="1F7A0EAF">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12.3辐射监测</w:t>
            </w:r>
          </w:p>
          <w:p w14:paraId="3624327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根据《放射性同位素与射线装置安全许可管理办法》（20</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21</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版</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环保部令第18号《放射性同位素与射线装置安全和防护管理办法》及相关管理要求，医院应为辐射工作人员配备个人防护用品和个人剂量监测仪器，同时配备与辐射类型、辐射水平相适应的防护用品和监测仪器，包括个人剂量报警仪、便携式X-γ辐射巡测仪等。</w:t>
            </w:r>
          </w:p>
          <w:p w14:paraId="4C49A76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个人剂量报警仪应有足够的可靠性、灵敏度和准确度，在辐射水平较高或者可能突然升高的地方工作时，工作人员应使用个人剂量报警仪。医院应根据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的日常监测方案，定期对</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四周屏蔽措施进行检查；同时接受生态环境部门开展的辐射环境监督（监测）检查。项目运行过程中，每年应请有资质的监测单位对工作场所辐射情况进行监测，判断</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是否处于有效屏蔽状态，防止意外发生。监测数据编入《放射性同位素与射线装置安全和防护状况年度评估报告》，并于每年1月31日前上报发证机关。</w:t>
            </w:r>
          </w:p>
          <w:p w14:paraId="4DE0243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（1）个人剂量监测</w:t>
            </w:r>
          </w:p>
          <w:p w14:paraId="0526B1C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职业性外照射个人监测规范》（GBZ128-2019）“5.3佩戴5.3.2”中要求“对于如介入放射学、核医学放射药物分装与注射等全身受照不均匀的工作情况，应在铅围裙外锁骨对应的领口位置佩戴剂量计”和“5.3佩戴5.3.3”中“对于5.3.2所述工作的情况，建议采用双剂量计监测方法（在铅围裙内躯干上再佩戴另一个剂量计），且宜在身体可能受到较大照射的部位佩戴局部”剂量计（如头箍剂量计、腕部剂量计、指环剂量计等）”。</w:t>
            </w:r>
          </w:p>
          <w:p w14:paraId="416A16A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医院应为所有辐射工作人员配备个人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双</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剂量计，保证所有辐射工作人员在进行辐射工作时专人佩戴，定期（</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至少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1次/季度）送有资质单位检测个人剂量，并建立个人剂量健康档案。同时对检测结果及时分析，若检测结果存在超过个人剂量管理限值的情况，应及时查明原因，及时解决。</w:t>
            </w:r>
          </w:p>
          <w:p w14:paraId="3948C8E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（2）辐射工作人员健康检查</w:t>
            </w:r>
          </w:p>
          <w:p w14:paraId="55BFEE7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医院应组织相关辐射工作人员每两年进行一次健康检查，并建立健康档案。未经体检和体检不合格者，不得从事放射性工作。</w:t>
            </w:r>
          </w:p>
          <w:p w14:paraId="139FF73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（3）辐射环境及工作场所监测</w:t>
            </w:r>
          </w:p>
          <w:p w14:paraId="7125BCD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①监测要求</w:t>
            </w:r>
          </w:p>
          <w:p w14:paraId="3502BA8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监测项目：X-γ空气吸收剂量率</w:t>
            </w:r>
          </w:p>
          <w:p w14:paraId="47BB5E3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监测频次：竣工验收委托有资质单位进行辐射环境验收监测；项目投入运营后</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委托有监测资质单位至少每年监测</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次，监测报告附录到年度评估报告中，监测数据应存档备案</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；医院自行购买监测仪器</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每季度进行监测一次，确保设备正常运行，屏蔽措施到位和环保措施正常运行</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；定期（</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至少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1次/季度）委托有资质单位对个人剂量计进行检测。</w:t>
            </w:r>
          </w:p>
          <w:p w14:paraId="0373E80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监测范围：射线装置</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内第一术者位、第二术者位、</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防护门及缝隙处、</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控制室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操作台、铅玻璃观察窗缝隙处、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四周屏蔽墙外，穿线孔</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等。</w:t>
            </w:r>
          </w:p>
          <w:p w14:paraId="7368630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监测设备：</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医院利用已有的台</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便携式X-γ辐射监测仪（对于常规日常监测，医院可自行购买便携式X-γ辐射监测仪</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对于办理辐射安全许可证的延续、更换</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竣工环保验收监编制辐射防护年度评估报告则须请有资质单位对辐射工作场所进行监测，并出具监测报告</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46E9AF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监测质量要求：委托有资质监测单位进行监测，其仪器必须在检定有效期内，</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测量人员需经环境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γ</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辐射剂量率测量相关专业培训，考核合格后方可上岗工作；环境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γ辐射</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剂量率测量仪器应定期检定/校准，或通过其他量值传递方式，保证量值可溯源至国家计量基准；应定期参加环境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γ辐射</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剂量率测量比对；对使用频率高、具有检验源的仪器，工作期间每天都应用检验源对仪器的工作状态进行检验；更新仪器和方法时，应在典型的和极端的辐射场条件下与原仪器和方法的测量结果进行对照，以保持数据的前后一致性</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；对监测中出现辐射超标问题，及时向院方提出，并提出整改意见，在院方整改完成后，进行复测，直至符合要求，提供满足要求的监测报告。</w:t>
            </w:r>
          </w:p>
          <w:p w14:paraId="13A704B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放射诊断放射防护要求》(GBZ130-2020)、《辐射环境监测技术规范》(HJ61-2021)，在运行前对屏蔽墙或自屏蔽体外30cm处的X-γ辐射空气吸收剂量率进行一次监测。运行中，对四周屏蔽墙或自屏蔽体外30cm处的X-γ辐射空气吸收剂量率进行巡测，监测高度为1m；对上一楼层X-γ辐射空气吸收剂量率进行巡测，监测点高度为1m；对下一楼层X-γ辐射空气吸收剂量率进行巡测，监测点高度为1.7m。并选择部分关注点位开展γ辐射空气吸收剂量率（开关机时各测量一次）或累积剂量监测，合理布设监测点位置，兼顾监测技术规范和实际情况，监测结果具有代表性和针对性。</w:t>
            </w:r>
          </w:p>
          <w:p w14:paraId="6D26B25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②监测计划</w:t>
            </w:r>
          </w:p>
          <w:p w14:paraId="42D3816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为避免联锁装置失效，人员未能及时发现的情况，医院在日常运营过程中，工作人员应佩戴个人剂量报警仪，加强辐射工作场所巡测，确认安全后方可进入辐射工作场所开展诊疗。监测计划如表12-</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所示。</w:t>
            </w:r>
          </w:p>
          <w:p w14:paraId="342045D9">
            <w:pPr>
              <w:ind w:firstLine="0" w:firstLineChars="0"/>
              <w:jc w:val="cente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表12-</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2</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 xml:space="preserve">     </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监测计划一览表</w:t>
            </w:r>
          </w:p>
          <w:tbl>
            <w:tblPr>
              <w:tblStyle w:val="22"/>
              <w:tblW w:w="8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637"/>
              <w:gridCol w:w="1822"/>
              <w:gridCol w:w="2635"/>
              <w:gridCol w:w="1183"/>
            </w:tblGrid>
            <w:tr w14:paraId="0A35E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32" w:type="dxa"/>
                  <w:vAlign w:val="center"/>
                </w:tcPr>
                <w:p w14:paraId="23A53E2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项目</w:t>
                  </w:r>
                </w:p>
              </w:tc>
              <w:tc>
                <w:tcPr>
                  <w:tcW w:w="1637" w:type="dxa"/>
                  <w:vAlign w:val="center"/>
                </w:tcPr>
                <w:p w14:paraId="78F3A024">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监测项目</w:t>
                  </w:r>
                </w:p>
              </w:tc>
              <w:tc>
                <w:tcPr>
                  <w:tcW w:w="1822" w:type="dxa"/>
                  <w:vAlign w:val="center"/>
                </w:tcPr>
                <w:p w14:paraId="135DC57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监测频度</w:t>
                  </w:r>
                </w:p>
              </w:tc>
              <w:tc>
                <w:tcPr>
                  <w:tcW w:w="2635" w:type="dxa"/>
                  <w:vAlign w:val="center"/>
                </w:tcPr>
                <w:p w14:paraId="1C83821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监测范围</w:t>
                  </w:r>
                </w:p>
              </w:tc>
              <w:tc>
                <w:tcPr>
                  <w:tcW w:w="1183" w:type="dxa"/>
                  <w:vAlign w:val="center"/>
                </w:tcPr>
                <w:p w14:paraId="7C6A273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w:t>
                  </w:r>
                </w:p>
              </w:tc>
            </w:tr>
            <w:tr w14:paraId="1BF6A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32" w:type="dxa"/>
                  <w:vAlign w:val="center"/>
                </w:tcPr>
                <w:p w14:paraId="3402FCCF">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自主监测</w:t>
                  </w:r>
                </w:p>
              </w:tc>
              <w:tc>
                <w:tcPr>
                  <w:tcW w:w="1637" w:type="dxa"/>
                  <w:vAlign w:val="center"/>
                </w:tcPr>
                <w:p w14:paraId="683BD84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X-γ辐射剂量率</w:t>
                  </w:r>
                </w:p>
              </w:tc>
              <w:tc>
                <w:tcPr>
                  <w:tcW w:w="1822" w:type="dxa"/>
                  <w:vAlign w:val="center"/>
                </w:tcPr>
                <w:p w14:paraId="51CC5CAC">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每季度至少1次</w:t>
                  </w:r>
                </w:p>
              </w:tc>
              <w:tc>
                <w:tcPr>
                  <w:tcW w:w="2635" w:type="dxa"/>
                  <w:vMerge w:val="restart"/>
                  <w:vAlign w:val="center"/>
                </w:tcPr>
                <w:p w14:paraId="2559DB7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所有防护门及缝隙处、</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控制室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操作台、铅玻璃观察窗缝隙处、</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四周屏蔽墙外，</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DSA介入手术室正上方及正下方房间</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穿线孔</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等</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183" w:type="dxa"/>
                  <w:vMerge w:val="restart"/>
                  <w:vAlign w:val="center"/>
                </w:tcPr>
                <w:p w14:paraId="3DA4D5E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X-γ辐射监测仪（需按国家规定进行剂量检定）</w:t>
                  </w:r>
                </w:p>
              </w:tc>
            </w:tr>
            <w:tr w14:paraId="3CD8F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132" w:type="dxa"/>
                  <w:vMerge w:val="restart"/>
                  <w:vAlign w:val="center"/>
                </w:tcPr>
                <w:p w14:paraId="3803778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委托监测</w:t>
                  </w:r>
                </w:p>
              </w:tc>
              <w:tc>
                <w:tcPr>
                  <w:tcW w:w="1637" w:type="dxa"/>
                  <w:vMerge w:val="restart"/>
                  <w:vAlign w:val="center"/>
                </w:tcPr>
                <w:p w14:paraId="7F9EAFF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X-γ辐射剂量率</w:t>
                  </w:r>
                </w:p>
              </w:tc>
              <w:tc>
                <w:tcPr>
                  <w:tcW w:w="1822" w:type="dxa"/>
                  <w:vAlign w:val="center"/>
                </w:tcPr>
                <w:p w14:paraId="41CAD67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竣工环保验收监测</w:t>
                  </w:r>
                </w:p>
              </w:tc>
              <w:tc>
                <w:tcPr>
                  <w:tcW w:w="2635" w:type="dxa"/>
                  <w:vMerge w:val="continue"/>
                  <w:vAlign w:val="center"/>
                </w:tcPr>
                <w:p w14:paraId="3588109E">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83" w:type="dxa"/>
                  <w:vMerge w:val="continue"/>
                  <w:vAlign w:val="center"/>
                </w:tcPr>
                <w:p w14:paraId="1F01FD37">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6257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vMerge w:val="continue"/>
                  <w:vAlign w:val="center"/>
                </w:tcPr>
                <w:p w14:paraId="1269D55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637" w:type="dxa"/>
                  <w:vMerge w:val="continue"/>
                  <w:vAlign w:val="center"/>
                </w:tcPr>
                <w:p w14:paraId="45A5D1E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822" w:type="dxa"/>
                  <w:vAlign w:val="center"/>
                </w:tcPr>
                <w:p w14:paraId="50C65A4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编制辐射防护年度评估报告（每年1次）</w:t>
                  </w:r>
                </w:p>
              </w:tc>
              <w:tc>
                <w:tcPr>
                  <w:tcW w:w="2635" w:type="dxa"/>
                  <w:vMerge w:val="continue"/>
                  <w:vAlign w:val="center"/>
                </w:tcPr>
                <w:p w14:paraId="0C640141">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83" w:type="dxa"/>
                  <w:vMerge w:val="continue"/>
                  <w:vAlign w:val="center"/>
                </w:tcPr>
                <w:p w14:paraId="4D178B96">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2C004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vMerge w:val="continue"/>
                  <w:vAlign w:val="center"/>
                </w:tcPr>
                <w:p w14:paraId="0A7D7ED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637" w:type="dxa"/>
                  <w:vMerge w:val="continue"/>
                  <w:vAlign w:val="center"/>
                </w:tcPr>
                <w:p w14:paraId="6E221B09">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822" w:type="dxa"/>
                  <w:vAlign w:val="center"/>
                </w:tcPr>
                <w:p w14:paraId="358048C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辐射安全许可证的延续、更换</w:t>
                  </w:r>
                </w:p>
              </w:tc>
              <w:tc>
                <w:tcPr>
                  <w:tcW w:w="2635" w:type="dxa"/>
                  <w:vMerge w:val="continue"/>
                  <w:vAlign w:val="center"/>
                </w:tcPr>
                <w:p w14:paraId="2393D41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183" w:type="dxa"/>
                  <w:vMerge w:val="continue"/>
                  <w:vAlign w:val="center"/>
                </w:tcPr>
                <w:p w14:paraId="29C3FBBB">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r>
            <w:tr w14:paraId="157A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vMerge w:val="continue"/>
                  <w:vAlign w:val="center"/>
                </w:tcPr>
                <w:p w14:paraId="7A2983BD">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637" w:type="dxa"/>
                  <w:vAlign w:val="center"/>
                </w:tcPr>
                <w:p w14:paraId="1AF6BC60">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职业性外照射个人剂量</w:t>
                  </w:r>
                </w:p>
              </w:tc>
              <w:tc>
                <w:tcPr>
                  <w:tcW w:w="1822" w:type="dxa"/>
                  <w:vAlign w:val="center"/>
                </w:tcPr>
                <w:p w14:paraId="24BDE143">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定期（一般不超过90天）送有资质部门进行监测</w:t>
                  </w:r>
                </w:p>
              </w:tc>
              <w:tc>
                <w:tcPr>
                  <w:tcW w:w="2635" w:type="dxa"/>
                  <w:vAlign w:val="center"/>
                </w:tcPr>
                <w:p w14:paraId="03D472A8">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本项目辐射工作人员</w:t>
                  </w:r>
                </w:p>
              </w:tc>
              <w:tc>
                <w:tcPr>
                  <w:tcW w:w="1183" w:type="dxa"/>
                  <w:vAlign w:val="center"/>
                </w:tcPr>
                <w:p w14:paraId="0F15A60A">
                  <w:pPr>
                    <w:snapToGrid w:val="0"/>
                    <w:ind w:firstLine="0" w:firstLineChars="0"/>
                    <w:jc w:val="cente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个人剂量计</w:t>
                  </w:r>
                </w:p>
              </w:tc>
            </w:tr>
          </w:tbl>
          <w:p w14:paraId="14D05238">
            <w:pPr>
              <w:pStyle w:val="13"/>
              <w:pBdr>
                <w:bottom w:val="none" w:color="auto" w:sz="0" w:space="0"/>
              </w:pBdr>
              <w:snapToGrid/>
              <w:spacing w:line="360" w:lineRule="auto"/>
              <w:ind w:firstLine="0" w:firstLineChars="0"/>
              <w:jc w:val="both"/>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12.4环保措施竣工验收</w:t>
            </w:r>
          </w:p>
          <w:p w14:paraId="7C45A61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医院应根据核技术利用项目的开展情况，按照《建设项目竣工环境保护验收暂行办法》（国环规环评[2017]4号）、《建设项目竣工环境保护验收技术指南污染影响类》（生态</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环境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部公告2018年第9号）的相关要求，对配套建设的环境保护设施进行验收，委托有能力的技术机构编制验收报告，并组织由设计单位、施工单位、环境影响报告表编制机构、验收监测（调查）报告编制机构等单位代表以及专业技术专家等成立的验收工作组，采取现场检查、资料查阅、召开验收会议等方式开展验收工作。建设项目配套建设的环境保护设施经验收合格后，其主体工程方可投入生产或者使用；未经验收或者验收不合格的，不得投入生产或者使用。</w:t>
            </w:r>
          </w:p>
          <w:p w14:paraId="398657A3">
            <w:pPr>
              <w:pStyle w:val="13"/>
              <w:pBdr>
                <w:bottom w:val="none" w:color="auto" w:sz="0" w:space="0"/>
              </w:pBdr>
              <w:spacing w:line="360" w:lineRule="auto"/>
              <w:ind w:firstLine="0" w:firstLineChars="0"/>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表12-</w:t>
            </w:r>
            <w:r>
              <w:rPr>
                <w:rFonts w:hint="eastAsia"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3</w:t>
            </w:r>
            <w:r>
              <w:rPr>
                <w:rFonts w:hint="eastAsia" w:ascii="Times New Roman" w:hAnsi="Times New Roman" w:cs="Times New Roman" w:eastAsiaTheme="minorEastAsia"/>
                <w:b/>
                <w:bCs/>
                <w:color w:val="0D0D0D" w:themeColor="text1" w:themeTint="F2"/>
                <w:sz w:val="24"/>
                <w:szCs w:val="24"/>
                <w:highlight w:val="none"/>
                <w:lang w:val="en-US" w:eastAsia="zh-CN"/>
                <w14:textFill>
                  <w14:solidFill>
                    <w14:schemeClr w14:val="tx1">
                      <w14:lumMod w14:val="95000"/>
                      <w14:lumOff w14:val="5000"/>
                    </w14:schemeClr>
                  </w14:solidFill>
                </w14:textFill>
              </w:rPr>
              <w:t xml:space="preserve">     </w:t>
            </w: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竣工验收要求一览表</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642"/>
              <w:gridCol w:w="1279"/>
              <w:gridCol w:w="5684"/>
            </w:tblGrid>
            <w:tr w14:paraId="339A2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91" w:type="dxa"/>
                  <w:vAlign w:val="center"/>
                </w:tcPr>
                <w:p w14:paraId="28E12416">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86" w:name="OLE_LINK218"/>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w:t>
                  </w:r>
                </w:p>
              </w:tc>
              <w:tc>
                <w:tcPr>
                  <w:tcW w:w="1921" w:type="dxa"/>
                  <w:gridSpan w:val="2"/>
                  <w:vAlign w:val="center"/>
                </w:tcPr>
                <w:p w14:paraId="182813A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验收项目</w:t>
                  </w:r>
                </w:p>
              </w:tc>
              <w:tc>
                <w:tcPr>
                  <w:tcW w:w="5684" w:type="dxa"/>
                  <w:vAlign w:val="center"/>
                </w:tcPr>
                <w:p w14:paraId="37BF3859">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具体措施</w:t>
                  </w:r>
                </w:p>
              </w:tc>
            </w:tr>
            <w:tr w14:paraId="46F20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restart"/>
                  <w:vAlign w:val="center"/>
                </w:tcPr>
                <w:p w14:paraId="784A28D9">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p>
              </w:tc>
              <w:tc>
                <w:tcPr>
                  <w:tcW w:w="642" w:type="dxa"/>
                  <w:vAlign w:val="center"/>
                </w:tcPr>
                <w:p w14:paraId="1FCB4E1E">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程序合法性</w:t>
                  </w:r>
                </w:p>
              </w:tc>
              <w:tc>
                <w:tcPr>
                  <w:tcW w:w="1279" w:type="dxa"/>
                  <w:vAlign w:val="center"/>
                </w:tcPr>
                <w:p w14:paraId="19F654C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环保手续</w:t>
                  </w:r>
                </w:p>
              </w:tc>
              <w:tc>
                <w:tcPr>
                  <w:tcW w:w="5684" w:type="dxa"/>
                  <w:vAlign w:val="center"/>
                </w:tcPr>
                <w:p w14:paraId="4F490266">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项目环评批复、辐射安全许可证申领</w:t>
                  </w:r>
                </w:p>
              </w:tc>
            </w:tr>
            <w:tr w14:paraId="11A1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91" w:type="dxa"/>
                  <w:vMerge w:val="continue"/>
                  <w:vAlign w:val="center"/>
                </w:tcPr>
                <w:p w14:paraId="6DB8EE76">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921" w:type="dxa"/>
                  <w:gridSpan w:val="2"/>
                  <w:vAlign w:val="center"/>
                </w:tcPr>
                <w:p w14:paraId="44835B9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建设内容</w:t>
                  </w:r>
                </w:p>
              </w:tc>
              <w:tc>
                <w:tcPr>
                  <w:tcW w:w="5684" w:type="dxa"/>
                  <w:vAlign w:val="center"/>
                </w:tcPr>
                <w:p w14:paraId="29B47D0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1台</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型号为</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北京通用</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的</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GEOEC ONE CFD</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管电压1</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kV</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管电流</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mA</w:t>
                  </w:r>
                </w:p>
              </w:tc>
            </w:tr>
            <w:tr w14:paraId="2FCCA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7A434CEF">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restart"/>
                  <w:vAlign w:val="center"/>
                </w:tcPr>
                <w:p w14:paraId="6047851D">
                  <w:pPr>
                    <w:pStyle w:val="13"/>
                    <w:pBdr>
                      <w:bottom w:val="none" w:color="auto" w:sz="0" w:space="0"/>
                    </w:pBdr>
                    <w:ind w:firstLine="0" w:firstLineChars="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辐射防护设施及运行情况</w:t>
                  </w:r>
                </w:p>
              </w:tc>
              <w:tc>
                <w:tcPr>
                  <w:tcW w:w="1279" w:type="dxa"/>
                  <w:vAlign w:val="center"/>
                </w:tcPr>
                <w:p w14:paraId="0A12E6C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屏蔽措施</w:t>
                  </w:r>
                </w:p>
              </w:tc>
              <w:tc>
                <w:tcPr>
                  <w:tcW w:w="5684" w:type="dxa"/>
                  <w:vAlign w:val="center"/>
                </w:tcPr>
                <w:p w14:paraId="48132262">
                  <w:pPr>
                    <w:pStyle w:val="37"/>
                    <w:adjustRightInd w:val="0"/>
                    <w:snapToGrid w:val="0"/>
                    <w:ind w:firstLine="420"/>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墙体：</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50mm厚玻镁彩钢板+4mm厚铅板满铺，综合防护水平折合4.0mm铅当量</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448B8EE9">
                  <w:pPr>
                    <w:pStyle w:val="37"/>
                    <w:adjustRightInd w:val="0"/>
                    <w:snapToGrid w:val="0"/>
                    <w:ind w:firstLine="420"/>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屋顶：</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0mm厚混凝</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3mm厚铅板屋顶满铺，综合防护水平折合</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4.89</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mm铅当量防护水平。</w:t>
                  </w:r>
                </w:p>
                <w:p w14:paraId="69F7F181">
                  <w:pPr>
                    <w:pStyle w:val="37"/>
                    <w:adjustRightInd w:val="0"/>
                    <w:snapToGrid w:val="0"/>
                    <w:ind w:firstLine="420"/>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地面</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0mm厚混凝土+</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30</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厚硫酸钡防护涂料层</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，综合防护水平折合</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4.51</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mm铅当量防护水平。</w:t>
                  </w:r>
                </w:p>
                <w:p w14:paraId="5169A057">
                  <w:pPr>
                    <w:pStyle w:val="37"/>
                    <w:adjustRightInd w:val="0"/>
                    <w:snapToGrid w:val="0"/>
                    <w:ind w:firstLine="420"/>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防护门（</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套）：</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控制室防护门1套、患者通道防护门1套</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均为</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50mm厚的</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电动推拉</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防护铅门，</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设脚踏式开关、防夹装置</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防护门均</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内置4mm铅板；污物通道防护门1套为50mm厚的</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电动推拉防护铅门</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设手压式开关、自动闭门装置，防护门</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内置4mm铅板，</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3道防护门</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综合防护水平折合</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均为</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4.0mm铅当量防护水平。</w:t>
                  </w:r>
                </w:p>
                <w:p w14:paraId="437202D2">
                  <w:pPr>
                    <w:pStyle w:val="37"/>
                    <w:adjustRightInd w:val="0"/>
                    <w:snapToGrid w:val="0"/>
                    <w:ind w:firstLine="420"/>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观察窗：位于机房</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北</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侧墙体（长</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1.5</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m、高</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1.2</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m），采用20mm厚铅玻璃，综合防护水平折合4.0mm铅当量防护水平。</w:t>
                  </w:r>
                </w:p>
                <w:p w14:paraId="2E13E17C">
                  <w:pPr>
                    <w:pStyle w:val="37"/>
                    <w:adjustRightInd w:val="0"/>
                    <w:snapToGrid w:val="0"/>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操作位：床侧铅帘具有0.5mm铅当量防护水平，防护屏蔽吊架铅板具有0.5mm铅当量防护水平</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p w14:paraId="38608025">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有效使用面积为</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69.23</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w:t>
                  </w:r>
                  <w:r>
                    <w:rPr>
                      <w:rFonts w:hint="eastAsia"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长×宽×高=9.75m×7.10m×4.2m</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最小单边长度、有效使用面积以及屏蔽防护水平满足《放射诊断放射防护要求》（GBZ130-2020）的要求。</w:t>
                  </w:r>
                </w:p>
              </w:tc>
            </w:tr>
            <w:tr w14:paraId="3B0C1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7FA32E07">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09A08BC9">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10E5CF0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安全装置</w:t>
                  </w:r>
                </w:p>
              </w:tc>
              <w:tc>
                <w:tcPr>
                  <w:tcW w:w="5684" w:type="dxa"/>
                  <w:vAlign w:val="center"/>
                </w:tcPr>
                <w:p w14:paraId="4EE8B435">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bookmarkStart w:id="87" w:name="OLE_LINK208"/>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控制室防护门、患者通道防护门、污物通道防护门</w:t>
                  </w:r>
                  <w:bookmarkEnd w:id="87"/>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处设计有工作状态指示灯，门灯能有效联动；</w:t>
                  </w:r>
                  <w:r>
                    <w:rPr>
                      <w:rFonts w:hint="default"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控制室防护门、患者通道防护门、污物通道防护门</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表面以及过道外墙上设计有电离辐射警告标志及中文警示说明；</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设备上及</w:t>
                  </w:r>
                  <w:r>
                    <w:rPr>
                      <w:rFonts w:hint="eastAsia"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控制室操作</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台处各设计有1个急停按钮</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sz w:val="21"/>
                      <w:szCs w:val="21"/>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内安装1套监控和对讲系统</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633C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349E7D36">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147E893F">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66FA4F7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废气处理</w:t>
                  </w:r>
                </w:p>
              </w:tc>
              <w:tc>
                <w:tcPr>
                  <w:tcW w:w="5684" w:type="dxa"/>
                  <w:vAlign w:val="center"/>
                </w:tcPr>
                <w:p w14:paraId="60C83158">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内采用上进下排的通风系统。</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进风管道从</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西侧穿墙引入，</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进风口位于</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手术室西南侧</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吊顶处；</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排风口设于</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介入手术室</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东</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侧墙上，排风口离地约0.2m处，</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通过</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排风管</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由东侧穿墙引出</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经东南侧排风井引至楼顶排放，</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进风量及出风量为</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11</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00m</w:t>
                  </w:r>
                  <w:r>
                    <w:rPr>
                      <w:rFonts w:hint="default" w:ascii="Times New Roman" w:hAnsi="Times New Roman" w:cs="Times New Roman" w:eastAsiaTheme="minorEastAsia"/>
                      <w:color w:val="0D0D0D" w:themeColor="text1" w:themeTint="F2"/>
                      <w:sz w:val="21"/>
                      <w:szCs w:val="21"/>
                      <w:highlight w:val="none"/>
                      <w:vertAlign w:val="superscript"/>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/h。</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项目进、排风管道采用水平倾斜45度穿墙</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mm铅皮对风管与墙面防护层搭接，搭接长度为30cm，</w:t>
                  </w:r>
                  <w:r>
                    <w:rPr>
                      <w:rFonts w:hint="default"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并对介入手术室防护墙体两侧延伸1m的管道</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采用3mm铅皮包裹进行屏蔽补偿</w:t>
                  </w:r>
                  <w:r>
                    <w:rPr>
                      <w:rFonts w:hint="default"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default"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经过铅皮等防护措施处理后，能够有效防止射线直接从风管照射出机房</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r>
            <w:tr w14:paraId="1D77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10275841">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65630682">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4D39A19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警示标识</w:t>
                  </w:r>
                </w:p>
              </w:tc>
              <w:tc>
                <w:tcPr>
                  <w:tcW w:w="5684" w:type="dxa"/>
                  <w:vAlign w:val="center"/>
                </w:tcPr>
                <w:p w14:paraId="422DAE88">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手术室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防护门上张贴电离辐射警示标志，</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控制室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墙上张贴操作规程，辐射事故应急流程，岗位职责等。</w:t>
                  </w:r>
                </w:p>
              </w:tc>
            </w:tr>
            <w:tr w14:paraId="4003B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616E084B">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692B4980">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6DA3BE6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监测仪器</w:t>
                  </w:r>
                </w:p>
              </w:tc>
              <w:tc>
                <w:tcPr>
                  <w:tcW w:w="5684" w:type="dxa"/>
                  <w:vAlign w:val="center"/>
                </w:tcPr>
                <w:p w14:paraId="75A261B2">
                  <w:pPr>
                    <w:pStyle w:val="13"/>
                    <w:pBdr>
                      <w:bottom w:val="none" w:color="auto" w:sz="0" w:space="0"/>
                    </w:pBdr>
                    <w:ind w:firstLine="42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便携式辐射巡测仪1台</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依托医院已有</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台个人剂量报警仪，</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28</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枚个人剂量计。</w:t>
                  </w:r>
                </w:p>
              </w:tc>
            </w:tr>
            <w:tr w14:paraId="7477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6895ECEB">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284D9072">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6B7C135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防护用品</w:t>
                  </w:r>
                </w:p>
              </w:tc>
              <w:tc>
                <w:tcPr>
                  <w:tcW w:w="5684" w:type="dxa"/>
                  <w:vAlign w:val="center"/>
                </w:tcPr>
                <w:p w14:paraId="75B15DDE">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拟为辐射工作人员配备</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套0.5mm铅当量的铅橡胶围裙、铅橡胶颈套、铅防护眼镜、</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介入防护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手套</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、铅橡胶帽子</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等个人防护用品。拟为患者配备</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套0.5mm铅当量的铅橡胶围裙、铅橡胶颈套、</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铅橡胶帽子</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等个人防护用品。</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手术室内配备0.5mm铅当量的铅悬挂防护屏、床侧防护帘各1件。</w:t>
                  </w:r>
                </w:p>
              </w:tc>
            </w:tr>
            <w:tr w14:paraId="0B9C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171B5F96">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921" w:type="dxa"/>
                  <w:gridSpan w:val="2"/>
                  <w:vAlign w:val="center"/>
                </w:tcPr>
                <w:p w14:paraId="0389396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工作区域管理</w:t>
                  </w:r>
                </w:p>
              </w:tc>
              <w:tc>
                <w:tcPr>
                  <w:tcW w:w="5684" w:type="dxa"/>
                  <w:vAlign w:val="center"/>
                </w:tcPr>
                <w:p w14:paraId="110BF458">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对控制区和监督区进行分区管理，建立相关制度并安装警示标志。</w:t>
                  </w:r>
                </w:p>
              </w:tc>
            </w:tr>
            <w:tr w14:paraId="08A9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724FAED3">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restart"/>
                  <w:vAlign w:val="center"/>
                </w:tcPr>
                <w:p w14:paraId="42D1F30B">
                  <w:pPr>
                    <w:pStyle w:val="13"/>
                    <w:pBdr>
                      <w:bottom w:val="none" w:color="auto" w:sz="0" w:space="0"/>
                    </w:pBdr>
                    <w:ind w:firstLine="0" w:firstLineChars="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人员配置</w:t>
                  </w:r>
                </w:p>
              </w:tc>
              <w:tc>
                <w:tcPr>
                  <w:tcW w:w="1279" w:type="dxa"/>
                  <w:vAlign w:val="center"/>
                </w:tcPr>
                <w:p w14:paraId="619AF380">
                  <w:pP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辐射防护与安全培训</w:t>
                  </w:r>
                </w:p>
              </w:tc>
              <w:tc>
                <w:tcPr>
                  <w:tcW w:w="5684" w:type="dxa"/>
                  <w:vAlign w:val="center"/>
                </w:tcPr>
                <w:p w14:paraId="5E531657">
                  <w:pPr>
                    <w:pStyle w:val="13"/>
                    <w:pBdr>
                      <w:bottom w:val="none" w:color="auto" w:sz="0" w:space="0"/>
                    </w:pBdr>
                    <w:ind w:firstLine="42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所有辐射工作人员在生态环境部组织的培训平台上进行报名和培训并进行考核。</w:t>
                  </w:r>
                </w:p>
              </w:tc>
            </w:tr>
            <w:tr w14:paraId="0121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6EE563AF">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083C2F70">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7043F45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人员职业健康监护</w:t>
                  </w:r>
                </w:p>
              </w:tc>
              <w:tc>
                <w:tcPr>
                  <w:tcW w:w="5684" w:type="dxa"/>
                  <w:vAlign w:val="center"/>
                </w:tcPr>
                <w:p w14:paraId="13CE4845">
                  <w:pPr>
                    <w:pStyle w:val="13"/>
                    <w:pBdr>
                      <w:bottom w:val="none" w:color="auto" w:sz="0" w:space="0"/>
                    </w:pBdr>
                    <w:ind w:firstLine="42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所有辐射工作人员进行职业健康体检，并建立职业健康监护档案。</w:t>
                  </w:r>
                </w:p>
              </w:tc>
            </w:tr>
            <w:tr w14:paraId="7CFA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10D43BB5">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Merge w:val="continue"/>
                  <w:vAlign w:val="center"/>
                </w:tcPr>
                <w:p w14:paraId="0E5AD7BF">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1279" w:type="dxa"/>
                  <w:vAlign w:val="center"/>
                </w:tcPr>
                <w:p w14:paraId="448EC3A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个人剂量监测</w:t>
                  </w:r>
                </w:p>
              </w:tc>
              <w:tc>
                <w:tcPr>
                  <w:tcW w:w="5684" w:type="dxa"/>
                  <w:vAlign w:val="center"/>
                </w:tcPr>
                <w:p w14:paraId="244025CB">
                  <w:pPr>
                    <w:pStyle w:val="13"/>
                    <w:pBdr>
                      <w:bottom w:val="none" w:color="auto" w:sz="0" w:space="0"/>
                    </w:pBdr>
                    <w:ind w:firstLine="42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所有辐射工作人员配备个人剂量计，建立个人剂量档案。职业人员应严格执行剂量管理，定期剂量检定，避免出现超剂量照射，若超出剂量约束值，应调查原因，相关人员采取调离工作岗位的措施。</w:t>
                  </w:r>
                </w:p>
              </w:tc>
            </w:tr>
            <w:tr w14:paraId="1D04B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26AFC188">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Align w:val="center"/>
                </w:tcPr>
                <w:p w14:paraId="3EFDA1B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管理制度</w:t>
                  </w:r>
                </w:p>
              </w:tc>
              <w:tc>
                <w:tcPr>
                  <w:tcW w:w="1279" w:type="dxa"/>
                  <w:vAlign w:val="center"/>
                </w:tcPr>
                <w:p w14:paraId="4B42390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辐射安全管理制度</w:t>
                  </w:r>
                </w:p>
              </w:tc>
              <w:tc>
                <w:tcPr>
                  <w:tcW w:w="5684" w:type="dxa"/>
                  <w:vAlign w:val="center"/>
                </w:tcPr>
                <w:p w14:paraId="22AF4FA6">
                  <w:pPr>
                    <w:pStyle w:val="13"/>
                    <w:pBdr>
                      <w:bottom w:val="none" w:color="auto" w:sz="0" w:space="0"/>
                    </w:pBdr>
                    <w:ind w:firstLine="420"/>
                    <w:jc w:val="both"/>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应急预案、辐射防护安全管理制度、监测计划、档案记录、个人剂量管理、操作人员培训等，所有制度均需上墙。</w:t>
                  </w:r>
                </w:p>
              </w:tc>
            </w:tr>
            <w:tr w14:paraId="44C5C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vMerge w:val="continue"/>
                  <w:vAlign w:val="center"/>
                </w:tcPr>
                <w:p w14:paraId="77778FEF">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642" w:type="dxa"/>
                  <w:vAlign w:val="center"/>
                </w:tcPr>
                <w:p w14:paraId="2E20803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验收监测</w:t>
                  </w:r>
                </w:p>
              </w:tc>
              <w:tc>
                <w:tcPr>
                  <w:tcW w:w="1279" w:type="dxa"/>
                  <w:vAlign w:val="center"/>
                </w:tcPr>
                <w:p w14:paraId="582FF68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X-γ辐射剂量率</w:t>
                  </w:r>
                </w:p>
              </w:tc>
              <w:tc>
                <w:tcPr>
                  <w:tcW w:w="5684" w:type="dxa"/>
                  <w:vAlign w:val="center"/>
                </w:tcPr>
                <w:p w14:paraId="6D6850BF">
                  <w:pP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机房墙体（墙外30cm处），防护门及缝隙处、</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控制室</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、操作台处的X-γ辐射剂量率满足《放射诊断放射防护要求》（GBZ130-2020）。</w:t>
                  </w:r>
                </w:p>
              </w:tc>
            </w:tr>
            <w:bookmarkEnd w:id="86"/>
          </w:tbl>
          <w:p w14:paraId="405F9F49">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12.5辐射事故应急</w:t>
            </w:r>
          </w:p>
          <w:p w14:paraId="639FA05C">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（1）辐射事故应急要求</w:t>
            </w:r>
          </w:p>
          <w:p w14:paraId="6CF0213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放射性同位素与射线装置安全和防护条例》（国务院令第449号）第四十条、《放射性同位素与射线装置安全和防护管理办法》（环保部令第18号）等有关规定，医院应制定辐射事故应急预案，辐射事故应急预案应包括下列内容：</w:t>
            </w:r>
          </w:p>
          <w:p w14:paraId="14A638C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①应急机构和职责分工；</w:t>
            </w:r>
          </w:p>
          <w:p w14:paraId="3C24E0C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②应急人员的组织、培训以及应急和救助的装备、资金、物资准备；</w:t>
            </w:r>
          </w:p>
          <w:p w14:paraId="64FCB0E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③辐射事故分级与应急响应措施；</w:t>
            </w:r>
          </w:p>
          <w:p w14:paraId="39ADF4B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④辐射事故调查、报告和处理程序。</w:t>
            </w:r>
          </w:p>
          <w:p w14:paraId="41B09E4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发生辐射事故时，事故单位应当立即启动本单位的辐射事故应急预案，采取必要防范措施，并在</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小时内填写《辐射事故初始报告表》，向当地生态环境部门和公安部门报告。造成或可能造成人员超剂量照射的，还应同时向当地卫生行政部门报告。</w:t>
            </w:r>
          </w:p>
          <w:p w14:paraId="6322974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（2）医院现有辐射事故应急预案评价</w:t>
            </w:r>
          </w:p>
          <w:p w14:paraId="1C03FE0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为加强对辐射治疗设备的安全管理，保障公众健康，保护环境，医院制定了辐射事故应急预案，成立了</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辐射安全与环境保护管理委员会</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，组织、开展辐射事故的应急处理救援工作。该应急预案包括：</w:t>
            </w:r>
          </w:p>
          <w:p w14:paraId="1C2866F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①</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编制依据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0A64DC7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②</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辐射事故分级</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52C011F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③</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预案适应范围</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46B9C0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④</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工作原则</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9C53D58">
            <w:pPr>
              <w:spacing w:line="360" w:lineRule="auto"/>
              <w:ind w:firstLine="480"/>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⑤</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组织机构及职能；</w:t>
            </w:r>
          </w:p>
          <w:p w14:paraId="59EB02B3">
            <w:pPr>
              <w:spacing w:line="360" w:lineRule="auto"/>
              <w:ind w:firstLine="480"/>
              <w:rPr>
                <w:rFonts w:hint="default"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⑥</w:t>
            </w:r>
            <w:r>
              <w:rPr>
                <w:rFonts w:hint="eastAsia" w:ascii="宋体" w:hAnsi="宋体" w:cs="宋体"/>
                <w:color w:val="0D0D0D" w:themeColor="text1" w:themeTint="F2"/>
                <w:highlight w:val="none"/>
                <w:lang w:val="en-US" w:eastAsia="zh-CN"/>
                <w14:textFill>
                  <w14:solidFill>
                    <w14:schemeClr w14:val="tx1">
                      <w14:lumMod w14:val="95000"/>
                      <w14:lumOff w14:val="5000"/>
                    </w14:schemeClr>
                  </w14:solidFill>
                </w14:textFill>
              </w:rPr>
              <w:t>预防事故措施</w:t>
            </w: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w:t>
            </w:r>
          </w:p>
          <w:p w14:paraId="219D67F9">
            <w:pPr>
              <w:spacing w:line="360" w:lineRule="auto"/>
              <w:ind w:firstLine="480"/>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⑦</w:t>
            </w:r>
            <w:r>
              <w:rPr>
                <w:rFonts w:hint="eastAsia" w:ascii="宋体" w:hAnsi="宋体" w:cs="宋体"/>
                <w:color w:val="0D0D0D" w:themeColor="text1" w:themeTint="F2"/>
                <w:highlight w:val="none"/>
                <w:lang w:val="en-US" w:eastAsia="zh-CN"/>
                <w14:textFill>
                  <w14:solidFill>
                    <w14:schemeClr w14:val="tx1">
                      <w14:lumMod w14:val="95000"/>
                      <w14:lumOff w14:val="5000"/>
                    </w14:schemeClr>
                  </w14:solidFill>
                </w14:textFill>
              </w:rPr>
              <w:t>应急处理措施</w:t>
            </w: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w:t>
            </w:r>
          </w:p>
          <w:p w14:paraId="0AFE928A">
            <w:pPr>
              <w:spacing w:line="360" w:lineRule="auto"/>
              <w:ind w:firstLine="480"/>
              <w:rPr>
                <w:rFonts w:hint="eastAsia" w:ascii="宋体" w:hAnsi="宋体" w:cs="宋体"/>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⑧</w:t>
            </w:r>
            <w:r>
              <w:rPr>
                <w:rFonts w:hint="eastAsia" w:ascii="宋体" w:hAnsi="宋体" w:cs="宋体"/>
                <w:color w:val="0D0D0D" w:themeColor="text1" w:themeTint="F2"/>
                <w:highlight w:val="none"/>
                <w:lang w:val="en-US" w:eastAsia="zh-CN"/>
                <w14:textFill>
                  <w14:solidFill>
                    <w14:schemeClr w14:val="tx1">
                      <w14:lumMod w14:val="95000"/>
                      <w14:lumOff w14:val="5000"/>
                    </w14:schemeClr>
                  </w14:solidFill>
                </w14:textFill>
              </w:rPr>
              <w:t>辐射事故的报告；</w:t>
            </w:r>
          </w:p>
          <w:p w14:paraId="0F383560">
            <w:pPr>
              <w:spacing w:line="360" w:lineRule="auto"/>
              <w:ind w:firstLine="480"/>
              <w:rPr>
                <w:rFonts w:hint="default" w:ascii="宋体" w:hAnsi="宋体" w:cs="宋体"/>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⑨善后处理；</w:t>
            </w:r>
          </w:p>
          <w:p w14:paraId="353A9AD4">
            <w:pPr>
              <w:spacing w:line="360" w:lineRule="auto"/>
              <w:ind w:firstLine="480"/>
              <w:rPr>
                <w:rFonts w:hint="default" w:ascii="宋体" w:hAnsi="宋体" w:cs="宋体"/>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highlight w:val="none"/>
                <w:lang w:val="en-US" w:eastAsia="zh-CN"/>
                <w14:textFill>
                  <w14:solidFill>
                    <w14:schemeClr w14:val="tx1">
                      <w14:lumMod w14:val="95000"/>
                      <w14:lumOff w14:val="5000"/>
                    </w14:schemeClr>
                  </w14:solidFill>
                </w14:textFill>
              </w:rPr>
              <w:t>⑩预案管理。</w:t>
            </w:r>
          </w:p>
          <w:p w14:paraId="44AF14D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（3）针对应急预案，应完善的措施：</w:t>
            </w:r>
          </w:p>
          <w:p w14:paraId="159DFDA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医院应明确应急仪器、设备的负责人及存放位置、做好应急和救助的资金、物资准备、加强应急人员的组织培训等。</w:t>
            </w:r>
          </w:p>
          <w:p w14:paraId="67EDD97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云南省生态环境厅辐射事故应急响应预案》，本项目可能发生的辐射事故为一般辐射事故。一旦发生辐射事故，事故单位应当立即启动本单位的辐射事故应急方案，采取必要防范措施，并在2小时内填写《辐射事故初始报告表》，向当地生态环境部门报告和公安部门报告，造成或可能造成人员超剂量照射的，还应同时向当地卫生行政部门报告。</w:t>
            </w:r>
          </w:p>
          <w:p w14:paraId="74ABBA05">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（4）辐射事故应急程序</w:t>
            </w:r>
          </w:p>
          <w:p w14:paraId="16448E5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一旦发生一般辐射事故，医生应立即按下急停按钮或切断电源，封闭现场后立即向科室负责人报告，负责人1小时内向应急指挥领导小组报告，应急指挥领导小组总指挥启动应急预案，并向</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生态环境局</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滇池度假分局</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；可能造成人员超剂量照射的，同时向</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昆明市卫生健康委员会</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上</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报告。</w:t>
            </w:r>
          </w:p>
          <w:p w14:paraId="154470E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为使事故发生时能有效应对，医院每年至少须进行一次应急人员的演习培训，模拟事故发生时应进行的流程和应采取的措施，当辐射事故发生时能熟练、沉着、有效应对，将事故的危害降到最低。</w:t>
            </w:r>
          </w:p>
          <w:p w14:paraId="20C972C9">
            <w:pPr>
              <w:numPr>
                <w:ilvl w:val="0"/>
                <w:numId w:val="3"/>
              </w:num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能力分析</w:t>
            </w:r>
          </w:p>
          <w:p w14:paraId="77DFF09F">
            <w:pPr>
              <w:pStyle w:val="13"/>
              <w:pBdr>
                <w:bottom w:val="none" w:color="auto" w:sz="0" w:space="0"/>
              </w:pBdr>
              <w:ind w:firstLine="0" w:firstLineChars="0"/>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表12-</w:t>
            </w:r>
            <w:r>
              <w:rPr>
                <w:rFonts w:hint="eastAsia"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4</w:t>
            </w: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 xml:space="preserve">    医院使用II类射线装置应具备的</w:t>
            </w:r>
            <w:r>
              <w:rPr>
                <w:rFonts w:hint="eastAsia"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能力</w:t>
            </w:r>
            <w:r>
              <w:rPr>
                <w:rFonts w:ascii="Times New Roman" w:hAnsi="Times New Roman" w:cs="Times New Roman" w:eastAsiaTheme="minorEastAsia"/>
                <w:b/>
                <w:bCs/>
                <w:color w:val="0D0D0D" w:themeColor="text1" w:themeTint="F2"/>
                <w:sz w:val="24"/>
                <w:szCs w:val="24"/>
                <w:highlight w:val="none"/>
                <w14:textFill>
                  <w14:solidFill>
                    <w14:schemeClr w14:val="tx1">
                      <w14:lumMod w14:val="95000"/>
                      <w14:lumOff w14:val="5000"/>
                    </w14:schemeClr>
                  </w14:solidFill>
                </w14:textFill>
              </w:rPr>
              <w:t>分析一览表</w:t>
            </w:r>
          </w:p>
          <w:tbl>
            <w:tblPr>
              <w:tblStyle w:val="22"/>
              <w:tblW w:w="82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28"/>
              <w:gridCol w:w="2099"/>
              <w:gridCol w:w="2228"/>
              <w:gridCol w:w="1512"/>
              <w:gridCol w:w="1070"/>
            </w:tblGrid>
            <w:tr w14:paraId="054F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0D67C01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序号</w:t>
                  </w:r>
                </w:p>
              </w:tc>
              <w:tc>
                <w:tcPr>
                  <w:tcW w:w="928" w:type="dxa"/>
                  <w:vAlign w:val="center"/>
                </w:tcPr>
                <w:p w14:paraId="35154E8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应具备条件</w:t>
                  </w:r>
                </w:p>
              </w:tc>
              <w:tc>
                <w:tcPr>
                  <w:tcW w:w="2099" w:type="dxa"/>
                  <w:vAlign w:val="center"/>
                </w:tcPr>
                <w:p w14:paraId="5B4C950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规定要求</w:t>
                  </w:r>
                </w:p>
              </w:tc>
              <w:tc>
                <w:tcPr>
                  <w:tcW w:w="2228" w:type="dxa"/>
                  <w:vAlign w:val="center"/>
                </w:tcPr>
                <w:p w14:paraId="118A8C93">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具备的能力</w:t>
                  </w:r>
                </w:p>
              </w:tc>
              <w:tc>
                <w:tcPr>
                  <w:tcW w:w="1512" w:type="dxa"/>
                  <w:vAlign w:val="center"/>
                </w:tcPr>
                <w:p w14:paraId="71306C83">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本评价</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报告要求</w:t>
                  </w:r>
                </w:p>
              </w:tc>
              <w:tc>
                <w:tcPr>
                  <w:tcW w:w="1070" w:type="dxa"/>
                  <w:vAlign w:val="center"/>
                </w:tcPr>
                <w:p w14:paraId="4891C8A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与相关规定的符合性</w:t>
                  </w:r>
                </w:p>
              </w:tc>
            </w:tr>
            <w:tr w14:paraId="1B98F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0689711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w:t>
                  </w:r>
                </w:p>
              </w:tc>
              <w:tc>
                <w:tcPr>
                  <w:tcW w:w="928" w:type="dxa"/>
                  <w:vAlign w:val="center"/>
                </w:tcPr>
                <w:p w14:paraId="3BC4AC1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放射性诊疗项目的屏蔽设计</w:t>
                  </w:r>
                </w:p>
              </w:tc>
              <w:tc>
                <w:tcPr>
                  <w:tcW w:w="2099" w:type="dxa"/>
                  <w:vAlign w:val="center"/>
                </w:tcPr>
                <w:p w14:paraId="10B3C535">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放射性诊疗项目机房建筑（包括辐射防护墙、门、窗）的防护厚度应充分考虑X射线直射、散射、漏射效应。</w:t>
                  </w:r>
                </w:p>
              </w:tc>
              <w:tc>
                <w:tcPr>
                  <w:tcW w:w="2228" w:type="dxa"/>
                  <w:vAlign w:val="center"/>
                </w:tcPr>
                <w:p w14:paraId="49D1C9F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建设方按照设计单位的设计</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方案进行介入手术室防护，根据表10分析可知，本项目的防护方案</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能满足</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相关</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需要。</w:t>
                  </w:r>
                </w:p>
              </w:tc>
              <w:tc>
                <w:tcPr>
                  <w:tcW w:w="1512" w:type="dxa"/>
                  <w:vAlign w:val="center"/>
                </w:tcPr>
                <w:p w14:paraId="27B67083">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建设方应按计划认真做好相应的防护工作，做好日常监测。</w:t>
                  </w:r>
                </w:p>
              </w:tc>
              <w:tc>
                <w:tcPr>
                  <w:tcW w:w="1070" w:type="dxa"/>
                  <w:vAlign w:val="center"/>
                </w:tcPr>
                <w:p w14:paraId="4BBF859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05D48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40214E1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w:t>
                  </w:r>
                </w:p>
              </w:tc>
              <w:tc>
                <w:tcPr>
                  <w:tcW w:w="928" w:type="dxa"/>
                  <w:vAlign w:val="center"/>
                </w:tcPr>
                <w:p w14:paraId="0FB550E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安全联锁</w:t>
                  </w:r>
                </w:p>
              </w:tc>
              <w:tc>
                <w:tcPr>
                  <w:tcW w:w="2099" w:type="dxa"/>
                  <w:vAlign w:val="center"/>
                </w:tcPr>
                <w:p w14:paraId="2B001B4A">
                  <w:pPr>
                    <w:widowControl/>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sz w:val="21"/>
                      <w:szCs w:val="21"/>
                      <w:highlight w:val="none"/>
                      <w:lang w:bidi="ar"/>
                      <w14:textFill>
                        <w14:solidFill>
                          <w14:schemeClr w14:val="tx1">
                            <w14:lumMod w14:val="95000"/>
                            <w14:lumOff w14:val="5000"/>
                          </w14:schemeClr>
                        </w14:solidFill>
                      </w14:textFill>
                    </w:rPr>
                    <w:t>射线装置使用场所有防止误操作、防止工作人员和公众受到意外照射的安全措施。</w:t>
                  </w:r>
                </w:p>
              </w:tc>
              <w:tc>
                <w:tcPr>
                  <w:tcW w:w="2228" w:type="dxa"/>
                  <w:vAlign w:val="center"/>
                </w:tcPr>
                <w:p w14:paraId="3A74C3C3">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根据表10分析可知，项目介入手术室防护门外醒目位置设置电离辐射警告标志、工作指示灯及门灯联锁装置，本项目设置有安全联锁装置，满足相关要求</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23B87057">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建设方要严格执行相关操作规程、检修、检验工作，定期维护，确保安全联锁</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能够正常使用</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70" w:type="dxa"/>
                  <w:vAlign w:val="center"/>
                </w:tcPr>
                <w:p w14:paraId="6636ACF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5971A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2B8EEB21">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3</w:t>
                  </w:r>
                </w:p>
              </w:tc>
              <w:tc>
                <w:tcPr>
                  <w:tcW w:w="928" w:type="dxa"/>
                  <w:vAlign w:val="center"/>
                </w:tcPr>
                <w:p w14:paraId="5372646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紧急制动装置</w:t>
                  </w:r>
                </w:p>
              </w:tc>
              <w:tc>
                <w:tcPr>
                  <w:tcW w:w="2099" w:type="dxa"/>
                  <w:vAlign w:val="center"/>
                </w:tcPr>
                <w:p w14:paraId="040430F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在诊断、诊疗室内墙上应安装多个串联并有明显标识的“紧急止动”开关，该开关应与控制台上的“紧急止动”按扭联动。一旦按下按扭，放射性诊疗设备的高压电源被切断。</w:t>
                  </w:r>
                </w:p>
              </w:tc>
              <w:tc>
                <w:tcPr>
                  <w:tcW w:w="2228" w:type="dxa"/>
                  <w:vAlign w:val="center"/>
                </w:tcPr>
                <w:p w14:paraId="20E5F6AD">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highlight w:val="none"/>
                      <w:lang w:val="en-US" w:eastAsia="zh-CN"/>
                      <w14:textFill>
                        <w14:solidFill>
                          <w14:schemeClr w14:val="tx1">
                            <w14:lumMod w14:val="95000"/>
                            <w14:lumOff w14:val="5000"/>
                          </w14:schemeClr>
                        </w14:solidFill>
                      </w14:textFill>
                    </w:rPr>
                    <w:t>本项目在操作台和手术室内移动C臂X射线机设备上均安装有</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紧急止动按钮，当设备出现错误或故障时，能</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及时</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中断照射。</w:t>
                  </w:r>
                </w:p>
              </w:tc>
              <w:tc>
                <w:tcPr>
                  <w:tcW w:w="1512" w:type="dxa"/>
                  <w:vAlign w:val="center"/>
                </w:tcPr>
                <w:p w14:paraId="1EE4F4A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运营时严格按计划执行，定期维护，确保紧急制动装置</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能够正常使用</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70" w:type="dxa"/>
                  <w:vAlign w:val="center"/>
                </w:tcPr>
                <w:p w14:paraId="2A40341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33ABA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14B8D32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4</w:t>
                  </w:r>
                </w:p>
              </w:tc>
              <w:tc>
                <w:tcPr>
                  <w:tcW w:w="928" w:type="dxa"/>
                  <w:vAlign w:val="center"/>
                </w:tcPr>
                <w:p w14:paraId="7D9D1290">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警示标志</w:t>
                  </w:r>
                </w:p>
              </w:tc>
              <w:tc>
                <w:tcPr>
                  <w:tcW w:w="2099" w:type="dxa"/>
                  <w:vAlign w:val="center"/>
                </w:tcPr>
                <w:p w14:paraId="2C72F34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射线装置机房防护门外及与其他公共场所相连接处应设置固定的电离辐射警告标志和工作状态指示灯，控制区边界应设置明显可见的警标识。</w:t>
                  </w:r>
                </w:p>
              </w:tc>
              <w:tc>
                <w:tcPr>
                  <w:tcW w:w="2228" w:type="dxa"/>
                  <w:vAlign w:val="center"/>
                </w:tcPr>
                <w:p w14:paraId="2F168590">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本项目实施分区管控，手术室防护门外醒目位置设置电离辐射警告标志</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和工作状态指示灯。</w:t>
                  </w:r>
                </w:p>
              </w:tc>
              <w:tc>
                <w:tcPr>
                  <w:tcW w:w="1512" w:type="dxa"/>
                  <w:vAlign w:val="center"/>
                </w:tcPr>
                <w:p w14:paraId="22653916">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落实控制区、监督区的划分，设置警戒线和警示标志。</w:t>
                  </w:r>
                </w:p>
              </w:tc>
              <w:tc>
                <w:tcPr>
                  <w:tcW w:w="1070" w:type="dxa"/>
                  <w:vAlign w:val="center"/>
                </w:tcPr>
                <w:p w14:paraId="3F2A15C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6817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64736C81">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5</w:t>
                  </w:r>
                </w:p>
              </w:tc>
              <w:tc>
                <w:tcPr>
                  <w:tcW w:w="928" w:type="dxa"/>
                  <w:vAlign w:val="center"/>
                </w:tcPr>
                <w:p w14:paraId="02307B3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通风系统</w:t>
                  </w:r>
                </w:p>
                <w:p w14:paraId="74C9DB21">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099" w:type="dxa"/>
                  <w:vAlign w:val="center"/>
                </w:tcPr>
                <w:p w14:paraId="4C8A45AE">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放射性诊疗项目机房内应设置相应排风量的通风系统，使臭氧浓度低于国家标准要求。</w:t>
                  </w:r>
                </w:p>
              </w:tc>
              <w:tc>
                <w:tcPr>
                  <w:tcW w:w="2228" w:type="dxa"/>
                  <w:vAlign w:val="center"/>
                </w:tcPr>
                <w:p w14:paraId="51F6F427">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本项目手术室内设置有通风系统，满足室内换气需求，项目排风口设置于医技楼楼顶，避开人群活动区域，排放的臭氧浓度低于国家标准要求。</w:t>
                  </w:r>
                </w:p>
              </w:tc>
              <w:tc>
                <w:tcPr>
                  <w:tcW w:w="1512" w:type="dxa"/>
                  <w:vAlign w:val="center"/>
                </w:tcPr>
                <w:p w14:paraId="56E83BCA">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定期维护，满足通风和防护屏蔽要求。</w:t>
                  </w:r>
                </w:p>
              </w:tc>
              <w:tc>
                <w:tcPr>
                  <w:tcW w:w="1070" w:type="dxa"/>
                  <w:vAlign w:val="center"/>
                </w:tcPr>
                <w:p w14:paraId="7E16591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1C5BE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4751D37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6</w:t>
                  </w:r>
                </w:p>
              </w:tc>
              <w:tc>
                <w:tcPr>
                  <w:tcW w:w="928" w:type="dxa"/>
                  <w:vAlign w:val="center"/>
                </w:tcPr>
                <w:p w14:paraId="6E78B1D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管理人员要求</w:t>
                  </w:r>
                </w:p>
                <w:p w14:paraId="31BF8EAC">
                  <w:pPr>
                    <w:pStyle w:val="13"/>
                    <w:pBdr>
                      <w:bottom w:val="none" w:color="auto" w:sz="0" w:space="0"/>
                    </w:pBdr>
                    <w:ind w:firstLine="42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099" w:type="dxa"/>
                  <w:vAlign w:val="center"/>
                </w:tcPr>
                <w:p w14:paraId="1A1B9D7A">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使用Ⅱ类射线装置的，应当设有专门的辐射安全与环境保护管理机构，或者至少有1名具有本科以上学历的技术人员专职负责辐射安全与环境保护管理工作。</w:t>
                  </w:r>
                </w:p>
              </w:tc>
              <w:tc>
                <w:tcPr>
                  <w:tcW w:w="2228" w:type="dxa"/>
                  <w:vAlign w:val="center"/>
                </w:tcPr>
                <w:p w14:paraId="157A41F3">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医院已根据要求成立</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了</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辐射与防护管理领导小组</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辐射安全与防护管理委员会</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，并配备1名以上具有本科学历的技术人员专职负责辐射安全与环境保护管理工作</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满足相关要求</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599F6CAD">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确保有符合要求的辐射安全与环境保护工作管理人员开展这方面的工作。</w:t>
                  </w:r>
                </w:p>
              </w:tc>
              <w:tc>
                <w:tcPr>
                  <w:tcW w:w="1070" w:type="dxa"/>
                  <w:vAlign w:val="center"/>
                </w:tcPr>
                <w:p w14:paraId="29302A6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3E33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259FD92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7</w:t>
                  </w:r>
                </w:p>
              </w:tc>
              <w:tc>
                <w:tcPr>
                  <w:tcW w:w="928" w:type="dxa"/>
                  <w:vAlign w:val="center"/>
                </w:tcPr>
                <w:p w14:paraId="4991DC0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操作人员要求</w:t>
                  </w:r>
                </w:p>
                <w:p w14:paraId="31758D92">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p>
              </w:tc>
              <w:tc>
                <w:tcPr>
                  <w:tcW w:w="2099" w:type="dxa"/>
                  <w:vAlign w:val="center"/>
                </w:tcPr>
                <w:p w14:paraId="5EEAC82A">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从事辐射工作的人员必须通过辐射安全和防护专业知识及相关法律法规的培训和考核。</w:t>
                  </w:r>
                </w:p>
              </w:tc>
              <w:tc>
                <w:tcPr>
                  <w:tcW w:w="2228" w:type="dxa"/>
                  <w:vAlign w:val="center"/>
                </w:tcPr>
                <w:p w14:paraId="74846228">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根据生态环境部2019年12月24日发布的关于核技术利用辐射安全与防护培训和考核有关事项的公告中的相关要求（生态环境部公告2019年第57号），本项目所有辐射工作人员均</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拟</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在生态环境部组织的培训平台上进行报名和培训</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最终</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考核合格后方可上岗，并定期复训。</w:t>
                  </w:r>
                </w:p>
              </w:tc>
              <w:tc>
                <w:tcPr>
                  <w:tcW w:w="1512" w:type="dxa"/>
                  <w:vAlign w:val="center"/>
                </w:tcPr>
                <w:p w14:paraId="06E4ECA4">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辐射工作人员应取得培训合格证书后方可上岗。</w:t>
                  </w:r>
                </w:p>
              </w:tc>
              <w:tc>
                <w:tcPr>
                  <w:tcW w:w="1070" w:type="dxa"/>
                  <w:vAlign w:val="center"/>
                </w:tcPr>
                <w:p w14:paraId="4E24983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0C00C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456" w:type="dxa"/>
                  <w:vAlign w:val="center"/>
                </w:tcPr>
                <w:p w14:paraId="5DB2F66A">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8</w:t>
                  </w:r>
                </w:p>
              </w:tc>
              <w:tc>
                <w:tcPr>
                  <w:tcW w:w="928" w:type="dxa"/>
                  <w:vAlign w:val="center"/>
                </w:tcPr>
                <w:p w14:paraId="7C14BEDF">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辐射安全许可证</w:t>
                  </w:r>
                </w:p>
              </w:tc>
              <w:tc>
                <w:tcPr>
                  <w:tcW w:w="2099" w:type="dxa"/>
                  <w:vAlign w:val="center"/>
                </w:tcPr>
                <w:p w14:paraId="42864479">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必须取得生态环境行政主管部门颁发的辐射安全许可证。</w:t>
                  </w:r>
                </w:p>
              </w:tc>
              <w:tc>
                <w:tcPr>
                  <w:tcW w:w="2228" w:type="dxa"/>
                  <w:vAlign w:val="center"/>
                </w:tcPr>
                <w:p w14:paraId="26D78602">
                  <w:pPr>
                    <w:pStyle w:val="13"/>
                    <w:pBdr>
                      <w:bottom w:val="none" w:color="auto" w:sz="0" w:space="0"/>
                    </w:pBdr>
                    <w:ind w:firstLine="0" w:firstLineChars="0"/>
                    <w:jc w:val="left"/>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持有辐射安全许可证</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，本项目建成投运前</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及时</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更新《辐射安全许可证》。</w:t>
                  </w:r>
                </w:p>
              </w:tc>
              <w:tc>
                <w:tcPr>
                  <w:tcW w:w="1512" w:type="dxa"/>
                  <w:vAlign w:val="center"/>
                </w:tcPr>
                <w:p w14:paraId="7A1A6CD0">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建成投运前更新</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《辐射安全许可证》。</w:t>
                  </w:r>
                </w:p>
              </w:tc>
              <w:tc>
                <w:tcPr>
                  <w:tcW w:w="1070" w:type="dxa"/>
                  <w:vAlign w:val="center"/>
                </w:tcPr>
                <w:p w14:paraId="413D0DA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2E1E0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5993467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9</w:t>
                  </w:r>
                </w:p>
              </w:tc>
              <w:tc>
                <w:tcPr>
                  <w:tcW w:w="928" w:type="dxa"/>
                  <w:vAlign w:val="center"/>
                </w:tcPr>
                <w:p w14:paraId="1FBBF69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设备维护</w:t>
                  </w:r>
                </w:p>
              </w:tc>
              <w:tc>
                <w:tcPr>
                  <w:tcW w:w="2099" w:type="dxa"/>
                  <w:vAlign w:val="center"/>
                </w:tcPr>
                <w:p w14:paraId="1D809607">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每个月对本项目诊疗设备的配件、机电设备和监测仪器，特别是安全联锁装置，进行检查、维护。</w:t>
                  </w:r>
                </w:p>
              </w:tc>
              <w:tc>
                <w:tcPr>
                  <w:tcW w:w="2228" w:type="dxa"/>
                  <w:vAlign w:val="center"/>
                </w:tcPr>
                <w:p w14:paraId="568D55A8">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本项目运行后将按照制定的《辐射设备检修维护制度》，定期对移动C臂X射线机设备的配件、机电设备、监测仪器、安全联锁装置，进行检查、维护。</w:t>
                  </w:r>
                </w:p>
              </w:tc>
              <w:tc>
                <w:tcPr>
                  <w:tcW w:w="1512" w:type="dxa"/>
                  <w:vAlign w:val="center"/>
                </w:tcPr>
                <w:p w14:paraId="28C58275">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医院应按计划认真做好相应的防护工作，完善相关制度和记录。</w:t>
                  </w:r>
                </w:p>
              </w:tc>
              <w:tc>
                <w:tcPr>
                  <w:tcW w:w="1070" w:type="dxa"/>
                  <w:vAlign w:val="center"/>
                </w:tcPr>
                <w:p w14:paraId="629B944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73D04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5F5FDAD0">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10</w:t>
                  </w:r>
                </w:p>
              </w:tc>
              <w:tc>
                <w:tcPr>
                  <w:tcW w:w="928" w:type="dxa"/>
                  <w:vAlign w:val="center"/>
                </w:tcPr>
                <w:p w14:paraId="6B6D88D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个人剂量管理</w:t>
                  </w:r>
                </w:p>
              </w:tc>
              <w:tc>
                <w:tcPr>
                  <w:tcW w:w="2099" w:type="dxa"/>
                  <w:vAlign w:val="center"/>
                </w:tcPr>
                <w:p w14:paraId="34A00950">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每名放射性仪器设备的操作人员应配备1个个人剂量片。个人剂量片应编号并定人配戴，定期送交有资质的检测部门进行测量，并建立个人剂量档案。</w:t>
                  </w:r>
                </w:p>
              </w:tc>
              <w:tc>
                <w:tcPr>
                  <w:tcW w:w="2228" w:type="dxa"/>
                  <w:vAlign w:val="center"/>
                </w:tcPr>
                <w:p w14:paraId="5AAE483D">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本项目所有辐射工作人员拟佩戴</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双</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个人剂量计，并</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定期</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送检，建立了个人剂量档案。</w:t>
                  </w:r>
                </w:p>
              </w:tc>
              <w:tc>
                <w:tcPr>
                  <w:tcW w:w="1512" w:type="dxa"/>
                  <w:vAlign w:val="center"/>
                </w:tcPr>
                <w:p w14:paraId="2D790B1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严格要求工作人员正确佩戴</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双</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个人剂量计上岗，每个季度定期送检，并对检测结果及时分析，对检测结果存在超过个人剂量管理限值的情况及时上报查明原因，及时解决，个人剂量档案应终生保存。</w:t>
                  </w:r>
                </w:p>
              </w:tc>
              <w:tc>
                <w:tcPr>
                  <w:tcW w:w="1070" w:type="dxa"/>
                  <w:vAlign w:val="center"/>
                </w:tcPr>
                <w:p w14:paraId="3650D0A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1454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trPr>
              <w:tc>
                <w:tcPr>
                  <w:tcW w:w="456" w:type="dxa"/>
                  <w:vAlign w:val="center"/>
                </w:tcPr>
                <w:p w14:paraId="2CEC2D6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11</w:t>
                  </w:r>
                </w:p>
              </w:tc>
              <w:tc>
                <w:tcPr>
                  <w:tcW w:w="928" w:type="dxa"/>
                  <w:vAlign w:val="center"/>
                </w:tcPr>
                <w:p w14:paraId="5FB0AAD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个人防护用品配备</w:t>
                  </w:r>
                </w:p>
              </w:tc>
              <w:tc>
                <w:tcPr>
                  <w:tcW w:w="2099" w:type="dxa"/>
                  <w:vAlign w:val="center"/>
                </w:tcPr>
                <w:p w14:paraId="62FA9D97">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配备与辐射类型和辐射水平相适应的防护用品和监测仪器，包括个人剂量监测报警、辐射监测等仪器。</w:t>
                  </w:r>
                </w:p>
              </w:tc>
              <w:tc>
                <w:tcPr>
                  <w:tcW w:w="2228" w:type="dxa"/>
                  <w:vAlign w:val="center"/>
                </w:tcPr>
                <w:p w14:paraId="5C95FBF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根据</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相关</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要求配备</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个人剂量计、个人剂量报警仪、便携式辐射巡测仪、个人防护用品等，根据分析，本项目配备的防护用品满足相关要求</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43CA9507">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医院应配备足量的个人防护用品，</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日常</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应认真做好相应的</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个人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防护工作</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70" w:type="dxa"/>
                  <w:vAlign w:val="center"/>
                </w:tcPr>
                <w:p w14:paraId="42038E9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28EE2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5A551AA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2</w:t>
                  </w:r>
                </w:p>
              </w:tc>
              <w:tc>
                <w:tcPr>
                  <w:tcW w:w="928" w:type="dxa"/>
                  <w:vAlign w:val="center"/>
                </w:tcPr>
                <w:p w14:paraId="637AC17E">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档案记录</w:t>
                  </w:r>
                </w:p>
              </w:tc>
              <w:tc>
                <w:tcPr>
                  <w:tcW w:w="2099" w:type="dxa"/>
                  <w:vAlign w:val="center"/>
                </w:tcPr>
                <w:p w14:paraId="44E37C94">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应建立设备运行、维修、辐射环境监测记录、个人剂量管理及维修记录制度，并存档备查。</w:t>
                  </w:r>
                </w:p>
              </w:tc>
              <w:tc>
                <w:tcPr>
                  <w:tcW w:w="2228" w:type="dxa"/>
                  <w:vAlign w:val="center"/>
                </w:tcPr>
                <w:p w14:paraId="2927299D">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医院拟对从事辐射工作的工作人员建立个人剂量档案，并定期对其进行个人剂量监测。医院建立了设备运行、维修档案。</w:t>
                  </w:r>
                </w:p>
              </w:tc>
              <w:tc>
                <w:tcPr>
                  <w:tcW w:w="1512" w:type="dxa"/>
                  <w:vAlign w:val="center"/>
                </w:tcPr>
                <w:p w14:paraId="79DCCC80">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医院应及时更新妥善保存相关档案。</w:t>
                  </w:r>
                </w:p>
              </w:tc>
              <w:tc>
                <w:tcPr>
                  <w:tcW w:w="1070" w:type="dxa"/>
                  <w:vAlign w:val="center"/>
                </w:tcPr>
                <w:p w14:paraId="045335E7">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3D96A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3DF059E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13</w:t>
                  </w:r>
                </w:p>
              </w:tc>
              <w:tc>
                <w:tcPr>
                  <w:tcW w:w="928" w:type="dxa"/>
                  <w:vAlign w:val="center"/>
                </w:tcPr>
                <w:p w14:paraId="66BF020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装置台账</w:t>
                  </w:r>
                </w:p>
              </w:tc>
              <w:tc>
                <w:tcPr>
                  <w:tcW w:w="2099" w:type="dxa"/>
                  <w:vAlign w:val="center"/>
                </w:tcPr>
                <w:p w14:paraId="5E3DFA63">
                  <w:pPr>
                    <w:pStyle w:val="10"/>
                    <w:spacing w:line="240" w:lineRule="auto"/>
                    <w:jc w:val="left"/>
                    <w:rPr>
                      <w:rFonts w:ascii="Times New Roman" w:hAnsi="Times New Roman" w:eastAsiaTheme="minorEastAsia"/>
                      <w:color w:val="0D0D0D" w:themeColor="text1" w:themeTint="F2"/>
                      <w:sz w:val="21"/>
                      <w:highlight w:val="none"/>
                      <w14:textFill>
                        <w14:solidFill>
                          <w14:schemeClr w14:val="tx1">
                            <w14:lumMod w14:val="95000"/>
                            <w14:lumOff w14:val="5000"/>
                          </w14:schemeClr>
                        </w14:solidFill>
                      </w14:textFill>
                    </w:rPr>
                  </w:pPr>
                  <w:r>
                    <w:rPr>
                      <w:rFonts w:hint="eastAsia" w:ascii="Times New Roman" w:hAnsi="Times New Roman" w:eastAsiaTheme="minorEastAsia"/>
                      <w:color w:val="0D0D0D" w:themeColor="text1" w:themeTint="F2"/>
                      <w:sz w:val="21"/>
                      <w:highlight w:val="none"/>
                      <w14:textFill>
                        <w14:solidFill>
                          <w14:schemeClr w14:val="tx1">
                            <w14:lumMod w14:val="95000"/>
                            <w14:lumOff w14:val="5000"/>
                          </w14:schemeClr>
                        </w14:solidFill>
                      </w14:textFill>
                    </w:rPr>
                    <w:t>辐射工作单位应当建立放射性同位素与射线装置台账，记载放射性同位素的核素名称、出厂时间和活度、标号、编码、来源和去向，及射线装置的名称、型号、射线种类、类别、用途、来源和去向等事项。放射性同位素与射线装置台账、个人剂量档案和职业健康监护档案应当长期保存。</w:t>
                  </w:r>
                </w:p>
              </w:tc>
              <w:tc>
                <w:tcPr>
                  <w:tcW w:w="2228" w:type="dxa"/>
                  <w:vAlign w:val="center"/>
                </w:tcPr>
                <w:p w14:paraId="04934B5C">
                  <w:pPr>
                    <w:pStyle w:val="13"/>
                    <w:pBdr>
                      <w:bottom w:val="none" w:color="auto" w:sz="0" w:space="0"/>
                    </w:pBdr>
                    <w:ind w:firstLine="0" w:firstLineChars="0"/>
                    <w:jc w:val="left"/>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本项目不涉及放射性同位素，仅涉及射线装置，医院将建立射线装置台账，记载射线装置的名称、型号、射线种类、类别、用途、来源和去向等事项</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p>
              </w:tc>
              <w:tc>
                <w:tcPr>
                  <w:tcW w:w="1512" w:type="dxa"/>
                  <w:vAlign w:val="center"/>
                </w:tcPr>
                <w:p w14:paraId="1B0E172E">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医院建立射线装置台账、个人剂量档案和职业健康监护档案并长期保存</w:t>
                  </w:r>
                </w:p>
              </w:tc>
              <w:tc>
                <w:tcPr>
                  <w:tcW w:w="1070" w:type="dxa"/>
                  <w:vAlign w:val="center"/>
                </w:tcPr>
                <w:p w14:paraId="7C0758B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5549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77237003">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14</w:t>
                  </w:r>
                </w:p>
              </w:tc>
              <w:tc>
                <w:tcPr>
                  <w:tcW w:w="928" w:type="dxa"/>
                  <w:vAlign w:val="center"/>
                </w:tcPr>
                <w:p w14:paraId="24952144">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辐射监测方案</w:t>
                  </w:r>
                </w:p>
              </w:tc>
              <w:tc>
                <w:tcPr>
                  <w:tcW w:w="2099" w:type="dxa"/>
                  <w:vAlign w:val="center"/>
                </w:tcPr>
                <w:p w14:paraId="0F444875">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应建立放射性诊疗项目的日常辐射监测方案。</w:t>
                  </w:r>
                </w:p>
              </w:tc>
              <w:tc>
                <w:tcPr>
                  <w:tcW w:w="2228" w:type="dxa"/>
                  <w:vAlign w:val="center"/>
                </w:tcPr>
                <w:p w14:paraId="4C06B85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医院已制定</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有</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辐射工作场所监测制度、方案计划</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42F6C63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项目运行后每年至少委托有资质的单位进行一次辐射环境监测，建立监测技术档案，监测数据定期上报生态环境主管部门备案。</w:t>
                  </w:r>
                </w:p>
              </w:tc>
              <w:tc>
                <w:tcPr>
                  <w:tcW w:w="1070" w:type="dxa"/>
                  <w:vAlign w:val="center"/>
                </w:tcPr>
                <w:p w14:paraId="6C7B111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4E38B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0513FF69">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15</w:t>
                  </w:r>
                </w:p>
              </w:tc>
              <w:tc>
                <w:tcPr>
                  <w:tcW w:w="928" w:type="dxa"/>
                  <w:vAlign w:val="center"/>
                </w:tcPr>
                <w:p w14:paraId="261E7C00">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辐射安全防护管理与制度</w:t>
                  </w:r>
                </w:p>
              </w:tc>
              <w:tc>
                <w:tcPr>
                  <w:tcW w:w="2099" w:type="dxa"/>
                  <w:vAlign w:val="center"/>
                </w:tcPr>
                <w:p w14:paraId="59A3A77D">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有健全的操作规程、岗位职责、辐射防护和安全保卫制度、设备检修维护制度、射线装置使用登记制度、人员培训计划、监测方案等。</w:t>
                  </w:r>
                </w:p>
              </w:tc>
              <w:tc>
                <w:tcPr>
                  <w:tcW w:w="2228" w:type="dxa"/>
                  <w:vAlign w:val="center"/>
                </w:tcPr>
                <w:p w14:paraId="532D31F5">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目前医院已制定的管理制度</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辐射人员岗位职责</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辐射防护和安全保卫制度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辐射设备检修维护制度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辐射工作人员培训制度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辐射工作场所监测制度、方案计划</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辐射工作人员健康及个人剂量管理制度</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辐射安全事故应急预案</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质量保证大纲和质量控制计划</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监测仪器检验与刻度管理</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》，医院制定的各种安全管理制度较全面，具有可行性</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4F9BBDF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医院应</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将</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各项规章制度落实专人负责。从事放射性诊疗的工作人员必须严格按照制定的规章制度和应急处理措施进行放射诊疗工作，所有制度应张贴上墙。</w:t>
                  </w:r>
                </w:p>
              </w:tc>
              <w:tc>
                <w:tcPr>
                  <w:tcW w:w="1070" w:type="dxa"/>
                  <w:vAlign w:val="center"/>
                </w:tcPr>
                <w:p w14:paraId="3950984B">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24D0B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5B9C0C21">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16</w:t>
                  </w:r>
                </w:p>
              </w:tc>
              <w:tc>
                <w:tcPr>
                  <w:tcW w:w="928" w:type="dxa"/>
                  <w:vAlign w:val="center"/>
                </w:tcPr>
                <w:p w14:paraId="2291B010">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放射诊疗质量保证</w:t>
                  </w:r>
                </w:p>
              </w:tc>
              <w:tc>
                <w:tcPr>
                  <w:tcW w:w="2099" w:type="dxa"/>
                  <w:vAlign w:val="center"/>
                </w:tcPr>
                <w:p w14:paraId="4687758E">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使用放射性同位素和射线装置开展诊断和治疗的单位，还应当配备质量控制检测设备，制定相应的质量保证大纲和质量控制检测计划，至少有一名医用物理人员负责质量保证与质量控制检测工作。</w:t>
                  </w:r>
                </w:p>
              </w:tc>
              <w:tc>
                <w:tcPr>
                  <w:tcW w:w="2228" w:type="dxa"/>
                  <w:vAlign w:val="center"/>
                </w:tcPr>
                <w:p w14:paraId="7F836673">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已安排了一名</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医用物理人员负责质量保证与质量控制检测工作</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，且医院已制定专门的</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质量保证大纲和质量控制计划</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668D0B28">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应安排专人负责</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质量保证与质量控制检测工作</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，发现问题及时解决</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070" w:type="dxa"/>
                  <w:vAlign w:val="center"/>
                </w:tcPr>
                <w:p w14:paraId="75785905">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543C8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0A33D4A8">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17</w:t>
                  </w:r>
                </w:p>
              </w:tc>
              <w:tc>
                <w:tcPr>
                  <w:tcW w:w="928" w:type="dxa"/>
                  <w:vAlign w:val="center"/>
                </w:tcPr>
                <w:p w14:paraId="3A667D2D">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废物处理方案</w:t>
                  </w:r>
                </w:p>
              </w:tc>
              <w:tc>
                <w:tcPr>
                  <w:tcW w:w="2099" w:type="dxa"/>
                  <w:vAlign w:val="center"/>
                </w:tcPr>
                <w:p w14:paraId="65AAB6DC">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应具有确保项目产生固体废物、废水、废气达标排放的处理能力或者可行的处理方案。</w:t>
                  </w:r>
                </w:p>
              </w:tc>
              <w:tc>
                <w:tcPr>
                  <w:tcW w:w="2228" w:type="dxa"/>
                  <w:vAlign w:val="center"/>
                </w:tcPr>
                <w:p w14:paraId="34A85AB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项目产生的</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废水</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依托昆明市中医医院已建</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污水处理站预处理达标后</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外排项目区北侧的祥丰街城市污水管网</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根据分析可知，昆明市中医医院污水处理站满足本项目废水处理要求</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；医疗废物采用专门的收集容器收集后，转移至</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依托的昆明市中医医院</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医疗废物</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暂存间，定期交由</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清运处置</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项目产生的少量臭氧及氮氧化物经排风管道引致医技楼楼顶排放，满足排放要求；</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生活垃圾集中收集后交由环卫部门统一清运。</w:t>
                  </w:r>
                </w:p>
              </w:tc>
              <w:tc>
                <w:tcPr>
                  <w:tcW w:w="1512" w:type="dxa"/>
                  <w:vAlign w:val="center"/>
                </w:tcPr>
                <w:p w14:paraId="003CA1AB">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固体废弃物</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废水</w:t>
                  </w:r>
                  <w:r>
                    <w:rPr>
                      <w:rFonts w:hint="eastAsia" w:ascii="Times New Roman" w:hAnsi="Times New Roman" w:cs="Times New Roman" w:eastAsiaTheme="minorEastAsia"/>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废气</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合理处置。</w:t>
                  </w:r>
                </w:p>
              </w:tc>
              <w:tc>
                <w:tcPr>
                  <w:tcW w:w="1070" w:type="dxa"/>
                  <w:vAlign w:val="center"/>
                </w:tcPr>
                <w:p w14:paraId="7637C94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r w14:paraId="5CE4F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1142AF0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18</w:t>
                  </w:r>
                </w:p>
              </w:tc>
              <w:tc>
                <w:tcPr>
                  <w:tcW w:w="928" w:type="dxa"/>
                  <w:vAlign w:val="center"/>
                </w:tcPr>
                <w:p w14:paraId="45190060">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辐射事故应急措施</w:t>
                  </w:r>
                </w:p>
              </w:tc>
              <w:tc>
                <w:tcPr>
                  <w:tcW w:w="2099" w:type="dxa"/>
                  <w:vAlign w:val="center"/>
                </w:tcPr>
                <w:p w14:paraId="674AF8C2">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有完善的辐射事故应急措施。</w:t>
                  </w:r>
                </w:p>
              </w:tc>
              <w:tc>
                <w:tcPr>
                  <w:tcW w:w="2228" w:type="dxa"/>
                  <w:vAlign w:val="center"/>
                </w:tcPr>
                <w:p w14:paraId="043CC948">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医院已制定</w:t>
                  </w:r>
                  <w:r>
                    <w:rPr>
                      <w:rFonts w:hint="eastAsia" w:ascii="Times New Roman" w:hAnsi="Times New Roman" w:cs="Times New Roman" w:eastAsiaTheme="minorEastAsia"/>
                      <w:color w:val="0D0D0D" w:themeColor="text1" w:themeTint="F2"/>
                      <w:sz w:val="21"/>
                      <w:szCs w:val="21"/>
                      <w:highlight w:val="none"/>
                      <w:lang w:val="en-US" w:eastAsia="zh-CN"/>
                      <w14:textFill>
                        <w14:solidFill>
                          <w14:schemeClr w14:val="tx1">
                            <w14:lumMod w14:val="95000"/>
                            <w14:lumOff w14:val="5000"/>
                          </w14:schemeClr>
                        </w14:solidFill>
                      </w14:textFill>
                    </w:rPr>
                    <w:t>有《辐射安全事故应急预案》</w:t>
                  </w: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w:t>
                  </w:r>
                </w:p>
              </w:tc>
              <w:tc>
                <w:tcPr>
                  <w:tcW w:w="1512" w:type="dxa"/>
                  <w:vAlign w:val="center"/>
                </w:tcPr>
                <w:p w14:paraId="058DE8F9">
                  <w:pPr>
                    <w:pStyle w:val="13"/>
                    <w:pBdr>
                      <w:bottom w:val="none" w:color="auto" w:sz="0" w:space="0"/>
                    </w:pBdr>
                    <w:ind w:firstLine="0" w:firstLineChars="0"/>
                    <w:jc w:val="left"/>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医院每年至少须进行一次应急人员的演习培训，模拟事故发生时应进行的流程和应采取的措施，当辐射事故发生时能熟练、沉着、有效应对，将事故的危害降到最低。</w:t>
                  </w:r>
                </w:p>
              </w:tc>
              <w:tc>
                <w:tcPr>
                  <w:tcW w:w="1070" w:type="dxa"/>
                  <w:vAlign w:val="center"/>
                </w:tcPr>
                <w:p w14:paraId="31A6783C">
                  <w:pPr>
                    <w:pStyle w:val="13"/>
                    <w:pBdr>
                      <w:bottom w:val="none" w:color="auto" w:sz="0" w:space="0"/>
                    </w:pBdr>
                    <w:ind w:firstLine="0" w:firstLineChars="0"/>
                    <w:rPr>
                      <w:rFonts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z w:val="21"/>
                      <w:szCs w:val="21"/>
                      <w:highlight w:val="none"/>
                      <w14:textFill>
                        <w14:solidFill>
                          <w14:schemeClr w14:val="tx1">
                            <w14:lumMod w14:val="95000"/>
                            <w14:lumOff w14:val="5000"/>
                          </w14:schemeClr>
                        </w14:solidFill>
                      </w14:textFill>
                    </w:rPr>
                    <w:t>符合</w:t>
                  </w:r>
                </w:p>
              </w:tc>
            </w:tr>
          </w:tbl>
          <w:p w14:paraId="44B41904">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根据上表所述，</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按照本报告提出的要求进行落实后</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具备了使用射线装置单位申领许可证应具备的条件，具备了使用本次评价</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的</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1台</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II类射线装置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的能力。</w:t>
            </w:r>
          </w:p>
          <w:p w14:paraId="76E8F029">
            <w:pPr>
              <w:pStyle w:val="13"/>
              <w:pBdr>
                <w:bottom w:val="none" w:color="auto" w:sz="0" w:space="0"/>
              </w:pBdr>
              <w:ind w:firstLine="0" w:firstLineChars="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1ADF53F7">
            <w:pPr>
              <w:pStyle w:val="13"/>
              <w:pBdr>
                <w:bottom w:val="none" w:color="auto" w:sz="0" w:space="0"/>
              </w:pBdr>
              <w:ind w:firstLine="0" w:firstLineChars="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590F24AA">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68B9C292">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06959227">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1B39B75">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30593CC">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A5A3EA0">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045AE659">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46960F2B">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287DA6C6">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1C815523">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8C0B5E8">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8B3805D">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150F837">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295996FB">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4B41B322">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CD9BBBE">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2A63E0C2">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0BDA1DF">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4DAAB8E5">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7FE368A">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D8ED728">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E4528AE">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4C88FA6">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5CADAD8F">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1D1AC142">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5D320F4D">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4E04EE61">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12DDD65E">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6D976ECD">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024F976D">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4A4CDDD">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3F39D81A">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7F3D6A95">
            <w:pPr>
              <w:pStyle w:val="13"/>
              <w:pBdr>
                <w:bottom w:val="none" w:color="auto" w:sz="0" w:space="0"/>
              </w:pBdr>
              <w:ind w:firstLine="0" w:firstLineChars="0"/>
              <w:rPr>
                <w:rFonts w:hint="eastAsia" w:ascii="Times New Roman" w:hAnsi="Times New Roman" w:cs="Times New Roman" w:eastAsiaTheme="minorEastAsia"/>
                <w:color w:val="0D0D0D" w:themeColor="text1" w:themeTint="F2"/>
                <w:sz w:val="24"/>
                <w:szCs w:val="24"/>
                <w:highlight w:val="none"/>
                <w:lang w:eastAsia="zh-CN"/>
                <w14:textFill>
                  <w14:solidFill>
                    <w14:schemeClr w14:val="tx1">
                      <w14:lumMod w14:val="95000"/>
                      <w14:lumOff w14:val="5000"/>
                    </w14:schemeClr>
                  </w14:solidFill>
                </w14:textFill>
              </w:rPr>
            </w:pPr>
          </w:p>
          <w:p w14:paraId="0611DED9">
            <w:pPr>
              <w:pStyle w:val="13"/>
              <w:pBdr>
                <w:bottom w:val="none" w:color="auto" w:sz="0" w:space="0"/>
              </w:pBdr>
              <w:ind w:firstLine="0" w:firstLineChars="0"/>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2EA59A46">
            <w:pPr>
              <w:pStyle w:val="13"/>
              <w:pBdr>
                <w:bottom w:val="none" w:color="auto" w:sz="0" w:space="0"/>
              </w:pBdr>
              <w:ind w:firstLine="0" w:firstLineChars="0"/>
              <w:jc w:val="both"/>
              <w:rPr>
                <w:rFonts w:ascii="Times New Roman" w:hAnsi="Times New Roman" w:cs="Times New Roman" w:eastAsiaTheme="minorEastAsia"/>
                <w:color w:val="0D0D0D" w:themeColor="text1" w:themeTint="F2"/>
                <w:sz w:val="24"/>
                <w:szCs w:val="24"/>
                <w:highlight w:val="none"/>
                <w14:textFill>
                  <w14:solidFill>
                    <w14:schemeClr w14:val="tx1">
                      <w14:lumMod w14:val="95000"/>
                      <w14:lumOff w14:val="5000"/>
                    </w14:schemeClr>
                  </w14:solidFill>
                </w14:textFill>
              </w:rPr>
            </w:pPr>
          </w:p>
        </w:tc>
      </w:tr>
    </w:tbl>
    <w:p w14:paraId="27F975CE">
      <w:pPr>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br w:type="page"/>
      </w:r>
    </w:p>
    <w:p w14:paraId="4CA297F1">
      <w:pPr>
        <w:pStyle w:val="2"/>
        <w:spacing w:before="0" w:after="0" w:line="240" w:lineRule="auto"/>
        <w:ind w:firstLine="0" w:firstLineChars="0"/>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pPr>
      <w:bookmarkStart w:id="88" w:name="_Toc60227355"/>
      <w:r>
        <w:rPr>
          <w:rFonts w:ascii="Times New Roman" w:hAnsi="Times New Roman" w:cs="Times New Roman" w:eastAsiaTheme="minorEastAsia"/>
          <w:bCs/>
          <w:color w:val="0D0D0D" w:themeColor="text1" w:themeTint="F2"/>
          <w:spacing w:val="2"/>
          <w:sz w:val="28"/>
          <w:szCs w:val="28"/>
          <w:highlight w:val="none"/>
          <w14:textFill>
            <w14:solidFill>
              <w14:schemeClr w14:val="tx1">
                <w14:lumMod w14:val="95000"/>
                <w14:lumOff w14:val="5000"/>
              </w14:schemeClr>
            </w14:solidFill>
          </w14:textFill>
        </w:rPr>
        <w:t>表13结论与建议</w:t>
      </w:r>
      <w:bookmarkEnd w:id="88"/>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17D1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1" w:hRule="atLeast"/>
        </w:trPr>
        <w:tc>
          <w:tcPr>
            <w:tcW w:w="8522" w:type="dxa"/>
          </w:tcPr>
          <w:p w14:paraId="3BA2EA0B">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13.1结论</w:t>
            </w:r>
          </w:p>
          <w:p w14:paraId="145C22F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项目概况</w:t>
            </w:r>
          </w:p>
          <w:p w14:paraId="5D52AF2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拟</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将</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医技楼4楼</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原有的医疗用房改建为1间</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机房及配套辅助用房，并进行防辐射装修后，新增1台</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装置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型号为</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北京通用</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GEOEC ONE CFD</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，设备参数为最大管电压1</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10</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kV，最大管电流</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mA，该</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设备属于II类射线装置。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手术室净尺寸为：长×宽×高=9.75m×7.10m×4.2m，有效使用面积为69.23m</w:t>
            </w:r>
            <w:r>
              <w:rPr>
                <w:rFonts w:hint="eastAsia" w:ascii="Times New Roman" w:hAnsi="Times New Roman" w:cs="Times New Roman" w:eastAsiaTheme="minorEastAsia"/>
                <w:color w:val="0D0D0D" w:themeColor="text1" w:themeTint="F2"/>
                <w:highlight w:val="none"/>
                <w:vertAlign w:val="superscript"/>
                <w:lang w:val="en-US" w:eastAsia="zh-CN"/>
                <w14:textFill>
                  <w14:solidFill>
                    <w14:schemeClr w14:val="tx1">
                      <w14:lumMod w14:val="95000"/>
                      <w14:lumOff w14:val="5000"/>
                    </w14:schemeClr>
                  </w14:solidFill>
                </w14:textFill>
              </w:rPr>
              <w:t>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。本项目总投资564万元，其中环保投资约53.9万元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BC9CEFC">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2</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实践的正当性</w:t>
            </w:r>
          </w:p>
          <w:p w14:paraId="15E5652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在运行期间将会产生一定的电离辐射，虽然会增加</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周围的电离辐射水平，但是采取前文所述的各种屏蔽措施和管理措施后可得到有效的控制。项目投入使用不仅满足患者就医需求，还将给医院带来更多的经济效益和社会效益，项目产生的效益远大于电离辐射导致的危害，因此符合《电离辐射防护与辐射源安全基本标准》（GB18871-2002）“实践的正当性”的原则。</w:t>
            </w:r>
          </w:p>
          <w:p w14:paraId="0C6A9D94">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3</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产业政策符合性及规划符合性</w:t>
            </w:r>
          </w:p>
          <w:p w14:paraId="5A8881B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属于《产业结构调整指导目录（2024年本）》中第十三项医药中第4款：“高端医疗器械创新发展：新型基因、蛋白和细胞诊断设备，新型医用诊断设备和试剂，高性能医学影像设备，高端放射治疗设备，急危重症生命支持设备，人工智能辅助医疗设备，移动与远程诊疗设备，高端康复辅助器具，高端植入介入产品，手术机器人等高端外科设备及耗材，生物医用材料、增材制造技术开发与应用”，属于国家鼓励类产业，符合国家产业政策</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5A2D706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本项目位于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昆明市呈贡区余华街道办事处祥园街2628号昆明市中医医院（呈贡医院）医技楼4楼介入手术室</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。该用地属于</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呈贡区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已规划的医疗卫生用地，本项目不涉及新增占地，因此项目符合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呈贡区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城市总体规划</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w:t>
            </w:r>
          </w:p>
          <w:p w14:paraId="6DD52CAE">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4</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选址的合理性</w:t>
            </w:r>
          </w:p>
          <w:p w14:paraId="5F80326F">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（1）选址合理性分析</w:t>
            </w:r>
          </w:p>
          <w:p w14:paraId="64F04677">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昆明市中医医院（呈贡医院）位于昆明市呈贡区余华街道办事处祥园街2628号，本项目介入手术室及配套用房拟建位置为昆明市中医医院（呈贡医院）医技楼4楼介入手术室(东经：102°49′39.541″；北纬：24°52′2.324″）。医技楼北侧为住院楼、行政办公楼、中医制剂楼，与介入手术室屏蔽墙体距离分别为17m、78m、69m；西侧为院内休息花园，距离介入手术室屏蔽墙体距离为73m；南侧为门诊楼，距离介入手术室屏蔽墙体距离为16m；东侧为院内休息花园，距离介入手术室屏蔽墙体距离为12m。介入手术室墙体外延50m范围内均为院内建筑物、道路、景观绿化区等。本项目50m范围之内无自然保护区、风景名胜区等环境敏感区，也未紧邻产科、儿科等。本项目介入手术室进行了相应的辐射屏蔽设计，根据表11环境影响分析可知，经采取相应防护治理措施后，项目设备电离辐射对周围环境影响较小，选址合理</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w:t>
            </w:r>
          </w:p>
          <w:p w14:paraId="3419C823">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（2）平面布置和人员通道合理性分析</w:t>
            </w:r>
          </w:p>
          <w:p w14:paraId="256463AD">
            <w:pPr>
              <w:autoSpaceDE w:val="0"/>
              <w:autoSpaceDN w:val="0"/>
              <w:adjustRightInd w:val="0"/>
              <w:spacing w:line="360" w:lineRule="auto"/>
              <w:ind w:firstLine="480"/>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拟建位置为</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医院医技楼东</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侧。</w:t>
            </w:r>
            <w:r>
              <w:rPr>
                <w:rFonts w:hint="eastAsia"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北侧隔本项目控制室外为麻醉耗材库、体位垫库房、仪器室、药品室、室内道路、住院楼；西</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侧</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隔本项目前室外为室内道路、其他手术室、麻醉药品库、配电室、库房、医护办公室；南侧为其他手术室、药品瓶回收间、样本间、清洁间、室内道路、门诊楼；东侧为室内通道、无菌物品库房、工友间、污物清洗收集室、污物间、电梯间、楼梯间、院内休息花园。</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正</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上方（</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楼）为</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楼顶设备摆放区</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；项目</w:t>
            </w:r>
            <w:r>
              <w:rPr>
                <w:rFonts w:hint="eastAsia"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正</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下方（</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3</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楼）</w:t>
            </w:r>
            <w:r>
              <w:rPr>
                <w:rFonts w:hint="eastAsia" w:ascii="Times New Roman" w:hAnsi="Times New Roman" w:cs="Times New Roman" w:eastAsiaTheme="minorEastAsia"/>
                <w:color w:val="0D0D0D" w:themeColor="text1" w:themeTint="F2"/>
                <w:kern w:val="0"/>
                <w:highlight w:val="none"/>
                <w:lang w:val="en-US" w:eastAsia="zh-CN"/>
                <w14:textFill>
                  <w14:solidFill>
                    <w14:schemeClr w14:val="tx1">
                      <w14:lumMod w14:val="95000"/>
                      <w14:lumOff w14:val="5000"/>
                    </w14:schemeClr>
                  </w14:solidFill>
                </w14:textFill>
              </w:rPr>
              <w:t>为室内通道、检查室、阅片室、腔镜室。本项目医护人员由项目区北侧医护通道进入，经更衣室、洁净走廊后进入控制室及介入手术室；病人由项目区北侧患者通道进入，经换床间、洁净通道、前室后进入介入手术室就诊，术后原路返回；术后污物从介入手术室东侧经污物清洗收集室打包后通过东南侧污物电梯离开</w:t>
            </w:r>
            <w:r>
              <w:rPr>
                <w:rFonts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，区域划分明确。</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且项目区避开了人群较为集中的区域，所处位置相对独立，医护人员通道、患者通道和污物通道都是独立设施、有利于病人流通且避免不同人员的交叉影响。同时，</w:t>
            </w:r>
            <w:r>
              <w:rPr>
                <w:rFonts w:hint="eastAsia" w:ascii="Times New Roman" w:hAnsi="Times New Roman" w:cs="Times New Roman" w:eastAsiaTheme="minorEastAsia"/>
                <w:color w:val="0D0D0D" w:themeColor="text1" w:themeTint="F2"/>
                <w:kern w:val="0"/>
                <w:highlight w:val="none"/>
                <w:lang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kern w:val="0"/>
                <w:highlight w:val="none"/>
                <w14:textFill>
                  <w14:solidFill>
                    <w14:schemeClr w14:val="tx1">
                      <w14:lumMod w14:val="95000"/>
                      <w14:lumOff w14:val="5000"/>
                    </w14:schemeClr>
                  </w14:solidFill>
                </w14:textFill>
              </w:rPr>
              <w:t>采取了有效屏蔽措施后对周围产生的环境影响是可以接受的，因此，项目平面布局合理。</w:t>
            </w:r>
          </w:p>
          <w:p w14:paraId="6AEF45A3">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5</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辐射环境质量现状</w:t>
            </w:r>
          </w:p>
          <w:p w14:paraId="0E67B3D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202</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4</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年</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12</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月</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20</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日</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云南正毅环境监测有限公司对拟建</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区域辐射环境现状进行了监测，监测结果显示：</w:t>
            </w:r>
            <w:r>
              <w:rPr>
                <w:rFonts w:hint="default"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在考虑扣除宇宙射线响应值后，本项目介入手术室拟建区域周围环境（1-13号监测点）的X-γ辐射剂量率在0.06~0.11μSv/h范围内，介入手术室拟建场所周围院内院外区域环境（14-25号监测点）的X-γ辐射剂量率在0.06~0.10μSv/h范围内，与本次监测的医院背景值（26号监测点）的X-γ辐射剂量率0.08μSy/h水平相当。在不考虑扣除宇宙射线响应值的情况下，本项目介入手术室拟建区域周围环境（1-13号监测点）的X-γ辐射剂量率在0.07~0.12μSv/h范围内，介入手术室拟建场所周围院内院外区域环境（14-25号监测点）的X-γ辐射剂量率在0.07~0.11μSv/h范围内，与本次监测的医院背景值（26号监测点）的X-γ辐射剂量率0.09μSy/h水平相当，根据《云南省环境天然贯穿辐射水平调查研究》，昆明市道路γ辐射剂量率在0.0351μGy/h~0.0752μGy/h之间，昆明市房屋室内γ辐射剂量率在0.0641μGy/h~0.1266μGy/h之间，由此可知，本项目拟建场所及周围环境的X-γ辐射剂量率处于该区域正常水平范围。</w:t>
            </w:r>
          </w:p>
          <w:p w14:paraId="2E2B5FDB">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6</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辐射安全与防护分析</w:t>
            </w:r>
          </w:p>
          <w:p w14:paraId="604906AD">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四周墙体、顶棚、地面、防护门及观察窗屏蔽厚度均不低于2mm铅当量，能够满足《放射诊断放射防护要求》（GBZ130-2020）要求。设备自带有辐射防护设备，医务人员工作时穿戴铅衣、铅手套、铅围脖、铅眼镜等防护用品，通过以上各项防护措施的综合使用，可有效防止X射线产生的辐射影响，对辐射工作人员和周围公众所致剂量满足本项目的管理限值要求。</w:t>
            </w:r>
          </w:p>
          <w:p w14:paraId="176EABB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另外，本项目</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控制室防护门、患者通道防护门、污物通道防护门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处设计有工作状态指示灯，门灯能有效联动；</w:t>
            </w:r>
            <w:r>
              <w:rPr>
                <w:rFonts w:hint="default"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控制室防护门、患者通道防护门、污物通道防护门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表面以及过道外墙上设计有电离辐射警告标志及中文警示说明；</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设备上及操作室控制台处各设计有1个急停按钮</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内安装1套监控和对讲系统，可实时监控</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介入室内情况</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。落实以上辐射安全措施后能够满足有关辐射防护安全要求。</w:t>
            </w:r>
          </w:p>
          <w:p w14:paraId="79AD5A83">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7</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环境影响分析结论</w:t>
            </w:r>
          </w:p>
          <w:p w14:paraId="4718AAC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（1）施工期</w:t>
            </w:r>
          </w:p>
          <w:p w14:paraId="1530581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所在的</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医技楼</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已建成多年，医院拟将</w:t>
            </w:r>
            <w:r>
              <w:rPr>
                <w:rFonts w:hint="eastAsia" w:ascii="Times New Roman" w:hAnsi="Times New Roman" w:cs="Times New Roman"/>
                <w:color w:val="0D0D0D" w:themeColor="text1" w:themeTint="F2"/>
                <w:spacing w:val="-1"/>
                <w:highlight w:val="none"/>
                <w:lang w:val="en-US" w:eastAsia="zh-CN"/>
                <w14:textFill>
                  <w14:solidFill>
                    <w14:schemeClr w14:val="tx1">
                      <w14:lumMod w14:val="95000"/>
                      <w14:lumOff w14:val="5000"/>
                    </w14:schemeClr>
                  </w14:solidFill>
                </w14:textFill>
              </w:rPr>
              <w:t>医技楼4楼</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原有的医疗用房改建为1间</w:t>
            </w:r>
            <w:r>
              <w:rPr>
                <w:rFonts w:hint="eastAsia" w:ascii="Times New Roman" w:hAnsi="Times New Roman" w:cs="Times New Roman"/>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color w:val="0D0D0D" w:themeColor="text1" w:themeTint="F2"/>
                <w:spacing w:val="-1"/>
                <w:highlight w:val="none"/>
                <w14:textFill>
                  <w14:solidFill>
                    <w14:schemeClr w14:val="tx1">
                      <w14:lumMod w14:val="95000"/>
                      <w14:lumOff w14:val="5000"/>
                    </w14:schemeClr>
                  </w14:solidFill>
                </w14:textFill>
              </w:rPr>
              <w:t>机房及配套辅助用房</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，新增1台</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装置，设备</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型号为北京通用的GEOEC ONE CFD</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本项目所产生的废水与固废均依托医院</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已建</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的环保措施进行处理，本项目施工主要为</w:t>
            </w:r>
            <w:r>
              <w:rPr>
                <w:rFonts w:hint="eastAsia" w:ascii="Times New Roman" w:hAnsi="Times New Roman" w:cs="Times New Roman" w:eastAsiaTheme="minorEastAsia"/>
                <w:color w:val="0D0D0D" w:themeColor="text1" w:themeTint="F2"/>
                <w:kern w:val="0"/>
                <w:highlight w:val="none"/>
                <w:lang w:val="en-US"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和配套场所的</w:t>
            </w:r>
            <w:r>
              <w:rPr>
                <w:rFonts w:hint="eastAsia"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建设及</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装修、</w:t>
            </w:r>
            <w:r>
              <w:rPr>
                <w:rFonts w:hint="eastAsia" w:ascii="Times New Roman" w:hAnsi="Times New Roman" w:cs="Times New Roman" w:eastAsiaTheme="minorEastAsia"/>
                <w:color w:val="0D0D0D" w:themeColor="text1" w:themeTint="F2"/>
                <w:kern w:val="0"/>
                <w:highlight w:val="none"/>
                <w:lang w:eastAsia="zh-CN" w:bidi="ar"/>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kern w:val="0"/>
                <w:highlight w:val="none"/>
                <w:lang w:bidi="ar"/>
                <w14:textFill>
                  <w14:solidFill>
                    <w14:schemeClr w14:val="tx1">
                      <w14:lumMod w14:val="95000"/>
                      <w14:lumOff w14:val="5000"/>
                    </w14:schemeClr>
                  </w14:solidFill>
                </w14:textFill>
              </w:rPr>
              <w:t>的屏蔽防护措施施工，施工量较少，施工期间施工方遵守文明施工、合理施工的原则，各项环保措施到位，对周围环境影响较小。由于本项目施工量较少，施工期短，施工期影响随着施工期的结束而消失。</w:t>
            </w:r>
          </w:p>
          <w:p w14:paraId="50C8C6A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（2）运营期辐射环境影响分析</w:t>
            </w:r>
          </w:p>
          <w:p w14:paraId="67DAC513">
            <w:pPr>
              <w:spacing w:line="360" w:lineRule="auto"/>
              <w:ind w:firstLine="484"/>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经过理论计算，本项目</w:t>
            </w:r>
            <w:r>
              <w:rPr>
                <w:rFonts w:hint="eastAsia" w:ascii="Times New Roman" w:hAnsi="Times New Roman" w:cs="Times New Roman" w:eastAsiaTheme="minorEastAsia"/>
                <w:color w:val="0D0D0D" w:themeColor="text1" w:themeTint="F2"/>
                <w:spacing w:val="1"/>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对</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介入手术室内医护人员</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造成的最大年有效剂量估算为</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2.93</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mSv/a，低于职业年有效剂量管理限值5mSv/a；对保护范围内的公众人员造成的最大年有效剂量估算为</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3.06E-03mSv/a</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，低于公众年有效剂量管理限值</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0.25</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mSv/a，满足《电离辐射防护与辐射源安全基本标准》（GB18871—2002）和《云南省环保局关于〈在辐射安全许可工作中确定电离辐射安全管理限值请示〉的复函》（云环函[2006]727 号）对职业人员及公众照射的要求。</w:t>
            </w:r>
          </w:p>
          <w:p w14:paraId="25A638A8">
            <w:pPr>
              <w:spacing w:line="360" w:lineRule="auto"/>
              <w:ind w:firstLine="484"/>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经</w:t>
            </w:r>
            <w:r>
              <w:rPr>
                <w:rFonts w:hint="eastAsia" w:ascii="Times New Roman" w:hAnsi="Times New Roman" w:cs="Times New Roman" w:eastAsiaTheme="minorEastAsia"/>
                <w:color w:val="0D0D0D" w:themeColor="text1" w:themeTint="F2"/>
                <w:spacing w:val="1"/>
                <w:highlight w:val="none"/>
                <w:lang w:val="en-US" w:eastAsia="zh-CN"/>
                <w14:textFill>
                  <w14:solidFill>
                    <w14:schemeClr w14:val="tx1">
                      <w14:lumMod w14:val="95000"/>
                      <w14:lumOff w14:val="5000"/>
                    </w14:schemeClr>
                  </w14:solidFill>
                </w14:textFill>
              </w:rPr>
              <w:t>介入手术室</w:t>
            </w:r>
            <w:r>
              <w:rPr>
                <w:rFonts w:hint="eastAsia" w:ascii="Times New Roman" w:hAnsi="Times New Roman" w:cs="Times New Roman" w:eastAsiaTheme="minorEastAsia"/>
                <w:color w:val="0D0D0D" w:themeColor="text1" w:themeTint="F2"/>
                <w:spacing w:val="1"/>
                <w:highlight w:val="none"/>
                <w14:textFill>
                  <w14:solidFill>
                    <w14:schemeClr w14:val="tx1">
                      <w14:lumMod w14:val="95000"/>
                      <w14:lumOff w14:val="5000"/>
                    </w14:schemeClr>
                  </w14:solidFill>
                </w14:textFill>
              </w:rPr>
              <w:t>实体屏蔽防护后，本项目投入使用后对评价范围(50m)内环境保护目标环境影响较小。</w:t>
            </w:r>
          </w:p>
          <w:p w14:paraId="47317C4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（3）运行期大气环境影响</w:t>
            </w:r>
          </w:p>
          <w:p w14:paraId="0DBD49C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介入手术室</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内采用上进下排的通风系统，产生的少量臭氧及氮氧化物经楼内排风管道引</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楼顶</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排放，常温下臭氧自行分解为氧气，废气再经稀释扩散后对环境影响很小。</w:t>
            </w:r>
          </w:p>
          <w:p w14:paraId="34A417F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（4）运行期水环境影响</w:t>
            </w:r>
          </w:p>
          <w:p w14:paraId="5B36E7E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本项目的废水主要为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工作人员生活污水及医疗废水</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，废水依托</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昆明市中医医院（呈贡医院）</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污水处理站处理达</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标</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后，通过</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项目区北侧的祥丰街城市污水管网</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进入</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呈贡污水处理厂</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进行深度处理，对区域水体环境影响较小。</w:t>
            </w:r>
          </w:p>
          <w:p w14:paraId="3B9C8F1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（5）运行期声环境影响</w:t>
            </w:r>
          </w:p>
          <w:p w14:paraId="30F2DE2B">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本项目运营期噪声主要来源于</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备、通风系统的风机，机房所使用的射线装置、风机均选用低噪声设备，其噪声值一般低于60dB(A)，噪声较小，均处于室内，通过建筑墙体隔声及距离衰减后，运行期间厂界噪声可达到GB12348-2008《工业企业厂界环境噪声排放标准》</w:t>
            </w:r>
            <w:bookmarkStart w:id="89" w:name="OLE_LINK217"/>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2</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类标准</w:t>
            </w:r>
            <w:bookmarkEnd w:id="89"/>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要求。</w:t>
            </w:r>
          </w:p>
          <w:p w14:paraId="694E6E4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（6）运行期固体废弃物环境影响</w:t>
            </w:r>
          </w:p>
          <w:p w14:paraId="753153A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采用数字成像，无废胶片产生；手术过程中产生的</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医疗器具、废药棉、纱布、手套、废药品、废药瓶</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等医疗废物采用专门的收集容器收集后，转移至</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依托的昆明市中医医院（呈贡医院）</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医疗废物</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暂存间，定期交由</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云南正晓环保投资有限公司</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清运处置</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；工作人员产生的生活垃圾依托医院保洁措施，统一集中收集并交由环卫部门统一清运。采取以上处理措施后对周围环境影响很小。</w:t>
            </w:r>
          </w:p>
          <w:p w14:paraId="6159804D">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8</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事故情况下辐射环境影响评价结论</w:t>
            </w:r>
          </w:p>
          <w:p w14:paraId="2B25127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根据事故情况估算结果，本项目</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事故情况下可能产生的后果按《云南省生态环境厅辐射事故应急响应预案》中规定判断，可能发生一般辐射事故。</w:t>
            </w:r>
          </w:p>
          <w:p w14:paraId="29382E20">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医院制定了辐射事故应急预案，</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介入室设置电离辐射警告标志、工作状态指示灯和急停按钮。医院应加强辐射安全管理，辐射工作人员严格按照操作规程，正确穿戴辐射防护用品，确认机房内无其他闲杂人员、防护门关闭的情况下才能进行曝光。通过采取上述辐射事故防范及应急处置措施后，项目产生的辐射事故环境风险可控。</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7AC3F641">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9</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医院辐射安全管理综合能力分析结论</w:t>
            </w:r>
          </w:p>
          <w:p w14:paraId="4EA03BBF">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落实</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设计、本《报告表》</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措施后，医院拥有专业的辐射工作人员和辐射安全管理机构，有符合国家环境保护标准和安全防护要求的场所、设施和设备；建立了较完善的辐射安全管理制度、辐射事故应急措施，具有对</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本《报告表》评价的</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装置的使用和管理能力。</w:t>
            </w:r>
          </w:p>
          <w:p w14:paraId="4F2F9C18">
            <w:pPr>
              <w:spacing w:line="360" w:lineRule="auto"/>
              <w:ind w:firstLine="0" w:firstLineChars="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13.1.</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10</w:t>
            </w: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环保可行性结论</w:t>
            </w:r>
          </w:p>
          <w:p w14:paraId="333BDA01">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Cs/>
                <w:color w:val="0D0D0D" w:themeColor="text1" w:themeTint="F2"/>
                <w:highlight w:val="none"/>
                <w14:textFill>
                  <w14:solidFill>
                    <w14:schemeClr w14:val="tx1">
                      <w14:lumMod w14:val="95000"/>
                      <w14:lumOff w14:val="5000"/>
                    </w14:schemeClr>
                  </w14:solidFill>
                </w14:textFill>
              </w:rPr>
              <w:t>综上所述，</w:t>
            </w:r>
            <w:r>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t>昆明市中医医院呈贡医院新增移动C臂X射线机核技术利用项目</w:t>
            </w:r>
            <w:r>
              <w:rPr>
                <w:rFonts w:ascii="Times New Roman" w:hAnsi="Times New Roman" w:cs="Times New Roman" w:eastAsiaTheme="minorEastAsia"/>
                <w:bCs/>
                <w:color w:val="0D0D0D" w:themeColor="text1" w:themeTint="F2"/>
                <w:highlight w:val="none"/>
                <w14:textFill>
                  <w14:solidFill>
                    <w14:schemeClr w14:val="tx1">
                      <w14:lumMod w14:val="95000"/>
                      <w14:lumOff w14:val="5000"/>
                    </w14:schemeClr>
                  </w14:solidFill>
                </w14:textFill>
              </w:rPr>
              <w:t>符合国家产业政策，符合辐射防护“实践的正当性”原则。只要严格按照国家有关法规及标准完善，加强运行管理，落实防护措施，建设单位具备对1台</w:t>
            </w:r>
            <w:r>
              <w:rPr>
                <w:rFonts w:hint="eastAsia" w:ascii="Times New Roman" w:hAnsi="Times New Roman" w:cs="Times New Roman" w:eastAsiaTheme="minorEastAsia"/>
                <w:bCs/>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Cs/>
                <w:color w:val="0D0D0D" w:themeColor="text1" w:themeTint="F2"/>
                <w:highlight w:val="none"/>
                <w14:textFill>
                  <w14:solidFill>
                    <w14:schemeClr w14:val="tx1">
                      <w14:lumMod w14:val="95000"/>
                      <w14:lumOff w14:val="5000"/>
                    </w14:schemeClr>
                  </w14:solidFill>
                </w14:textFill>
              </w:rPr>
              <w:t>装置的使用和管理能力。在落实本报告提出的辐射环境保护措施前提下，</w:t>
            </w:r>
            <w:r>
              <w:rPr>
                <w:rFonts w:hint="eastAsia" w:ascii="Times New Roman" w:hAnsi="Times New Roman" w:cs="Times New Roman" w:eastAsiaTheme="minorEastAsia"/>
                <w:bCs/>
                <w:color w:val="0D0D0D" w:themeColor="text1" w:themeTint="F2"/>
                <w:highlight w:val="none"/>
                <w:lang w:eastAsia="zh-CN"/>
                <w14:textFill>
                  <w14:solidFill>
                    <w14:schemeClr w14:val="tx1">
                      <w14:lumMod w14:val="95000"/>
                      <w14:lumOff w14:val="5000"/>
                    </w14:schemeClr>
                  </w14:solidFill>
                </w14:textFill>
              </w:rPr>
              <w:t>移动C臂X射线机</w:t>
            </w:r>
            <w:r>
              <w:rPr>
                <w:rFonts w:ascii="Times New Roman" w:hAnsi="Times New Roman" w:cs="Times New Roman" w:eastAsiaTheme="minorEastAsia"/>
                <w:bCs/>
                <w:color w:val="0D0D0D" w:themeColor="text1" w:themeTint="F2"/>
                <w:highlight w:val="none"/>
                <w14:textFill>
                  <w14:solidFill>
                    <w14:schemeClr w14:val="tx1">
                      <w14:lumMod w14:val="95000"/>
                      <w14:lumOff w14:val="5000"/>
                    </w14:schemeClr>
                  </w14:solidFill>
                </w14:textFill>
              </w:rPr>
              <w:t>正常运行对本项目辐射工作人员和周边公众所致有效剂量能够满足《电离辐射防护与辐射源安全基本标准》（GB18871-2002）中对职业及公众照射的要求。因此，从辐射安全和环境保护角度论证，本项目建设是可行的。</w:t>
            </w:r>
          </w:p>
          <w:p w14:paraId="10B652B2">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13.2承诺</w:t>
            </w:r>
          </w:p>
          <w:p w14:paraId="1314B9F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为保护环境，保障人员健康，医院承诺：</w:t>
            </w:r>
          </w:p>
          <w:p w14:paraId="5BE39EF9">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w:t>
            </w:r>
            <w:r>
              <w:rPr>
                <w:rFonts w:ascii="宋体" w:hAnsi="宋体" w:cs="宋体"/>
                <w:color w:val="0D0D0D" w:themeColor="text1" w:themeTint="F2"/>
                <w:highlight w:val="none"/>
                <w14:textFill>
                  <w14:solidFill>
                    <w14:schemeClr w14:val="tx1">
                      <w14:lumMod w14:val="95000"/>
                      <w14:lumOff w14:val="5000"/>
                    </w14:schemeClr>
                  </w14:solidFill>
                </w14:textFill>
              </w:rPr>
              <w:t>做好辐射工作场所屏蔽防护工程的设计，加强施工过程的管理，建立工程施工档案，对隐蔽工程需留存影像、图片等资料。</w:t>
            </w:r>
          </w:p>
          <w:p w14:paraId="0B4EDB5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w:t>
            </w:r>
            <w:r>
              <w:rPr>
                <w:rFonts w:ascii="宋体" w:hAnsi="宋体" w:cs="宋体"/>
                <w:color w:val="0D0D0D" w:themeColor="text1" w:themeTint="F2"/>
                <w:highlight w:val="none"/>
                <w14:textFill>
                  <w14:solidFill>
                    <w14:schemeClr w14:val="tx1">
                      <w14:lumMod w14:val="95000"/>
                      <w14:lumOff w14:val="5000"/>
                    </w14:schemeClr>
                  </w14:solidFill>
                </w14:textFill>
              </w:rPr>
              <w:t>建立健全并落实医院辐射安全与防护管理制度，加强射线装置防控设施的日常运行管理，加强辐射工作人员辐射安全防护教育，提高辐射安全防护意识，避免误照射事故发生，辐射工作人员个人剂量按有关规定定期检测，防止职业人员年有效剂量超过云南省辐射管理职业人员限值。</w:t>
            </w:r>
          </w:p>
          <w:p w14:paraId="5A97E3C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）辐射监测仪器、报警仪器和其他辐射防护设备安排专人负责，定期检查、维护，确保其性能良好，确保监测数据可靠，为辐射防护提供可靠依据。</w:t>
            </w:r>
          </w:p>
          <w:p w14:paraId="5068151E">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宋体" w:hAnsi="宋体" w:cs="宋体"/>
                <w:color w:val="0D0D0D" w:themeColor="text1" w:themeTint="F2"/>
                <w:highlight w:val="none"/>
                <w14:textFill>
                  <w14:solidFill>
                    <w14:schemeClr w14:val="tx1">
                      <w14:lumMod w14:val="95000"/>
                      <w14:lumOff w14:val="5000"/>
                    </w14:schemeClr>
                  </w14:solidFill>
                </w14:textFill>
              </w:rPr>
              <w:t>（4）</w:t>
            </w:r>
            <w:r>
              <w:rPr>
                <w:rFonts w:ascii="宋体" w:hAnsi="宋体" w:cs="宋体"/>
                <w:color w:val="0D0D0D" w:themeColor="text1" w:themeTint="F2"/>
                <w:highlight w:val="none"/>
                <w14:textFill>
                  <w14:solidFill>
                    <w14:schemeClr w14:val="tx1">
                      <w14:lumMod w14:val="95000"/>
                      <w14:lumOff w14:val="5000"/>
                    </w14:schemeClr>
                  </w14:solidFill>
                </w14:textFill>
              </w:rPr>
              <w:t>加强辐射工作场所“监督区、控制区”日常管理及其周围辐射环境的监测，认真落实项目监测计划。加强设备安装调试期间辐射工作场所周围辐射环境监测工作。</w:t>
            </w:r>
          </w:p>
          <w:p w14:paraId="24286FA7">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）认真学习贯彻国家相关环保法律、法规，进行核文化宣贯，不断提高遵守法律的自觉性和安全文化素养，切实做好各项环保工作。</w:t>
            </w:r>
          </w:p>
          <w:p w14:paraId="0339D063">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（6）</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辐射工作人员及医院辐射防护负责人需参加</w:t>
            </w:r>
            <w:r>
              <w:rPr>
                <w:rFonts w:hint="eastAsia" w:ascii="Times New Roman" w:hAnsi="Times New Roman" w:cs="Times New Roman" w:eastAsiaTheme="minorEastAsia"/>
                <w:color w:val="0D0D0D" w:themeColor="text1" w:themeTint="F2"/>
                <w:highlight w:val="none"/>
                <w:lang w:val="en-US" w:eastAsia="zh-CN"/>
                <w14:textFill>
                  <w14:solidFill>
                    <w14:schemeClr w14:val="tx1">
                      <w14:lumMod w14:val="95000"/>
                      <w14:lumOff w14:val="5000"/>
                    </w14:schemeClr>
                  </w14:solidFill>
                </w14:textFill>
              </w:rPr>
              <w:t>生态环境部组织的培训，通过考核并取得上岗证后方能上岗</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02CC056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7</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）自觉自愿接受生态环境行政主管部门的监督检查。</w:t>
            </w:r>
          </w:p>
          <w:p w14:paraId="66045CA8">
            <w:pPr>
              <w:spacing w:line="360" w:lineRule="auto"/>
              <w:ind w:firstLine="0" w:firstLineChars="0"/>
              <w:rPr>
                <w:rFonts w:hint="eastAsia" w:ascii="Times New Roman" w:hAnsi="Times New Roman" w:cs="Times New Roman" w:eastAsiaTheme="minorEastAsia"/>
                <w:b/>
                <w:bCs/>
                <w:color w:val="0D0D0D" w:themeColor="text1" w:themeTint="F2"/>
                <w:highlight w:val="none"/>
                <w:lang w:eastAsia="zh-CN"/>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13.</w:t>
            </w:r>
            <w:r>
              <w:rPr>
                <w:rFonts w:hint="eastAsia"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3</w:t>
            </w:r>
            <w:r>
              <w:rPr>
                <w:rFonts w:hint="eastAsia" w:ascii="Times New Roman" w:hAnsi="Times New Roman" w:cs="Times New Roman" w:eastAsiaTheme="minorEastAsia"/>
                <w:b/>
                <w:bCs/>
                <w:color w:val="0D0D0D" w:themeColor="text1" w:themeTint="F2"/>
                <w:highlight w:val="none"/>
                <w:lang w:val="en-US" w:eastAsia="zh-CN"/>
                <w14:textFill>
                  <w14:solidFill>
                    <w14:schemeClr w14:val="tx1">
                      <w14:lumMod w14:val="95000"/>
                      <w14:lumOff w14:val="5000"/>
                    </w14:schemeClr>
                  </w14:solidFill>
                </w14:textFill>
              </w:rPr>
              <w:t>要求</w:t>
            </w:r>
          </w:p>
          <w:p w14:paraId="0E929DE2">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（1）项目竣工后应按照国家相关法律法规</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和表12-4竣工验收要求一览表所列内容尽快开展环保设施竣工自主验收。</w:t>
            </w:r>
          </w:p>
          <w:p w14:paraId="2B01649A">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（2）在实施诊治之前，事先告知患者或被检查者辐射对健康的潜在影响。</w:t>
            </w:r>
          </w:p>
          <w:p w14:paraId="1BE42E36">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（3）医院应合理分配医生的手术量，尽量做到平均分配，以防因手术量过多造成个人剂量超过管理限值要求。</w:t>
            </w:r>
          </w:p>
          <w:p w14:paraId="31E131B8">
            <w:pPr>
              <w:spacing w:line="360" w:lineRule="auto"/>
              <w:ind w:firstLine="48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（4）定期进行辐射事故应急演练，检验应急预案的可行性、可靠性、可操作性，不断完善辐射事故应急预案及相关管理制度。</w:t>
            </w:r>
          </w:p>
          <w:p w14:paraId="097AC3D8">
            <w:pPr>
              <w:spacing w:line="360" w:lineRule="auto"/>
              <w:ind w:firstLine="480"/>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（5）每年1月31日前必须上报上一年度的辐射安全与防护状况报告给生态环境</w:t>
            </w:r>
            <w:r>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行政主管部门</w:t>
            </w:r>
            <w:r>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t>。</w:t>
            </w:r>
          </w:p>
          <w:p w14:paraId="6C5CB39E">
            <w:pPr>
              <w:spacing w:line="360" w:lineRule="auto"/>
              <w:ind w:firstLine="480"/>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5D52ECA3">
            <w:pPr>
              <w:spacing w:line="360" w:lineRule="auto"/>
              <w:ind w:firstLine="480"/>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1423E1EA">
            <w:pPr>
              <w:spacing w:line="360" w:lineRule="auto"/>
              <w:ind w:firstLine="480"/>
              <w:rPr>
                <w:rFonts w:hint="eastAsia"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p w14:paraId="332418F2">
            <w:pPr>
              <w:spacing w:line="360" w:lineRule="auto"/>
              <w:ind w:firstLine="480"/>
              <w:rPr>
                <w:rFonts w:hint="eastAsia" w:ascii="Times New Roman" w:hAnsi="Times New Roman" w:cs="Times New Roman" w:eastAsiaTheme="minorEastAsia"/>
                <w:color w:val="0D0D0D" w:themeColor="text1" w:themeTint="F2"/>
                <w:highlight w:val="none"/>
                <w:lang w:eastAsia="zh-CN"/>
                <w14:textFill>
                  <w14:solidFill>
                    <w14:schemeClr w14:val="tx1">
                      <w14:lumMod w14:val="95000"/>
                      <w14:lumOff w14:val="5000"/>
                    </w14:schemeClr>
                  </w14:solidFill>
                </w14:textFill>
              </w:rPr>
            </w:pPr>
          </w:p>
        </w:tc>
      </w:tr>
      <w:tr w14:paraId="1FFA6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1" w:hRule="atLeast"/>
        </w:trPr>
        <w:tc>
          <w:tcPr>
            <w:tcW w:w="8522" w:type="dxa"/>
          </w:tcPr>
          <w:p w14:paraId="610325B9">
            <w:pPr>
              <w:spacing w:line="360" w:lineRule="auto"/>
              <w:ind w:firstLine="0" w:firstLineChars="0"/>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bCs/>
                <w:color w:val="0D0D0D" w:themeColor="text1" w:themeTint="F2"/>
                <w:highlight w:val="none"/>
                <w14:textFill>
                  <w14:solidFill>
                    <w14:schemeClr w14:val="tx1">
                      <w14:lumMod w14:val="95000"/>
                      <w14:lumOff w14:val="5000"/>
                    </w14:schemeClr>
                  </w14:solidFill>
                </w14:textFill>
              </w:rPr>
              <w:t>建设项目竣工验收</w:t>
            </w:r>
          </w:p>
          <w:p w14:paraId="43D1B2DF">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建设项目竣工后，建设单位应根据《建设项目竣工环境保护验收暂行办法》(国环规环评[2017]4号）对配套建设的环境保护设施进行验收，委托有能力的技术机构编制验收报告，并组织由设计单位、施工单位、环境影响报告表编制机构、验收监测（调查)报告编制机构等单位代表以及专业技术专家等成立的验收工作组，采取现场检查、资料查阅、召开验收会议等方式开展验收工作。建设项目配套建设的环境保护设施经验收合格后，其主体工程方可投入生产或者使用</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未经验收或者验收不合格的，不得投入生产或者使用。</w:t>
            </w:r>
          </w:p>
          <w:p w14:paraId="321D1C4F">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建设单位应公开上述相关信息，向所在地县级以上环境保护主管部门报送相关信息，并接受监督检查，确保建设项目需要配套建设的环境保护设施与主体工程同时投产或者使用。</w:t>
            </w:r>
          </w:p>
          <w:p w14:paraId="6C080F15">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根据《建设项目竣工环境保护验收暂行办法》第十一条和第十三条，建设单位在验收报告编制完成后5个工作日内，公开验收报告，公示的期限不得少于20个工作日。建设单位公开上述信息的同时，应当向所在地县级以上环境保护主管部门报送相关信息，并接受监督检查。验收报告公示期满后5个工作日内，建设单位应当登录全国建设项目竣工环境保护验收信息平台，填报建设项目基本信息、环境保护设施验收情况等相关信息，环境保护主管部门对上述信息予以公开。</w:t>
            </w:r>
          </w:p>
          <w:p w14:paraId="3B3C4E0B">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本项目建设竣工后，医院应按照上述要求尽快开展竣工环保验收工作，本项目竣工环保验收</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三同时</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r>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检查内容见附表</w:t>
            </w:r>
            <w:r>
              <w:rPr>
                <w:rFonts w:hint="eastAsia"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t>。</w:t>
            </w:r>
          </w:p>
          <w:p w14:paraId="7417E881">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299C312D">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0B53F211">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1C22E457">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5DF4C63A">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2D83965D">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72E3E509">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58BB55E4">
            <w:pPr>
              <w:pStyle w:val="10"/>
              <w:ind w:firstLine="480" w:firstLineChars="200"/>
              <w:rPr>
                <w:rFonts w:ascii="Times New Roman" w:hAnsi="Times New Roman" w:eastAsiaTheme="minorEastAsia"/>
                <w:color w:val="0D0D0D" w:themeColor="text1" w:themeTint="F2"/>
                <w:sz w:val="24"/>
                <w:szCs w:val="24"/>
                <w:highlight w:val="none"/>
                <w14:textFill>
                  <w14:solidFill>
                    <w14:schemeClr w14:val="tx1">
                      <w14:lumMod w14:val="95000"/>
                      <w14:lumOff w14:val="5000"/>
                    </w14:schemeClr>
                  </w14:solidFill>
                </w14:textFill>
              </w:rPr>
            </w:pPr>
          </w:p>
          <w:p w14:paraId="173AAFFA">
            <w:pPr>
              <w:pStyle w:val="10"/>
              <w:ind w:firstLine="560" w:firstLineChars="200"/>
              <w:rPr>
                <w:color w:val="0D0D0D" w:themeColor="text1" w:themeTint="F2"/>
                <w:highlight w:val="none"/>
                <w14:textFill>
                  <w14:solidFill>
                    <w14:schemeClr w14:val="tx1">
                      <w14:lumMod w14:val="95000"/>
                      <w14:lumOff w14:val="5000"/>
                    </w14:schemeClr>
                  </w14:solidFill>
                </w14:textFill>
              </w:rPr>
            </w:pPr>
          </w:p>
        </w:tc>
      </w:tr>
      <w:tr w14:paraId="66CA6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5A5A21E">
            <w:pPr>
              <w:adjustRightInd w:val="0"/>
              <w:snapToGrid w:val="0"/>
              <w:spacing w:line="360" w:lineRule="auto"/>
              <w:ind w:firstLine="0" w:firstLineChars="0"/>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81CEBDF">
            <w:pPr>
              <w:adjustRightInd w:val="0"/>
              <w:snapToGrid w:val="0"/>
              <w:spacing w:line="360" w:lineRule="auto"/>
              <w:ind w:firstLine="0" w:firstLineChars="0"/>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预审意见：</w:t>
            </w:r>
          </w:p>
          <w:p w14:paraId="065526A9">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37477C7">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445FC9B">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B601EF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9370973">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FDBC5C9">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1BCD3B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195FA42">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4576BC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63A5D89">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46E86C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E0DB905">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0557C7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1A0AA9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E73074D">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F7F4607">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FC8860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297586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29863D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90D94AF">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D4B3EF3">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3548475C">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w:t>
            </w:r>
          </w:p>
          <w:p w14:paraId="24BCEF58">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公 章</w:t>
            </w:r>
          </w:p>
          <w:p w14:paraId="465E5502">
            <w:pPr>
              <w:adjustRightInd w:val="0"/>
              <w:snapToGrid w:val="0"/>
              <w:spacing w:line="360" w:lineRule="auto"/>
              <w:ind w:firstLine="562"/>
              <w:jc w:val="cente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经办人：</w:t>
            </w:r>
          </w:p>
          <w:p w14:paraId="44CD3434">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年    月    日</w:t>
            </w:r>
          </w:p>
          <w:p w14:paraId="0ADC4F18">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8C98701">
            <w:pPr>
              <w:adjustRightInd w:val="0"/>
              <w:snapToGrid w:val="0"/>
              <w:spacing w:line="360" w:lineRule="auto"/>
              <w:ind w:firstLine="0" w:firstLineChars="0"/>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FCFA484">
            <w:pPr>
              <w:adjustRightInd w:val="0"/>
              <w:snapToGrid w:val="0"/>
              <w:spacing w:line="360" w:lineRule="auto"/>
              <w:ind w:firstLine="0" w:firstLineChars="0"/>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下一级环境保护行政主管部门审查意见：</w:t>
            </w:r>
          </w:p>
          <w:p w14:paraId="2236F419">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BCD6C0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AEBE86D">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9A4B42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20F461B">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A30DBB5">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86775BD">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6972B55">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4449AF3">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9144777">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09750C9">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0861D1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5CA4C1FF">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CDE71F3">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BAEBDA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944DF82">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1F5D5AB">
            <w:pPr>
              <w:pStyle w:val="10"/>
              <w:ind w:firstLine="48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28A38F02">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E70822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DBC3121">
            <w:pPr>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55A17D44">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p w14:paraId="7A25A66C">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公 章</w:t>
            </w:r>
          </w:p>
          <w:p w14:paraId="75A8F919">
            <w:pPr>
              <w:adjustRightInd w:val="0"/>
              <w:snapToGrid w:val="0"/>
              <w:spacing w:line="360" w:lineRule="auto"/>
              <w:ind w:firstLine="4818" w:firstLineChars="1714"/>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经办人：</w:t>
            </w:r>
          </w:p>
          <w:p w14:paraId="2D2A42FA">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年   月   日</w:t>
            </w:r>
          </w:p>
          <w:p w14:paraId="06E463CD">
            <w:pPr>
              <w:pStyle w:val="13"/>
              <w:ind w:firstLine="360"/>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p>
        </w:tc>
      </w:tr>
      <w:tr w14:paraId="35173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D26DD6A">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01A416D">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审批意见：</w:t>
            </w:r>
          </w:p>
          <w:p w14:paraId="6CFD412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040259B">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3F9DB7E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2A491515">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7D38D3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74A952F">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2BEC6142">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5F47E9E1">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5E745BF5">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646DAC5E">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BAD323F">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46A318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241EE3F">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290AA67">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1F5E0D6">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791A7F6">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4298BF4C">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14B72FC0">
            <w:pPr>
              <w:adjustRightInd w:val="0"/>
              <w:snapToGrid w:val="0"/>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018333A9">
            <w:pPr>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w:t>
            </w:r>
          </w:p>
          <w:p w14:paraId="32C32AB6">
            <w:pPr>
              <w:spacing w:line="360" w:lineRule="auto"/>
              <w:ind w:firstLine="562"/>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p>
          <w:p w14:paraId="730C4446">
            <w:pPr>
              <w:spacing w:line="360" w:lineRule="auto"/>
              <w:ind w:firstLine="5762" w:firstLineChars="2050"/>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公 章</w:t>
            </w:r>
          </w:p>
          <w:p w14:paraId="2AF74511">
            <w:pPr>
              <w:adjustRightInd w:val="0"/>
              <w:snapToGrid w:val="0"/>
              <w:spacing w:line="360" w:lineRule="auto"/>
              <w:ind w:firstLine="562"/>
              <w:jc w:val="left"/>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经办人：</w:t>
            </w:r>
          </w:p>
          <w:p w14:paraId="1FE5DB7E">
            <w:pPr>
              <w:adjustRightInd w:val="0"/>
              <w:snapToGrid w:val="0"/>
              <w:spacing w:line="360" w:lineRule="auto"/>
              <w:ind w:firstLine="562"/>
              <w:jc w:val="left"/>
              <w:rPr>
                <w:rFonts w:ascii="Times New Roman" w:hAnsi="Times New Roman" w:cs="Times New Roman" w:eastAsiaTheme="minorEastAsia"/>
                <w:color w:val="0D0D0D" w:themeColor="text1" w:themeTint="F2"/>
                <w:highlight w:val="none"/>
                <w14:textFill>
                  <w14:solidFill>
                    <w14:schemeClr w14:val="tx1">
                      <w14:lumMod w14:val="95000"/>
                      <w14:lumOff w14:val="5000"/>
                    </w14:schemeClr>
                  </w14:solidFill>
                </w14:textFill>
              </w:rPr>
            </w:pPr>
            <w:r>
              <w:rPr>
                <w:rFonts w:ascii="Times New Roman" w:hAnsi="Times New Roman" w:cs="Times New Roman" w:eastAsiaTheme="minorEastAsia"/>
                <w:b/>
                <w:color w:val="0D0D0D" w:themeColor="text1" w:themeTint="F2"/>
                <w:sz w:val="28"/>
                <w:szCs w:val="28"/>
                <w:highlight w:val="none"/>
                <w14:textFill>
                  <w14:solidFill>
                    <w14:schemeClr w14:val="tx1">
                      <w14:lumMod w14:val="95000"/>
                      <w14:lumOff w14:val="5000"/>
                    </w14:schemeClr>
                  </w14:solidFill>
                </w14:textFill>
              </w:rPr>
              <w:t xml:space="preserve">                                    年   月   日</w:t>
            </w:r>
          </w:p>
        </w:tc>
      </w:tr>
    </w:tbl>
    <w:p w14:paraId="416C55DE">
      <w:pPr>
        <w:pStyle w:val="10"/>
        <w:rPr>
          <w:rFonts w:ascii="Times New Roman" w:hAnsi="Times New Roman" w:eastAsiaTheme="minorEastAsia"/>
          <w:color w:val="0D0D0D" w:themeColor="text1" w:themeTint="F2"/>
          <w:highlight w:val="none"/>
          <w14:textFill>
            <w14:solidFill>
              <w14:schemeClr w14:val="tx1">
                <w14:lumMod w14:val="95000"/>
                <w14:lumOff w14:val="5000"/>
              </w14:schemeClr>
            </w14:solidFill>
          </w14:textFill>
        </w:rPr>
      </w:pPr>
    </w:p>
    <w:sectPr>
      <w:headerReference r:id="rId14" w:type="default"/>
      <w:footerReference r:id="rId1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0F532">
    <w:pPr>
      <w:pStyle w:val="12"/>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06EA8">
                          <w:pPr>
                            <w:pStyle w:val="12"/>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51906EA8">
                    <w:pPr>
                      <w:pStyle w:val="12"/>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44173">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E1EB2">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05095">
    <w:pPr>
      <w:pStyle w:val="12"/>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545840">
                          <w:pPr>
                            <w:pStyle w:val="12"/>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14:paraId="00545840">
                    <w:pPr>
                      <w:pStyle w:val="12"/>
                      <w:ind w:firstLine="360"/>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AE938">
    <w:pPr>
      <w:pStyle w:val="12"/>
      <w:ind w:firstLine="36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CBD7D">
                          <w:pPr>
                            <w:pStyle w:val="12"/>
                            <w:ind w:firstLine="360"/>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104CBD7D">
                    <w:pPr>
                      <w:pStyle w:val="12"/>
                      <w:ind w:firstLine="360"/>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2B197">
    <w:pPr>
      <w:pStyle w:val="12"/>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1F8F7">
                          <w:pPr>
                            <w:pStyle w:val="12"/>
                            <w:ind w:firstLine="360"/>
                          </w:pPr>
                          <w:r>
                            <w:fldChar w:fldCharType="begin"/>
                          </w:r>
                          <w:r>
                            <w:instrText xml:space="preserve"> PAGE  \* MERGEFORMAT </w:instrText>
                          </w:r>
                          <w:r>
                            <w:fldChar w:fldCharType="separate"/>
                          </w:r>
                          <w:r>
                            <w:t>85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4151F8F7">
                    <w:pPr>
                      <w:pStyle w:val="12"/>
                      <w:ind w:firstLine="360"/>
                    </w:pPr>
                    <w:r>
                      <w:fldChar w:fldCharType="begin"/>
                    </w:r>
                    <w:r>
                      <w:instrText xml:space="preserve"> PAGE  \* MERGEFORMAT </w:instrText>
                    </w:r>
                    <w:r>
                      <w:fldChar w:fldCharType="separate"/>
                    </w:r>
                    <w:r>
                      <w:t>85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D1F10">
    <w:pPr>
      <w:pStyle w:val="13"/>
      <w:ind w:firstLine="0" w:firstLineChars="0"/>
      <w:jc w:val="both"/>
    </w:pPr>
    <w:r>
      <w:rPr>
        <w:rFonts w:hint="eastAsia" w:ascii="Times New Roman" w:hAnsi="Times New Roman" w:cs="Times New Roman" w:eastAsiaTheme="minorEastAsia"/>
        <w:color w:val="0D0D0D" w:themeColor="text1" w:themeTint="F2"/>
        <w:lang w:eastAsia="zh-CN"/>
        <w14:textFill>
          <w14:solidFill>
            <w14:schemeClr w14:val="tx1">
              <w14:lumMod w14:val="95000"/>
              <w14:lumOff w14:val="5000"/>
            </w14:schemeClr>
          </w14:solidFill>
        </w14:textFill>
      </w:rPr>
      <w:t>昆明市中医医院呈贡医院新增移动C臂X射线机核技术利用项目</w:t>
    </w:r>
    <w:r>
      <w:rPr>
        <w:rFonts w:hint="eastAsia" w:ascii="Times New Roman" w:hAnsi="Times New Roman" w:cs="Times New Roman" w:eastAsiaTheme="minorEastAsia"/>
        <w:color w:val="0D0D0D" w:themeColor="text1" w:themeTint="F2"/>
        <w14:textFill>
          <w14:solidFill>
            <w14:schemeClr w14:val="tx1">
              <w14:lumMod w14:val="95000"/>
              <w14:lumOff w14:val="5000"/>
            </w14:schemeClr>
          </w14:solidFill>
        </w14:textFill>
      </w:rPr>
      <w:t xml:space="preserve"> </w:t>
    </w:r>
    <w:r>
      <w:rPr>
        <w:rFonts w:hint="eastAsia"/>
        <w:color w:val="0D0D0D" w:themeColor="text1" w:themeTint="F2"/>
        <w14:textFill>
          <w14:solidFill>
            <w14:schemeClr w14:val="tx1">
              <w14:lumMod w14:val="95000"/>
              <w14:lumOff w14:val="5000"/>
            </w14:schemeClr>
          </w14:solidFill>
        </w14:textFill>
      </w:rPr>
      <w:t xml:space="preserve"> </w:t>
    </w:r>
    <w:r>
      <w:rPr>
        <w:rFonts w:hint="eastAsia"/>
        <w:color w:val="0D0D0D" w:themeColor="text1" w:themeTint="F2"/>
        <w:lang w:val="en-US" w:eastAsia="zh-CN"/>
        <w14:textFill>
          <w14:solidFill>
            <w14:schemeClr w14:val="tx1">
              <w14:lumMod w14:val="95000"/>
              <w14:lumOff w14:val="5000"/>
            </w14:schemeClr>
          </w14:solidFill>
        </w14:textFill>
      </w:rPr>
      <w:t xml:space="preserve">              </w:t>
    </w:r>
    <w:r>
      <w:rPr>
        <w:rFonts w:hint="eastAsia"/>
        <w:color w:val="0D0D0D" w:themeColor="text1" w:themeTint="F2"/>
        <w14:textFill>
          <w14:solidFill>
            <w14:schemeClr w14:val="tx1">
              <w14:lumMod w14:val="95000"/>
              <w14:lumOff w14:val="5000"/>
            </w14:schemeClr>
          </w14:solidFill>
        </w14:textFill>
      </w:rPr>
      <w:t xml:space="preserve"> 环境影响评价报告表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40114">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6174C">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3DF26">
    <w:pPr>
      <w:pStyle w:val="13"/>
      <w:ind w:firstLine="0" w:firstLineChars="0"/>
      <w:jc w:val="both"/>
    </w:pPr>
    <w:r>
      <w:rPr>
        <w:rFonts w:hint="eastAsia"/>
        <w:color w:val="0D0D0D" w:themeColor="text1" w:themeTint="F2"/>
        <w14:textFill>
          <w14:solidFill>
            <w14:schemeClr w14:val="tx1">
              <w14:lumMod w14:val="95000"/>
              <w14:lumOff w14:val="5000"/>
            </w14:schemeClr>
          </w14:solidFill>
        </w14:textFill>
      </w:rPr>
      <w:t>澜沧拉祜族自治县第一人民医院新增数字减影血管造影（</w:t>
    </w:r>
    <w:r>
      <w:rPr>
        <w:rFonts w:hint="eastAsia"/>
        <w:color w:val="0D0D0D" w:themeColor="text1" w:themeTint="F2"/>
        <w:lang w:eastAsia="zh-CN"/>
        <w14:textFill>
          <w14:solidFill>
            <w14:schemeClr w14:val="tx1">
              <w14:lumMod w14:val="95000"/>
              <w14:lumOff w14:val="5000"/>
            </w14:schemeClr>
          </w14:solidFill>
        </w14:textFill>
      </w:rPr>
      <w:t>移动C臂X射线机</w:t>
    </w:r>
    <w:r>
      <w:rPr>
        <w:rFonts w:hint="eastAsia"/>
        <w:color w:val="0D0D0D" w:themeColor="text1" w:themeTint="F2"/>
        <w14:textFill>
          <w14:solidFill>
            <w14:schemeClr w14:val="tx1">
              <w14:lumMod w14:val="95000"/>
              <w14:lumOff w14:val="5000"/>
            </w14:schemeClr>
          </w14:solidFill>
        </w14:textFill>
      </w:rPr>
      <w:t>）核技术利用项目  环境影响评价报告表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C5AC9">
    <w:pPr>
      <w:pStyle w:val="13"/>
      <w:ind w:firstLine="0" w:firstLineChars="0"/>
      <w:jc w:val="both"/>
    </w:pPr>
    <w:r>
      <w:rPr>
        <w:rFonts w:hint="eastAsia"/>
        <w:color w:val="0D0D0D" w:themeColor="text1" w:themeTint="F2"/>
        <w:lang w:eastAsia="zh-CN"/>
        <w14:textFill>
          <w14:solidFill>
            <w14:schemeClr w14:val="tx1">
              <w14:lumMod w14:val="95000"/>
              <w14:lumOff w14:val="5000"/>
            </w14:schemeClr>
          </w14:solidFill>
        </w14:textFill>
      </w:rPr>
      <w:t>昆明市中医医院呈贡医院新增移动C臂X射线机核技术利用项目</w:t>
    </w:r>
    <w:r>
      <w:rPr>
        <w:rFonts w:hint="eastAsia"/>
        <w:color w:val="0D0D0D" w:themeColor="text1" w:themeTint="F2"/>
        <w14:textFill>
          <w14:solidFill>
            <w14:schemeClr w14:val="tx1">
              <w14:lumMod w14:val="95000"/>
              <w14:lumOff w14:val="5000"/>
            </w14:schemeClr>
          </w14:solidFill>
        </w14:textFill>
      </w:rPr>
      <w:t xml:space="preserve">    </w:t>
    </w:r>
    <w:r>
      <w:rPr>
        <w:rFonts w:hint="eastAsia"/>
        <w:color w:val="0D0D0D" w:themeColor="text1" w:themeTint="F2"/>
        <w:lang w:val="en-US" w:eastAsia="zh-CN"/>
        <w14:textFill>
          <w14:solidFill>
            <w14:schemeClr w14:val="tx1">
              <w14:lumMod w14:val="95000"/>
              <w14:lumOff w14:val="5000"/>
            </w14:schemeClr>
          </w14:solidFill>
        </w14:textFill>
      </w:rPr>
      <w:t xml:space="preserve">       </w:t>
    </w:r>
    <w:r>
      <w:rPr>
        <w:rFonts w:hint="eastAsia"/>
        <w:color w:val="0D0D0D" w:themeColor="text1" w:themeTint="F2"/>
        <w14:textFill>
          <w14:solidFill>
            <w14:schemeClr w14:val="tx1">
              <w14:lumMod w14:val="95000"/>
              <w14:lumOff w14:val="5000"/>
            </w14:schemeClr>
          </w14:solidFill>
        </w14:textFill>
      </w:rPr>
      <w:t>环境影响评价报告表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90C098"/>
    <w:multiLevelType w:val="singleLevel"/>
    <w:tmpl w:val="9590C098"/>
    <w:lvl w:ilvl="0" w:tentative="0">
      <w:start w:val="4"/>
      <w:numFmt w:val="decimal"/>
      <w:suff w:val="nothing"/>
      <w:lvlText w:val="（%1）"/>
      <w:lvlJc w:val="left"/>
    </w:lvl>
  </w:abstractNum>
  <w:abstractNum w:abstractNumId="1">
    <w:nsid w:val="C56AD0E6"/>
    <w:multiLevelType w:val="singleLevel"/>
    <w:tmpl w:val="C56AD0E6"/>
    <w:lvl w:ilvl="0" w:tentative="0">
      <w:start w:val="5"/>
      <w:numFmt w:val="decimal"/>
      <w:suff w:val="nothing"/>
      <w:lvlText w:val="（%1）"/>
      <w:lvlJc w:val="left"/>
    </w:lvl>
  </w:abstractNum>
  <w:abstractNum w:abstractNumId="2">
    <w:nsid w:val="56795CD2"/>
    <w:multiLevelType w:val="singleLevel"/>
    <w:tmpl w:val="56795CD2"/>
    <w:lvl w:ilvl="0" w:tentative="0">
      <w:start w:val="4"/>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yOGQxYTRlZTg4ZDgyMTYzODVhZGRlMzExNzgzYmUifQ=="/>
    <w:docVar w:name="KSO_WPS_MARK_KEY" w:val="7e36b68e-04ec-4e38-9f61-d94697ac2a07"/>
  </w:docVars>
  <w:rsids>
    <w:rsidRoot w:val="00172A27"/>
    <w:rsid w:val="00000630"/>
    <w:rsid w:val="000241CD"/>
    <w:rsid w:val="000254E3"/>
    <w:rsid w:val="00025CDE"/>
    <w:rsid w:val="00027079"/>
    <w:rsid w:val="00027E2D"/>
    <w:rsid w:val="00036652"/>
    <w:rsid w:val="0005302C"/>
    <w:rsid w:val="00066FAC"/>
    <w:rsid w:val="00067202"/>
    <w:rsid w:val="000679BA"/>
    <w:rsid w:val="00070E6A"/>
    <w:rsid w:val="000726E6"/>
    <w:rsid w:val="00076B19"/>
    <w:rsid w:val="0009061F"/>
    <w:rsid w:val="00092264"/>
    <w:rsid w:val="000A5422"/>
    <w:rsid w:val="000B695B"/>
    <w:rsid w:val="000C27DA"/>
    <w:rsid w:val="000C4537"/>
    <w:rsid w:val="000C7729"/>
    <w:rsid w:val="000D10DC"/>
    <w:rsid w:val="000E55EC"/>
    <w:rsid w:val="000F32A5"/>
    <w:rsid w:val="001002A3"/>
    <w:rsid w:val="00103AE9"/>
    <w:rsid w:val="00112035"/>
    <w:rsid w:val="00115DCA"/>
    <w:rsid w:val="00126496"/>
    <w:rsid w:val="00127904"/>
    <w:rsid w:val="001320D6"/>
    <w:rsid w:val="001576B0"/>
    <w:rsid w:val="00172A27"/>
    <w:rsid w:val="00181879"/>
    <w:rsid w:val="001826AE"/>
    <w:rsid w:val="00183EDB"/>
    <w:rsid w:val="00187F6B"/>
    <w:rsid w:val="00187FB0"/>
    <w:rsid w:val="0019764C"/>
    <w:rsid w:val="001C08D2"/>
    <w:rsid w:val="001C665B"/>
    <w:rsid w:val="001D2949"/>
    <w:rsid w:val="001D4BB5"/>
    <w:rsid w:val="001D7A88"/>
    <w:rsid w:val="001E089E"/>
    <w:rsid w:val="001E5C27"/>
    <w:rsid w:val="00200FA8"/>
    <w:rsid w:val="002049B2"/>
    <w:rsid w:val="00205B06"/>
    <w:rsid w:val="00215296"/>
    <w:rsid w:val="00224CAA"/>
    <w:rsid w:val="00226C7F"/>
    <w:rsid w:val="002360FC"/>
    <w:rsid w:val="00236DB9"/>
    <w:rsid w:val="00241978"/>
    <w:rsid w:val="0025270F"/>
    <w:rsid w:val="00265484"/>
    <w:rsid w:val="00265740"/>
    <w:rsid w:val="00273E77"/>
    <w:rsid w:val="002942E8"/>
    <w:rsid w:val="002A199B"/>
    <w:rsid w:val="002B7E32"/>
    <w:rsid w:val="002C7E2F"/>
    <w:rsid w:val="002D2209"/>
    <w:rsid w:val="002D42BF"/>
    <w:rsid w:val="002D6C45"/>
    <w:rsid w:val="002E1D68"/>
    <w:rsid w:val="002F5E82"/>
    <w:rsid w:val="002F6F3F"/>
    <w:rsid w:val="003010C6"/>
    <w:rsid w:val="00311169"/>
    <w:rsid w:val="00311E9F"/>
    <w:rsid w:val="00327186"/>
    <w:rsid w:val="00327469"/>
    <w:rsid w:val="00353A9C"/>
    <w:rsid w:val="00363842"/>
    <w:rsid w:val="003750CB"/>
    <w:rsid w:val="003819DA"/>
    <w:rsid w:val="003A2A5F"/>
    <w:rsid w:val="003B78FE"/>
    <w:rsid w:val="003C07F8"/>
    <w:rsid w:val="003C1BE7"/>
    <w:rsid w:val="003C3FD1"/>
    <w:rsid w:val="003C644A"/>
    <w:rsid w:val="003C6F1E"/>
    <w:rsid w:val="003C7B85"/>
    <w:rsid w:val="003D2DB0"/>
    <w:rsid w:val="003E3156"/>
    <w:rsid w:val="003E3445"/>
    <w:rsid w:val="003E72A5"/>
    <w:rsid w:val="004215E3"/>
    <w:rsid w:val="0042326F"/>
    <w:rsid w:val="004276E5"/>
    <w:rsid w:val="00431255"/>
    <w:rsid w:val="00434510"/>
    <w:rsid w:val="004362E1"/>
    <w:rsid w:val="00486C35"/>
    <w:rsid w:val="00497EB1"/>
    <w:rsid w:val="004A0013"/>
    <w:rsid w:val="004A352E"/>
    <w:rsid w:val="004A541D"/>
    <w:rsid w:val="004C3595"/>
    <w:rsid w:val="004C5A28"/>
    <w:rsid w:val="004C5A50"/>
    <w:rsid w:val="004C7792"/>
    <w:rsid w:val="004D4C95"/>
    <w:rsid w:val="004E01BC"/>
    <w:rsid w:val="004E6C32"/>
    <w:rsid w:val="004F5D90"/>
    <w:rsid w:val="004F7388"/>
    <w:rsid w:val="004F7BF8"/>
    <w:rsid w:val="00512E9B"/>
    <w:rsid w:val="00516D42"/>
    <w:rsid w:val="005229A2"/>
    <w:rsid w:val="0052458A"/>
    <w:rsid w:val="00527F4E"/>
    <w:rsid w:val="00534F8E"/>
    <w:rsid w:val="005515EA"/>
    <w:rsid w:val="005931C1"/>
    <w:rsid w:val="00595864"/>
    <w:rsid w:val="00595F3D"/>
    <w:rsid w:val="005B5F1F"/>
    <w:rsid w:val="005D212E"/>
    <w:rsid w:val="005D27C9"/>
    <w:rsid w:val="005D6120"/>
    <w:rsid w:val="005E1A20"/>
    <w:rsid w:val="005F1DBC"/>
    <w:rsid w:val="00600504"/>
    <w:rsid w:val="0060109B"/>
    <w:rsid w:val="006109E6"/>
    <w:rsid w:val="00610C0A"/>
    <w:rsid w:val="00614534"/>
    <w:rsid w:val="00621A3F"/>
    <w:rsid w:val="0062344A"/>
    <w:rsid w:val="00624C34"/>
    <w:rsid w:val="00636ACE"/>
    <w:rsid w:val="0064409F"/>
    <w:rsid w:val="00645211"/>
    <w:rsid w:val="00654940"/>
    <w:rsid w:val="00656391"/>
    <w:rsid w:val="00656A46"/>
    <w:rsid w:val="0066376B"/>
    <w:rsid w:val="00682E5D"/>
    <w:rsid w:val="00687B72"/>
    <w:rsid w:val="006952BD"/>
    <w:rsid w:val="006A47B5"/>
    <w:rsid w:val="006B03A7"/>
    <w:rsid w:val="006B75BB"/>
    <w:rsid w:val="006D3DA0"/>
    <w:rsid w:val="006F1FD1"/>
    <w:rsid w:val="006F41C3"/>
    <w:rsid w:val="006F4925"/>
    <w:rsid w:val="006F635D"/>
    <w:rsid w:val="00704A9F"/>
    <w:rsid w:val="00710877"/>
    <w:rsid w:val="00714B4B"/>
    <w:rsid w:val="00714CE1"/>
    <w:rsid w:val="00727EA1"/>
    <w:rsid w:val="007375EC"/>
    <w:rsid w:val="00747EFA"/>
    <w:rsid w:val="00760178"/>
    <w:rsid w:val="00761BE7"/>
    <w:rsid w:val="007718B3"/>
    <w:rsid w:val="007721D8"/>
    <w:rsid w:val="0077238C"/>
    <w:rsid w:val="00773373"/>
    <w:rsid w:val="00774B32"/>
    <w:rsid w:val="007872D5"/>
    <w:rsid w:val="007A5EB8"/>
    <w:rsid w:val="007A76EA"/>
    <w:rsid w:val="007B0248"/>
    <w:rsid w:val="007B1A13"/>
    <w:rsid w:val="007C0527"/>
    <w:rsid w:val="007C63E5"/>
    <w:rsid w:val="007D146B"/>
    <w:rsid w:val="007D2043"/>
    <w:rsid w:val="007D2124"/>
    <w:rsid w:val="007F01AA"/>
    <w:rsid w:val="007F2F27"/>
    <w:rsid w:val="00825F24"/>
    <w:rsid w:val="00833CC2"/>
    <w:rsid w:val="0083581D"/>
    <w:rsid w:val="008608D7"/>
    <w:rsid w:val="00871705"/>
    <w:rsid w:val="008819AC"/>
    <w:rsid w:val="008827AC"/>
    <w:rsid w:val="00884A95"/>
    <w:rsid w:val="00886C18"/>
    <w:rsid w:val="00891732"/>
    <w:rsid w:val="00894FA3"/>
    <w:rsid w:val="008A1C85"/>
    <w:rsid w:val="008A4496"/>
    <w:rsid w:val="008B01DB"/>
    <w:rsid w:val="008E1F65"/>
    <w:rsid w:val="008F07B9"/>
    <w:rsid w:val="00945471"/>
    <w:rsid w:val="00964A6B"/>
    <w:rsid w:val="009664C1"/>
    <w:rsid w:val="00977DA7"/>
    <w:rsid w:val="00986DD2"/>
    <w:rsid w:val="00993CB1"/>
    <w:rsid w:val="009979D8"/>
    <w:rsid w:val="009B0722"/>
    <w:rsid w:val="009C0923"/>
    <w:rsid w:val="009C43A9"/>
    <w:rsid w:val="009C5E08"/>
    <w:rsid w:val="009D14E3"/>
    <w:rsid w:val="009D6C11"/>
    <w:rsid w:val="009D719E"/>
    <w:rsid w:val="009E5BF9"/>
    <w:rsid w:val="00A031E9"/>
    <w:rsid w:val="00A033B7"/>
    <w:rsid w:val="00A06ED4"/>
    <w:rsid w:val="00A25CBC"/>
    <w:rsid w:val="00A3313E"/>
    <w:rsid w:val="00A37506"/>
    <w:rsid w:val="00A37D9A"/>
    <w:rsid w:val="00A415AD"/>
    <w:rsid w:val="00A443FD"/>
    <w:rsid w:val="00A472B5"/>
    <w:rsid w:val="00A50FBA"/>
    <w:rsid w:val="00A52E0F"/>
    <w:rsid w:val="00A568FF"/>
    <w:rsid w:val="00A64483"/>
    <w:rsid w:val="00A65652"/>
    <w:rsid w:val="00A80282"/>
    <w:rsid w:val="00A804CD"/>
    <w:rsid w:val="00A81AAE"/>
    <w:rsid w:val="00A82870"/>
    <w:rsid w:val="00A963CF"/>
    <w:rsid w:val="00AA01E5"/>
    <w:rsid w:val="00AA3842"/>
    <w:rsid w:val="00AA6577"/>
    <w:rsid w:val="00AB30C6"/>
    <w:rsid w:val="00AB5132"/>
    <w:rsid w:val="00AB68EC"/>
    <w:rsid w:val="00AB7EF8"/>
    <w:rsid w:val="00AC1FE8"/>
    <w:rsid w:val="00AC2350"/>
    <w:rsid w:val="00AC5775"/>
    <w:rsid w:val="00AD0C31"/>
    <w:rsid w:val="00AD42B5"/>
    <w:rsid w:val="00AD511B"/>
    <w:rsid w:val="00AE0CB8"/>
    <w:rsid w:val="00B2064E"/>
    <w:rsid w:val="00B34294"/>
    <w:rsid w:val="00B35B2E"/>
    <w:rsid w:val="00B418D2"/>
    <w:rsid w:val="00B76194"/>
    <w:rsid w:val="00B804AC"/>
    <w:rsid w:val="00B812B4"/>
    <w:rsid w:val="00B87E0E"/>
    <w:rsid w:val="00B912E7"/>
    <w:rsid w:val="00B92E20"/>
    <w:rsid w:val="00BA5A81"/>
    <w:rsid w:val="00BB2BB8"/>
    <w:rsid w:val="00BB420B"/>
    <w:rsid w:val="00BC3C52"/>
    <w:rsid w:val="00BC68AC"/>
    <w:rsid w:val="00BF4E44"/>
    <w:rsid w:val="00BF6501"/>
    <w:rsid w:val="00C0623B"/>
    <w:rsid w:val="00C135AA"/>
    <w:rsid w:val="00C2419D"/>
    <w:rsid w:val="00C270CB"/>
    <w:rsid w:val="00C50CD7"/>
    <w:rsid w:val="00C51EDE"/>
    <w:rsid w:val="00C53245"/>
    <w:rsid w:val="00C657C6"/>
    <w:rsid w:val="00C67A06"/>
    <w:rsid w:val="00C7319B"/>
    <w:rsid w:val="00C7690F"/>
    <w:rsid w:val="00C8346A"/>
    <w:rsid w:val="00C96147"/>
    <w:rsid w:val="00CA3400"/>
    <w:rsid w:val="00CA4F3F"/>
    <w:rsid w:val="00CB3DD1"/>
    <w:rsid w:val="00CD39CD"/>
    <w:rsid w:val="00CE14B4"/>
    <w:rsid w:val="00D05A95"/>
    <w:rsid w:val="00D125E6"/>
    <w:rsid w:val="00D2161F"/>
    <w:rsid w:val="00D26174"/>
    <w:rsid w:val="00D27178"/>
    <w:rsid w:val="00D33236"/>
    <w:rsid w:val="00D3557C"/>
    <w:rsid w:val="00D435C6"/>
    <w:rsid w:val="00D60009"/>
    <w:rsid w:val="00D67FBA"/>
    <w:rsid w:val="00D702CC"/>
    <w:rsid w:val="00D812A4"/>
    <w:rsid w:val="00D92E5A"/>
    <w:rsid w:val="00D93E52"/>
    <w:rsid w:val="00DA294C"/>
    <w:rsid w:val="00DB693D"/>
    <w:rsid w:val="00DC04DC"/>
    <w:rsid w:val="00DD2B37"/>
    <w:rsid w:val="00DE4596"/>
    <w:rsid w:val="00DE69AD"/>
    <w:rsid w:val="00E03C47"/>
    <w:rsid w:val="00E103CD"/>
    <w:rsid w:val="00E14C28"/>
    <w:rsid w:val="00E24408"/>
    <w:rsid w:val="00E41078"/>
    <w:rsid w:val="00E4189D"/>
    <w:rsid w:val="00E454B5"/>
    <w:rsid w:val="00E45B85"/>
    <w:rsid w:val="00E5254D"/>
    <w:rsid w:val="00E62961"/>
    <w:rsid w:val="00E7428C"/>
    <w:rsid w:val="00E77DC7"/>
    <w:rsid w:val="00E81D30"/>
    <w:rsid w:val="00E83608"/>
    <w:rsid w:val="00E84ACD"/>
    <w:rsid w:val="00E85489"/>
    <w:rsid w:val="00E90BA1"/>
    <w:rsid w:val="00E92596"/>
    <w:rsid w:val="00E96E4B"/>
    <w:rsid w:val="00EA1AC5"/>
    <w:rsid w:val="00EA6C7B"/>
    <w:rsid w:val="00EB554D"/>
    <w:rsid w:val="00EC48BB"/>
    <w:rsid w:val="00EF22DC"/>
    <w:rsid w:val="00EF4898"/>
    <w:rsid w:val="00F04607"/>
    <w:rsid w:val="00F12AC1"/>
    <w:rsid w:val="00F235AA"/>
    <w:rsid w:val="00F37602"/>
    <w:rsid w:val="00F5101C"/>
    <w:rsid w:val="00F51EEE"/>
    <w:rsid w:val="00F61D79"/>
    <w:rsid w:val="00F67A98"/>
    <w:rsid w:val="00F819FA"/>
    <w:rsid w:val="00F84F92"/>
    <w:rsid w:val="00F95DA7"/>
    <w:rsid w:val="00F96555"/>
    <w:rsid w:val="00FA2BA5"/>
    <w:rsid w:val="00FA3A0F"/>
    <w:rsid w:val="00FB3518"/>
    <w:rsid w:val="00FB7BCD"/>
    <w:rsid w:val="00FB7BCE"/>
    <w:rsid w:val="00FC7528"/>
    <w:rsid w:val="00FE4C76"/>
    <w:rsid w:val="00FF41E4"/>
    <w:rsid w:val="00FF5394"/>
    <w:rsid w:val="010409DE"/>
    <w:rsid w:val="010E6272"/>
    <w:rsid w:val="012170B4"/>
    <w:rsid w:val="01423371"/>
    <w:rsid w:val="015476B7"/>
    <w:rsid w:val="017329C3"/>
    <w:rsid w:val="01797E47"/>
    <w:rsid w:val="0197168E"/>
    <w:rsid w:val="01B80BA0"/>
    <w:rsid w:val="024A40F7"/>
    <w:rsid w:val="02A14E4B"/>
    <w:rsid w:val="02CF4EAA"/>
    <w:rsid w:val="030A103B"/>
    <w:rsid w:val="031B48CF"/>
    <w:rsid w:val="034E5A06"/>
    <w:rsid w:val="03717A90"/>
    <w:rsid w:val="03C14285"/>
    <w:rsid w:val="03E0063C"/>
    <w:rsid w:val="03E93AAF"/>
    <w:rsid w:val="03FD60E1"/>
    <w:rsid w:val="040405F5"/>
    <w:rsid w:val="04075A11"/>
    <w:rsid w:val="04156349"/>
    <w:rsid w:val="043B69A8"/>
    <w:rsid w:val="04812D3D"/>
    <w:rsid w:val="04A82509"/>
    <w:rsid w:val="051D54A9"/>
    <w:rsid w:val="05304ED5"/>
    <w:rsid w:val="0552638D"/>
    <w:rsid w:val="0562129C"/>
    <w:rsid w:val="056C7C8A"/>
    <w:rsid w:val="057B746B"/>
    <w:rsid w:val="05B33276"/>
    <w:rsid w:val="05CF424B"/>
    <w:rsid w:val="06690C57"/>
    <w:rsid w:val="06CA7B0F"/>
    <w:rsid w:val="06CE08C2"/>
    <w:rsid w:val="06F71802"/>
    <w:rsid w:val="06F9231C"/>
    <w:rsid w:val="072F4F4B"/>
    <w:rsid w:val="076630BB"/>
    <w:rsid w:val="077A356B"/>
    <w:rsid w:val="078C6262"/>
    <w:rsid w:val="07B76CEE"/>
    <w:rsid w:val="08042ADE"/>
    <w:rsid w:val="081C3A1D"/>
    <w:rsid w:val="08684C8B"/>
    <w:rsid w:val="086F1377"/>
    <w:rsid w:val="08984A3D"/>
    <w:rsid w:val="09016B45"/>
    <w:rsid w:val="09095B15"/>
    <w:rsid w:val="092108C3"/>
    <w:rsid w:val="095336E2"/>
    <w:rsid w:val="09737F21"/>
    <w:rsid w:val="097C789D"/>
    <w:rsid w:val="098214FD"/>
    <w:rsid w:val="09BE642A"/>
    <w:rsid w:val="09F94C6D"/>
    <w:rsid w:val="0A1C7B81"/>
    <w:rsid w:val="0A1C7E97"/>
    <w:rsid w:val="0A3D71FD"/>
    <w:rsid w:val="0A3F26BB"/>
    <w:rsid w:val="0A6269E1"/>
    <w:rsid w:val="0A8C2D41"/>
    <w:rsid w:val="0AA43AEA"/>
    <w:rsid w:val="0AD009A6"/>
    <w:rsid w:val="0B050709"/>
    <w:rsid w:val="0B1F6A55"/>
    <w:rsid w:val="0B3E6C39"/>
    <w:rsid w:val="0B4A3164"/>
    <w:rsid w:val="0BAE25CC"/>
    <w:rsid w:val="0C087BD9"/>
    <w:rsid w:val="0C301251"/>
    <w:rsid w:val="0C48314D"/>
    <w:rsid w:val="0C4A3528"/>
    <w:rsid w:val="0CC030D3"/>
    <w:rsid w:val="0CC05C07"/>
    <w:rsid w:val="0CDE6ACB"/>
    <w:rsid w:val="0CED2629"/>
    <w:rsid w:val="0D074274"/>
    <w:rsid w:val="0D2F258B"/>
    <w:rsid w:val="0D883381"/>
    <w:rsid w:val="0D8B511E"/>
    <w:rsid w:val="0DE04453"/>
    <w:rsid w:val="0DFF2F5B"/>
    <w:rsid w:val="0E190E61"/>
    <w:rsid w:val="0E245572"/>
    <w:rsid w:val="0E3A62E1"/>
    <w:rsid w:val="0E53547E"/>
    <w:rsid w:val="0E952442"/>
    <w:rsid w:val="0E975183"/>
    <w:rsid w:val="0F465921"/>
    <w:rsid w:val="0F4C763C"/>
    <w:rsid w:val="0F773C54"/>
    <w:rsid w:val="0F777353"/>
    <w:rsid w:val="0FA37ABE"/>
    <w:rsid w:val="0FAA6D5C"/>
    <w:rsid w:val="10077F95"/>
    <w:rsid w:val="10375DE9"/>
    <w:rsid w:val="1054157E"/>
    <w:rsid w:val="105C74B4"/>
    <w:rsid w:val="106363A6"/>
    <w:rsid w:val="10967D38"/>
    <w:rsid w:val="10CE5417"/>
    <w:rsid w:val="10D419AE"/>
    <w:rsid w:val="10EE44F1"/>
    <w:rsid w:val="10EF0B63"/>
    <w:rsid w:val="1119184F"/>
    <w:rsid w:val="11335637"/>
    <w:rsid w:val="11B2682B"/>
    <w:rsid w:val="12081B41"/>
    <w:rsid w:val="122D6D60"/>
    <w:rsid w:val="12393FEF"/>
    <w:rsid w:val="124E3FB5"/>
    <w:rsid w:val="12536E77"/>
    <w:rsid w:val="127D675D"/>
    <w:rsid w:val="12983341"/>
    <w:rsid w:val="12BC152A"/>
    <w:rsid w:val="12CB613C"/>
    <w:rsid w:val="130D3C66"/>
    <w:rsid w:val="1310508B"/>
    <w:rsid w:val="131B6726"/>
    <w:rsid w:val="131C6B65"/>
    <w:rsid w:val="136F6311"/>
    <w:rsid w:val="138B7735"/>
    <w:rsid w:val="14044D9F"/>
    <w:rsid w:val="14CA2070"/>
    <w:rsid w:val="14CF5D62"/>
    <w:rsid w:val="14DC355B"/>
    <w:rsid w:val="14EC3B09"/>
    <w:rsid w:val="14F37879"/>
    <w:rsid w:val="150A4901"/>
    <w:rsid w:val="1527686B"/>
    <w:rsid w:val="155400F5"/>
    <w:rsid w:val="157726F7"/>
    <w:rsid w:val="159D08D0"/>
    <w:rsid w:val="15DA1475"/>
    <w:rsid w:val="16005D69"/>
    <w:rsid w:val="16764A1B"/>
    <w:rsid w:val="16865F0D"/>
    <w:rsid w:val="16917C3C"/>
    <w:rsid w:val="16A9621D"/>
    <w:rsid w:val="16AB2C43"/>
    <w:rsid w:val="16D051BE"/>
    <w:rsid w:val="17123E4D"/>
    <w:rsid w:val="17162B88"/>
    <w:rsid w:val="171E2EAD"/>
    <w:rsid w:val="174F6BBC"/>
    <w:rsid w:val="17994EF1"/>
    <w:rsid w:val="17996789"/>
    <w:rsid w:val="17E72CD8"/>
    <w:rsid w:val="17F76E6F"/>
    <w:rsid w:val="1837594B"/>
    <w:rsid w:val="184B44F0"/>
    <w:rsid w:val="189A1C20"/>
    <w:rsid w:val="18FD242D"/>
    <w:rsid w:val="1900676D"/>
    <w:rsid w:val="196F4EA8"/>
    <w:rsid w:val="199058EA"/>
    <w:rsid w:val="1992252C"/>
    <w:rsid w:val="19A96FA7"/>
    <w:rsid w:val="19AC5F6B"/>
    <w:rsid w:val="19BE53A5"/>
    <w:rsid w:val="19D04087"/>
    <w:rsid w:val="1A3F2903"/>
    <w:rsid w:val="1A4C3EC1"/>
    <w:rsid w:val="1A9E0E87"/>
    <w:rsid w:val="1AA3515B"/>
    <w:rsid w:val="1AD90800"/>
    <w:rsid w:val="1B0259F3"/>
    <w:rsid w:val="1B1D72AC"/>
    <w:rsid w:val="1B321A76"/>
    <w:rsid w:val="1B4E1A61"/>
    <w:rsid w:val="1B6E4200"/>
    <w:rsid w:val="1B7C6034"/>
    <w:rsid w:val="1B844E45"/>
    <w:rsid w:val="1B8D20D5"/>
    <w:rsid w:val="1BA3785E"/>
    <w:rsid w:val="1BAC3915"/>
    <w:rsid w:val="1BBD091F"/>
    <w:rsid w:val="1BD72385"/>
    <w:rsid w:val="1BDC68CC"/>
    <w:rsid w:val="1BED5C98"/>
    <w:rsid w:val="1C0477F2"/>
    <w:rsid w:val="1C19367C"/>
    <w:rsid w:val="1C277692"/>
    <w:rsid w:val="1C390A64"/>
    <w:rsid w:val="1C516BA1"/>
    <w:rsid w:val="1C644AFA"/>
    <w:rsid w:val="1CB65948"/>
    <w:rsid w:val="1CDB45C4"/>
    <w:rsid w:val="1CE27F12"/>
    <w:rsid w:val="1CF76C63"/>
    <w:rsid w:val="1D012D89"/>
    <w:rsid w:val="1D24734F"/>
    <w:rsid w:val="1D494322"/>
    <w:rsid w:val="1D5339C8"/>
    <w:rsid w:val="1D82779C"/>
    <w:rsid w:val="1DF313FF"/>
    <w:rsid w:val="1E075E82"/>
    <w:rsid w:val="1E495C09"/>
    <w:rsid w:val="1E5808D6"/>
    <w:rsid w:val="1E60363C"/>
    <w:rsid w:val="1E8171B6"/>
    <w:rsid w:val="1E8371F3"/>
    <w:rsid w:val="1EAE650C"/>
    <w:rsid w:val="1EEB3D3A"/>
    <w:rsid w:val="1F207D93"/>
    <w:rsid w:val="1F247F11"/>
    <w:rsid w:val="1F3B2236"/>
    <w:rsid w:val="1F9A50A9"/>
    <w:rsid w:val="1F9B256E"/>
    <w:rsid w:val="1FD701A5"/>
    <w:rsid w:val="201A5AA3"/>
    <w:rsid w:val="208230DF"/>
    <w:rsid w:val="20A63A58"/>
    <w:rsid w:val="2120169E"/>
    <w:rsid w:val="2145484A"/>
    <w:rsid w:val="216345AF"/>
    <w:rsid w:val="21787561"/>
    <w:rsid w:val="217A7541"/>
    <w:rsid w:val="217D645B"/>
    <w:rsid w:val="21C2617A"/>
    <w:rsid w:val="21CD3E11"/>
    <w:rsid w:val="21F037D5"/>
    <w:rsid w:val="21FC71C5"/>
    <w:rsid w:val="22144883"/>
    <w:rsid w:val="22407BB4"/>
    <w:rsid w:val="224F6B7E"/>
    <w:rsid w:val="228136F6"/>
    <w:rsid w:val="22843248"/>
    <w:rsid w:val="228731CA"/>
    <w:rsid w:val="22915360"/>
    <w:rsid w:val="22E73ECC"/>
    <w:rsid w:val="22FD04FA"/>
    <w:rsid w:val="23113332"/>
    <w:rsid w:val="233D40F4"/>
    <w:rsid w:val="234064B1"/>
    <w:rsid w:val="23514B06"/>
    <w:rsid w:val="235D56DE"/>
    <w:rsid w:val="23A6288F"/>
    <w:rsid w:val="23A711B1"/>
    <w:rsid w:val="23B92348"/>
    <w:rsid w:val="23D833D2"/>
    <w:rsid w:val="23E8163D"/>
    <w:rsid w:val="23EA3969"/>
    <w:rsid w:val="242A6A34"/>
    <w:rsid w:val="24404AB7"/>
    <w:rsid w:val="24705167"/>
    <w:rsid w:val="247824AE"/>
    <w:rsid w:val="248014C2"/>
    <w:rsid w:val="24E2559F"/>
    <w:rsid w:val="24F1163A"/>
    <w:rsid w:val="25177E1E"/>
    <w:rsid w:val="251E5BD9"/>
    <w:rsid w:val="2529306A"/>
    <w:rsid w:val="2542158A"/>
    <w:rsid w:val="25530ACC"/>
    <w:rsid w:val="25551FFC"/>
    <w:rsid w:val="25632A44"/>
    <w:rsid w:val="257B00F4"/>
    <w:rsid w:val="25856337"/>
    <w:rsid w:val="25CB20DB"/>
    <w:rsid w:val="25CC540B"/>
    <w:rsid w:val="25E14CC3"/>
    <w:rsid w:val="25EA0CF2"/>
    <w:rsid w:val="262A4A79"/>
    <w:rsid w:val="26926393"/>
    <w:rsid w:val="26997F7F"/>
    <w:rsid w:val="26B668F3"/>
    <w:rsid w:val="26EB70BB"/>
    <w:rsid w:val="27143053"/>
    <w:rsid w:val="277A27CC"/>
    <w:rsid w:val="27903F2E"/>
    <w:rsid w:val="27B2415C"/>
    <w:rsid w:val="281A71F8"/>
    <w:rsid w:val="28582DB7"/>
    <w:rsid w:val="28B804B0"/>
    <w:rsid w:val="28F07649"/>
    <w:rsid w:val="29171482"/>
    <w:rsid w:val="29232B4E"/>
    <w:rsid w:val="29571B05"/>
    <w:rsid w:val="29624782"/>
    <w:rsid w:val="2978071B"/>
    <w:rsid w:val="29B818B6"/>
    <w:rsid w:val="29CF099F"/>
    <w:rsid w:val="29EB0883"/>
    <w:rsid w:val="29EB67C1"/>
    <w:rsid w:val="29FF7E0D"/>
    <w:rsid w:val="2A12478B"/>
    <w:rsid w:val="2A430501"/>
    <w:rsid w:val="2A4633E1"/>
    <w:rsid w:val="2A527412"/>
    <w:rsid w:val="2A6C24E6"/>
    <w:rsid w:val="2A7957F3"/>
    <w:rsid w:val="2A9B2111"/>
    <w:rsid w:val="2AE412F9"/>
    <w:rsid w:val="2B050998"/>
    <w:rsid w:val="2B26256F"/>
    <w:rsid w:val="2B262E78"/>
    <w:rsid w:val="2B516556"/>
    <w:rsid w:val="2B52428D"/>
    <w:rsid w:val="2B833887"/>
    <w:rsid w:val="2BB41737"/>
    <w:rsid w:val="2BC77A27"/>
    <w:rsid w:val="2BF43057"/>
    <w:rsid w:val="2BFC579F"/>
    <w:rsid w:val="2C3D7175"/>
    <w:rsid w:val="2C63258B"/>
    <w:rsid w:val="2C690477"/>
    <w:rsid w:val="2C951118"/>
    <w:rsid w:val="2CEF4C26"/>
    <w:rsid w:val="2CF757B0"/>
    <w:rsid w:val="2CFC4748"/>
    <w:rsid w:val="2D790E2E"/>
    <w:rsid w:val="2E177303"/>
    <w:rsid w:val="2E777A0F"/>
    <w:rsid w:val="2E9B7107"/>
    <w:rsid w:val="2EB07650"/>
    <w:rsid w:val="2EC467E7"/>
    <w:rsid w:val="2ED40002"/>
    <w:rsid w:val="2EED17A5"/>
    <w:rsid w:val="2EF353B3"/>
    <w:rsid w:val="2F1021D8"/>
    <w:rsid w:val="2F3A4721"/>
    <w:rsid w:val="2F706A94"/>
    <w:rsid w:val="2FC109B1"/>
    <w:rsid w:val="2FE76506"/>
    <w:rsid w:val="2FF5298B"/>
    <w:rsid w:val="2FFC2C4B"/>
    <w:rsid w:val="300A2690"/>
    <w:rsid w:val="302C2515"/>
    <w:rsid w:val="304831CD"/>
    <w:rsid w:val="30B0294D"/>
    <w:rsid w:val="31023E48"/>
    <w:rsid w:val="310F5BCB"/>
    <w:rsid w:val="31165C06"/>
    <w:rsid w:val="3140475F"/>
    <w:rsid w:val="317D27AF"/>
    <w:rsid w:val="31932EA3"/>
    <w:rsid w:val="31C25FB7"/>
    <w:rsid w:val="31C72E99"/>
    <w:rsid w:val="3208476F"/>
    <w:rsid w:val="326B492F"/>
    <w:rsid w:val="328F2BFD"/>
    <w:rsid w:val="32962554"/>
    <w:rsid w:val="32CE6BF6"/>
    <w:rsid w:val="32DB35A4"/>
    <w:rsid w:val="33143B3B"/>
    <w:rsid w:val="332133BD"/>
    <w:rsid w:val="336178E7"/>
    <w:rsid w:val="336A3AA5"/>
    <w:rsid w:val="33740D64"/>
    <w:rsid w:val="338A366A"/>
    <w:rsid w:val="33E94A48"/>
    <w:rsid w:val="33FE075A"/>
    <w:rsid w:val="34086058"/>
    <w:rsid w:val="340D6F00"/>
    <w:rsid w:val="341953A0"/>
    <w:rsid w:val="345468B3"/>
    <w:rsid w:val="34B72A4D"/>
    <w:rsid w:val="34BC4C43"/>
    <w:rsid w:val="34D44E4C"/>
    <w:rsid w:val="34E804D2"/>
    <w:rsid w:val="350A55A6"/>
    <w:rsid w:val="350F479A"/>
    <w:rsid w:val="351E0AA1"/>
    <w:rsid w:val="352B46F4"/>
    <w:rsid w:val="35433153"/>
    <w:rsid w:val="356F72A0"/>
    <w:rsid w:val="35877ED2"/>
    <w:rsid w:val="358C5194"/>
    <w:rsid w:val="35935122"/>
    <w:rsid w:val="35A85F16"/>
    <w:rsid w:val="35C5624E"/>
    <w:rsid w:val="35D1584A"/>
    <w:rsid w:val="35DB1275"/>
    <w:rsid w:val="36267C0E"/>
    <w:rsid w:val="362E36B0"/>
    <w:rsid w:val="364E26D8"/>
    <w:rsid w:val="36664831"/>
    <w:rsid w:val="36863901"/>
    <w:rsid w:val="36883DBE"/>
    <w:rsid w:val="36A50931"/>
    <w:rsid w:val="36E50BBF"/>
    <w:rsid w:val="36FA25D0"/>
    <w:rsid w:val="36FB6694"/>
    <w:rsid w:val="37087839"/>
    <w:rsid w:val="3729463E"/>
    <w:rsid w:val="372C3B77"/>
    <w:rsid w:val="37677400"/>
    <w:rsid w:val="37723AFA"/>
    <w:rsid w:val="37814EC6"/>
    <w:rsid w:val="37DA3930"/>
    <w:rsid w:val="380D6333"/>
    <w:rsid w:val="38544D74"/>
    <w:rsid w:val="385E0E58"/>
    <w:rsid w:val="38645771"/>
    <w:rsid w:val="387408FD"/>
    <w:rsid w:val="38A56B9D"/>
    <w:rsid w:val="38A767D5"/>
    <w:rsid w:val="38AA5979"/>
    <w:rsid w:val="38BC182D"/>
    <w:rsid w:val="38D16E0B"/>
    <w:rsid w:val="39816877"/>
    <w:rsid w:val="39822B21"/>
    <w:rsid w:val="399A24AB"/>
    <w:rsid w:val="39C63F2C"/>
    <w:rsid w:val="39DE6550"/>
    <w:rsid w:val="39E371E8"/>
    <w:rsid w:val="39E7501C"/>
    <w:rsid w:val="3A2D3112"/>
    <w:rsid w:val="3A716869"/>
    <w:rsid w:val="3A7C101B"/>
    <w:rsid w:val="3AC87288"/>
    <w:rsid w:val="3B060A65"/>
    <w:rsid w:val="3B3C2ECE"/>
    <w:rsid w:val="3B3D26AA"/>
    <w:rsid w:val="3B9F15D2"/>
    <w:rsid w:val="3BC25293"/>
    <w:rsid w:val="3C0E2B93"/>
    <w:rsid w:val="3C233BA4"/>
    <w:rsid w:val="3C3A6FCB"/>
    <w:rsid w:val="3C570681"/>
    <w:rsid w:val="3C5A4494"/>
    <w:rsid w:val="3C5B6C71"/>
    <w:rsid w:val="3C6C53E1"/>
    <w:rsid w:val="3C905550"/>
    <w:rsid w:val="3C9074B5"/>
    <w:rsid w:val="3C9E3A49"/>
    <w:rsid w:val="3CEE01ED"/>
    <w:rsid w:val="3D20181A"/>
    <w:rsid w:val="3D4D77C2"/>
    <w:rsid w:val="3D8E6CCB"/>
    <w:rsid w:val="3DB159B2"/>
    <w:rsid w:val="3DBF4A09"/>
    <w:rsid w:val="3DC31812"/>
    <w:rsid w:val="3DE86DB9"/>
    <w:rsid w:val="3DFD0FE0"/>
    <w:rsid w:val="3E0D35E4"/>
    <w:rsid w:val="3E572CB0"/>
    <w:rsid w:val="3E5A76D5"/>
    <w:rsid w:val="3E7A3CC3"/>
    <w:rsid w:val="3E931EFD"/>
    <w:rsid w:val="3E955DB9"/>
    <w:rsid w:val="3E9E11DB"/>
    <w:rsid w:val="3ECA0F7C"/>
    <w:rsid w:val="3EDA0A88"/>
    <w:rsid w:val="3EE312B3"/>
    <w:rsid w:val="3F040276"/>
    <w:rsid w:val="3F532C25"/>
    <w:rsid w:val="3F94320E"/>
    <w:rsid w:val="3F986AE5"/>
    <w:rsid w:val="3FF22456"/>
    <w:rsid w:val="40095632"/>
    <w:rsid w:val="40137D8C"/>
    <w:rsid w:val="40295CD4"/>
    <w:rsid w:val="40461BD4"/>
    <w:rsid w:val="404B5D79"/>
    <w:rsid w:val="40914727"/>
    <w:rsid w:val="40916347"/>
    <w:rsid w:val="40A7455E"/>
    <w:rsid w:val="40C73F47"/>
    <w:rsid w:val="41032081"/>
    <w:rsid w:val="41517290"/>
    <w:rsid w:val="415939E4"/>
    <w:rsid w:val="417538D2"/>
    <w:rsid w:val="419F6517"/>
    <w:rsid w:val="41B87E77"/>
    <w:rsid w:val="41C90309"/>
    <w:rsid w:val="41E55C2A"/>
    <w:rsid w:val="41F674B0"/>
    <w:rsid w:val="423A5D47"/>
    <w:rsid w:val="425642CA"/>
    <w:rsid w:val="42735F86"/>
    <w:rsid w:val="42791104"/>
    <w:rsid w:val="42823CF3"/>
    <w:rsid w:val="429B6A9D"/>
    <w:rsid w:val="43064523"/>
    <w:rsid w:val="4340447A"/>
    <w:rsid w:val="43472061"/>
    <w:rsid w:val="434F2459"/>
    <w:rsid w:val="435E4946"/>
    <w:rsid w:val="43947AAC"/>
    <w:rsid w:val="43BB660B"/>
    <w:rsid w:val="43D06DD3"/>
    <w:rsid w:val="43D20314"/>
    <w:rsid w:val="43D877F5"/>
    <w:rsid w:val="43F128E8"/>
    <w:rsid w:val="43F52C5E"/>
    <w:rsid w:val="43FD424B"/>
    <w:rsid w:val="440A7912"/>
    <w:rsid w:val="441A605F"/>
    <w:rsid w:val="441F584F"/>
    <w:rsid w:val="44430C6D"/>
    <w:rsid w:val="445901F9"/>
    <w:rsid w:val="44606505"/>
    <w:rsid w:val="44654D78"/>
    <w:rsid w:val="446B3D43"/>
    <w:rsid w:val="44B80530"/>
    <w:rsid w:val="44FB2408"/>
    <w:rsid w:val="45064A69"/>
    <w:rsid w:val="4534701E"/>
    <w:rsid w:val="45473FE0"/>
    <w:rsid w:val="45601B13"/>
    <w:rsid w:val="45760228"/>
    <w:rsid w:val="45A46960"/>
    <w:rsid w:val="45A80A69"/>
    <w:rsid w:val="45DA09CD"/>
    <w:rsid w:val="45DE2B1F"/>
    <w:rsid w:val="460B2CB3"/>
    <w:rsid w:val="4614421C"/>
    <w:rsid w:val="46165584"/>
    <w:rsid w:val="46217531"/>
    <w:rsid w:val="462A471C"/>
    <w:rsid w:val="462D264E"/>
    <w:rsid w:val="46757C93"/>
    <w:rsid w:val="46952C50"/>
    <w:rsid w:val="46A76263"/>
    <w:rsid w:val="46DA2E1A"/>
    <w:rsid w:val="46DD1FEF"/>
    <w:rsid w:val="46E74BDA"/>
    <w:rsid w:val="47141D77"/>
    <w:rsid w:val="472A0CA4"/>
    <w:rsid w:val="472D0BBD"/>
    <w:rsid w:val="472E169A"/>
    <w:rsid w:val="473403AB"/>
    <w:rsid w:val="47392920"/>
    <w:rsid w:val="473A0A0E"/>
    <w:rsid w:val="47475E7E"/>
    <w:rsid w:val="47560E22"/>
    <w:rsid w:val="475A3AC8"/>
    <w:rsid w:val="47AC7B6B"/>
    <w:rsid w:val="480274F4"/>
    <w:rsid w:val="482E4F63"/>
    <w:rsid w:val="483B3DDD"/>
    <w:rsid w:val="486F67FE"/>
    <w:rsid w:val="4898765E"/>
    <w:rsid w:val="48B33CBE"/>
    <w:rsid w:val="4915167B"/>
    <w:rsid w:val="492F7570"/>
    <w:rsid w:val="49332842"/>
    <w:rsid w:val="49350214"/>
    <w:rsid w:val="4968014C"/>
    <w:rsid w:val="49853E01"/>
    <w:rsid w:val="49A54040"/>
    <w:rsid w:val="49BB09A8"/>
    <w:rsid w:val="4A12011B"/>
    <w:rsid w:val="4A291F54"/>
    <w:rsid w:val="4A873D23"/>
    <w:rsid w:val="4AF02E14"/>
    <w:rsid w:val="4AF339B0"/>
    <w:rsid w:val="4B574DAF"/>
    <w:rsid w:val="4BAB7053"/>
    <w:rsid w:val="4BBE65E6"/>
    <w:rsid w:val="4BCE41B0"/>
    <w:rsid w:val="4BE43ABA"/>
    <w:rsid w:val="4C13247B"/>
    <w:rsid w:val="4C3A5FB3"/>
    <w:rsid w:val="4C3F07AF"/>
    <w:rsid w:val="4C6F1517"/>
    <w:rsid w:val="4C71152F"/>
    <w:rsid w:val="4CA55545"/>
    <w:rsid w:val="4CAA44D2"/>
    <w:rsid w:val="4CFF394F"/>
    <w:rsid w:val="4D18089F"/>
    <w:rsid w:val="4D5C33BE"/>
    <w:rsid w:val="4D8310FB"/>
    <w:rsid w:val="4DD12DEE"/>
    <w:rsid w:val="4DF25957"/>
    <w:rsid w:val="4E7F1774"/>
    <w:rsid w:val="4E8E2355"/>
    <w:rsid w:val="4F2D005C"/>
    <w:rsid w:val="4F5C1D90"/>
    <w:rsid w:val="4F697D0D"/>
    <w:rsid w:val="4F9466FD"/>
    <w:rsid w:val="4FEB3E76"/>
    <w:rsid w:val="4FEB4DB1"/>
    <w:rsid w:val="50175E62"/>
    <w:rsid w:val="504B7D5D"/>
    <w:rsid w:val="5089402D"/>
    <w:rsid w:val="50B06A9C"/>
    <w:rsid w:val="50CC1E07"/>
    <w:rsid w:val="50DD6D9B"/>
    <w:rsid w:val="50ED041D"/>
    <w:rsid w:val="50ED6C90"/>
    <w:rsid w:val="50F02320"/>
    <w:rsid w:val="5123581E"/>
    <w:rsid w:val="51275918"/>
    <w:rsid w:val="512C653B"/>
    <w:rsid w:val="512F01CB"/>
    <w:rsid w:val="51415F5F"/>
    <w:rsid w:val="51475323"/>
    <w:rsid w:val="51F6423B"/>
    <w:rsid w:val="5209267B"/>
    <w:rsid w:val="524146E6"/>
    <w:rsid w:val="52543068"/>
    <w:rsid w:val="52643CF0"/>
    <w:rsid w:val="52855AAE"/>
    <w:rsid w:val="529C2F3D"/>
    <w:rsid w:val="52B152E8"/>
    <w:rsid w:val="53061205"/>
    <w:rsid w:val="531B2D72"/>
    <w:rsid w:val="533D5936"/>
    <w:rsid w:val="534463D8"/>
    <w:rsid w:val="5372721D"/>
    <w:rsid w:val="53762B86"/>
    <w:rsid w:val="53A70F92"/>
    <w:rsid w:val="53C04F1D"/>
    <w:rsid w:val="53ED56EB"/>
    <w:rsid w:val="53EE7C09"/>
    <w:rsid w:val="53F742DB"/>
    <w:rsid w:val="53FC3B99"/>
    <w:rsid w:val="53FD271B"/>
    <w:rsid w:val="54275A20"/>
    <w:rsid w:val="54347A26"/>
    <w:rsid w:val="544006AE"/>
    <w:rsid w:val="548A2B1D"/>
    <w:rsid w:val="549226E8"/>
    <w:rsid w:val="54D02464"/>
    <w:rsid w:val="54DF186C"/>
    <w:rsid w:val="55016BD7"/>
    <w:rsid w:val="550607A4"/>
    <w:rsid w:val="55113E01"/>
    <w:rsid w:val="5526243A"/>
    <w:rsid w:val="554E3E20"/>
    <w:rsid w:val="55737F46"/>
    <w:rsid w:val="558B0E20"/>
    <w:rsid w:val="559B1119"/>
    <w:rsid w:val="562C4DF6"/>
    <w:rsid w:val="566C5E2B"/>
    <w:rsid w:val="56BB4EC5"/>
    <w:rsid w:val="5727358D"/>
    <w:rsid w:val="572C1163"/>
    <w:rsid w:val="572D77F5"/>
    <w:rsid w:val="57346896"/>
    <w:rsid w:val="573E0B56"/>
    <w:rsid w:val="57AA5D48"/>
    <w:rsid w:val="57B87579"/>
    <w:rsid w:val="57E45539"/>
    <w:rsid w:val="58024DA7"/>
    <w:rsid w:val="580B366F"/>
    <w:rsid w:val="58105D4C"/>
    <w:rsid w:val="58893110"/>
    <w:rsid w:val="591A5DA5"/>
    <w:rsid w:val="59291DE9"/>
    <w:rsid w:val="592E7000"/>
    <w:rsid w:val="59661EC4"/>
    <w:rsid w:val="59C079A9"/>
    <w:rsid w:val="5A470DD9"/>
    <w:rsid w:val="5A783187"/>
    <w:rsid w:val="5A7F383E"/>
    <w:rsid w:val="5A8659B9"/>
    <w:rsid w:val="5AA72697"/>
    <w:rsid w:val="5ACB5084"/>
    <w:rsid w:val="5AE558D8"/>
    <w:rsid w:val="5B071033"/>
    <w:rsid w:val="5B2F7CE9"/>
    <w:rsid w:val="5B46208C"/>
    <w:rsid w:val="5B4C6FBA"/>
    <w:rsid w:val="5B6B045F"/>
    <w:rsid w:val="5B7023AA"/>
    <w:rsid w:val="5B8B40F3"/>
    <w:rsid w:val="5B9F482B"/>
    <w:rsid w:val="5BAB7A91"/>
    <w:rsid w:val="5BBB3B24"/>
    <w:rsid w:val="5BCD17B1"/>
    <w:rsid w:val="5BD47020"/>
    <w:rsid w:val="5BE70178"/>
    <w:rsid w:val="5C1A4688"/>
    <w:rsid w:val="5CE17C73"/>
    <w:rsid w:val="5CED71ED"/>
    <w:rsid w:val="5CEF4D44"/>
    <w:rsid w:val="5D48043E"/>
    <w:rsid w:val="5D550125"/>
    <w:rsid w:val="5D594471"/>
    <w:rsid w:val="5D800CBB"/>
    <w:rsid w:val="5D8D7B07"/>
    <w:rsid w:val="5DAB7564"/>
    <w:rsid w:val="5DBF5D6B"/>
    <w:rsid w:val="5DCC7A6A"/>
    <w:rsid w:val="5E0A2806"/>
    <w:rsid w:val="5E4D5D5D"/>
    <w:rsid w:val="5E4E7799"/>
    <w:rsid w:val="5E5C311F"/>
    <w:rsid w:val="5EAF5F51"/>
    <w:rsid w:val="5ECB513E"/>
    <w:rsid w:val="5ECC1287"/>
    <w:rsid w:val="5F0B44E1"/>
    <w:rsid w:val="5F2630BE"/>
    <w:rsid w:val="5F441590"/>
    <w:rsid w:val="5F4E58CD"/>
    <w:rsid w:val="5F517171"/>
    <w:rsid w:val="5F883B44"/>
    <w:rsid w:val="5F8D5D0D"/>
    <w:rsid w:val="5FC848DB"/>
    <w:rsid w:val="60214B36"/>
    <w:rsid w:val="60217044"/>
    <w:rsid w:val="602759F9"/>
    <w:rsid w:val="60275DC6"/>
    <w:rsid w:val="60932570"/>
    <w:rsid w:val="60AA1843"/>
    <w:rsid w:val="60E60214"/>
    <w:rsid w:val="60E94806"/>
    <w:rsid w:val="60ED400D"/>
    <w:rsid w:val="60F84744"/>
    <w:rsid w:val="61355E2F"/>
    <w:rsid w:val="618D3A70"/>
    <w:rsid w:val="61BF59AD"/>
    <w:rsid w:val="61C713DC"/>
    <w:rsid w:val="61C9053D"/>
    <w:rsid w:val="61D05B58"/>
    <w:rsid w:val="61D26AFA"/>
    <w:rsid w:val="61D524C9"/>
    <w:rsid w:val="62135DB7"/>
    <w:rsid w:val="622151D3"/>
    <w:rsid w:val="62300E3E"/>
    <w:rsid w:val="62592615"/>
    <w:rsid w:val="625A7E3A"/>
    <w:rsid w:val="625E1795"/>
    <w:rsid w:val="628C136C"/>
    <w:rsid w:val="629C6049"/>
    <w:rsid w:val="62B529FF"/>
    <w:rsid w:val="62D50196"/>
    <w:rsid w:val="62E16B38"/>
    <w:rsid w:val="63151E09"/>
    <w:rsid w:val="6328210E"/>
    <w:rsid w:val="63455843"/>
    <w:rsid w:val="63505B2C"/>
    <w:rsid w:val="63960ADC"/>
    <w:rsid w:val="639C3F43"/>
    <w:rsid w:val="639D6603"/>
    <w:rsid w:val="63B773AF"/>
    <w:rsid w:val="641325E1"/>
    <w:rsid w:val="641B1CA8"/>
    <w:rsid w:val="64833BCA"/>
    <w:rsid w:val="64D4574D"/>
    <w:rsid w:val="6508116D"/>
    <w:rsid w:val="65563CDD"/>
    <w:rsid w:val="655A670D"/>
    <w:rsid w:val="6573088D"/>
    <w:rsid w:val="65962C14"/>
    <w:rsid w:val="65A228D3"/>
    <w:rsid w:val="65DA12D2"/>
    <w:rsid w:val="65EF7533"/>
    <w:rsid w:val="65F63CF3"/>
    <w:rsid w:val="660D5783"/>
    <w:rsid w:val="6654298F"/>
    <w:rsid w:val="66814832"/>
    <w:rsid w:val="668A2801"/>
    <w:rsid w:val="66C8136A"/>
    <w:rsid w:val="66CD266D"/>
    <w:rsid w:val="67160223"/>
    <w:rsid w:val="6733064E"/>
    <w:rsid w:val="677267E4"/>
    <w:rsid w:val="67A97C05"/>
    <w:rsid w:val="67B50122"/>
    <w:rsid w:val="67B71B61"/>
    <w:rsid w:val="67D5211A"/>
    <w:rsid w:val="67DF6AF4"/>
    <w:rsid w:val="68270567"/>
    <w:rsid w:val="68466B73"/>
    <w:rsid w:val="684852D2"/>
    <w:rsid w:val="686F787F"/>
    <w:rsid w:val="6889028F"/>
    <w:rsid w:val="68F95994"/>
    <w:rsid w:val="69083D07"/>
    <w:rsid w:val="69691C0D"/>
    <w:rsid w:val="696937C7"/>
    <w:rsid w:val="696C343A"/>
    <w:rsid w:val="69A96DE0"/>
    <w:rsid w:val="69B766FE"/>
    <w:rsid w:val="69D623F0"/>
    <w:rsid w:val="69FC1BE0"/>
    <w:rsid w:val="6A025F5B"/>
    <w:rsid w:val="6A0602F5"/>
    <w:rsid w:val="6A45767E"/>
    <w:rsid w:val="6A5271D3"/>
    <w:rsid w:val="6A7C19FC"/>
    <w:rsid w:val="6AE25FE6"/>
    <w:rsid w:val="6AFA799D"/>
    <w:rsid w:val="6B053905"/>
    <w:rsid w:val="6B063B67"/>
    <w:rsid w:val="6B0C12F9"/>
    <w:rsid w:val="6B96571C"/>
    <w:rsid w:val="6BD1377A"/>
    <w:rsid w:val="6C0F0C63"/>
    <w:rsid w:val="6C592D85"/>
    <w:rsid w:val="6C6E55BD"/>
    <w:rsid w:val="6C8B16AC"/>
    <w:rsid w:val="6C9D304B"/>
    <w:rsid w:val="6CB02B59"/>
    <w:rsid w:val="6CB16496"/>
    <w:rsid w:val="6CBC1346"/>
    <w:rsid w:val="6CC21F90"/>
    <w:rsid w:val="6CCD1AD5"/>
    <w:rsid w:val="6CDC7DF2"/>
    <w:rsid w:val="6CF01120"/>
    <w:rsid w:val="6D45258B"/>
    <w:rsid w:val="6D497135"/>
    <w:rsid w:val="6D4F64CA"/>
    <w:rsid w:val="6DA44BB6"/>
    <w:rsid w:val="6DCC1213"/>
    <w:rsid w:val="6DCF3AF2"/>
    <w:rsid w:val="6DEE797F"/>
    <w:rsid w:val="6E770E8B"/>
    <w:rsid w:val="6E835ACF"/>
    <w:rsid w:val="6E845557"/>
    <w:rsid w:val="6E8C4643"/>
    <w:rsid w:val="6EBC0F1A"/>
    <w:rsid w:val="6F00018E"/>
    <w:rsid w:val="6F331F1E"/>
    <w:rsid w:val="6F3719CA"/>
    <w:rsid w:val="6F3A1B70"/>
    <w:rsid w:val="6F9563C3"/>
    <w:rsid w:val="6FA84043"/>
    <w:rsid w:val="705C6CEC"/>
    <w:rsid w:val="70915888"/>
    <w:rsid w:val="70B62CBC"/>
    <w:rsid w:val="70C15737"/>
    <w:rsid w:val="70D66471"/>
    <w:rsid w:val="70F53B43"/>
    <w:rsid w:val="715D2CAC"/>
    <w:rsid w:val="718C798E"/>
    <w:rsid w:val="71C71CAD"/>
    <w:rsid w:val="71F75586"/>
    <w:rsid w:val="721F5FF7"/>
    <w:rsid w:val="72563350"/>
    <w:rsid w:val="72A85004"/>
    <w:rsid w:val="72E210C5"/>
    <w:rsid w:val="72E570F7"/>
    <w:rsid w:val="72F142D5"/>
    <w:rsid w:val="72F60037"/>
    <w:rsid w:val="73311D58"/>
    <w:rsid w:val="73397A01"/>
    <w:rsid w:val="73400647"/>
    <w:rsid w:val="737C6D9A"/>
    <w:rsid w:val="73946604"/>
    <w:rsid w:val="74161069"/>
    <w:rsid w:val="743B05ED"/>
    <w:rsid w:val="74420C73"/>
    <w:rsid w:val="749B0247"/>
    <w:rsid w:val="74AC4578"/>
    <w:rsid w:val="74C50441"/>
    <w:rsid w:val="74E57D80"/>
    <w:rsid w:val="74ED747C"/>
    <w:rsid w:val="74F655E1"/>
    <w:rsid w:val="75262560"/>
    <w:rsid w:val="75337A0E"/>
    <w:rsid w:val="756A79C4"/>
    <w:rsid w:val="7574231B"/>
    <w:rsid w:val="75837CDD"/>
    <w:rsid w:val="7598589A"/>
    <w:rsid w:val="75C748D3"/>
    <w:rsid w:val="75E025DD"/>
    <w:rsid w:val="76362FA1"/>
    <w:rsid w:val="765B7847"/>
    <w:rsid w:val="766850F0"/>
    <w:rsid w:val="766C1393"/>
    <w:rsid w:val="769B452E"/>
    <w:rsid w:val="76ED5232"/>
    <w:rsid w:val="77173815"/>
    <w:rsid w:val="7730265B"/>
    <w:rsid w:val="778342F4"/>
    <w:rsid w:val="780E238A"/>
    <w:rsid w:val="781316A0"/>
    <w:rsid w:val="781845E3"/>
    <w:rsid w:val="78597E0E"/>
    <w:rsid w:val="785C1290"/>
    <w:rsid w:val="787F0952"/>
    <w:rsid w:val="78A92263"/>
    <w:rsid w:val="794013BD"/>
    <w:rsid w:val="796174CC"/>
    <w:rsid w:val="797A77DF"/>
    <w:rsid w:val="79885C34"/>
    <w:rsid w:val="79905378"/>
    <w:rsid w:val="79E904DD"/>
    <w:rsid w:val="79FB5F79"/>
    <w:rsid w:val="7A3F5521"/>
    <w:rsid w:val="7A63709B"/>
    <w:rsid w:val="7A677F59"/>
    <w:rsid w:val="7A693CAF"/>
    <w:rsid w:val="7A6B22E7"/>
    <w:rsid w:val="7A70182E"/>
    <w:rsid w:val="7ABD50E9"/>
    <w:rsid w:val="7AC540CB"/>
    <w:rsid w:val="7AE126D5"/>
    <w:rsid w:val="7AEA50F5"/>
    <w:rsid w:val="7B1F1A4A"/>
    <w:rsid w:val="7B3953F0"/>
    <w:rsid w:val="7B470BD7"/>
    <w:rsid w:val="7B4D6904"/>
    <w:rsid w:val="7B6433DB"/>
    <w:rsid w:val="7B8E4E38"/>
    <w:rsid w:val="7B8F3A15"/>
    <w:rsid w:val="7B945BF8"/>
    <w:rsid w:val="7BB013DE"/>
    <w:rsid w:val="7BC103B6"/>
    <w:rsid w:val="7BCD432F"/>
    <w:rsid w:val="7BDF2DF6"/>
    <w:rsid w:val="7C324C6F"/>
    <w:rsid w:val="7C391431"/>
    <w:rsid w:val="7C610C07"/>
    <w:rsid w:val="7CD93A9C"/>
    <w:rsid w:val="7CE36A19"/>
    <w:rsid w:val="7D13044C"/>
    <w:rsid w:val="7D442C07"/>
    <w:rsid w:val="7D757C96"/>
    <w:rsid w:val="7DA8034B"/>
    <w:rsid w:val="7DBA036C"/>
    <w:rsid w:val="7DCD791A"/>
    <w:rsid w:val="7DF925BA"/>
    <w:rsid w:val="7E214211"/>
    <w:rsid w:val="7E437BE2"/>
    <w:rsid w:val="7E544D9D"/>
    <w:rsid w:val="7E9A586D"/>
    <w:rsid w:val="7EAA11F4"/>
    <w:rsid w:val="7EBB13A8"/>
    <w:rsid w:val="7EDE5065"/>
    <w:rsid w:val="7F015DD7"/>
    <w:rsid w:val="7F7A6613"/>
    <w:rsid w:val="7F7F67FF"/>
    <w:rsid w:val="7F8E40C6"/>
    <w:rsid w:val="7FA7468D"/>
    <w:rsid w:val="7FEC3411"/>
    <w:rsid w:val="7FFD1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99"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eastAsia="宋体" w:asciiTheme="minorHAnsi" w:hAnsiTheme="minorHAnsi" w:cstheme="minorBidi"/>
      <w:kern w:val="2"/>
      <w:sz w:val="24"/>
      <w:szCs w:val="24"/>
      <w:lang w:val="en-US" w:eastAsia="zh-CN" w:bidi="ar-SA"/>
    </w:rPr>
  </w:style>
  <w:style w:type="paragraph" w:styleId="2">
    <w:name w:val="heading 1"/>
    <w:basedOn w:val="1"/>
    <w:next w:val="1"/>
    <w:link w:val="28"/>
    <w:qFormat/>
    <w:uiPriority w:val="0"/>
    <w:pPr>
      <w:keepNext/>
      <w:keepLines/>
      <w:spacing w:before="340" w:after="330" w:line="576" w:lineRule="auto"/>
      <w:outlineLvl w:val="0"/>
    </w:pPr>
    <w:rPr>
      <w:b/>
      <w:kern w:val="44"/>
      <w:sz w:val="44"/>
    </w:rPr>
  </w:style>
  <w:style w:type="paragraph" w:styleId="3">
    <w:name w:val="heading 2"/>
    <w:basedOn w:val="1"/>
    <w:next w:val="1"/>
    <w:qFormat/>
    <w:uiPriority w:val="1"/>
    <w:pPr>
      <w:ind w:left="238"/>
      <w:outlineLvl w:val="1"/>
    </w:pPr>
    <w:rPr>
      <w:rFonts w:ascii="宋体" w:hAnsi="宋体"/>
      <w:b/>
      <w:bCs/>
      <w:sz w:val="28"/>
      <w:szCs w:val="28"/>
    </w:rPr>
  </w:style>
  <w:style w:type="paragraph" w:styleId="4">
    <w:name w:val="heading 3"/>
    <w:basedOn w:val="1"/>
    <w:next w:val="1"/>
    <w:link w:val="29"/>
    <w:semiHidden/>
    <w:unhideWhenUsed/>
    <w:qFormat/>
    <w:uiPriority w:val="0"/>
    <w:pPr>
      <w:keepNext/>
      <w:keepLines/>
      <w:spacing w:before="260" w:after="260" w:line="413" w:lineRule="auto"/>
      <w:outlineLvl w:val="2"/>
    </w:pPr>
    <w:rPr>
      <w:b/>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9"/>
    <w:qFormat/>
    <w:uiPriority w:val="0"/>
    <w:pPr>
      <w:jc w:val="left"/>
    </w:pPr>
  </w:style>
  <w:style w:type="paragraph" w:styleId="6">
    <w:name w:val="Body Text"/>
    <w:basedOn w:val="1"/>
    <w:qFormat/>
    <w:uiPriority w:val="1"/>
    <w:pPr>
      <w:spacing w:before="236"/>
      <w:ind w:left="237"/>
    </w:pPr>
    <w:rPr>
      <w:rFonts w:ascii="宋体" w:hAnsi="宋体"/>
      <w:sz w:val="28"/>
      <w:szCs w:val="28"/>
    </w:rPr>
  </w:style>
  <w:style w:type="paragraph" w:styleId="7">
    <w:name w:val="Body Text Indent"/>
    <w:basedOn w:val="1"/>
    <w:next w:val="8"/>
    <w:unhideWhenUsed/>
    <w:qFormat/>
    <w:uiPriority w:val="0"/>
    <w:pPr>
      <w:spacing w:after="120"/>
      <w:ind w:left="420" w:leftChars="200"/>
    </w:pPr>
  </w:style>
  <w:style w:type="paragraph" w:customStyle="1" w:styleId="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9">
    <w:name w:val="toc 5"/>
    <w:basedOn w:val="1"/>
    <w:next w:val="1"/>
    <w:qFormat/>
    <w:uiPriority w:val="0"/>
    <w:pPr>
      <w:ind w:left="1680"/>
    </w:pPr>
  </w:style>
  <w:style w:type="paragraph" w:styleId="10">
    <w:name w:val="Plain Text"/>
    <w:basedOn w:val="1"/>
    <w:next w:val="1"/>
    <w:link w:val="31"/>
    <w:qFormat/>
    <w:uiPriority w:val="0"/>
    <w:pPr>
      <w:spacing w:line="360" w:lineRule="auto"/>
      <w:ind w:firstLine="0" w:firstLineChars="0"/>
    </w:pPr>
    <w:rPr>
      <w:rFonts w:ascii="宋体" w:hAnsi="宋体" w:cs="Times New Roman"/>
      <w:sz w:val="28"/>
      <w:szCs w:val="21"/>
    </w:rPr>
  </w:style>
  <w:style w:type="paragraph" w:styleId="11">
    <w:name w:val="Balloon Text"/>
    <w:basedOn w:val="1"/>
    <w:link w:val="33"/>
    <w:qFormat/>
    <w:uiPriority w:val="0"/>
    <w:rPr>
      <w:sz w:val="18"/>
      <w:szCs w:val="18"/>
    </w:rPr>
  </w:style>
  <w:style w:type="paragraph" w:styleId="12">
    <w:name w:val="footer"/>
    <w:basedOn w:val="1"/>
    <w:link w:val="35"/>
    <w:qFormat/>
    <w:uiPriority w:val="99"/>
    <w:pPr>
      <w:tabs>
        <w:tab w:val="center" w:pos="4153"/>
        <w:tab w:val="right" w:pos="8306"/>
      </w:tabs>
      <w:snapToGrid w:val="0"/>
      <w:jc w:val="left"/>
    </w:pPr>
    <w:rPr>
      <w:sz w:val="18"/>
      <w:szCs w:val="18"/>
    </w:rPr>
  </w:style>
  <w:style w:type="paragraph" w:styleId="13">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style>
  <w:style w:type="paragraph" w:styleId="15">
    <w:name w:val="toc 2"/>
    <w:basedOn w:val="1"/>
    <w:next w:val="1"/>
    <w:qFormat/>
    <w:uiPriority w:val="99"/>
    <w:pPr>
      <w:ind w:left="420" w:leftChars="200"/>
    </w:pPr>
  </w:style>
  <w:style w:type="paragraph" w:styleId="16">
    <w:name w:val="Body Text 2"/>
    <w:basedOn w:val="1"/>
    <w:qFormat/>
    <w:uiPriority w:val="0"/>
    <w:pPr>
      <w:spacing w:after="120" w:line="480" w:lineRule="auto"/>
    </w:p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5"/>
    <w:next w:val="5"/>
    <w:link w:val="40"/>
    <w:qFormat/>
    <w:uiPriority w:val="0"/>
    <w:rPr>
      <w:b/>
      <w:bCs/>
    </w:rPr>
  </w:style>
  <w:style w:type="paragraph" w:styleId="19">
    <w:name w:val="Body Text First Indent"/>
    <w:basedOn w:val="6"/>
    <w:next w:val="1"/>
    <w:unhideWhenUsed/>
    <w:qFormat/>
    <w:uiPriority w:val="99"/>
    <w:pPr>
      <w:ind w:firstLine="420" w:firstLineChars="100"/>
    </w:pPr>
  </w:style>
  <w:style w:type="paragraph" w:styleId="20">
    <w:name w:val="Body Text First Indent 2"/>
    <w:basedOn w:val="7"/>
    <w:next w:val="19"/>
    <w:unhideWhenUsed/>
    <w:qFormat/>
    <w:uiPriority w:val="0"/>
    <w:pPr>
      <w:ind w:firstLine="420"/>
    </w:pPr>
    <w:rPr>
      <w:rFonts w:hint="eastAsia" w:ascii="宋体" w:hAnsi="宋体"/>
      <w:kern w:val="0"/>
    </w:rPr>
  </w:style>
  <w:style w:type="table" w:styleId="22">
    <w:name w:val="Table Grid"/>
    <w:basedOn w:val="2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qFormat/>
    <w:uiPriority w:val="99"/>
    <w:rPr>
      <w:color w:val="0000FF"/>
      <w:u w:val="single"/>
    </w:rPr>
  </w:style>
  <w:style w:type="character" w:styleId="25">
    <w:name w:val="annotation reference"/>
    <w:basedOn w:val="23"/>
    <w:qFormat/>
    <w:uiPriority w:val="0"/>
    <w:rPr>
      <w:sz w:val="21"/>
      <w:szCs w:val="21"/>
    </w:rPr>
  </w:style>
  <w:style w:type="paragraph" w:customStyle="1" w:styleId="26">
    <w:name w:val="正文1"/>
    <w:basedOn w:val="27"/>
    <w:next w:val="1"/>
    <w:qFormat/>
    <w:uiPriority w:val="0"/>
    <w:rPr>
      <w:rFonts w:ascii="Calibri" w:hAnsi="Calibri" w:cs="宋体"/>
      <w:sz w:val="21"/>
      <w:szCs w:val="21"/>
    </w:rPr>
  </w:style>
  <w:style w:type="paragraph" w:customStyle="1" w:styleId="27">
    <w:name w:val="样式1"/>
    <w:basedOn w:val="16"/>
    <w:qFormat/>
    <w:uiPriority w:val="0"/>
    <w:pPr>
      <w:spacing w:line="500" w:lineRule="exact"/>
      <w:ind w:firstLine="200"/>
    </w:pPr>
    <w:rPr>
      <w:rFonts w:ascii="Arial" w:hAnsi="Arial"/>
    </w:rPr>
  </w:style>
  <w:style w:type="character" w:customStyle="1" w:styleId="28">
    <w:name w:val="标题 1 Char"/>
    <w:link w:val="2"/>
    <w:qFormat/>
    <w:uiPriority w:val="0"/>
    <w:rPr>
      <w:b/>
      <w:kern w:val="44"/>
      <w:sz w:val="44"/>
    </w:rPr>
  </w:style>
  <w:style w:type="character" w:customStyle="1" w:styleId="29">
    <w:name w:val="标题 3 Char"/>
    <w:link w:val="4"/>
    <w:qFormat/>
    <w:uiPriority w:val="0"/>
    <w:rPr>
      <w:b/>
      <w:sz w:val="32"/>
    </w:rPr>
  </w:style>
  <w:style w:type="paragraph" w:styleId="30">
    <w:name w:val="List Paragraph"/>
    <w:basedOn w:val="1"/>
    <w:unhideWhenUsed/>
    <w:qFormat/>
    <w:uiPriority w:val="99"/>
    <w:pPr>
      <w:ind w:firstLine="420"/>
    </w:pPr>
  </w:style>
  <w:style w:type="character" w:customStyle="1" w:styleId="31">
    <w:name w:val="纯文本 Char1"/>
    <w:link w:val="10"/>
    <w:qFormat/>
    <w:uiPriority w:val="0"/>
    <w:rPr>
      <w:rFonts w:ascii="宋体" w:hAnsi="宋体"/>
      <w:kern w:val="2"/>
      <w:sz w:val="28"/>
      <w:szCs w:val="21"/>
    </w:rPr>
  </w:style>
  <w:style w:type="character" w:customStyle="1" w:styleId="32">
    <w:name w:val="纯文本 Char"/>
    <w:basedOn w:val="23"/>
    <w:qFormat/>
    <w:uiPriority w:val="0"/>
    <w:rPr>
      <w:rFonts w:ascii="宋体" w:hAnsi="Courier New" w:cs="Courier New"/>
      <w:kern w:val="2"/>
      <w:sz w:val="21"/>
      <w:szCs w:val="21"/>
    </w:rPr>
  </w:style>
  <w:style w:type="character" w:customStyle="1" w:styleId="33">
    <w:name w:val="批注框文本 Char"/>
    <w:basedOn w:val="23"/>
    <w:link w:val="11"/>
    <w:qFormat/>
    <w:uiPriority w:val="0"/>
    <w:rPr>
      <w:rFonts w:asciiTheme="minorHAnsi" w:hAnsiTheme="minorHAnsi" w:cstheme="minorBidi"/>
      <w:kern w:val="2"/>
      <w:sz w:val="18"/>
      <w:szCs w:val="18"/>
    </w:rPr>
  </w:style>
  <w:style w:type="character" w:customStyle="1" w:styleId="34">
    <w:name w:val="页眉 Char"/>
    <w:basedOn w:val="23"/>
    <w:link w:val="13"/>
    <w:qFormat/>
    <w:uiPriority w:val="99"/>
    <w:rPr>
      <w:rFonts w:asciiTheme="minorHAnsi" w:hAnsiTheme="minorHAnsi" w:cstheme="minorBidi"/>
      <w:kern w:val="2"/>
      <w:sz w:val="18"/>
      <w:szCs w:val="18"/>
    </w:rPr>
  </w:style>
  <w:style w:type="character" w:customStyle="1" w:styleId="35">
    <w:name w:val="页脚 Char"/>
    <w:basedOn w:val="23"/>
    <w:link w:val="12"/>
    <w:qFormat/>
    <w:uiPriority w:val="99"/>
    <w:rPr>
      <w:rFonts w:asciiTheme="minorHAnsi" w:hAnsiTheme="minorHAnsi" w:cstheme="minorBidi"/>
      <w:kern w:val="2"/>
      <w:sz w:val="18"/>
      <w:szCs w:val="18"/>
    </w:rPr>
  </w:style>
  <w:style w:type="paragraph" w:customStyle="1" w:styleId="36">
    <w:name w:val="TOC 标题1"/>
    <w:basedOn w:val="2"/>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bCs/>
      <w:color w:val="2E75B6" w:themeColor="accent1" w:themeShade="BF"/>
      <w:kern w:val="0"/>
      <w:sz w:val="28"/>
      <w:szCs w:val="28"/>
    </w:rPr>
  </w:style>
  <w:style w:type="paragraph" w:customStyle="1" w:styleId="37">
    <w:name w:val="Table Paragraph"/>
    <w:basedOn w:val="1"/>
    <w:qFormat/>
    <w:uiPriority w:val="1"/>
  </w:style>
  <w:style w:type="character" w:customStyle="1" w:styleId="38">
    <w:name w:val="font01"/>
    <w:basedOn w:val="23"/>
    <w:qFormat/>
    <w:uiPriority w:val="0"/>
    <w:rPr>
      <w:rFonts w:hint="default" w:ascii="Times New Roman" w:hAnsi="Times New Roman" w:cs="Times New Roman"/>
      <w:color w:val="000000"/>
      <w:sz w:val="21"/>
      <w:szCs w:val="21"/>
      <w:u w:val="none"/>
    </w:rPr>
  </w:style>
  <w:style w:type="character" w:customStyle="1" w:styleId="39">
    <w:name w:val="批注文字 Char"/>
    <w:basedOn w:val="23"/>
    <w:link w:val="5"/>
    <w:qFormat/>
    <w:uiPriority w:val="0"/>
    <w:rPr>
      <w:rFonts w:asciiTheme="minorHAnsi" w:hAnsiTheme="minorHAnsi" w:cstheme="minorBidi"/>
      <w:kern w:val="2"/>
      <w:sz w:val="24"/>
      <w:szCs w:val="24"/>
    </w:rPr>
  </w:style>
  <w:style w:type="character" w:customStyle="1" w:styleId="40">
    <w:name w:val="批注主题 Char"/>
    <w:basedOn w:val="39"/>
    <w:link w:val="18"/>
    <w:qFormat/>
    <w:uiPriority w:val="0"/>
    <w:rPr>
      <w:rFonts w:asciiTheme="minorHAnsi" w:hAnsiTheme="minorHAnsi" w:cstheme="minorBidi"/>
      <w:b/>
      <w:bCs/>
      <w:kern w:val="2"/>
      <w:sz w:val="24"/>
      <w:szCs w:val="24"/>
    </w:rPr>
  </w:style>
  <w:style w:type="paragraph" w:customStyle="1" w:styleId="41">
    <w:name w:val="样式 标题 1 + 四号 段前: 0 磅 段后: 0 磅 行距: 1.5 倍行距"/>
    <w:basedOn w:val="2"/>
    <w:qFormat/>
    <w:uiPriority w:val="0"/>
    <w:pPr>
      <w:spacing w:line="360" w:lineRule="auto"/>
      <w:jc w:val="center"/>
    </w:p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4.png"/><Relationship Id="rId44" Type="http://schemas.openxmlformats.org/officeDocument/2006/relationships/image" Target="media/image23.png"/><Relationship Id="rId43" Type="http://schemas.openxmlformats.org/officeDocument/2006/relationships/image" Target="media/image22.png"/><Relationship Id="rId42" Type="http://schemas.openxmlformats.org/officeDocument/2006/relationships/image" Target="media/image21.png"/><Relationship Id="rId41" Type="http://schemas.openxmlformats.org/officeDocument/2006/relationships/oleObject" Target="embeddings/oleObject5.bin"/><Relationship Id="rId40" Type="http://schemas.openxmlformats.org/officeDocument/2006/relationships/image" Target="media/image20.wmf"/><Relationship Id="rId4" Type="http://schemas.openxmlformats.org/officeDocument/2006/relationships/endnotes" Target="endnotes.xml"/><Relationship Id="rId39" Type="http://schemas.openxmlformats.org/officeDocument/2006/relationships/oleObject" Target="embeddings/oleObject4.bin"/><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notes" Target="footnotes.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emf"/><Relationship Id="rId23" Type="http://schemas.openxmlformats.org/officeDocument/2006/relationships/oleObject" Target="embeddings/oleObject3.bin"/><Relationship Id="rId22" Type="http://schemas.openxmlformats.org/officeDocument/2006/relationships/image" Target="media/image4.emf"/><Relationship Id="rId21" Type="http://schemas.openxmlformats.org/officeDocument/2006/relationships/oleObject" Target="embeddings/oleObject2.bin"/><Relationship Id="rId20" Type="http://schemas.openxmlformats.org/officeDocument/2006/relationships/image" Target="media/image3.e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97</Pages>
  <Words>11152</Words>
  <Characters>12473</Characters>
  <Lines>475</Lines>
  <Paragraphs>133</Paragraphs>
  <TotalTime>61</TotalTime>
  <ScaleCrop>false</ScaleCrop>
  <LinksUpToDate>false</LinksUpToDate>
  <CharactersWithSpaces>12594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2023-07-18T16:46:00Z</dcterms:created>
  <dc:creator>626</dc:creator>
  <cp:lastModifiedBy>望向天空</cp:lastModifiedBy>
  <cp:lastPrinted>2025-08-19T03:02:00Z</cp:lastPrinted>
  <dcterms:modified xsi:type="dcterms:W3CDTF">2025-09-04T03:16:26Z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6ABB26C33F754E6C89A1EF682BC33F91</vt:lpwstr>
  </property>
  <property fmtid="{D5CDD505-2E9C-101B-9397-08002B2CF9AE}" pid="4" name="KSOTemplateDocerSaveRecord">
    <vt:lpwstr>eyJoZGlkIjoiMWRhYmU4ZDNlMmY1OGZkMDIxMTk3YmVmODZiMTE2NWUiLCJ1c2VySWQiOiIxOTY4ODU5MDcifQ==</vt:lpwstr>
  </property>
</Properties>
</file>