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73"/>
        <w:gridCol w:w="2315"/>
        <w:gridCol w:w="1246"/>
        <w:gridCol w:w="1845"/>
        <w:gridCol w:w="941"/>
        <w:gridCol w:w="877"/>
      </w:tblGrid>
      <w:tr>
        <w:trPr>
          <w:trHeight w:val="20"/>
          <w:jc w:val="center"/>
        </w:trPr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用人单位</w:t>
            </w:r>
          </w:p>
        </w:tc>
        <w:tc>
          <w:tcPr>
            <w:tcW w:w="4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 w:hint="eastAsia"/>
                <w:szCs w:val="21"/>
              </w:rPr>
              <w:t>某某</w:t>
            </w:r>
            <w:r>
              <w:rPr>
                <w:rFonts w:ascii="Times New Roman" w:eastAsia="仿宋" w:hAnsi="仿宋" w:cs="Times New Roman"/>
                <w:szCs w:val="21"/>
              </w:rPr>
              <w:t>化工有限公司</w:t>
            </w:r>
          </w:p>
        </w:tc>
      </w:tr>
      <w:tr>
        <w:trPr>
          <w:trHeight w:val="20"/>
          <w:jc w:val="center"/>
        </w:trPr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单位地址</w:t>
            </w:r>
          </w:p>
        </w:tc>
        <w:tc>
          <w:tcPr>
            <w:tcW w:w="4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 w:hint="eastAsia"/>
                <w:szCs w:val="21"/>
              </w:rPr>
              <w:t>XX</w:t>
            </w:r>
          </w:p>
        </w:tc>
      </w:tr>
      <w:tr>
        <w:trPr>
          <w:trHeight w:val="20"/>
          <w:jc w:val="center"/>
        </w:trPr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单位联系人</w:t>
            </w:r>
          </w:p>
        </w:tc>
        <w:tc>
          <w:tcPr>
            <w:tcW w:w="4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 w:hint="eastAsia"/>
                <w:szCs w:val="21"/>
              </w:rPr>
              <w:t>XX</w:t>
            </w:r>
          </w:p>
        </w:tc>
      </w:tr>
      <w:tr>
        <w:trPr>
          <w:trHeight w:val="20"/>
          <w:jc w:val="center"/>
        </w:trPr>
        <w:tc>
          <w:tcPr>
            <w:tcW w:w="94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公示信息类别</w:t>
            </w:r>
          </w:p>
        </w:tc>
        <w:tc>
          <w:tcPr>
            <w:tcW w:w="4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职业病危害现状评价</w:t>
            </w:r>
          </w:p>
        </w:tc>
      </w:tr>
      <w:tr>
        <w:trPr>
          <w:trHeight w:val="20"/>
          <w:jc w:val="center"/>
        </w:trPr>
        <w:tc>
          <w:tcPr>
            <w:tcW w:w="94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项目简介</w:t>
            </w:r>
          </w:p>
        </w:tc>
        <w:tc>
          <w:tcPr>
            <w:tcW w:w="4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某某化工有限公司（以下简称</w:t>
            </w:r>
            <w:r>
              <w:rPr>
                <w:rFonts w:ascii="Times New Roman" w:eastAsia="仿宋" w:hAnsi="Times New Roman" w:cs="Times New Roman"/>
                <w:szCs w:val="21"/>
              </w:rPr>
              <w:t>“</w:t>
            </w:r>
            <w:r>
              <w:rPr>
                <w:rFonts w:ascii="Times New Roman" w:eastAsia="仿宋" w:hAnsi="仿宋" w:cs="Times New Roman"/>
                <w:szCs w:val="21"/>
              </w:rPr>
              <w:t>该公司</w:t>
            </w:r>
            <w:r>
              <w:rPr>
                <w:rFonts w:ascii="Times New Roman" w:eastAsia="仿宋" w:hAnsi="Times New Roman" w:cs="Times New Roman"/>
                <w:szCs w:val="21"/>
              </w:rPr>
              <w:t>”</w:t>
            </w:r>
            <w:r>
              <w:rPr>
                <w:rFonts w:ascii="Times New Roman" w:eastAsia="仿宋" w:hAnsi="仿宋" w:cs="Times New Roman"/>
                <w:szCs w:val="21"/>
              </w:rPr>
              <w:t>）位于</w:t>
            </w:r>
            <w:r>
              <w:rPr>
                <w:rFonts w:ascii="Times New Roman" w:eastAsia="仿宋" w:hAnsi="Times New Roman" w:cs="Times New Roman"/>
                <w:szCs w:val="21"/>
              </w:rPr>
              <w:t>XX</w:t>
            </w:r>
            <w:r>
              <w:rPr>
                <w:rFonts w:ascii="Times New Roman" w:eastAsia="仿宋" w:hAnsi="仿宋" w:cs="Times New Roman"/>
                <w:szCs w:val="21"/>
              </w:rPr>
              <w:t>市</w:t>
            </w:r>
            <w:r>
              <w:rPr>
                <w:rFonts w:ascii="Times New Roman" w:eastAsia="仿宋" w:hAnsi="Times New Roman" w:cs="Times New Roman"/>
                <w:szCs w:val="21"/>
              </w:rPr>
              <w:t>XX</w:t>
            </w:r>
            <w:r>
              <w:rPr>
                <w:rFonts w:ascii="Times New Roman" w:eastAsia="仿宋" w:hAnsi="仿宋" w:cs="Times New Roman"/>
                <w:szCs w:val="21"/>
              </w:rPr>
              <w:t>区</w:t>
            </w:r>
            <w:r>
              <w:rPr>
                <w:rFonts w:ascii="Times New Roman" w:eastAsia="仿宋" w:hAnsi="Times New Roman" w:cs="Times New Roman"/>
                <w:szCs w:val="21"/>
              </w:rPr>
              <w:t>XX</w:t>
            </w:r>
            <w:r>
              <w:rPr>
                <w:rFonts w:ascii="Times New Roman" w:eastAsia="仿宋" w:hAnsi="仿宋" w:cs="Times New Roman"/>
                <w:szCs w:val="21"/>
              </w:rPr>
              <w:t>镇</w:t>
            </w:r>
            <w:r>
              <w:rPr>
                <w:rFonts w:ascii="Times New Roman" w:eastAsia="仿宋" w:hAnsi="Times New Roman" w:cs="Times New Roman"/>
                <w:szCs w:val="21"/>
              </w:rPr>
              <w:t>XX</w:t>
            </w:r>
            <w:r>
              <w:rPr>
                <w:rFonts w:ascii="Times New Roman" w:eastAsia="仿宋" w:hAnsi="仿宋" w:cs="Times New Roman"/>
                <w:szCs w:val="21"/>
              </w:rPr>
              <w:t>开发区。</w:t>
            </w:r>
            <w:r>
              <w:rPr>
                <w:rFonts w:ascii="Times New Roman" w:eastAsia="仿宋" w:hAnsi="仿宋" w:cs="Times New Roman"/>
                <w:kern w:val="0"/>
                <w:szCs w:val="21"/>
              </w:rPr>
              <w:t>该公司成立于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1999</w:t>
            </w:r>
            <w:r>
              <w:rPr>
                <w:rFonts w:ascii="Times New Roman" w:eastAsia="仿宋" w:hAnsi="仿宋" w:cs="Times New Roman"/>
                <w:kern w:val="0"/>
                <w:szCs w:val="21"/>
              </w:rPr>
              <w:t>年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06</w:t>
            </w:r>
            <w:r>
              <w:rPr>
                <w:rFonts w:ascii="Times New Roman" w:eastAsia="仿宋" w:hAnsi="仿宋" w:cs="Times New Roman"/>
                <w:kern w:val="0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04</w:t>
            </w:r>
            <w:r>
              <w:rPr>
                <w:rFonts w:ascii="Times New Roman" w:eastAsia="仿宋" w:hAnsi="仿宋" w:cs="Times New Roman"/>
                <w:kern w:val="0"/>
                <w:szCs w:val="21"/>
              </w:rPr>
              <w:t>日，注册资金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2000</w:t>
            </w:r>
            <w:r>
              <w:rPr>
                <w:rFonts w:ascii="Times New Roman" w:eastAsia="仿宋" w:hAnsi="仿宋" w:cs="Times New Roman"/>
                <w:kern w:val="0"/>
                <w:szCs w:val="21"/>
              </w:rPr>
              <w:t>万元人民币。</w:t>
            </w:r>
            <w:r>
              <w:rPr>
                <w:rFonts w:ascii="Times New Roman" w:eastAsia="仿宋" w:hAnsi="仿宋" w:cs="Times New Roman"/>
                <w:szCs w:val="21"/>
              </w:rPr>
              <w:t>公司生产销售油漆、固化剂（聚酯树脂清漆、醇酸清漆、</w:t>
            </w:r>
            <w:r>
              <w:rPr>
                <w:rFonts w:ascii="Times New Roman" w:eastAsia="仿宋" w:hAnsi="Times New Roman" w:cs="Times New Roman"/>
                <w:szCs w:val="21"/>
              </w:rPr>
              <w:t>7110</w:t>
            </w:r>
            <w:r>
              <w:rPr>
                <w:rFonts w:ascii="Times New Roman" w:eastAsia="仿宋" w:hAnsi="仿宋" w:cs="Times New Roman"/>
                <w:szCs w:val="21"/>
              </w:rPr>
              <w:t>聚氨酯固化剂），年生产能力</w:t>
            </w:r>
            <w:r>
              <w:rPr>
                <w:rFonts w:ascii="Times New Roman" w:eastAsia="仿宋" w:hAnsi="Times New Roman" w:cs="Times New Roman"/>
                <w:szCs w:val="21"/>
              </w:rPr>
              <w:t>300t</w:t>
            </w:r>
            <w:r>
              <w:rPr>
                <w:rFonts w:ascii="Times New Roman" w:eastAsia="仿宋" w:hAnsi="仿宋" w:cs="Times New Roman"/>
                <w:szCs w:val="21"/>
              </w:rPr>
              <w:t>。</w:t>
            </w:r>
            <w:r>
              <w:rPr>
                <w:rFonts w:ascii="Times New Roman" w:eastAsia="仿宋" w:hAnsi="仿宋" w:cs="Times New Roman"/>
                <w:kern w:val="0"/>
                <w:szCs w:val="21"/>
              </w:rPr>
              <w:t>现有职工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31</w:t>
            </w:r>
            <w:r>
              <w:rPr>
                <w:rFonts w:ascii="Times New Roman" w:eastAsia="仿宋" w:hAnsi="仿宋" w:cs="Times New Roman"/>
                <w:kern w:val="0"/>
                <w:szCs w:val="21"/>
              </w:rPr>
              <w:t>人，生产人员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11</w:t>
            </w:r>
            <w:r>
              <w:rPr>
                <w:rFonts w:ascii="Times New Roman" w:eastAsia="仿宋" w:hAnsi="仿宋" w:cs="Times New Roman"/>
                <w:kern w:val="0"/>
                <w:szCs w:val="21"/>
              </w:rPr>
              <w:t>人</w:t>
            </w:r>
            <w:r>
              <w:rPr>
                <w:rFonts w:ascii="Times New Roman" w:eastAsia="仿宋" w:hAnsi="仿宋" w:cs="Times New Roman"/>
                <w:szCs w:val="21"/>
              </w:rPr>
              <w:t>。</w:t>
            </w:r>
          </w:p>
        </w:tc>
      </w:tr>
      <w:tr>
        <w:trPr>
          <w:trHeight w:val="20"/>
          <w:jc w:val="center"/>
        </w:trPr>
        <w:tc>
          <w:tcPr>
            <w:tcW w:w="94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现场调查人员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龙升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仿宋" w:hAnsi="Times New Roman" w:cs="Times New Roman"/>
                <w:szCs w:val="21"/>
              </w:rPr>
              <w:t>彭光明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调查时间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202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.6.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13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陪同人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 w:hint="eastAsia"/>
                <w:szCs w:val="21"/>
              </w:rPr>
              <w:t>XX</w:t>
            </w:r>
          </w:p>
        </w:tc>
      </w:tr>
      <w:tr>
        <w:trPr>
          <w:trHeight w:val="20"/>
          <w:jc w:val="center"/>
        </w:trPr>
        <w:tc>
          <w:tcPr>
            <w:tcW w:w="94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检测人员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李忠坤、</w:t>
            </w:r>
            <w:r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桂晗阳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检测时间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202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.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.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7~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陪同人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 w:hint="eastAsia"/>
                <w:szCs w:val="21"/>
              </w:rPr>
              <w:t>XX</w:t>
            </w:r>
          </w:p>
        </w:tc>
      </w:tr>
      <w:tr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32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主要职业病危害因素</w:t>
            </w:r>
          </w:p>
          <w:p>
            <w:pPr>
              <w:spacing w:line="320" w:lineRule="exact"/>
              <w:ind w:firstLineChars="200" w:firstLine="42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该公司主要的职业病危害因素包括：</w:t>
            </w:r>
            <w:r>
              <w:rPr>
                <w:rFonts w:ascii="仿宋" w:eastAsia="仿宋" w:hAnsi="仿宋" w:cs="Times New Roman" w:hint="eastAsia"/>
                <w:szCs w:val="28"/>
              </w:rPr>
              <w:t>苯、甲苯、二甲苯、乙苯、乙酸乙酯、乙酸丁酯、环己酮、噪声、高温、工频电磁场</w:t>
            </w:r>
            <w:r>
              <w:rPr>
                <w:rFonts w:ascii="仿宋" w:eastAsia="仿宋" w:hAnsi="仿宋" w:cs="Times New Roman" w:hint="eastAsia"/>
                <w:szCs w:val="21"/>
              </w:rPr>
              <w:t>。</w:t>
            </w:r>
          </w:p>
          <w:p>
            <w:pPr>
              <w:spacing w:line="320" w:lineRule="exact"/>
              <w:jc w:val="left"/>
              <w:rPr>
                <w:rFonts w:ascii="Times New Roman" w:eastAsia="仿宋" w:hAnsi="仿宋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职业病危害因素检测结果</w:t>
            </w:r>
            <w:bookmarkStart w:id="0" w:name="_GoBack"/>
            <w:bookmarkEnd w:id="0"/>
          </w:p>
          <w:p>
            <w:pPr>
              <w:spacing w:line="320" w:lineRule="exact"/>
              <w:ind w:firstLineChars="200" w:firstLine="420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本次评价检测的职业病危害因素有：</w:t>
            </w:r>
            <w:r>
              <w:rPr>
                <w:rFonts w:ascii="仿宋" w:eastAsia="仿宋" w:hAnsi="仿宋" w:cs="Times New Roman"/>
                <w:szCs w:val="21"/>
              </w:rPr>
              <w:t>苯、甲苯、二甲苯、乙苯、乙酸乙酯、乙酸丁酯、环己酮、噪声、高温</w:t>
            </w:r>
            <w:r>
              <w:rPr>
                <w:rFonts w:ascii="仿宋" w:eastAsia="仿宋" w:hAnsi="仿宋" w:cs="Times New Roman" w:hint="eastAsia"/>
                <w:szCs w:val="21"/>
              </w:rPr>
              <w:t>。</w:t>
            </w:r>
          </w:p>
          <w:p>
            <w:pPr>
              <w:pStyle w:val="1"/>
              <w:spacing w:line="320" w:lineRule="exact"/>
              <w:ind w:firstLine="42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z w:val="21"/>
                <w:szCs w:val="21"/>
              </w:rPr>
              <w:t>检测结果表明各岗位职业病危害因素浓度强度均低于接触限值</w:t>
            </w:r>
            <w:r>
              <w:rPr>
                <w:rFonts w:ascii="仿宋" w:eastAsia="仿宋" w:hAnsi="仿宋"/>
                <w:sz w:val="21"/>
                <w:szCs w:val="21"/>
              </w:rPr>
              <w:t>。</w:t>
            </w:r>
          </w:p>
        </w:tc>
      </w:tr>
      <w:tr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32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评价结论与建议</w:t>
            </w:r>
          </w:p>
          <w:p>
            <w:pPr>
              <w:spacing w:line="320" w:lineRule="exact"/>
              <w:ind w:firstLineChars="200" w:firstLine="42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仿宋" w:cs="Times New Roman"/>
                <w:szCs w:val="21"/>
              </w:rPr>
              <w:t>职业病危害风险分类：严重</w:t>
            </w:r>
          </w:p>
          <w:p>
            <w:pPr>
              <w:pStyle w:val="ab"/>
              <w:spacing w:line="320" w:lineRule="exact"/>
              <w:ind w:firstLine="420"/>
              <w:rPr>
                <w:rFonts w:eastAsia="仿宋"/>
                <w:sz w:val="21"/>
              </w:rPr>
            </w:pPr>
            <w:r>
              <w:rPr>
                <w:rFonts w:eastAsia="仿宋" w:hAnsi="仿宋"/>
                <w:sz w:val="21"/>
              </w:rPr>
              <w:t>建议：</w:t>
            </w:r>
            <w:r>
              <w:rPr>
                <w:rFonts w:eastAsia="仿宋"/>
                <w:color w:val="auto"/>
                <w:kern w:val="2"/>
                <w:sz w:val="21"/>
              </w:rPr>
              <w:t>1</w:t>
            </w:r>
            <w:r>
              <w:rPr>
                <w:rFonts w:eastAsia="仿宋" w:hAnsi="仿宋"/>
                <w:color w:val="auto"/>
                <w:kern w:val="2"/>
                <w:sz w:val="21"/>
              </w:rPr>
              <w:t>）</w:t>
            </w:r>
            <w:r>
              <w:rPr>
                <w:rFonts w:eastAsia="仿宋" w:hAnsi="仿宋"/>
                <w:sz w:val="21"/>
              </w:rPr>
              <w:t>按照《中华人民共和国职业病防治法》、《职业健康监护技术规范》（</w:t>
            </w:r>
            <w:r>
              <w:rPr>
                <w:rFonts w:eastAsia="仿宋"/>
                <w:sz w:val="21"/>
              </w:rPr>
              <w:t>GBZ188-2014</w:t>
            </w:r>
            <w:r>
              <w:rPr>
                <w:rFonts w:eastAsia="仿宋" w:hAnsi="仿宋"/>
                <w:sz w:val="21"/>
              </w:rPr>
              <w:t>）的要求</w:t>
            </w:r>
            <w:r>
              <w:rPr>
                <w:rFonts w:eastAsia="仿宋" w:hAnsi="仿宋"/>
                <w:color w:val="auto"/>
                <w:sz w:val="21"/>
              </w:rPr>
              <w:t>每年对接触职业病危害因素的人员进行上岗前、在岗期间、离岗时的职业健康检查</w:t>
            </w:r>
            <w:r>
              <w:rPr>
                <w:rFonts w:eastAsia="仿宋" w:hAnsi="仿宋"/>
                <w:sz w:val="21"/>
              </w:rPr>
              <w:t>；</w:t>
            </w:r>
            <w:r>
              <w:rPr>
                <w:rFonts w:eastAsia="仿宋"/>
                <w:sz w:val="21"/>
              </w:rPr>
              <w:t>2</w:t>
            </w:r>
            <w:r>
              <w:rPr>
                <w:rFonts w:eastAsia="仿宋" w:hAnsi="仿宋"/>
                <w:sz w:val="21"/>
              </w:rPr>
              <w:t>）今后新建、改建、扩建、技术改造项目时，严格按照《建设项目职业病防护设施</w:t>
            </w:r>
            <w:r>
              <w:rPr>
                <w:rFonts w:eastAsia="仿宋"/>
                <w:sz w:val="21"/>
              </w:rPr>
              <w:t>“</w:t>
            </w:r>
            <w:r>
              <w:rPr>
                <w:rFonts w:eastAsia="仿宋" w:hAnsi="仿宋"/>
                <w:sz w:val="21"/>
              </w:rPr>
              <w:t>三同时</w:t>
            </w:r>
            <w:r>
              <w:rPr>
                <w:rFonts w:eastAsia="仿宋"/>
                <w:sz w:val="21"/>
              </w:rPr>
              <w:t>”</w:t>
            </w:r>
            <w:r>
              <w:rPr>
                <w:rFonts w:eastAsia="仿宋" w:hAnsi="仿宋"/>
                <w:sz w:val="21"/>
              </w:rPr>
              <w:t>监督管理办法》（原国家安全生产监督管理总局令第</w:t>
            </w:r>
            <w:r>
              <w:rPr>
                <w:rFonts w:eastAsia="仿宋"/>
                <w:sz w:val="21"/>
              </w:rPr>
              <w:t>90</w:t>
            </w:r>
            <w:r>
              <w:rPr>
                <w:rFonts w:eastAsia="仿宋" w:hAnsi="仿宋"/>
                <w:sz w:val="21"/>
              </w:rPr>
              <w:t>号）要求进行职业卫生</w:t>
            </w:r>
            <w:r>
              <w:rPr>
                <w:rFonts w:eastAsia="仿宋"/>
                <w:sz w:val="21"/>
              </w:rPr>
              <w:t>“</w:t>
            </w:r>
            <w:r>
              <w:rPr>
                <w:rFonts w:eastAsia="仿宋" w:hAnsi="仿宋"/>
                <w:sz w:val="21"/>
              </w:rPr>
              <w:t>三同时</w:t>
            </w:r>
            <w:r>
              <w:rPr>
                <w:rFonts w:eastAsia="仿宋"/>
                <w:sz w:val="21"/>
              </w:rPr>
              <w:t>”</w:t>
            </w:r>
            <w:r>
              <w:rPr>
                <w:rFonts w:eastAsia="仿宋" w:hAnsi="仿宋"/>
                <w:sz w:val="21"/>
              </w:rPr>
              <w:t>工作</w:t>
            </w:r>
            <w:r>
              <w:rPr>
                <w:rFonts w:eastAsia="仿宋" w:hAnsi="仿宋"/>
                <w:color w:val="auto"/>
                <w:kern w:val="2"/>
                <w:sz w:val="21"/>
              </w:rPr>
              <w:t>；</w:t>
            </w:r>
            <w:r>
              <w:rPr>
                <w:rFonts w:eastAsia="仿宋"/>
                <w:color w:val="auto"/>
                <w:kern w:val="2"/>
                <w:sz w:val="21"/>
              </w:rPr>
              <w:t>3</w:t>
            </w:r>
            <w:r>
              <w:rPr>
                <w:rFonts w:eastAsia="仿宋" w:hAnsi="仿宋"/>
                <w:color w:val="auto"/>
                <w:kern w:val="2"/>
                <w:sz w:val="21"/>
              </w:rPr>
              <w:t>）</w:t>
            </w:r>
            <w:r>
              <w:rPr>
                <w:rFonts w:eastAsia="仿宋" w:hAnsi="仿宋"/>
                <w:sz w:val="21"/>
              </w:rPr>
              <w:t>按照《职业卫生档案管理规范》（原安监总厅安健〔</w:t>
            </w:r>
            <w:r>
              <w:rPr>
                <w:rFonts w:eastAsia="仿宋"/>
                <w:sz w:val="21"/>
              </w:rPr>
              <w:t>2013</w:t>
            </w:r>
            <w:r>
              <w:rPr>
                <w:rFonts w:eastAsia="仿宋" w:hAnsi="仿宋"/>
                <w:sz w:val="21"/>
              </w:rPr>
              <w:t>〕</w:t>
            </w:r>
            <w:r>
              <w:rPr>
                <w:rFonts w:eastAsia="仿宋"/>
                <w:sz w:val="21"/>
              </w:rPr>
              <w:t>171</w:t>
            </w:r>
            <w:r>
              <w:rPr>
                <w:rFonts w:eastAsia="仿宋" w:hAnsi="仿宋"/>
                <w:sz w:val="21"/>
              </w:rPr>
              <w:t>号）的要求完善相关内容</w:t>
            </w:r>
            <w:r>
              <w:rPr>
                <w:rFonts w:eastAsia="仿宋" w:hAnsi="仿宋"/>
                <w:kern w:val="28"/>
                <w:sz w:val="21"/>
              </w:rPr>
              <w:t>；</w:t>
            </w:r>
            <w:r>
              <w:rPr>
                <w:rFonts w:eastAsia="仿宋"/>
                <w:kern w:val="28"/>
                <w:sz w:val="21"/>
              </w:rPr>
              <w:t>4</w:t>
            </w:r>
            <w:r>
              <w:rPr>
                <w:rFonts w:eastAsia="仿宋" w:hAnsi="仿宋"/>
                <w:kern w:val="28"/>
                <w:sz w:val="21"/>
              </w:rPr>
              <w:t>）</w:t>
            </w:r>
            <w:r>
              <w:rPr>
                <w:rFonts w:eastAsia="仿宋" w:hAnsi="仿宋"/>
                <w:sz w:val="21"/>
              </w:rPr>
              <w:t>按照《工作场所职业卫生管理规定》（</w:t>
            </w:r>
            <w:r>
              <w:rPr>
                <w:rFonts w:eastAsia="仿宋" w:hAnsi="仿宋"/>
                <w:spacing w:val="8"/>
                <w:sz w:val="21"/>
                <w:lang w:val="zh-CN"/>
              </w:rPr>
              <w:t>中华人民共和国国家卫生健康委员会令</w:t>
            </w:r>
            <w:r>
              <w:rPr>
                <w:rFonts w:eastAsia="仿宋"/>
                <w:spacing w:val="8"/>
                <w:sz w:val="21"/>
                <w:lang w:val="zh-CN"/>
              </w:rPr>
              <w:t xml:space="preserve"> </w:t>
            </w:r>
            <w:r>
              <w:rPr>
                <w:rFonts w:eastAsia="仿宋" w:hAnsi="仿宋"/>
                <w:spacing w:val="8"/>
                <w:sz w:val="21"/>
                <w:lang w:val="zh-CN"/>
              </w:rPr>
              <w:t>第</w:t>
            </w:r>
            <w:r>
              <w:rPr>
                <w:rFonts w:eastAsia="仿宋"/>
                <w:spacing w:val="8"/>
                <w:sz w:val="21"/>
                <w:lang w:val="zh-CN"/>
              </w:rPr>
              <w:t>5</w:t>
            </w:r>
            <w:r>
              <w:rPr>
                <w:rFonts w:eastAsia="仿宋" w:hAnsi="仿宋"/>
                <w:spacing w:val="8"/>
                <w:sz w:val="21"/>
                <w:lang w:val="zh-CN"/>
              </w:rPr>
              <w:t>号</w:t>
            </w:r>
            <w:r>
              <w:rPr>
                <w:rFonts w:eastAsia="仿宋" w:hAnsi="仿宋"/>
                <w:sz w:val="21"/>
              </w:rPr>
              <w:t>）的要求，委托具有相应资质的职业卫生技术服务机构，每年至少进行一次职业病危害因素检测；委托具有相应资质的职业卫生技术服务机构，每三年至少进行一次职业病危害现状评价。</w:t>
            </w:r>
            <w:r>
              <w:rPr>
                <w:rFonts w:eastAsia="仿宋"/>
                <w:sz w:val="21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Char">
    <w:name w:val="排版正文 Char Char"/>
    <w:link w:val="a9"/>
    <w:locked/>
    <w:rPr>
      <w:rFonts w:ascii="仿宋_GB2312" w:eastAsia="仿宋_GB2312" w:hAnsi="Times New Roman"/>
      <w:spacing w:val="8"/>
      <w:sz w:val="28"/>
      <w:szCs w:val="21"/>
    </w:rPr>
  </w:style>
  <w:style w:type="paragraph" w:customStyle="1" w:styleId="a9">
    <w:name w:val="排版正文"/>
    <w:link w:val="CharChar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cstheme="minorBidi"/>
      <w:spacing w:val="8"/>
      <w:kern w:val="2"/>
      <w:sz w:val="28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ab">
    <w:name w:val="正文 + 四号"/>
    <w:basedOn w:val="a"/>
    <w:qFormat/>
    <w:pPr>
      <w:widowControl/>
      <w:spacing w:line="490" w:lineRule="exact"/>
      <w:ind w:firstLineChars="200" w:firstLine="200"/>
    </w:pPr>
    <w:rPr>
      <w:rFonts w:ascii="Times New Roman" w:eastAsia="仿宋_GB2312" w:hAnsi="Times New Roman" w:cs="Times New Roman"/>
      <w:color w:val="000000"/>
      <w:kern w:val="0"/>
      <w:sz w:val="28"/>
      <w:szCs w:val="21"/>
    </w:rPr>
  </w:style>
  <w:style w:type="character" w:customStyle="1" w:styleId="2Char">
    <w:name w:val="标题 2 Char"/>
    <w:qFormat/>
    <w:rPr>
      <w:rFonts w:ascii="宋体" w:eastAsia="宋体" w:hAnsi="宋体"/>
      <w:b/>
      <w:sz w:val="24"/>
      <w:szCs w:val="24"/>
      <w:lang w:val="en-US" w:eastAsia="zh-CN" w:bidi="ar-SA"/>
    </w:rPr>
  </w:style>
  <w:style w:type="character" w:customStyle="1" w:styleId="Char4">
    <w:name w:val="正文 Char"/>
    <w:link w:val="1"/>
    <w:rPr>
      <w:rFonts w:eastAsia="仿宋_GB2312"/>
      <w:kern w:val="2"/>
      <w:sz w:val="28"/>
      <w:szCs w:val="22"/>
    </w:rPr>
  </w:style>
  <w:style w:type="paragraph" w:customStyle="1" w:styleId="1">
    <w:name w:val="正文1"/>
    <w:basedOn w:val="a"/>
    <w:link w:val="Char4"/>
    <w:qFormat/>
    <w:pPr>
      <w:spacing w:line="490" w:lineRule="exact"/>
      <w:ind w:firstLineChars="200" w:firstLine="560"/>
    </w:pPr>
    <w:rPr>
      <w:rFonts w:ascii="Times New Roman" w:eastAsia="仿宋_GB2312" w:hAnsi="Times New Roman" w:cs="Times New Roman"/>
      <w:sz w:val="28"/>
    </w:rPr>
  </w:style>
  <w:style w:type="character" w:customStyle="1" w:styleId="Char5">
    <w:name w:val="正文样式 Char"/>
    <w:link w:val="ac"/>
    <w:qFormat/>
    <w:rPr>
      <w:rFonts w:eastAsia="仿宋_GB2312"/>
      <w:color w:val="000000"/>
      <w:sz w:val="28"/>
    </w:rPr>
  </w:style>
  <w:style w:type="paragraph" w:customStyle="1" w:styleId="ac">
    <w:name w:val="正文样式"/>
    <w:basedOn w:val="a"/>
    <w:link w:val="Char5"/>
    <w:qFormat/>
    <w:pPr>
      <w:spacing w:line="490" w:lineRule="exact"/>
      <w:ind w:firstLineChars="200" w:firstLine="200"/>
    </w:pPr>
    <w:rPr>
      <w:rFonts w:ascii="Times New Roman" w:eastAsia="仿宋_GB2312" w:hAnsi="Times New Roman" w:cs="Times New Roman"/>
      <w:color w:val="000000"/>
      <w:kern w:val="0"/>
      <w:sz w:val="28"/>
      <w:szCs w:val="20"/>
    </w:rPr>
  </w:style>
  <w:style w:type="character" w:customStyle="1" w:styleId="Char10">
    <w:name w:val="正文文本缩进 Char1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A8D332-0D06-4AF6-943B-D4197465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117</Words>
  <Characters>670</Characters>
  <Application>Microsoft Office Word</Application>
  <DocSecurity>0</DocSecurity>
  <Lines>5</Lines>
  <Paragraphs>1</Paragraphs>
  <ScaleCrop>false</ScaleCrop>
  <Company>微软中国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hczz</cp:lastModifiedBy>
  <cp:revision>17</cp:revision>
  <cp:lastPrinted>2021-07-17T07:42:00Z</cp:lastPrinted>
  <dcterms:created xsi:type="dcterms:W3CDTF">2020-04-20T09:11:00Z</dcterms:created>
  <dcterms:modified xsi:type="dcterms:W3CDTF">2021-07-17T07:42:00Z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