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佛禅府〔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2019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〕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35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号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240" w:lineRule="auto"/>
        <w:ind w:left="0" w:leftChars="0" w:right="0" w:rightChars="0" w:firstLine="640" w:firstLineChars="200"/>
        <w:textAlignment w:val="auto"/>
        <w:outlineLvl w:val="9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市场主体选取招标文件内容编制指引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240" w:lineRule="auto"/>
        <w:ind w:left="0" w:leftChars="0" w:right="0" w:rightChars="0" w:firstLine="640" w:firstLineChars="200"/>
        <w:textAlignment w:val="auto"/>
        <w:outlineLvl w:val="9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before="0" w:beforeLines="0" w:after="0" w:afterLines="0" w:line="240" w:lineRule="auto"/>
        <w:ind w:left="0" w:leftChars="0" w:right="0" w:rightChars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本编制指引适用于旧村庄（居）改造“协议出让”选取</w:t>
      </w:r>
      <w:r>
        <w:rPr>
          <w:rFonts w:hint="eastAsia"/>
          <w:spacing w:val="-6"/>
        </w:rPr>
        <w:t>市场主体实施改造的情形，招标文件应包含但不限于以下内</w:t>
      </w:r>
      <w:r>
        <w:rPr>
          <w:rFonts w:hint="eastAsia"/>
        </w:rPr>
        <w:t>容：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before="0" w:beforeLines="0" w:after="0" w:afterLines="0" w:line="240" w:lineRule="auto"/>
        <w:ind w:left="0" w:leftChars="0" w:right="0" w:rightChars="0" w:firstLine="640" w:firstLineChars="200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一、项目概况和改造需求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before="0" w:beforeLines="0" w:after="0" w:afterLines="0" w:line="240" w:lineRule="auto"/>
        <w:ind w:left="0" w:leftChars="0" w:right="0" w:rightChars="0" w:firstLine="640" w:firstLineChars="200"/>
        <w:textAlignment w:val="auto"/>
        <w:outlineLvl w:val="9"/>
        <w:rPr>
          <w:rFonts w:hint="eastAsia" w:ascii="楷体_GB2312" w:hAnsi="楷体_GB2312" w:eastAsia="楷体_GB2312" w:cs="楷体_GB2312"/>
        </w:rPr>
      </w:pPr>
      <w:r>
        <w:rPr>
          <w:rFonts w:hint="eastAsia" w:ascii="楷体_GB2312" w:hAnsi="楷体_GB2312" w:eastAsia="楷体_GB2312" w:cs="楷体_GB2312"/>
        </w:rPr>
        <w:t>（一）项目现状情况</w:t>
      </w:r>
      <w:r>
        <w:rPr>
          <w:rFonts w:hint="eastAsia" w:ascii="楷体_GB2312" w:hAnsi="楷体_GB2312" w:eastAsia="楷体_GB2312" w:cs="楷体_GB2312"/>
          <w:lang w:eastAsia="zh-CN"/>
        </w:rPr>
        <w:t>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before="0" w:beforeLines="0" w:after="0" w:afterLines="0" w:line="240" w:lineRule="auto"/>
        <w:ind w:left="0" w:leftChars="0" w:right="0" w:rightChars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  <w:lang w:eastAsia="zh-CN"/>
        </w:rPr>
        <w:t>.</w:t>
      </w:r>
      <w:r>
        <w:rPr>
          <w:rFonts w:hint="eastAsia"/>
        </w:rPr>
        <w:t>用地情况</w:t>
      </w:r>
      <w:r>
        <w:rPr>
          <w:rFonts w:hint="eastAsia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before="0" w:beforeLines="0" w:after="0" w:afterLines="0" w:line="240" w:lineRule="auto"/>
        <w:ind w:left="0" w:leftChars="0" w:right="0" w:rightChars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用地情况包括更新范围、用地面积、用地界址、用地性质、开发强度、现状容积率、绿地率等内容。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before="0" w:beforeLines="0" w:after="0" w:afterLines="0" w:line="240" w:lineRule="auto"/>
        <w:ind w:left="0" w:leftChars="0" w:right="0" w:rightChars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  <w:lang w:eastAsia="zh-CN"/>
        </w:rPr>
        <w:t>.</w:t>
      </w:r>
      <w:r>
        <w:rPr>
          <w:rFonts w:hint="eastAsia"/>
        </w:rPr>
        <w:t>建筑情况</w:t>
      </w:r>
      <w:r>
        <w:rPr>
          <w:rFonts w:hint="eastAsia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before="0" w:beforeLines="0" w:after="0" w:afterLines="0" w:line="240" w:lineRule="auto"/>
        <w:ind w:left="0" w:leftChars="0" w:right="0" w:rightChars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建筑情况包括建筑数量、建筑质量、建筑面积、使用性质、建筑权属、合法性等内容。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before="0" w:beforeLines="0" w:after="0" w:afterLines="0" w:line="240" w:lineRule="auto"/>
        <w:ind w:left="0" w:leftChars="0" w:right="0" w:rightChars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  <w:lang w:eastAsia="zh-CN"/>
        </w:rPr>
        <w:t>.</w:t>
      </w:r>
      <w:r>
        <w:rPr>
          <w:rFonts w:hint="eastAsia"/>
        </w:rPr>
        <w:t>城市基础设施建设及使用情况</w:t>
      </w:r>
      <w:r>
        <w:rPr>
          <w:rFonts w:hint="eastAsia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before="0" w:beforeLines="0" w:after="0" w:afterLines="0" w:line="240" w:lineRule="auto"/>
        <w:ind w:left="0" w:leftChars="0" w:right="0" w:rightChars="0" w:firstLine="640" w:firstLineChars="200"/>
        <w:textAlignment w:val="auto"/>
        <w:outlineLvl w:val="9"/>
        <w:rPr>
          <w:rFonts w:hint="eastAsia" w:ascii="楷体_GB2312" w:hAnsi="楷体_GB2312" w:eastAsia="楷体_GB2312" w:cs="楷体_GB2312"/>
        </w:rPr>
      </w:pPr>
      <w:r>
        <w:rPr>
          <w:rFonts w:hint="eastAsia" w:ascii="楷体_GB2312" w:hAnsi="楷体_GB2312" w:eastAsia="楷体_GB2312" w:cs="楷体_GB2312"/>
        </w:rPr>
        <w:t>（二）规划情况</w:t>
      </w:r>
      <w:r>
        <w:rPr>
          <w:rFonts w:hint="eastAsia" w:ascii="楷体_GB2312" w:hAnsi="楷体_GB2312" w:eastAsia="楷体_GB2312" w:cs="楷体_GB231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before="0" w:beforeLines="0" w:after="0" w:afterLines="0" w:line="240" w:lineRule="auto"/>
        <w:ind w:left="0" w:leftChars="0" w:right="0" w:rightChars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土地利用总体规划、城乡规划、控制性详细规划和城市更新（“三旧”改造）专项规划对项目范围的管控要求：土地用途、容积率、建筑面积、建筑密度、绿地率，以及公共设施配套、市政公用设施、历史文化保护、环境保护等内容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before="0" w:beforeLines="0" w:after="0" w:afterLines="0" w:line="240" w:lineRule="auto"/>
        <w:ind w:left="0" w:leftChars="0" w:right="0" w:rightChars="0" w:firstLine="640" w:firstLineChars="200"/>
        <w:textAlignment w:val="auto"/>
        <w:outlineLvl w:val="9"/>
        <w:rPr>
          <w:rFonts w:hint="eastAsia" w:ascii="楷体_GB2312" w:hAnsi="楷体_GB2312" w:eastAsia="楷体_GB2312" w:cs="楷体_GB2312"/>
        </w:rPr>
      </w:pPr>
      <w:r>
        <w:rPr>
          <w:rFonts w:hint="eastAsia" w:ascii="楷体_GB2312" w:hAnsi="楷体_GB2312" w:eastAsia="楷体_GB2312" w:cs="楷体_GB2312"/>
        </w:rPr>
        <w:t>（三）土地整备情况</w:t>
      </w:r>
      <w:r>
        <w:rPr>
          <w:rFonts w:hint="eastAsia" w:ascii="楷体_GB2312" w:hAnsi="楷体_GB2312" w:eastAsia="楷体_GB2312" w:cs="楷体_GB231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before="0" w:beforeLines="0" w:after="0" w:afterLines="0" w:line="240" w:lineRule="auto"/>
        <w:ind w:left="0" w:leftChars="0" w:right="0" w:rightChars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需完善征收手续情况；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before="0" w:beforeLines="0" w:after="0" w:afterLines="0" w:line="240" w:lineRule="auto"/>
        <w:ind w:left="0" w:leftChars="0" w:right="0" w:rightChars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  <w:lang w:eastAsia="zh-CN"/>
        </w:rPr>
        <w:t>.</w:t>
      </w:r>
      <w:r>
        <w:rPr>
          <w:rFonts w:hint="eastAsia"/>
        </w:rPr>
        <w:t>需完善集体建设用地手续情况；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before="0" w:beforeLines="0" w:after="0" w:afterLines="0" w:line="240" w:lineRule="auto"/>
        <w:ind w:left="0" w:leftChars="0" w:right="0" w:rightChars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  <w:lang w:eastAsia="zh-CN"/>
        </w:rPr>
        <w:t>.</w:t>
      </w:r>
      <w:r>
        <w:rPr>
          <w:rFonts w:hint="eastAsia"/>
        </w:rPr>
        <w:t>项目地块涉及的“三地”情况；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before="0" w:beforeLines="0" w:after="0" w:afterLines="0" w:line="240" w:lineRule="auto"/>
        <w:ind w:left="0" w:leftChars="0" w:right="0" w:rightChars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4</w:t>
      </w:r>
      <w:r>
        <w:rPr>
          <w:rFonts w:hint="eastAsia"/>
          <w:lang w:eastAsia="zh-CN"/>
        </w:rPr>
        <w:t>.</w:t>
      </w:r>
      <w:r>
        <w:rPr>
          <w:rFonts w:hint="eastAsia"/>
        </w:rPr>
        <w:t>需集体建设用地转为国有建设用地情况；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before="0" w:beforeLines="0" w:after="0" w:afterLines="0" w:line="240" w:lineRule="auto"/>
        <w:ind w:left="0" w:leftChars="0" w:right="0" w:rightChars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5</w:t>
      </w:r>
      <w:r>
        <w:rPr>
          <w:rFonts w:hint="eastAsia"/>
          <w:lang w:eastAsia="zh-CN"/>
        </w:rPr>
        <w:t>.</w:t>
      </w:r>
      <w:r>
        <w:rPr>
          <w:rFonts w:hint="eastAsia"/>
        </w:rPr>
        <w:t>需办理农用地转用手续情况。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before="0" w:beforeLines="0" w:after="0" w:afterLines="0" w:line="240" w:lineRule="auto"/>
        <w:ind w:left="0" w:leftChars="0" w:right="0" w:rightChars="0" w:firstLine="640" w:firstLineChars="200"/>
        <w:textAlignment w:val="auto"/>
        <w:outlineLvl w:val="9"/>
        <w:rPr>
          <w:rFonts w:hint="eastAsia" w:ascii="楷体_GB2312" w:hAnsi="楷体_GB2312" w:eastAsia="楷体_GB2312" w:cs="楷体_GB2312"/>
        </w:rPr>
      </w:pPr>
      <w:r>
        <w:rPr>
          <w:rFonts w:hint="eastAsia" w:ascii="楷体_GB2312" w:hAnsi="楷体_GB2312" w:eastAsia="楷体_GB2312" w:cs="楷体_GB2312"/>
        </w:rPr>
        <w:t>（四）土地拟更新情况</w:t>
      </w:r>
      <w:r>
        <w:rPr>
          <w:rFonts w:hint="eastAsia" w:ascii="楷体_GB2312" w:hAnsi="楷体_GB2312" w:eastAsia="楷体_GB2312" w:cs="楷体_GB231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before="0" w:beforeLines="0" w:after="0" w:afterLines="0" w:line="240" w:lineRule="auto"/>
        <w:ind w:left="0" w:leftChars="0" w:right="0" w:rightChars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  <w:lang w:eastAsia="zh-CN"/>
        </w:rPr>
        <w:t>.</w:t>
      </w:r>
      <w:r>
        <w:rPr>
          <w:rFonts w:hint="eastAsia"/>
        </w:rPr>
        <w:t>项目建设位置；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before="0" w:beforeLines="0" w:after="0" w:afterLines="0" w:line="240" w:lineRule="auto"/>
        <w:ind w:left="0" w:leftChars="0" w:right="0" w:rightChars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  <w:lang w:eastAsia="zh-CN"/>
        </w:rPr>
        <w:t>.</w:t>
      </w:r>
      <w:r>
        <w:rPr>
          <w:rFonts w:hint="eastAsia"/>
        </w:rPr>
        <w:t>改造模式；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before="0" w:beforeLines="0" w:after="0" w:afterLines="0" w:line="240" w:lineRule="auto"/>
        <w:ind w:left="0" w:leftChars="0" w:right="0" w:rightChars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  <w:lang w:eastAsia="zh-CN"/>
        </w:rPr>
        <w:t>.</w:t>
      </w:r>
      <w:r>
        <w:rPr>
          <w:rFonts w:hint="eastAsia"/>
        </w:rPr>
        <w:t>改造建设规模；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before="0" w:beforeLines="0" w:after="0" w:afterLines="0" w:line="240" w:lineRule="auto"/>
        <w:ind w:left="0" w:leftChars="0" w:right="0" w:rightChars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4</w:t>
      </w:r>
      <w:r>
        <w:rPr>
          <w:rFonts w:hint="eastAsia"/>
          <w:lang w:eastAsia="zh-CN"/>
        </w:rPr>
        <w:t>.</w:t>
      </w:r>
      <w:r>
        <w:rPr>
          <w:rFonts w:hint="eastAsia"/>
        </w:rPr>
        <w:t>功能布局；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before="0" w:beforeLines="0" w:after="0" w:afterLines="0" w:line="240" w:lineRule="auto"/>
        <w:ind w:left="0" w:leftChars="0" w:right="0" w:rightChars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5</w:t>
      </w:r>
      <w:r>
        <w:rPr>
          <w:rFonts w:hint="eastAsia"/>
          <w:lang w:eastAsia="zh-CN"/>
        </w:rPr>
        <w:t>.</w:t>
      </w:r>
      <w:r>
        <w:rPr>
          <w:rFonts w:hint="eastAsia"/>
        </w:rPr>
        <w:t>城市基础设施用地面积；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before="0" w:beforeLines="0" w:after="0" w:afterLines="0" w:line="240" w:lineRule="auto"/>
        <w:ind w:left="0" w:leftChars="0" w:right="0" w:rightChars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6</w:t>
      </w:r>
      <w:r>
        <w:rPr>
          <w:rFonts w:hint="eastAsia"/>
          <w:lang w:eastAsia="zh-CN"/>
        </w:rPr>
        <w:t>.</w:t>
      </w:r>
      <w:r>
        <w:rPr>
          <w:rFonts w:hint="eastAsia"/>
        </w:rPr>
        <w:t>预计动工及竣工时间；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before="0" w:beforeLines="0" w:after="0" w:afterLines="0" w:line="240" w:lineRule="auto"/>
        <w:ind w:left="0" w:leftChars="0" w:right="0" w:rightChars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7</w:t>
      </w:r>
      <w:r>
        <w:rPr>
          <w:rFonts w:hint="eastAsia"/>
          <w:lang w:eastAsia="zh-CN"/>
        </w:rPr>
        <w:t>.</w:t>
      </w:r>
      <w:r>
        <w:rPr>
          <w:rFonts w:hint="eastAsia"/>
        </w:rPr>
        <w:t>其他内容。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before="0" w:beforeLines="0" w:after="0" w:afterLines="0" w:line="240" w:lineRule="auto"/>
        <w:ind w:left="0" w:leftChars="0" w:right="0" w:rightChars="0" w:firstLine="640" w:firstLineChars="200"/>
        <w:textAlignment w:val="auto"/>
        <w:outlineLvl w:val="9"/>
        <w:rPr>
          <w:rFonts w:hint="eastAsia" w:ascii="楷体_GB2312" w:hAnsi="楷体_GB2312" w:eastAsia="楷体_GB2312" w:cs="楷体_GB2312"/>
        </w:rPr>
      </w:pPr>
      <w:r>
        <w:rPr>
          <w:rFonts w:hint="eastAsia" w:ascii="楷体_GB2312" w:hAnsi="楷体_GB2312" w:eastAsia="楷体_GB2312" w:cs="楷体_GB2312"/>
        </w:rPr>
        <w:t>（五）拆迁补偿安置需求</w:t>
      </w:r>
      <w:r>
        <w:rPr>
          <w:rFonts w:hint="eastAsia" w:ascii="楷体_GB2312" w:hAnsi="楷体_GB2312" w:eastAsia="楷体_GB2312" w:cs="楷体_GB231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before="0" w:beforeLines="0" w:after="0" w:afterLines="0" w:line="240" w:lineRule="auto"/>
        <w:ind w:left="0" w:leftChars="0" w:right="0" w:rightChars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拆迁补偿安置需求应充分披露农村集体经济组织对于补偿方式（物业补偿、货币补偿，或物业加货币补偿等方式）及拆迁补偿安置最低比例等基本需求，尤其是要明确集体物业补偿标准，作为评标加分项之一。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before="0" w:beforeLines="0" w:after="0" w:afterLines="0" w:line="240" w:lineRule="auto"/>
        <w:ind w:left="0" w:leftChars="0" w:right="0" w:rightChars="0" w:firstLine="640" w:firstLineChars="200"/>
        <w:textAlignment w:val="auto"/>
        <w:outlineLvl w:val="9"/>
        <w:rPr>
          <w:rFonts w:hint="eastAsia" w:ascii="楷体_GB2312" w:hAnsi="楷体_GB2312" w:eastAsia="楷体_GB2312" w:cs="楷体_GB2312"/>
        </w:rPr>
      </w:pPr>
      <w:r>
        <w:rPr>
          <w:rFonts w:hint="eastAsia" w:ascii="楷体_GB2312" w:hAnsi="楷体_GB2312" w:eastAsia="楷体_GB2312" w:cs="楷体_GB2312"/>
        </w:rPr>
        <w:t>（六）其他情况</w:t>
      </w:r>
      <w:r>
        <w:rPr>
          <w:rFonts w:hint="eastAsia" w:ascii="楷体_GB2312" w:hAnsi="楷体_GB2312" w:eastAsia="楷体_GB2312" w:cs="楷体_GB231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before="0" w:beforeLines="0" w:after="0" w:afterLines="0" w:line="240" w:lineRule="auto"/>
        <w:ind w:left="0" w:leftChars="0" w:right="0" w:rightChars="0" w:firstLine="640" w:firstLineChars="200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二、投标人资格条件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before="0" w:beforeLines="0" w:after="0" w:afterLines="0" w:line="240" w:lineRule="auto"/>
        <w:ind w:left="0" w:leftChars="0" w:right="0" w:rightChars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投标人应充分反映以下情况，作为评选小组在同等条件下优先考虑因素及评标加分项目：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before="0" w:beforeLines="0" w:after="0" w:afterLines="0" w:line="240" w:lineRule="auto"/>
        <w:ind w:left="0" w:leftChars="0" w:right="0" w:rightChars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  <w:lang w:eastAsia="zh-CN"/>
        </w:rPr>
        <w:t>.</w:t>
      </w:r>
      <w:r>
        <w:rPr>
          <w:rFonts w:hint="eastAsia"/>
        </w:rPr>
        <w:t>资质等级、信用状况；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before="0" w:beforeLines="0" w:after="0" w:afterLines="0" w:line="240" w:lineRule="auto"/>
        <w:ind w:left="0" w:leftChars="0" w:right="0" w:rightChars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  <w:lang w:eastAsia="zh-CN"/>
        </w:rPr>
        <w:t>.</w:t>
      </w:r>
      <w:r>
        <w:rPr>
          <w:rFonts w:hint="eastAsia"/>
        </w:rPr>
        <w:t>财务状况（如企业注册资本、资产情况、融资能力），债权债务状况；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before="0" w:beforeLines="0" w:after="0" w:afterLines="0" w:line="240" w:lineRule="auto"/>
        <w:ind w:left="0" w:leftChars="0" w:right="0" w:rightChars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  <w:lang w:eastAsia="zh-CN"/>
        </w:rPr>
        <w:t>.</w:t>
      </w:r>
      <w:r>
        <w:rPr>
          <w:rFonts w:hint="eastAsia"/>
        </w:rPr>
        <w:t>项目开发所必需的设备和专业技术能力；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before="0" w:beforeLines="0" w:after="0" w:afterLines="0" w:line="240" w:lineRule="auto"/>
        <w:ind w:left="0" w:leftChars="0" w:right="0" w:rightChars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4</w:t>
      </w:r>
      <w:r>
        <w:rPr>
          <w:rFonts w:hint="eastAsia"/>
          <w:lang w:eastAsia="zh-CN"/>
        </w:rPr>
        <w:t>.</w:t>
      </w:r>
      <w:r>
        <w:rPr>
          <w:rFonts w:hint="eastAsia"/>
        </w:rPr>
        <w:t>同类项目的开发经验及相关业绩。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before="0" w:beforeLines="0" w:after="0" w:afterLines="0" w:line="240" w:lineRule="auto"/>
        <w:ind w:left="0" w:leftChars="0" w:right="0" w:rightChars="0" w:firstLine="640" w:firstLineChars="200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三、具体开发合作细节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before="0" w:beforeLines="0" w:after="0" w:afterLines="0" w:line="240" w:lineRule="auto"/>
        <w:ind w:left="0" w:leftChars="0" w:right="0" w:rightChars="0" w:firstLine="640" w:firstLineChars="200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四、评审办法及标准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before="0" w:beforeLines="0" w:after="0" w:afterLines="0" w:line="240" w:lineRule="auto"/>
        <w:ind w:left="0" w:leftChars="0" w:right="0" w:rightChars="0" w:firstLine="640" w:firstLineChars="200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五、合作协议主体框架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before="0" w:beforeLines="0" w:after="0" w:afterLines="0" w:line="240" w:lineRule="auto"/>
        <w:ind w:left="0" w:leftChars="0" w:right="0" w:rightChars="0" w:firstLine="640" w:firstLineChars="200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六、保证金要求</w:t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804EB8"/>
    <w:rsid w:val="4F645937"/>
    <w:rsid w:val="74D84646"/>
    <w:rsid w:val="7F19072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eastAsia="仿宋_GB2312" w:hAnsiTheme="minorHAnsi" w:cstheme="minorBidi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yh</dc:creator>
  <cp:lastModifiedBy>曾国威</cp:lastModifiedBy>
  <dcterms:modified xsi:type="dcterms:W3CDTF">2019-05-21T10:43:34Z</dcterms:modified>
  <dc:title>附件3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