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440601-2022-02316</w:t>
      </w:r>
    </w:p>
    <w:p>
      <w:pPr>
        <w:jc w:val="center"/>
      </w:pPr>
      <w:r>
        <w:rPr>
          <w:b/>
          <w:sz w:val="24"/>
        </w:rPr>
        <w:t>采购项目编号：</w:t>
      </w:r>
      <w:r>
        <w:rPr>
          <w:b/>
          <w:sz w:val="24"/>
        </w:rPr>
        <w:t>GDHH2221G</w:t>
      </w:r>
    </w:p>
    <w:p>
      <w:pPr>
        <w:jc w:val="center"/>
      </w:pPr>
      <w:r>
        <w:rPr>
          <w:b/>
          <w:sz w:val="24"/>
        </w:rPr>
        <w:t>项目名称：</w:t>
      </w:r>
      <w:r>
        <w:rPr>
          <w:b/>
          <w:sz w:val="24"/>
        </w:rPr>
        <w:t>电感耦合等离子体串联三重四级杆质谱仪(ICP-MS-MS)</w:t>
      </w:r>
    </w:p>
    <w:p>
      <w:pPr>
        <w:jc w:val="center"/>
      </w:pPr>
      <w:r>
        <w:rPr>
          <w:b/>
          <w:sz w:val="24"/>
        </w:rPr>
        <w:t>采购人：</w:t>
      </w:r>
      <w:r>
        <w:rPr>
          <w:b/>
          <w:sz w:val="24"/>
        </w:rPr>
        <w:t>佛山市疾病预防控制中心</w:t>
      </w:r>
    </w:p>
    <w:p>
      <w:pPr>
        <w:jc w:val="center"/>
      </w:pPr>
      <w:r>
        <w:rPr>
          <w:b/>
          <w:sz w:val="24"/>
        </w:rPr>
        <w:t>采购代理机构：</w:t>
      </w:r>
      <w:r>
        <w:rPr>
          <w:b/>
          <w:sz w:val="24"/>
        </w:rPr>
        <w:t>广东海虹招标代理有限公司</w:t>
      </w:r>
    </w:p>
    <w:p>
      <w:pPr>
        <w:ind w:firstLine="480"/>
      </w:pPr>
    </w:p>
    <w:p>
      <w:r>
        <w:rPr/>
        <w:t xml:space="preserve"> </w:t>
      </w:r>
    </w:p>
    <w:p/>
    <w:p>
      <w:pPr>
        <w:jc w:val="center"/>
      </w:pPr>
      <w:r>
        <w:rPr>
          <w:b/>
          <w:sz w:val="36"/>
        </w:rPr>
        <w:t>第一章投标邀请</w:t>
      </w:r>
    </w:p>
    <w:p>
      <w:pPr>
        <w:ind w:firstLine="480"/>
      </w:pPr>
      <w:r>
        <w:rPr/>
        <w:t>广东海虹招标代理有限公司</w:t>
      </w:r>
      <w:r>
        <w:rPr/>
        <w:t>受</w:t>
      </w:r>
      <w:r>
        <w:rPr/>
        <w:t>佛山市疾病预防控制中心</w:t>
      </w:r>
      <w:r>
        <w:rPr/>
        <w:t>的委托，采用</w:t>
      </w:r>
      <w:r>
        <w:rPr/>
        <w:t>公开招标</w:t>
      </w:r>
      <w:r>
        <w:rPr/>
        <w:t>方式组织采购</w:t>
      </w:r>
      <w:r>
        <w:rPr/>
        <w:t>电感耦合等离子体串联三重四级杆质谱仪(ICP-MS-MS)</w:t>
      </w:r>
      <w:r>
        <w:rPr/>
        <w:t>。欢迎符合资格条件的国内供应商参加投标。</w:t>
      </w:r>
    </w:p>
    <w:p>
      <w:r>
        <w:rPr>
          <w:b/>
          <w:sz w:val="28"/>
        </w:rPr>
        <w:t>一.项目概述</w:t>
      </w:r>
    </w:p>
    <w:p>
      <w:r>
        <w:rPr>
          <w:b/>
          <w:sz w:val="24"/>
        </w:rPr>
        <w:t>1.名称与编号</w:t>
      </w:r>
    </w:p>
    <w:p>
      <w:pPr>
        <w:ind w:firstLine="480"/>
      </w:pPr>
      <w:r>
        <w:rPr/>
        <w:t>项目名称：</w:t>
      </w:r>
      <w:r>
        <w:rPr/>
        <w:t>电感耦合等离子体串联三重四级杆质谱仪(ICP-MS-MS)</w:t>
      </w:r>
    </w:p>
    <w:p>
      <w:pPr>
        <w:ind w:firstLine="480"/>
      </w:pPr>
      <w:r>
        <w:rPr/>
        <w:t>采购计划编号：</w:t>
      </w:r>
      <w:r>
        <w:rPr/>
        <w:t>440601-2022-02316</w:t>
      </w:r>
    </w:p>
    <w:p>
      <w:pPr>
        <w:ind w:firstLine="480"/>
      </w:pPr>
      <w:r>
        <w:rPr/>
        <w:t>采购项目编号：</w:t>
      </w:r>
      <w:r>
        <w:rPr/>
        <w:t>GDHH2221G</w:t>
      </w:r>
    </w:p>
    <w:p>
      <w:pPr>
        <w:ind w:firstLine="480"/>
      </w:pPr>
      <w:r>
        <w:rPr/>
        <w:t>采购方式：</w:t>
      </w:r>
      <w:r>
        <w:rPr/>
        <w:t>公开招标</w:t>
      </w:r>
    </w:p>
    <w:p>
      <w:pPr>
        <w:ind w:firstLine="480"/>
      </w:pPr>
      <w:r>
        <w:rPr/>
        <w:t>预算金额：</w:t>
      </w:r>
      <w:r>
        <w:rPr/>
        <w:t>2,300,000.00</w:t>
      </w:r>
      <w:r>
        <w:rPr/>
        <w:t>元</w:t>
      </w:r>
    </w:p>
    <w:p>
      <w:r>
        <w:rPr>
          <w:b/>
          <w:sz w:val="24"/>
        </w:rPr>
        <w:t>2.项目内容及需求情况（采购项目技术规格、参数及要求）</w:t>
      </w:r>
    </w:p>
    <w:p>
      <w:pPr>
        <w:ind w:firstLine="480"/>
      </w:pPr>
    </w:p>
    <w:p/>
    <w:p>
      <w:r>
        <w:rPr/>
        <w:t>采购包1(电感耦合等离子体串联三重四级杆质谱仪(ICP-MS-MS)):</w:t>
      </w:r>
    </w:p>
    <w:p>
      <w:r>
        <w:rPr/>
        <w:t>采购包预算金额：2,300,000.00元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其他货物</w:t>
            </w:r>
          </w:p>
        </w:tc>
        <w:tc>
          <w:tcPr>
            <w:tcW w:type="dxa" w:w="2136"/>
          </w:tcPr>
          <w:p>
            <w:r>
              <w:rPr/>
              <w:t>电感耦合等离子体串联三重四级杆质谱仪(ICP-MS-MS)</w:t>
            </w:r>
          </w:p>
        </w:tc>
        <w:tc>
          <w:tcPr>
            <w:tcW w:type="dxa" w:w="1187"/>
          </w:tcPr>
          <w:p>
            <w:r>
              <w:rPr/>
              <w:t>1.0000(套)</w:t>
            </w:r>
          </w:p>
        </w:tc>
        <w:tc>
          <w:tcPr>
            <w:tcW w:type="dxa" w:w="1187"/>
          </w:tcPr>
          <w:p>
            <w:r>
              <w:rPr/>
              <w:t>详见第二章</w:t>
            </w:r>
          </w:p>
        </w:tc>
        <w:tc>
          <w:tcPr>
            <w:tcW w:type="dxa" w:w="1187"/>
          </w:tcPr>
          <w:p>
            <w:r>
              <w:rPr/>
              <w:t>是</w:t>
            </w:r>
          </w:p>
        </w:tc>
      </w:tr>
    </w:tbl>
    <w:p/>
    <w:p>
      <w:r>
        <w:rPr/>
        <w:t>本采购包不接受联合体投标</w:t>
      </w:r>
    </w:p>
    <w:p/>
    <w:p>
      <w:r>
        <w:rPr/>
        <w:t>合同履行期限：自合同生效之日起至合同全部权利义务履行完毕之日止。</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3）具有良好的商业信誉和健全的财务会计制度：供应商必须具有良好的商业信誉和健全的财务会计制度（提供2020年或2022年度财务状况报告或基本开户行出具的资信证明） 。</w:t>
      </w:r>
    </w:p>
    <w:p/>
    <w:p>
      <w:r>
        <w:rPr/>
        <w:t>4）履行合同所必需的设备和专业技术能力：按投标（响应）文件格式填报设备及专业技术能力情况。</w:t>
      </w:r>
    </w:p>
    <w:p/>
    <w:p>
      <w:r>
        <w:rPr/>
        <w:t>5）参加采购活动前3年内，在经营活动中没有重大违法记录：在经营活动中没有重大违法记录：参照投标（报价）函相关承诺格式内容。 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采购包1（电感耦合等离子体串联三重四级杆质谱仪(ICP-MS-MS)）：</w:t>
      </w:r>
      <w:r>
        <w:rPr/>
        <w:t>本项目非专门面向中小企业采购</w:t>
      </w:r>
    </w:p>
    <w:p/>
    <w:p>
      <w:r>
        <w:rPr>
          <w:b/>
          <w:sz w:val="24"/>
        </w:rPr>
        <w:t>3.本项目特定的资格要求：</w:t>
      </w:r>
    </w:p>
    <w:p>
      <w:pPr>
        <w:ind w:firstLine="480"/>
      </w:pPr>
    </w:p>
    <w:p/>
    <w:p>
      <w:r>
        <w:rPr/>
        <w:t>采购包1（电感耦合等离子体串联三重四级杆质谱仪(ICP-MS-MS)）：</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t>3)供应商在近三年内（自投标截止时间之日起往前推三年）没有被政府采购监督管理部门禁止参加政府采购活动。</w:t>
      </w:r>
    </w:p>
    <w:p/>
    <w:p>
      <w:r>
        <w:rPr/>
        <w:t>4)本项目允许国产产品或进口产品参与投标。</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佛山市疾病预防控制中心</w:t>
      </w:r>
    </w:p>
    <w:p>
      <w:pPr>
        <w:ind w:firstLine="480"/>
      </w:pPr>
      <w:r>
        <w:rPr/>
        <w:t>地址：</w:t>
      </w:r>
      <w:r>
        <w:rPr/>
        <w:t>广东省佛山市禅城区影荫路3号</w:t>
      </w:r>
    </w:p>
    <w:p>
      <w:pPr>
        <w:ind w:firstLine="480"/>
      </w:pPr>
      <w:r>
        <w:rPr/>
        <w:t>联系方式：</w:t>
      </w:r>
      <w:r>
        <w:rPr/>
        <w:t>0757-82212055</w:t>
      </w:r>
    </w:p>
    <w:p>
      <w:r>
        <w:rPr>
          <w:b/>
          <w:sz w:val="24"/>
        </w:rPr>
        <w:t>2.采购代理机构信息</w:t>
      </w:r>
    </w:p>
    <w:p>
      <w:pPr>
        <w:ind w:firstLine="480"/>
      </w:pPr>
      <w:r>
        <w:rPr/>
        <w:t>名称：</w:t>
      </w:r>
      <w:r>
        <w:rPr/>
        <w:t>广东海虹招标代理有限公司</w:t>
      </w:r>
    </w:p>
    <w:p>
      <w:pPr>
        <w:ind w:firstLine="480"/>
      </w:pPr>
      <w:r>
        <w:rPr/>
        <w:t>地址：</w:t>
      </w:r>
      <w:r>
        <w:rPr/>
        <w:t>广东省佛山市禅城区华远东路13号发展大厦12楼E号</w:t>
      </w:r>
    </w:p>
    <w:p>
      <w:pPr>
        <w:ind w:firstLine="480"/>
      </w:pPr>
      <w:r>
        <w:rPr/>
        <w:t>联系方式：</w:t>
      </w:r>
      <w:r>
        <w:rPr/>
        <w:t>0757-82285519</w:t>
      </w:r>
    </w:p>
    <w:p>
      <w:r>
        <w:rPr>
          <w:b/>
          <w:sz w:val="24"/>
        </w:rPr>
        <w:t>3.项目联系方式</w:t>
      </w:r>
    </w:p>
    <w:p>
      <w:pPr>
        <w:ind w:firstLine="480"/>
      </w:pPr>
      <w:r>
        <w:rPr/>
        <w:t>项目联系人：</w:t>
      </w:r>
      <w:r>
        <w:rPr/>
        <w:t>招小姐</w:t>
      </w:r>
    </w:p>
    <w:p>
      <w:pPr>
        <w:ind w:firstLine="480"/>
      </w:pPr>
      <w:r>
        <w:rPr/>
        <w:t>电话：</w:t>
      </w:r>
      <w:r>
        <w:rPr/>
        <w:t>0757-82285519</w:t>
      </w:r>
    </w:p>
    <w:p>
      <w:r>
        <w:rPr>
          <w:b/>
          <w:sz w:val="24"/>
        </w:rPr>
        <w:t>4.技术支持联系方式</w:t>
      </w:r>
    </w:p>
    <w:p>
      <w:pPr>
        <w:ind w:firstLine="480"/>
      </w:pPr>
      <w:r>
        <w:rPr/>
        <w:t>云平台联系方式：400-183-2999</w:t>
      </w:r>
    </w:p>
    <w:p>
      <w:pPr>
        <w:ind w:firstLine="480"/>
      </w:pPr>
      <w:r>
        <w:rPr/>
        <w:t>数字证书CA技术服务热线：400-887-6133</w:t>
      </w:r>
    </w:p>
    <w:p>
      <w:r>
        <w:rPr/>
        <w:t>采购代理机构：</w:t>
      </w:r>
      <w:r>
        <w:rPr/>
        <w:t>广东海虹招标代理有限公司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sz w:val="24"/>
        </w:rPr>
        <w:t>采购项目清单：</w:t>
      </w:r>
    </w:p>
    <w:tbl>
      <w:tblPr>
        <w:tblW w:w="0" w:type="auto"/>
        <w:tblBorders>
          <w:top w:val="none" w:color="000000" w:sz="4"/>
          <w:left w:val="none" w:color="000000" w:sz="4"/>
          <w:bottom w:val="none" w:color="000000" w:sz="4"/>
          <w:right w:val="none" w:color="000000" w:sz="4"/>
          <w:insideH w:val="none"/>
          <w:insideV w:val="none"/>
        </w:tblBorders>
      </w:tblPr>
      <w:tblGrid>
        <w:gridCol w:w="1059"/>
        <w:gridCol w:w="3743"/>
        <w:gridCol w:w="932"/>
        <w:gridCol w:w="932"/>
        <w:gridCol w:w="1624"/>
      </w:tblGrid>
      <w:tr>
        <w:tc>
          <w:tcPr>
            <w:tcW w:type="dxa" w:w="1059"/>
            <w:tcBorders>
              <w:top w:val="single" w:color="000000" w:sz="4"/>
              <w:left w:val="single" w:color="000000" w:sz="4"/>
              <w:bottom w:val="single" w:color="000000" w:sz="4"/>
              <w:right w:val="single" w:color="000000" w:sz="4"/>
            </w:tcBorders>
            <w:shd w:fill="C0C0C0"/>
          </w:tcPr>
          <w:p>
            <w:pPr>
              <w:jc w:val="center"/>
            </w:pPr>
            <w:r>
              <w:rPr>
                <w:b/>
                <w:color w:val="000000"/>
                <w:sz w:val="24"/>
              </w:rPr>
              <w:t>序号</w:t>
            </w:r>
          </w:p>
        </w:tc>
        <w:tc>
          <w:tcPr>
            <w:tcW w:type="dxa" w:w="3743"/>
            <w:tcBorders>
              <w:top w:val="single" w:color="000000" w:sz="4"/>
              <w:left w:val="none" w:color="000000" w:sz="4"/>
              <w:bottom w:val="single" w:color="000000" w:sz="4"/>
              <w:right w:val="single" w:color="000000" w:sz="4"/>
            </w:tcBorders>
            <w:shd w:fill="C0C0C0"/>
          </w:tcPr>
          <w:p>
            <w:pPr>
              <w:jc w:val="center"/>
            </w:pPr>
            <w:r>
              <w:rPr>
                <w:b/>
                <w:color w:val="000000"/>
                <w:sz w:val="24"/>
              </w:rPr>
              <w:t>采购内容</w:t>
            </w:r>
          </w:p>
        </w:tc>
        <w:tc>
          <w:tcPr>
            <w:tcW w:type="dxa" w:w="932"/>
            <w:tcBorders>
              <w:top w:val="single" w:color="000000" w:sz="4"/>
              <w:left w:val="none" w:color="000000" w:sz="4"/>
              <w:bottom w:val="single" w:color="000000" w:sz="4"/>
              <w:right w:val="single" w:color="000000" w:sz="4"/>
            </w:tcBorders>
            <w:shd w:fill="C0C0C0"/>
          </w:tcPr>
          <w:p>
            <w:pPr>
              <w:jc w:val="center"/>
            </w:pPr>
            <w:r>
              <w:rPr>
                <w:b/>
                <w:color w:val="000000"/>
                <w:sz w:val="24"/>
              </w:rPr>
              <w:t>单位</w:t>
            </w:r>
          </w:p>
        </w:tc>
        <w:tc>
          <w:tcPr>
            <w:tcW w:type="dxa" w:w="932"/>
            <w:tcBorders>
              <w:top w:val="single" w:color="000000" w:sz="4"/>
              <w:left w:val="none" w:color="000000" w:sz="4"/>
              <w:bottom w:val="single" w:color="000000" w:sz="4"/>
              <w:right w:val="single" w:color="000000" w:sz="4"/>
            </w:tcBorders>
            <w:shd w:fill="C0C0C0"/>
          </w:tcPr>
          <w:p>
            <w:pPr>
              <w:jc w:val="center"/>
            </w:pPr>
            <w:r>
              <w:rPr>
                <w:b/>
                <w:color w:val="000000"/>
                <w:sz w:val="24"/>
              </w:rPr>
              <w:t>数量</w:t>
            </w:r>
          </w:p>
        </w:tc>
        <w:tc>
          <w:tcPr>
            <w:tcW w:type="dxa" w:w="1624"/>
            <w:tcBorders>
              <w:top w:val="single" w:color="000000" w:sz="4"/>
              <w:left w:val="none" w:color="000000" w:sz="4"/>
              <w:bottom w:val="single" w:color="000000" w:sz="4"/>
              <w:right w:val="single" w:color="000000" w:sz="4"/>
            </w:tcBorders>
            <w:shd w:fill="C0C0C0"/>
          </w:tcPr>
          <w:p>
            <w:pPr>
              <w:jc w:val="center"/>
            </w:pPr>
            <w:r>
              <w:rPr>
                <w:b/>
                <w:color w:val="000000"/>
                <w:sz w:val="24"/>
              </w:rPr>
              <w:t>是否核心产品</w:t>
            </w:r>
          </w:p>
        </w:tc>
      </w:tr>
      <w:tr>
        <w:tc>
          <w:tcPr>
            <w:tcW w:type="dxa" w:w="1059"/>
            <w:tcBorders>
              <w:top w:val="none" w:color="000000" w:sz="4"/>
              <w:left w:val="single" w:color="000000" w:sz="4"/>
              <w:bottom w:val="single" w:color="000000" w:sz="4"/>
              <w:right w:val="single" w:color="000000" w:sz="4"/>
            </w:tcBorders>
          </w:tcPr>
          <w:p>
            <w:pPr>
              <w:jc w:val="center"/>
            </w:pPr>
            <w:r>
              <w:rPr>
                <w:sz w:val="24"/>
              </w:rPr>
              <w:t>1</w:t>
            </w:r>
          </w:p>
        </w:tc>
        <w:tc>
          <w:tcPr>
            <w:tcW w:type="dxa" w:w="3743"/>
            <w:tcBorders>
              <w:top w:val="none" w:color="000000" w:sz="4"/>
              <w:left w:val="none" w:color="000000" w:sz="4"/>
              <w:bottom w:val="single" w:color="000000" w:sz="4"/>
              <w:right w:val="single" w:color="000000" w:sz="4"/>
            </w:tcBorders>
          </w:tcPr>
          <w:p>
            <w:pPr>
              <w:jc w:val="center"/>
            </w:pPr>
            <w:r>
              <w:rPr>
                <w:sz w:val="24"/>
              </w:rPr>
              <w:t>电感耦合等离子体串联三重四级杆质谱仪(ICP-MS-MS)</w:t>
            </w:r>
          </w:p>
        </w:tc>
        <w:tc>
          <w:tcPr>
            <w:tcW w:type="dxa" w:w="932"/>
            <w:tcBorders>
              <w:top w:val="none" w:color="000000" w:sz="4"/>
              <w:left w:val="none" w:color="000000" w:sz="4"/>
              <w:bottom w:val="single" w:color="000000" w:sz="4"/>
              <w:right w:val="single" w:color="000000" w:sz="4"/>
            </w:tcBorders>
          </w:tcPr>
          <w:p>
            <w:pPr>
              <w:jc w:val="center"/>
            </w:pPr>
            <w:r>
              <w:rPr>
                <w:color w:val="000000"/>
                <w:sz w:val="24"/>
              </w:rPr>
              <w:t>套</w:t>
            </w:r>
          </w:p>
        </w:tc>
        <w:tc>
          <w:tcPr>
            <w:tcW w:type="dxa" w:w="932"/>
            <w:tcBorders>
              <w:top w:val="none" w:color="000000" w:sz="4"/>
              <w:left w:val="none" w:color="000000" w:sz="4"/>
              <w:bottom w:val="single" w:color="000000" w:sz="4"/>
              <w:right w:val="single" w:color="000000" w:sz="4"/>
            </w:tcBorders>
          </w:tcPr>
          <w:p>
            <w:pPr>
              <w:jc w:val="center"/>
            </w:pPr>
            <w:r>
              <w:rPr>
                <w:color w:val="000000"/>
                <w:sz w:val="24"/>
              </w:rPr>
              <w:t>1</w:t>
            </w:r>
          </w:p>
        </w:tc>
        <w:tc>
          <w:tcPr>
            <w:tcW w:type="dxa" w:w="1624"/>
            <w:tcBorders>
              <w:top w:val="none" w:color="000000" w:sz="4"/>
              <w:left w:val="none" w:color="000000" w:sz="4"/>
              <w:bottom w:val="single" w:color="000000" w:sz="4"/>
              <w:right w:val="single" w:color="000000" w:sz="4"/>
            </w:tcBorders>
          </w:tcPr>
          <w:p>
            <w:pPr>
              <w:jc w:val="center"/>
            </w:pPr>
            <w:r>
              <w:rPr>
                <w:color w:val="000000"/>
                <w:sz w:val="24"/>
              </w:rPr>
              <w:t>是</w:t>
            </w:r>
          </w:p>
        </w:tc>
      </w:tr>
    </w:tbl>
    <w:p/>
    <w:p>
      <w:pPr>
        <w:ind w:firstLine="480"/>
      </w:pPr>
    </w:p>
    <w:p/>
    <w:p>
      <w:r>
        <w:rPr/>
        <w:t>采购包1（电感耦合等离子体串联三重四级杆质谱仪(ICP-MS-MS)）：</w:t>
      </w:r>
    </w:p>
    <w:p>
      <w:r>
        <w:rPr>
          <w:b/>
          <w:sz w:val="24"/>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Pr>
              <w:jc w:val="left"/>
            </w:pPr>
          </w:p>
          <w:p>
            <w:r>
              <w:rPr/>
              <w:t>合同生效后150天内完成并可交付。</w:t>
            </w:r>
          </w:p>
        </w:tc>
      </w:tr>
      <w:tr>
        <w:tc>
          <w:tcPr>
            <w:tcW w:type="dxa" w:w="4153"/>
          </w:tcPr>
          <w:p>
            <w:r>
              <w:rPr/>
              <w:t>标的提供的地点</w:t>
            </w:r>
          </w:p>
        </w:tc>
        <w:tc>
          <w:tcPr>
            <w:tcW w:type="dxa" w:w="4153"/>
          </w:tcPr>
          <w:p>
            <w:pPr>
              <w:jc w:val="left"/>
            </w:pPr>
          </w:p>
          <w:p>
            <w:r>
              <w:rPr/>
              <w:t>★采购人（用户）所在地，地址为佛山市疾病预防控制中心（采购人指定地点）</w:t>
            </w:r>
          </w:p>
        </w:tc>
      </w:tr>
      <w:tr>
        <w:tc>
          <w:tcPr>
            <w:tcW w:type="dxa" w:w="4153"/>
          </w:tcPr>
          <w:p>
            <w:r>
              <w:rPr/>
              <w:t>投标有效期</w:t>
            </w:r>
          </w:p>
        </w:tc>
        <w:tc>
          <w:tcPr>
            <w:tcW w:type="dxa" w:w="4153"/>
          </w:tcPr>
          <w:p>
            <w:pPr>
              <w:jc w:val="left"/>
            </w:pPr>
          </w:p>
          <w:p>
            <w:r>
              <w:rPr/>
              <w:t>从提交投标（响应）文件的截止之日起90日历天</w:t>
            </w:r>
          </w:p>
        </w:tc>
      </w:tr>
      <w:tr>
        <w:tc>
          <w:tcPr>
            <w:tcW w:type="dxa" w:w="4153"/>
          </w:tcPr>
          <w:p>
            <w:r>
              <w:rPr/>
              <w:t>付款方式</w:t>
            </w:r>
          </w:p>
        </w:tc>
        <w:tc>
          <w:tcPr>
            <w:tcW w:type="dxa" w:w="4153"/>
          </w:tcPr>
          <w:p>
            <w:pPr>
              <w:jc w:val="left"/>
            </w:pPr>
          </w:p>
          <w:p/>
          <w:p/>
          <w:p>
            <w:r>
              <w:rPr/>
              <w:t>1期：支付比例95%，设备到达采购人指定收货地点，经采购人确认货物数量后，支付合同总额的95%</w:t>
            </w:r>
          </w:p>
          <w:p/>
          <w:p>
            <w:r>
              <w:rPr/>
              <w:t>2期：支付比例5%，设备安装调试验收合格，投入使用正常运行1年后支付合同总额的5%</w:t>
            </w:r>
          </w:p>
        </w:tc>
      </w:tr>
      <w:tr>
        <w:tc>
          <w:tcPr>
            <w:tcW w:type="dxa" w:w="4153"/>
          </w:tcPr>
          <w:p>
            <w:r>
              <w:rPr/>
              <w:t>验收要求</w:t>
            </w:r>
          </w:p>
        </w:tc>
        <w:tc>
          <w:tcPr>
            <w:tcW w:type="dxa" w:w="4153"/>
          </w:tcPr>
          <w:p>
            <w:pPr>
              <w:jc w:val="left"/>
            </w:pPr>
          </w:p>
          <w:p/>
          <w:p/>
          <w:p>
            <w:r>
              <w:rPr/>
              <w:t>1期：货物验收：设备到达采购人指定收货地点，经采购人确认货物数量，签字确认后完成货物的验收。</w:t>
            </w:r>
          </w:p>
          <w:p/>
          <w:p>
            <w:r>
              <w:rPr/>
              <w:t>2期：（1）在设备安装调试完毕、经双方确认初步验收合格后10个工作日内，中标人以采购人的名义作为终端客户，负责办理所有产品设备（包括保修卡）的一切保修注册备案手续，然后由双方或法定专业质检部门共同验收并出具验收确认书，验收交付前的保管安全责任由中标人负责，采购人为此可无偿提供必要的临时仓储场所。 中标货物在验收交付前提交当地法定或甲方认可的专业计量部门出具的检定/校准合格证书，检定/校准费用由中标人负责。 （2）项目验收依次序对照执行标准为：①符合中华人民共和国国家和履约地相关安全质量标准、行业技术规范标准、环保节能标准；②符合采购文件和响应承诺中各方共同认可的合理最佳配置、参数规格及各项要求；③符合产品来源国官方颁布的最新标准；④双方约定的其他验收标准。</w:t>
            </w:r>
          </w:p>
        </w:tc>
      </w:tr>
      <w:tr>
        <w:tc>
          <w:tcPr>
            <w:tcW w:type="dxa" w:w="4153"/>
          </w:tcPr>
          <w:p>
            <w:r>
              <w:rPr/>
              <w:t>履约保证金</w:t>
            </w:r>
          </w:p>
        </w:tc>
        <w:tc>
          <w:tcPr>
            <w:tcW w:type="dxa" w:w="4153"/>
          </w:tcPr>
          <w:p>
            <w:pPr>
              <w:jc w:val="left"/>
            </w:pPr>
          </w:p>
          <w:p/>
          <w:p>
            <w:r>
              <w:rPr/>
              <w:t>不收取</w:t>
            </w:r>
          </w:p>
        </w:tc>
      </w:tr>
      <w:tr>
        <w:tc>
          <w:tcPr>
            <w:tcW w:type="dxa" w:w="4153"/>
          </w:tcPr>
          <w:p>
            <w:r>
              <w:rPr/>
              <w:t>其他</w:t>
            </w:r>
          </w:p>
        </w:tc>
        <w:tc>
          <w:tcPr>
            <w:tcW w:type="dxa" w:w="4153"/>
          </w:tcPr>
          <w:p>
            <w:pPr>
              <w:jc w:val="left"/>
            </w:pPr>
          </w:p>
          <w:p/>
          <w:p>
            <w:r>
              <w:rPr/>
              <w:t>★1.报价要求:1.1.报价方案是唯一确定且不高于本项目预算金额；1.2.报价方式为广东省佛山市目的地交付验收价，均涵盖报价要求之一切费用。报价中必须包含设备及零配件的购置和安装、运输、保险、装卸、培训辅导、质保期售后服务、全额含税发票、雇员费用、合同实施过程中的应预见或不可预见费用等。</w:t>
            </w:r>
          </w:p>
          <w:p/>
          <w:p>
            <w:r>
              <w:rPr/>
              <w:t>▲2.经销授权证明:投标人须为所参与投标货物的制造商或者为有销售授权的代理经销商。代理经销商须在投标文件中提供有效的各级销售授权书和投标人上一级国内授权方的营业执照。</w:t>
            </w:r>
          </w:p>
          <w:p/>
          <w:p>
            <w:r>
              <w:rPr/>
              <w:t>3.质量保证期(质保期):安装验收投入使用之日起36个月。质保期内包修、包换、包退、包维护保养。如设备因自身故障致停用时间累计超过20天时，则质保期在状态恢复正常时重新计算或对故障设备予以重新更换。质保期满后，对所供应的货物设备可提供终身维护保养服务。</w:t>
            </w:r>
          </w:p>
          <w:p/>
          <w:p>
            <w:r>
              <w:rPr/>
              <w:t>4.售后服务要求（1）:维修服务收费标准：免费保修期后，提供终身维护服务，只按厂价收取所换的材料费，不收取任何维护或人工费用。中标人在质保期和维护期内负责采购人的产品升级的服务工作，并提供相关的信息技术和跟进工作，且不收取任何服务费用。</w:t>
            </w:r>
          </w:p>
          <w:p/>
          <w:p>
            <w:r>
              <w:rPr/>
              <w:t>4.售后服务要求（2）:中标人应设有稳定可靠的售后服务机构或同类合作机构。</w:t>
            </w:r>
          </w:p>
          <w:p/>
          <w:p>
            <w:r>
              <w:rPr/>
              <w:t>4.售后服务要求（3）:中标人提供常设7天×24小时热线服务和长期的免费技术支持。对采购人的售后服务通知，厂家在广东省内配备售后工程师，中标人接报后2小时内响应，24小时内到达现场，48小时内处理完毕。如48小时内未处理完毕，中标人提供相同的档次备用设备予采购人临时使用或采取应急措施解决，不得影响采购人的正常工作业务。在质保期内货物出现质量问题（人为因素造成的例外），中标人无条件更换。因仪器故障而停用的时间，免费质保期累计相应顺延。</w:t>
            </w:r>
          </w:p>
          <w:p/>
          <w:p>
            <w:r>
              <w:rPr/>
              <w:t>4.售后服务要求（4）:质保期内提供周期上门免费服务：周期为2个月一次；形式为预约上门，服务内容为周期保养检修、检测系统运行状况、处理使用过程中出现问题等，并免费提供维修所需的配件及服务。</w:t>
            </w:r>
          </w:p>
          <w:p/>
          <w:p>
            <w:r>
              <w:rPr/>
              <w:t>4.售后服务要求（5）:中标人送货时应一并提供完整的厂家维修手册、维修软件；提供设备所需耗材清单及相应订购渠道，保证耗材价格为市场最低价（超出部分采购人保留向中标人追索权利）；提供代理商及厂家售后服务机构联络方式；提供完整安装软件，用于日后系统重装；提供设备的运行、安装、使用环境要求；终身提供免费技术咨询、编程、上门应用服务，以及在线远程技术服务。</w:t>
            </w:r>
          </w:p>
          <w:p/>
          <w:p>
            <w:r>
              <w:rPr/>
              <w:t>4.售后服务要求（6）:中标人保证厂家售后服务机构具备相应授权及资质，承担与中标人同等的质保期、维护期义务。若厂家售后服务机构有变动，应至少提前15个工作日与采购人联系，采购人以书面答复确认视为已知悉，否则中标人须承担因通知不及时导致采购人产生的一切损失。</w:t>
            </w:r>
          </w:p>
          <w:p/>
          <w:p>
            <w:r>
              <w:rPr/>
              <w:t>4.售后服务要求（7）:设备安装调试时，中标人应向采购人提供设备的检验报告（或相关合格证书）、全套使用说明书及操作手册；外文资料均需有中文译本。</w:t>
            </w:r>
          </w:p>
          <w:p/>
          <w:p>
            <w:r>
              <w:rPr/>
              <w:t>4.售后服务要求（8）:供应商提供仪器的现场安装调试并达到投标书指标要求的技术性能，并同时在现场对用户进行操作培训。如果由于仪器本身原因而在六十天内调试没有通过，供应商必须更换一套新的相同型号或符合技术性能的仪器设备。</w:t>
            </w:r>
          </w:p>
          <w:p/>
          <w:p>
            <w:r>
              <w:rPr/>
              <w:t>▲4.售后服务要求（9）:仪器在安装验收投入使用之日起提供36个月免费保修服务，在保修期内，所有服务及配件全部免费,每年提供一次上门仪器维护性保养的全套服务。供应商在中国需设有保税库，能更及时地为用户提供备品备件。</w:t>
            </w:r>
          </w:p>
          <w:p/>
          <w:p>
            <w:r>
              <w:rPr/>
              <w:t>4.售后服务要求（10）:供应商在国内应设有培训中心及专业的维修站，有专职的维修工程师及应用工程师有效保证售后维修的及时、快捷，并负责提供技术支持，保证仪器的正常操作，并协助用户进行方法开发。</w:t>
            </w:r>
          </w:p>
          <w:p/>
          <w:p>
            <w:r>
              <w:rPr/>
              <w:t>5.培训要求（1）:培训团队：根据采购人需求，在采购人所在单位开展现场培训工作，培训对象包括但不限于设备主要使用者、维护人员、管理人员等。</w:t>
            </w:r>
          </w:p>
          <w:p/>
          <w:p>
            <w:r>
              <w:rPr/>
              <w:t>5.培训要求（2）:根据采购人需求，中标人应进行现场设备培训集中指导。同时，根据设备使用情况，随时可提供技术支持。</w:t>
            </w:r>
          </w:p>
          <w:p/>
          <w:p>
            <w:r>
              <w:rPr/>
              <w:t>5.培训要求（3）:现场3天培训：中标人应指派专业工程师对采购人就设备的使用、仪器原理、基本操作日常维护保养等进行现场培训，保障采购人能熟练掌握操作、日常维护及及时排除大部分的系统障碍，保障采购人能够搭建数据库并将相关数据准确储存至采购人指定服务器或终端，包括备份操作。</w:t>
            </w:r>
          </w:p>
          <w:p/>
          <w:p>
            <w:r>
              <w:rPr/>
              <w:t>5.培训要求（4）:培训效果及质量保证：中标人应接受采购人对培训结束后进行的效果评估，如经采购人评估为不合格的，中标人应另行指派人员重新进行培训。</w:t>
            </w:r>
          </w:p>
          <w:p/>
          <w:p>
            <w:r>
              <w:rPr/>
              <w:t>5.培训要求（5）:为用户提供定制培训，提供4个免费的厂家级培训名额，其中不少于2人的高级技术培训班的名额（课程包含理解原理，掌握ICP-MS/MS的完整操作、日常维护、建立故障诊断的思路，快速识别干扰并进行干扰的校正，发挥MS/MS反应模式的优势特点，使用多模式进行结果的验证等）。</w:t>
            </w:r>
          </w:p>
        </w:tc>
      </w:tr>
    </w:tbl>
    <w:p>
      <w:r>
        <w:rPr>
          <w:b/>
          <w:sz w:val="24"/>
        </w:rPr>
        <w:t>2.技术标准与要求</w:t>
      </w:r>
    </w:p>
    <w:tbl>
      <w:tblPr>
        <w:tblW w:w="0" w:type="auto"/>
        <w:tblBorders>
          <w:top w:val="single"/>
          <w:left w:val="single"/>
          <w:bottom w:val="single"/>
          <w:right w:val="single"/>
          <w:insideH w:val="single"/>
          <w:insideV w:val="single"/>
        </w:tblBorders>
      </w:tblPr>
      <w:tblGrid>
        <w:gridCol w:w="231"/>
        <w:gridCol w:w="385"/>
        <w:gridCol w:w="1923"/>
        <w:gridCol w:w="1923"/>
        <w:gridCol w:w="385"/>
        <w:gridCol w:w="769"/>
        <w:gridCol w:w="769"/>
        <w:gridCol w:w="769"/>
        <w:gridCol w:w="769"/>
        <w:gridCol w:w="385"/>
      </w:tblGrid>
      <w:tr>
        <w:tc>
          <w:tcPr>
            <w:tcW w:type="dxa" w:w="231"/>
          </w:tcPr>
          <w:p>
            <w:r>
              <w:rPr/>
              <w:t>序号</w:t>
            </w:r>
          </w:p>
        </w:tc>
        <w:tc>
          <w:tcPr>
            <w:tcW w:type="dxa" w:w="385"/>
          </w:tcPr>
          <w:p>
            <w:r>
              <w:rPr/>
              <w:t>核心产品（“△”）</w:t>
            </w:r>
          </w:p>
        </w:tc>
        <w:tc>
          <w:tcPr>
            <w:tcW w:type="dxa" w:w="1923"/>
          </w:tcPr>
          <w:p>
            <w:r>
              <w:rPr/>
              <w:t>品目名称</w:t>
            </w:r>
          </w:p>
        </w:tc>
        <w:tc>
          <w:tcPr>
            <w:tcW w:type="dxa" w:w="1923"/>
          </w:tcPr>
          <w:p>
            <w:r>
              <w:rPr/>
              <w:t>标的名称</w:t>
            </w:r>
          </w:p>
        </w:tc>
        <w:tc>
          <w:tcPr>
            <w:tcW w:type="dxa" w:w="385"/>
          </w:tcPr>
          <w:p>
            <w:r>
              <w:rPr/>
              <w:t>单位</w:t>
            </w:r>
          </w:p>
        </w:tc>
        <w:tc>
          <w:tcPr>
            <w:tcW w:type="dxa" w:w="769"/>
          </w:tcPr>
          <w:p>
            <w:r>
              <w:rPr/>
              <w:t>数量</w:t>
            </w:r>
          </w:p>
        </w:tc>
        <w:tc>
          <w:tcPr>
            <w:tcW w:type="dxa" w:w="769"/>
          </w:tcPr>
          <w:p>
            <w:r>
              <w:rPr/>
              <w:t>分项预算单价（元）</w:t>
            </w:r>
          </w:p>
        </w:tc>
        <w:tc>
          <w:tcPr>
            <w:tcW w:type="dxa" w:w="769"/>
          </w:tcPr>
          <w:p>
            <w:r>
              <w:rPr/>
              <w:t>分项预算总价（元）</w:t>
            </w:r>
          </w:p>
        </w:tc>
        <w:tc>
          <w:tcPr>
            <w:tcW w:type="dxa" w:w="769"/>
          </w:tcPr>
          <w:p>
            <w:r>
              <w:rPr/>
              <w:t>所属行业</w:t>
            </w:r>
          </w:p>
        </w:tc>
        <w:tc>
          <w:tcPr>
            <w:tcW w:type="dxa" w:w="385"/>
          </w:tcPr>
          <w:p>
            <w:r>
              <w:rPr/>
              <w:t>技术要求</w:t>
            </w:r>
          </w:p>
        </w:tc>
      </w:tr>
      <w:tr>
        <w:tc>
          <w:tcPr>
            <w:tcW w:type="dxa" w:w="231"/>
          </w:tcPr>
          <w:p>
            <w:r>
              <w:rPr/>
              <w:t>1</w:t>
            </w:r>
          </w:p>
        </w:tc>
        <w:tc>
          <w:tcPr>
            <w:tcW w:type="dxa" w:w="385"/>
          </w:tcPr>
          <w:p>
            <w:r>
              <w:rPr/>
              <w:t>△</w:t>
            </w:r>
          </w:p>
        </w:tc>
        <w:tc>
          <w:tcPr>
            <w:tcW w:type="dxa" w:w="1923"/>
          </w:tcPr>
          <w:p>
            <w:r>
              <w:rPr/>
              <w:t>其他货物</w:t>
            </w:r>
          </w:p>
        </w:tc>
        <w:tc>
          <w:tcPr>
            <w:tcW w:type="dxa" w:w="1923"/>
          </w:tcPr>
          <w:p>
            <w:r>
              <w:rPr/>
              <w:t>电感耦合等离子体串联三重四级杆质谱仪(ICP-MS-MS)</w:t>
            </w:r>
          </w:p>
        </w:tc>
        <w:tc>
          <w:tcPr>
            <w:tcW w:type="dxa" w:w="385"/>
          </w:tcPr>
          <w:p>
            <w:r>
              <w:rPr/>
              <w:t>套</w:t>
            </w:r>
          </w:p>
        </w:tc>
        <w:tc>
          <w:tcPr>
            <w:tcW w:type="dxa" w:w="769"/>
          </w:tcPr>
          <w:p>
            <w:pPr>
              <w:jc w:val="right"/>
            </w:pPr>
            <w:r>
              <w:rPr/>
              <w:t>1.0000</w:t>
            </w:r>
          </w:p>
        </w:tc>
        <w:tc>
          <w:tcPr>
            <w:tcW w:type="dxa" w:w="769"/>
          </w:tcPr>
          <w:p>
            <w:pPr>
              <w:jc w:val="right"/>
            </w:pPr>
            <w:r>
              <w:rPr/>
              <w:t>2,300,000.00</w:t>
            </w:r>
          </w:p>
        </w:tc>
        <w:tc>
          <w:tcPr>
            <w:tcW w:type="dxa" w:w="769"/>
          </w:tcPr>
          <w:p>
            <w:pPr>
              <w:jc w:val="right"/>
            </w:pPr>
            <w:r>
              <w:rPr/>
              <w:t>2,300,000.00</w:t>
            </w:r>
          </w:p>
        </w:tc>
        <w:tc>
          <w:tcPr>
            <w:tcW w:type="dxa" w:w="769"/>
          </w:tcPr>
          <w:p>
            <w:r>
              <w:rPr/>
              <w:t>工业</w:t>
            </w:r>
          </w:p>
        </w:tc>
        <w:tc>
          <w:tcPr>
            <w:tcW w:type="dxa" w:w="385"/>
          </w:tcPr>
          <w:p>
            <w:r>
              <w:rPr/>
              <w:t>详见附表一</w:t>
            </w:r>
          </w:p>
        </w:tc>
      </w:tr>
    </w:tbl>
    <w:p>
      <w:r>
        <w:rPr/>
        <w:t>注：若存在多项核心产品，当不同供应商提供的任意一项核心产品的品牌相同，则视同其是所响应核心产品品牌相同供应商。</w:t>
      </w:r>
    </w:p>
    <w:p/>
    <w:p/>
    <w:p>
      <w:r>
        <w:rPr>
          <w:b/>
          <w:sz w:val="24"/>
        </w:rPr>
        <w:t>附表</w:t>
      </w:r>
      <w:r>
        <w:rPr>
          <w:b/>
          <w:sz w:val="24"/>
        </w:rPr>
        <w:t>一</w:t>
      </w:r>
      <w:r>
        <w:rPr>
          <w:b/>
          <w:sz w:val="24"/>
        </w:rPr>
        <w:t>：</w:t>
      </w:r>
      <w:r>
        <w:rPr>
          <w:b/>
          <w:sz w:val="24"/>
        </w:rPr>
        <w:t>电感耦合等离子体串联三重四级杆质谱仪(ICP-MS-MS)</w:t>
      </w:r>
      <w:r>
        <w:rPr>
          <w:b/>
          <w:sz w:val="24"/>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t>1.仪器主机：</w:t>
            </w:r>
          </w:p>
        </w:tc>
      </w:tr>
      <w:tr>
        <w:tc>
          <w:tcPr>
            <w:tcW w:type="dxa" w:w="2076"/>
          </w:tcPr>
          <w:p/>
        </w:tc>
        <w:tc>
          <w:tcPr>
            <w:tcW w:type="dxa" w:w="415"/>
          </w:tcPr>
          <w:p>
            <w:r>
              <w:rPr/>
              <w:t>2</w:t>
            </w:r>
          </w:p>
        </w:tc>
        <w:tc>
          <w:tcPr>
            <w:tcW w:type="dxa" w:w="5814"/>
          </w:tcPr>
          <w:p>
            <w:r>
              <w:rPr/>
              <w:t>1.1.雾化器：高精度、高效同心雾化器；雾化室：双通道设计，石英材质，高效半导体控温装置。</w:t>
            </w:r>
          </w:p>
        </w:tc>
      </w:tr>
      <w:tr>
        <w:tc>
          <w:tcPr>
            <w:tcW w:type="dxa" w:w="2076"/>
          </w:tcPr>
          <w:p/>
        </w:tc>
        <w:tc>
          <w:tcPr>
            <w:tcW w:type="dxa" w:w="415"/>
          </w:tcPr>
          <w:p>
            <w:r>
              <w:rPr/>
              <w:t>3</w:t>
            </w:r>
          </w:p>
        </w:tc>
        <w:tc>
          <w:tcPr>
            <w:tcW w:type="dxa" w:w="5814"/>
          </w:tcPr>
          <w:p>
            <w:r>
              <w:rPr/>
              <w:t>1.2.高盐进样系统：仪器配置全自动在线稀释装置，稀释方式为气体自动稀释，避免使用溶剂稀释引入污染，最高可连续测定含盐量高达25%的样品。</w:t>
            </w:r>
          </w:p>
        </w:tc>
      </w:tr>
      <w:tr>
        <w:tc>
          <w:tcPr>
            <w:tcW w:type="dxa" w:w="2076"/>
          </w:tcPr>
          <w:p>
            <w:r>
              <w:rPr/>
              <w:t>★</w:t>
            </w:r>
          </w:p>
        </w:tc>
        <w:tc>
          <w:tcPr>
            <w:tcW w:type="dxa" w:w="415"/>
          </w:tcPr>
          <w:p>
            <w:r>
              <w:rPr/>
              <w:t>4</w:t>
            </w:r>
          </w:p>
        </w:tc>
        <w:tc>
          <w:tcPr>
            <w:tcW w:type="dxa" w:w="5814"/>
          </w:tcPr>
          <w:p>
            <w:r>
              <w:rPr/>
              <w:t>★1.3.采用数字式驱动的固态ICP发生器，射频频率≤28 MHz，射频线圈必须采用主动式水冷设计；</w:t>
            </w:r>
          </w:p>
        </w:tc>
      </w:tr>
      <w:tr>
        <w:tc>
          <w:tcPr>
            <w:tcW w:type="dxa" w:w="2076"/>
          </w:tcPr>
          <w:p/>
        </w:tc>
        <w:tc>
          <w:tcPr>
            <w:tcW w:type="dxa" w:w="415"/>
          </w:tcPr>
          <w:p>
            <w:r>
              <w:rPr/>
              <w:t>5</w:t>
            </w:r>
          </w:p>
        </w:tc>
        <w:tc>
          <w:tcPr>
            <w:tcW w:type="dxa" w:w="5814"/>
          </w:tcPr>
          <w:p>
            <w:r>
              <w:rPr/>
              <w:t>1.4.二次放电消除技术：必须具备屏蔽矩物理接地技术，非虚拟接地技术，以预防意外放电造成的工作线圈击穿（需提供屏蔽矩安装在投标型号仪器上的实物图片证明）。</w:t>
            </w:r>
          </w:p>
        </w:tc>
      </w:tr>
      <w:tr>
        <w:tc>
          <w:tcPr>
            <w:tcW w:type="dxa" w:w="2076"/>
          </w:tcPr>
          <w:p>
            <w:r>
              <w:rPr/>
              <w:t>▲</w:t>
            </w:r>
          </w:p>
        </w:tc>
        <w:tc>
          <w:tcPr>
            <w:tcW w:type="dxa" w:w="415"/>
          </w:tcPr>
          <w:p>
            <w:r>
              <w:rPr/>
              <w:t>6</w:t>
            </w:r>
          </w:p>
        </w:tc>
        <w:tc>
          <w:tcPr>
            <w:tcW w:type="dxa" w:w="5814"/>
          </w:tcPr>
          <w:p>
            <w:r>
              <w:rPr/>
              <w:t>▲1.5.接口：采用双锥接口，镍采样锥与截取锥组成，要求锥数量≤2个，要求在保证灵敏度的前提下锥孔径尽可能小，采样锥孔径≤1.0mm，截取锥孔径≤0.45mm，无需使用超截取锥和嵌片等多余耗材，减少高基体样品进入仪器真空腔，保证质谱系统得长期稳定性，减少真空腔内的维护。</w:t>
            </w:r>
          </w:p>
        </w:tc>
      </w:tr>
      <w:tr>
        <w:tc>
          <w:tcPr>
            <w:tcW w:type="dxa" w:w="2076"/>
          </w:tcPr>
          <w:p>
            <w:r>
              <w:rPr/>
              <w:t>▲</w:t>
            </w:r>
          </w:p>
        </w:tc>
        <w:tc>
          <w:tcPr>
            <w:tcW w:type="dxa" w:w="415"/>
          </w:tcPr>
          <w:p>
            <w:r>
              <w:rPr/>
              <w:t>7</w:t>
            </w:r>
          </w:p>
        </w:tc>
        <w:tc>
          <w:tcPr>
            <w:tcW w:type="dxa" w:w="5814"/>
          </w:tcPr>
          <w:p>
            <w:r>
              <w:rPr/>
              <w:t>▲1.6.离子透镜组：包括提取透镜和偏转透镜，离子经过提取透镜聚焦后，经过偏转透镜所施加电场发生多次偏转，彻底与光子及其他中性粒子分离。</w:t>
            </w:r>
          </w:p>
        </w:tc>
      </w:tr>
      <w:tr>
        <w:tc>
          <w:tcPr>
            <w:tcW w:type="dxa" w:w="2076"/>
          </w:tcPr>
          <w:p/>
        </w:tc>
        <w:tc>
          <w:tcPr>
            <w:tcW w:type="dxa" w:w="415"/>
          </w:tcPr>
          <w:p>
            <w:r>
              <w:rPr/>
              <w:t>8</w:t>
            </w:r>
          </w:p>
        </w:tc>
        <w:tc>
          <w:tcPr>
            <w:tcW w:type="dxa" w:w="5814"/>
          </w:tcPr>
          <w:p>
            <w:r>
              <w:rPr/>
              <w:t>1.6.1.提取透镜：必须配置不少于2个离子提取透镜，可通过分别施加不同电压来实现多种离子提取效果（提供软件截图）。</w:t>
            </w:r>
          </w:p>
        </w:tc>
      </w:tr>
      <w:tr>
        <w:tc>
          <w:tcPr>
            <w:tcW w:type="dxa" w:w="2076"/>
          </w:tcPr>
          <w:p/>
        </w:tc>
        <w:tc>
          <w:tcPr>
            <w:tcW w:type="dxa" w:w="415"/>
          </w:tcPr>
          <w:p>
            <w:r>
              <w:rPr/>
              <w:t>9</w:t>
            </w:r>
          </w:p>
        </w:tc>
        <w:tc>
          <w:tcPr>
            <w:tcW w:type="dxa" w:w="5814"/>
          </w:tcPr>
          <w:p>
            <w:r>
              <w:rPr/>
              <w:t>1.6.2.偏转透镜：使用多次偏转设计的透镜技术，在有效去除中性离子的同时减少各质量段的灵敏度的差异，避免使用单次偏转等落后设计的透镜技术。</w:t>
            </w:r>
          </w:p>
        </w:tc>
      </w:tr>
      <w:tr>
        <w:tc>
          <w:tcPr>
            <w:tcW w:type="dxa" w:w="2076"/>
          </w:tcPr>
          <w:p>
            <w:r>
              <w:rPr/>
              <w:t>▲</w:t>
            </w:r>
          </w:p>
        </w:tc>
        <w:tc>
          <w:tcPr>
            <w:tcW w:type="dxa" w:w="415"/>
          </w:tcPr>
          <w:p>
            <w:r>
              <w:rPr/>
              <w:t>10</w:t>
            </w:r>
          </w:p>
        </w:tc>
        <w:tc>
          <w:tcPr>
            <w:tcW w:type="dxa" w:w="5814"/>
          </w:tcPr>
          <w:p>
            <w:r>
              <w:rPr/>
              <w:t>▲1.7.一级四极杆Q1：必须是与主四极杆长度规格一致的双曲面四极杆，可以进行单质量数过滤，使非选定质量的离子无法进入碰撞反应池。</w:t>
            </w:r>
          </w:p>
        </w:tc>
      </w:tr>
      <w:tr>
        <w:tc>
          <w:tcPr>
            <w:tcW w:type="dxa" w:w="2076"/>
          </w:tcPr>
          <w:p/>
        </w:tc>
        <w:tc>
          <w:tcPr>
            <w:tcW w:type="dxa" w:w="415"/>
          </w:tcPr>
          <w:p>
            <w:r>
              <w:rPr/>
              <w:t>11</w:t>
            </w:r>
          </w:p>
        </w:tc>
        <w:tc>
          <w:tcPr>
            <w:tcW w:type="dxa" w:w="5814"/>
          </w:tcPr>
          <w:p>
            <w:r>
              <w:rPr/>
              <w:t>1.7.1.驱动频率：≤3MHz；</w:t>
            </w:r>
          </w:p>
        </w:tc>
      </w:tr>
      <w:tr>
        <w:tc>
          <w:tcPr>
            <w:tcW w:type="dxa" w:w="2076"/>
          </w:tcPr>
          <w:p/>
        </w:tc>
        <w:tc>
          <w:tcPr>
            <w:tcW w:type="dxa" w:w="415"/>
          </w:tcPr>
          <w:p>
            <w:r>
              <w:rPr/>
              <w:t>12</w:t>
            </w:r>
          </w:p>
        </w:tc>
        <w:tc>
          <w:tcPr>
            <w:tcW w:type="dxa" w:w="5814"/>
          </w:tcPr>
          <w:p>
            <w:r>
              <w:rPr/>
              <w:t>1.7.2.质量范围：至少包含2-255amu。</w:t>
            </w:r>
          </w:p>
        </w:tc>
      </w:tr>
      <w:tr>
        <w:tc>
          <w:tcPr>
            <w:tcW w:type="dxa" w:w="2076"/>
          </w:tcPr>
          <w:p/>
        </w:tc>
        <w:tc>
          <w:tcPr>
            <w:tcW w:type="dxa" w:w="415"/>
          </w:tcPr>
          <w:p>
            <w:r>
              <w:rPr/>
              <w:t>13</w:t>
            </w:r>
          </w:p>
        </w:tc>
        <w:tc>
          <w:tcPr>
            <w:tcW w:type="dxa" w:w="5814"/>
          </w:tcPr>
          <w:p>
            <w:r>
              <w:rPr/>
              <w:t>1.8.二级四极杆（主四极杆）Q2：双曲面四极杆，可以进行单质量数过滤，使非目标质量元素无法进入检测器。</w:t>
            </w:r>
          </w:p>
        </w:tc>
      </w:tr>
      <w:tr>
        <w:tc>
          <w:tcPr>
            <w:tcW w:type="dxa" w:w="2076"/>
          </w:tcPr>
          <w:p>
            <w:r>
              <w:rPr/>
              <w:t>▲</w:t>
            </w:r>
          </w:p>
        </w:tc>
        <w:tc>
          <w:tcPr>
            <w:tcW w:type="dxa" w:w="415"/>
          </w:tcPr>
          <w:p>
            <w:r>
              <w:rPr/>
              <w:t>14</w:t>
            </w:r>
          </w:p>
        </w:tc>
        <w:tc>
          <w:tcPr>
            <w:tcW w:type="dxa" w:w="5814"/>
          </w:tcPr>
          <w:p>
            <w:r>
              <w:rPr/>
              <w:t>▲1.8.1.驱动频率：≥2.8MHz；</w:t>
            </w:r>
          </w:p>
        </w:tc>
      </w:tr>
      <w:tr>
        <w:tc>
          <w:tcPr>
            <w:tcW w:type="dxa" w:w="2076"/>
          </w:tcPr>
          <w:p/>
        </w:tc>
        <w:tc>
          <w:tcPr>
            <w:tcW w:type="dxa" w:w="415"/>
          </w:tcPr>
          <w:p>
            <w:r>
              <w:rPr/>
              <w:t>15</w:t>
            </w:r>
          </w:p>
        </w:tc>
        <w:tc>
          <w:tcPr>
            <w:tcW w:type="dxa" w:w="5814"/>
          </w:tcPr>
          <w:p>
            <w:r>
              <w:rPr/>
              <w:t>1.8.2.质量范围：至少包含2-255amu。</w:t>
            </w:r>
          </w:p>
        </w:tc>
      </w:tr>
      <w:tr>
        <w:tc>
          <w:tcPr>
            <w:tcW w:type="dxa" w:w="2076"/>
          </w:tcPr>
          <w:p>
            <w:r>
              <w:rPr/>
              <w:t>★</w:t>
            </w:r>
          </w:p>
        </w:tc>
        <w:tc>
          <w:tcPr>
            <w:tcW w:type="dxa" w:w="415"/>
          </w:tcPr>
          <w:p>
            <w:r>
              <w:rPr/>
              <w:t>16</w:t>
            </w:r>
          </w:p>
        </w:tc>
        <w:tc>
          <w:tcPr>
            <w:tcW w:type="dxa" w:w="5814"/>
          </w:tcPr>
          <w:p>
            <w:r>
              <w:rPr/>
              <w:t>★1.9.真空系统：双分子涡轮泵设计，具有4级真空，采用性能泵系统，包括一个叉分式涡轮泵、第二个涡轮泵和一个外置机械泵。</w:t>
            </w:r>
          </w:p>
        </w:tc>
      </w:tr>
      <w:tr>
        <w:tc>
          <w:tcPr>
            <w:tcW w:type="dxa" w:w="2076"/>
          </w:tcPr>
          <w:p/>
        </w:tc>
        <w:tc>
          <w:tcPr>
            <w:tcW w:type="dxa" w:w="415"/>
          </w:tcPr>
          <w:p>
            <w:r>
              <w:rPr/>
              <w:t>17</w:t>
            </w:r>
          </w:p>
        </w:tc>
        <w:tc>
          <w:tcPr>
            <w:tcW w:type="dxa" w:w="5814"/>
          </w:tcPr>
          <w:p>
            <w:r>
              <w:rPr/>
              <w:t>1.10.元素总量自动进样器：</w:t>
            </w:r>
          </w:p>
        </w:tc>
      </w:tr>
      <w:tr>
        <w:tc>
          <w:tcPr>
            <w:tcW w:type="dxa" w:w="2076"/>
          </w:tcPr>
          <w:p/>
        </w:tc>
        <w:tc>
          <w:tcPr>
            <w:tcW w:type="dxa" w:w="415"/>
          </w:tcPr>
          <w:p>
            <w:r>
              <w:rPr/>
              <w:t>18</w:t>
            </w:r>
          </w:p>
        </w:tc>
        <w:tc>
          <w:tcPr>
            <w:tcW w:type="dxa" w:w="5814"/>
          </w:tcPr>
          <w:p>
            <w:r>
              <w:rPr/>
              <w:t>1.10.1.不少于201个样品位的样品架，不少于4个大瓶清洗位；</w:t>
            </w:r>
          </w:p>
        </w:tc>
      </w:tr>
      <w:tr>
        <w:tc>
          <w:tcPr>
            <w:tcW w:type="dxa" w:w="2076"/>
          </w:tcPr>
          <w:p/>
        </w:tc>
        <w:tc>
          <w:tcPr>
            <w:tcW w:type="dxa" w:w="415"/>
          </w:tcPr>
          <w:p>
            <w:r>
              <w:rPr/>
              <w:t>19</w:t>
            </w:r>
          </w:p>
        </w:tc>
        <w:tc>
          <w:tcPr>
            <w:tcW w:type="dxa" w:w="5814"/>
          </w:tcPr>
          <w:p>
            <w:r>
              <w:rPr/>
              <w:t>1.10.2.可自由替换适应不同样品管尺寸的样品架，最多可拓至不少于350位的样品位，以满足长时间无人值守的分析需求；</w:t>
            </w:r>
          </w:p>
        </w:tc>
      </w:tr>
      <w:tr>
        <w:tc>
          <w:tcPr>
            <w:tcW w:type="dxa" w:w="2076"/>
          </w:tcPr>
          <w:p/>
        </w:tc>
        <w:tc>
          <w:tcPr>
            <w:tcW w:type="dxa" w:w="415"/>
          </w:tcPr>
          <w:p>
            <w:r>
              <w:rPr/>
              <w:t>20</w:t>
            </w:r>
          </w:p>
        </w:tc>
        <w:tc>
          <w:tcPr>
            <w:tcW w:type="dxa" w:w="5814"/>
          </w:tcPr>
          <w:p>
            <w:r>
              <w:rPr/>
              <w:t>1.10.3.具有快速移动功能，样品针从左下样品位移动到右上样品位耗时不超过3秒，以应对样品高通量需求；</w:t>
            </w:r>
          </w:p>
        </w:tc>
      </w:tr>
      <w:tr>
        <w:tc>
          <w:tcPr>
            <w:tcW w:type="dxa" w:w="2076"/>
          </w:tcPr>
          <w:p>
            <w:r>
              <w:rPr/>
              <w:t>▲</w:t>
            </w:r>
          </w:p>
        </w:tc>
        <w:tc>
          <w:tcPr>
            <w:tcW w:type="dxa" w:w="415"/>
          </w:tcPr>
          <w:p>
            <w:r>
              <w:rPr/>
              <w:t>21</w:t>
            </w:r>
          </w:p>
        </w:tc>
        <w:tc>
          <w:tcPr>
            <w:tcW w:type="dxa" w:w="5814"/>
          </w:tcPr>
          <w:p>
            <w:r>
              <w:rPr/>
              <w:t>▲1.10.4.须配置原厂耐腐蚀聚碳酸酯树脂密闭罩，以避免样品受环境污染；密闭罩须预留抽风口，以及时排走样品逸散的酸雾，避免酸雾污染实验室环境或腐蚀自动进样器；须提供密封罩实物图并在配置中单独列出货号。</w:t>
            </w:r>
          </w:p>
        </w:tc>
      </w:tr>
      <w:tr>
        <w:tc>
          <w:tcPr>
            <w:tcW w:type="dxa" w:w="2076"/>
          </w:tcPr>
          <w:p/>
        </w:tc>
        <w:tc>
          <w:tcPr>
            <w:tcW w:type="dxa" w:w="415"/>
          </w:tcPr>
          <w:p>
            <w:r>
              <w:rPr/>
              <w:t>22</w:t>
            </w:r>
          </w:p>
        </w:tc>
        <w:tc>
          <w:tcPr>
            <w:tcW w:type="dxa" w:w="5814"/>
          </w:tcPr>
          <w:p>
            <w:r>
              <w:rPr/>
              <w:t>1.11.形态分析系统</w:t>
            </w:r>
          </w:p>
        </w:tc>
      </w:tr>
      <w:tr>
        <w:tc>
          <w:tcPr>
            <w:tcW w:type="dxa" w:w="2076"/>
          </w:tcPr>
          <w:p/>
        </w:tc>
        <w:tc>
          <w:tcPr>
            <w:tcW w:type="dxa" w:w="415"/>
          </w:tcPr>
          <w:p>
            <w:r>
              <w:rPr/>
              <w:t>23</w:t>
            </w:r>
          </w:p>
        </w:tc>
        <w:tc>
          <w:tcPr>
            <w:tcW w:type="dxa" w:w="5814"/>
          </w:tcPr>
          <w:p>
            <w:r>
              <w:rPr/>
              <w:t>1.11.1.液相元素形态分析仪：可以和兼容所有品牌的原子荧光仪（AFS）和ICPMS，可以组成液相色谱-原子荧光联用仪（LC-AFS）和LC-ICPMS联用仪，以便完全满足GB5009.11-2017以及GB5009.17-2014，同时需要在实验室建立LC-ICPMS方法，做各种元素形态分析。液相元素形态分析仪包括但不限于高压液相色谱泵、柱箱、色谱柱、自动进样器、联用接口、以及必需的配件。</w:t>
            </w:r>
          </w:p>
        </w:tc>
      </w:tr>
      <w:tr>
        <w:tc>
          <w:tcPr>
            <w:tcW w:type="dxa" w:w="2076"/>
          </w:tcPr>
          <w:p/>
        </w:tc>
        <w:tc>
          <w:tcPr>
            <w:tcW w:type="dxa" w:w="415"/>
          </w:tcPr>
          <w:p>
            <w:r>
              <w:rPr/>
              <w:t>24</w:t>
            </w:r>
          </w:p>
        </w:tc>
        <w:tc>
          <w:tcPr>
            <w:tcW w:type="dxa" w:w="5814"/>
          </w:tcPr>
          <w:p>
            <w:r>
              <w:rPr/>
              <w:t>1.12.液相色谱泵：</w:t>
            </w:r>
          </w:p>
        </w:tc>
      </w:tr>
      <w:tr>
        <w:tc>
          <w:tcPr>
            <w:tcW w:type="dxa" w:w="2076"/>
          </w:tcPr>
          <w:p>
            <w:r>
              <w:rPr/>
              <w:t>▲</w:t>
            </w:r>
          </w:p>
        </w:tc>
        <w:tc>
          <w:tcPr>
            <w:tcW w:type="dxa" w:w="415"/>
          </w:tcPr>
          <w:p>
            <w:r>
              <w:rPr/>
              <w:t>25</w:t>
            </w:r>
          </w:p>
        </w:tc>
        <w:tc>
          <w:tcPr>
            <w:tcW w:type="dxa" w:w="5814"/>
          </w:tcPr>
          <w:p>
            <w:r>
              <w:rPr/>
              <w:t>▲1.12.1.类型：二元梯度泵。</w:t>
            </w:r>
          </w:p>
        </w:tc>
      </w:tr>
      <w:tr>
        <w:tc>
          <w:tcPr>
            <w:tcW w:type="dxa" w:w="2076"/>
          </w:tcPr>
          <w:p>
            <w:r>
              <w:rPr/>
              <w:t>▲</w:t>
            </w:r>
          </w:p>
        </w:tc>
        <w:tc>
          <w:tcPr>
            <w:tcW w:type="dxa" w:w="415"/>
          </w:tcPr>
          <w:p>
            <w:r>
              <w:rPr/>
              <w:t>26</w:t>
            </w:r>
          </w:p>
        </w:tc>
        <w:tc>
          <w:tcPr>
            <w:tcW w:type="dxa" w:w="5814"/>
          </w:tcPr>
          <w:p>
            <w:r>
              <w:rPr/>
              <w:t>▲1.12.2.全PEEK惰性流路防止酸/碱/缓冲盐流动相的腐蚀。</w:t>
            </w:r>
          </w:p>
        </w:tc>
      </w:tr>
      <w:tr>
        <w:tc>
          <w:tcPr>
            <w:tcW w:type="dxa" w:w="2076"/>
          </w:tcPr>
          <w:p/>
        </w:tc>
        <w:tc>
          <w:tcPr>
            <w:tcW w:type="dxa" w:w="415"/>
          </w:tcPr>
          <w:p>
            <w:r>
              <w:rPr/>
              <w:t>27</w:t>
            </w:r>
          </w:p>
        </w:tc>
        <w:tc>
          <w:tcPr>
            <w:tcW w:type="dxa" w:w="5814"/>
          </w:tcPr>
          <w:p>
            <w:r>
              <w:rPr/>
              <w:t>1.12.3.流量范围0.1-5.0mL/min连续可调。</w:t>
            </w:r>
          </w:p>
        </w:tc>
      </w:tr>
      <w:tr>
        <w:tc>
          <w:tcPr>
            <w:tcW w:type="dxa" w:w="2076"/>
          </w:tcPr>
          <w:p/>
        </w:tc>
        <w:tc>
          <w:tcPr>
            <w:tcW w:type="dxa" w:w="415"/>
          </w:tcPr>
          <w:p>
            <w:r>
              <w:rPr/>
              <w:t>28</w:t>
            </w:r>
          </w:p>
        </w:tc>
        <w:tc>
          <w:tcPr>
            <w:tcW w:type="dxa" w:w="5814"/>
          </w:tcPr>
          <w:p>
            <w:r>
              <w:rPr/>
              <w:t>1.12.4.最大耐压：＞25MPa。</w:t>
            </w:r>
          </w:p>
        </w:tc>
      </w:tr>
      <w:tr>
        <w:tc>
          <w:tcPr>
            <w:tcW w:type="dxa" w:w="2076"/>
          </w:tcPr>
          <w:p/>
        </w:tc>
        <w:tc>
          <w:tcPr>
            <w:tcW w:type="dxa" w:w="415"/>
          </w:tcPr>
          <w:p>
            <w:r>
              <w:rPr/>
              <w:t>29</w:t>
            </w:r>
          </w:p>
        </w:tc>
        <w:tc>
          <w:tcPr>
            <w:tcW w:type="dxa" w:w="5814"/>
          </w:tcPr>
          <w:p>
            <w:r>
              <w:rPr/>
              <w:t>1.12.5.流速精度：＜0.2%</w:t>
            </w:r>
          </w:p>
        </w:tc>
      </w:tr>
      <w:tr>
        <w:tc>
          <w:tcPr>
            <w:tcW w:type="dxa" w:w="2076"/>
          </w:tcPr>
          <w:p/>
        </w:tc>
        <w:tc>
          <w:tcPr>
            <w:tcW w:type="dxa" w:w="415"/>
          </w:tcPr>
          <w:p>
            <w:r>
              <w:rPr/>
              <w:t>30</w:t>
            </w:r>
          </w:p>
        </w:tc>
        <w:tc>
          <w:tcPr>
            <w:tcW w:type="dxa" w:w="5814"/>
          </w:tcPr>
          <w:p>
            <w:r>
              <w:rPr/>
              <w:t>1.12.6.控制方式：自带控制面板，可兼容所有型号的ICPMS和原子荧光。</w:t>
            </w:r>
          </w:p>
        </w:tc>
      </w:tr>
      <w:tr>
        <w:tc>
          <w:tcPr>
            <w:tcW w:type="dxa" w:w="2076"/>
          </w:tcPr>
          <w:p/>
        </w:tc>
        <w:tc>
          <w:tcPr>
            <w:tcW w:type="dxa" w:w="415"/>
          </w:tcPr>
          <w:p>
            <w:r>
              <w:rPr/>
              <w:t>31</w:t>
            </w:r>
          </w:p>
        </w:tc>
        <w:tc>
          <w:tcPr>
            <w:tcW w:type="dxa" w:w="5814"/>
          </w:tcPr>
          <w:p>
            <w:r>
              <w:rPr/>
              <w:t>1.13.柱箱：可容纳至少2根250mm的色谱柱。</w:t>
            </w:r>
          </w:p>
        </w:tc>
      </w:tr>
      <w:tr>
        <w:tc>
          <w:tcPr>
            <w:tcW w:type="dxa" w:w="2076"/>
          </w:tcPr>
          <w:p/>
        </w:tc>
        <w:tc>
          <w:tcPr>
            <w:tcW w:type="dxa" w:w="415"/>
          </w:tcPr>
          <w:p>
            <w:r>
              <w:rPr/>
              <w:t>32</w:t>
            </w:r>
          </w:p>
        </w:tc>
        <w:tc>
          <w:tcPr>
            <w:tcW w:type="dxa" w:w="5814"/>
          </w:tcPr>
          <w:p>
            <w:r>
              <w:rPr/>
              <w:t>1.14.自动进样器：</w:t>
            </w:r>
          </w:p>
        </w:tc>
      </w:tr>
      <w:tr>
        <w:tc>
          <w:tcPr>
            <w:tcW w:type="dxa" w:w="2076"/>
          </w:tcPr>
          <w:p/>
        </w:tc>
        <w:tc>
          <w:tcPr>
            <w:tcW w:type="dxa" w:w="415"/>
          </w:tcPr>
          <w:p>
            <w:r>
              <w:rPr/>
              <w:t>33</w:t>
            </w:r>
          </w:p>
        </w:tc>
        <w:tc>
          <w:tcPr>
            <w:tcW w:type="dxa" w:w="5814"/>
          </w:tcPr>
          <w:p>
            <w:r>
              <w:rPr/>
              <w:t>1.14.1.定量方式：可选择满环进样（由定量环定量）和部分环进样（由内置的高精度注射泵定量）</w:t>
            </w:r>
          </w:p>
        </w:tc>
      </w:tr>
      <w:tr>
        <w:tc>
          <w:tcPr>
            <w:tcW w:type="dxa" w:w="2076"/>
          </w:tcPr>
          <w:p>
            <w:r>
              <w:rPr/>
              <w:t>▲</w:t>
            </w:r>
          </w:p>
        </w:tc>
        <w:tc>
          <w:tcPr>
            <w:tcW w:type="dxa" w:w="415"/>
          </w:tcPr>
          <w:p>
            <w:r>
              <w:rPr/>
              <w:t>34</w:t>
            </w:r>
          </w:p>
        </w:tc>
        <w:tc>
          <w:tcPr>
            <w:tcW w:type="dxa" w:w="5814"/>
          </w:tcPr>
          <w:p>
            <w:r>
              <w:rPr/>
              <w:t>▲1.14.2.样品位数：120位（2mL样品瓶）</w:t>
            </w:r>
          </w:p>
        </w:tc>
      </w:tr>
      <w:tr>
        <w:tc>
          <w:tcPr>
            <w:tcW w:type="dxa" w:w="2076"/>
          </w:tcPr>
          <w:p/>
        </w:tc>
        <w:tc>
          <w:tcPr>
            <w:tcW w:type="dxa" w:w="415"/>
          </w:tcPr>
          <w:p>
            <w:r>
              <w:rPr/>
              <w:t>35</w:t>
            </w:r>
          </w:p>
        </w:tc>
        <w:tc>
          <w:tcPr>
            <w:tcW w:type="dxa" w:w="5814"/>
          </w:tcPr>
          <w:p>
            <w:r>
              <w:rPr/>
              <w:t>1.14.3.进样量：0.1～300μL（标配），1～2000μL（选配），由软件控制连续可调。</w:t>
            </w:r>
          </w:p>
        </w:tc>
      </w:tr>
      <w:tr>
        <w:tc>
          <w:tcPr>
            <w:tcW w:type="dxa" w:w="2076"/>
          </w:tcPr>
          <w:p/>
        </w:tc>
        <w:tc>
          <w:tcPr>
            <w:tcW w:type="dxa" w:w="415"/>
          </w:tcPr>
          <w:p>
            <w:r>
              <w:rPr/>
              <w:t>36</w:t>
            </w:r>
          </w:p>
        </w:tc>
        <w:tc>
          <w:tcPr>
            <w:tcW w:type="dxa" w:w="5814"/>
          </w:tcPr>
          <w:p>
            <w:r>
              <w:rPr/>
              <w:t>1.14.4.进样次数：1～99次。</w:t>
            </w:r>
          </w:p>
        </w:tc>
      </w:tr>
      <w:tr>
        <w:tc>
          <w:tcPr>
            <w:tcW w:type="dxa" w:w="2076"/>
          </w:tcPr>
          <w:p/>
        </w:tc>
        <w:tc>
          <w:tcPr>
            <w:tcW w:type="dxa" w:w="415"/>
          </w:tcPr>
          <w:p>
            <w:r>
              <w:rPr/>
              <w:t>37</w:t>
            </w:r>
          </w:p>
        </w:tc>
        <w:tc>
          <w:tcPr>
            <w:tcW w:type="dxa" w:w="5814"/>
          </w:tcPr>
          <w:p>
            <w:r>
              <w:rPr/>
              <w:t>1.14.5.清洗：可设定进样前/后洗针，清洗次数1～99次。具有预洗针功能，将无效等待时间缩到最短。</w:t>
            </w:r>
          </w:p>
        </w:tc>
      </w:tr>
      <w:tr>
        <w:tc>
          <w:tcPr>
            <w:tcW w:type="dxa" w:w="2076"/>
          </w:tcPr>
          <w:p/>
        </w:tc>
        <w:tc>
          <w:tcPr>
            <w:tcW w:type="dxa" w:w="415"/>
          </w:tcPr>
          <w:p>
            <w:r>
              <w:rPr/>
              <w:t>38</w:t>
            </w:r>
          </w:p>
        </w:tc>
        <w:tc>
          <w:tcPr>
            <w:tcW w:type="dxa" w:w="5814"/>
          </w:tcPr>
          <w:p>
            <w:r>
              <w:rPr/>
              <w:t>1.14.6.重复性：＜0.5%</w:t>
            </w:r>
          </w:p>
        </w:tc>
      </w:tr>
      <w:tr>
        <w:tc>
          <w:tcPr>
            <w:tcW w:type="dxa" w:w="2076"/>
          </w:tcPr>
          <w:p/>
        </w:tc>
        <w:tc>
          <w:tcPr>
            <w:tcW w:type="dxa" w:w="415"/>
          </w:tcPr>
          <w:p>
            <w:r>
              <w:rPr/>
              <w:t>39</w:t>
            </w:r>
          </w:p>
        </w:tc>
        <w:tc>
          <w:tcPr>
            <w:tcW w:type="dxa" w:w="5814"/>
          </w:tcPr>
          <w:p>
            <w:r>
              <w:rPr/>
              <w:t>1.14.7.交叉污染：＜0.02%</w:t>
            </w:r>
          </w:p>
        </w:tc>
      </w:tr>
      <w:tr>
        <w:tc>
          <w:tcPr>
            <w:tcW w:type="dxa" w:w="2076"/>
          </w:tcPr>
          <w:p/>
        </w:tc>
        <w:tc>
          <w:tcPr>
            <w:tcW w:type="dxa" w:w="415"/>
          </w:tcPr>
          <w:p>
            <w:r>
              <w:rPr/>
              <w:t>40</w:t>
            </w:r>
          </w:p>
        </w:tc>
        <w:tc>
          <w:tcPr>
            <w:tcW w:type="dxa" w:w="5814"/>
          </w:tcPr>
          <w:p>
            <w:r>
              <w:rPr/>
              <w:t>1.14.8.控制面板：彩色液晶显示屏，可独立控制，也可以软件控制。</w:t>
            </w:r>
          </w:p>
        </w:tc>
      </w:tr>
      <w:tr>
        <w:tc>
          <w:tcPr>
            <w:tcW w:type="dxa" w:w="2076"/>
          </w:tcPr>
          <w:p/>
        </w:tc>
        <w:tc>
          <w:tcPr>
            <w:tcW w:type="dxa" w:w="415"/>
          </w:tcPr>
          <w:p>
            <w:r>
              <w:rPr/>
              <w:t>41</w:t>
            </w:r>
          </w:p>
        </w:tc>
        <w:tc>
          <w:tcPr>
            <w:tcW w:type="dxa" w:w="5814"/>
          </w:tcPr>
          <w:p>
            <w:r>
              <w:rPr/>
              <w:t>1.15.提供检测分析包，试剂包只需加水即可配置。</w:t>
            </w:r>
          </w:p>
        </w:tc>
      </w:tr>
      <w:tr>
        <w:tc>
          <w:tcPr>
            <w:tcW w:type="dxa" w:w="2076"/>
          </w:tcPr>
          <w:p/>
        </w:tc>
        <w:tc>
          <w:tcPr>
            <w:tcW w:type="dxa" w:w="415"/>
          </w:tcPr>
          <w:p>
            <w:r>
              <w:rPr/>
              <w:t>42</w:t>
            </w:r>
          </w:p>
        </w:tc>
        <w:tc>
          <w:tcPr>
            <w:tcW w:type="dxa" w:w="5814"/>
          </w:tcPr>
          <w:p>
            <w:r>
              <w:rPr/>
              <w:t>1.15.1.砷形态分析包：包括但不限于砷形态分析的专用色谱柱和试剂盒，用户只需加水即可完成各种砷形态分析。</w:t>
            </w:r>
          </w:p>
        </w:tc>
      </w:tr>
      <w:tr>
        <w:tc>
          <w:tcPr>
            <w:tcW w:type="dxa" w:w="2076"/>
          </w:tcPr>
          <w:p/>
        </w:tc>
        <w:tc>
          <w:tcPr>
            <w:tcW w:type="dxa" w:w="415"/>
          </w:tcPr>
          <w:p>
            <w:r>
              <w:rPr/>
              <w:t>43</w:t>
            </w:r>
          </w:p>
        </w:tc>
        <w:tc>
          <w:tcPr>
            <w:tcW w:type="dxa" w:w="5814"/>
          </w:tcPr>
          <w:p>
            <w:r>
              <w:rPr/>
              <w:t>1.15.2.铬形态分析包：包括但不限于铬形态分析的专用色谱柱和试剂盒，用户只需加水即可完成各种铬形态分析。</w:t>
            </w:r>
          </w:p>
        </w:tc>
      </w:tr>
      <w:tr>
        <w:tc>
          <w:tcPr>
            <w:tcW w:type="dxa" w:w="2076"/>
          </w:tcPr>
          <w:p/>
        </w:tc>
        <w:tc>
          <w:tcPr>
            <w:tcW w:type="dxa" w:w="415"/>
          </w:tcPr>
          <w:p>
            <w:r>
              <w:rPr/>
              <w:t>44</w:t>
            </w:r>
          </w:p>
        </w:tc>
        <w:tc>
          <w:tcPr>
            <w:tcW w:type="dxa" w:w="5814"/>
          </w:tcPr>
          <w:p>
            <w:r>
              <w:rPr/>
              <w:t>1.15.3.硒形态分析包：包括但不限于硒形态分析的专用色谱柱和试剂盒，用户只需加水即可完成各种硒形态分析。</w:t>
            </w:r>
          </w:p>
        </w:tc>
      </w:tr>
      <w:tr>
        <w:tc>
          <w:tcPr>
            <w:tcW w:type="dxa" w:w="2076"/>
          </w:tcPr>
          <w:p>
            <w:r>
              <w:rPr/>
              <w:t>▲</w:t>
            </w:r>
          </w:p>
        </w:tc>
        <w:tc>
          <w:tcPr>
            <w:tcW w:type="dxa" w:w="415"/>
          </w:tcPr>
          <w:p>
            <w:r>
              <w:rPr/>
              <w:t>45</w:t>
            </w:r>
          </w:p>
        </w:tc>
        <w:tc>
          <w:tcPr>
            <w:tcW w:type="dxa" w:w="5814"/>
          </w:tcPr>
          <w:p>
            <w:r>
              <w:rPr/>
              <w:t>▲</w:t>
            </w:r>
            <w:r>
              <w:rPr>
                <w:color w:val="000000"/>
                <w:sz w:val="24"/>
              </w:rPr>
              <w:t>1.16.联机接口包：可实现本附件和原子荧光仪或ICPMS联机，包括但不限于流路的连接、信号触发、信号采集等。</w:t>
            </w:r>
          </w:p>
        </w:tc>
      </w:tr>
      <w:tr>
        <w:tc>
          <w:tcPr>
            <w:tcW w:type="dxa" w:w="2076"/>
          </w:tcPr>
          <w:p>
            <w:r>
              <w:rPr/>
              <w:t>▲</w:t>
            </w:r>
          </w:p>
        </w:tc>
        <w:tc>
          <w:tcPr>
            <w:tcW w:type="dxa" w:w="415"/>
          </w:tcPr>
          <w:p>
            <w:r>
              <w:rPr/>
              <w:t>46</w:t>
            </w:r>
          </w:p>
        </w:tc>
        <w:tc>
          <w:tcPr>
            <w:tcW w:type="dxa" w:w="5814"/>
          </w:tcPr>
          <w:p>
            <w:r>
              <w:rPr/>
              <w:t>▲1.17.色谱工作站：必须兼容各主流品牌的AFS以及ICPMS（包括但不限于北京吉天、北京海光、北京瑞利、普析通用等），可以实时采集数据并显示色谱图，采集完成后自动计算各组分的浓度（例如三价砷和五价砷）和总浓度（例如无机砷）。可运行于Win XP/7/8/10。可以配合自动进样器实现自动连续的批量样品检测。</w:t>
            </w:r>
          </w:p>
        </w:tc>
      </w:tr>
      <w:tr>
        <w:tc>
          <w:tcPr>
            <w:tcW w:type="dxa" w:w="2076"/>
          </w:tcPr>
          <w:p>
            <w:r>
              <w:rPr/>
              <w:t>▲</w:t>
            </w:r>
          </w:p>
        </w:tc>
        <w:tc>
          <w:tcPr>
            <w:tcW w:type="dxa" w:w="415"/>
          </w:tcPr>
          <w:p>
            <w:r>
              <w:rPr/>
              <w:t>47</w:t>
            </w:r>
          </w:p>
        </w:tc>
        <w:tc>
          <w:tcPr>
            <w:tcW w:type="dxa" w:w="5814"/>
          </w:tcPr>
          <w:p>
            <w:r>
              <w:rPr/>
              <w:t>▲1.18.总体性能：6.5分钟内完成五种砷形态分析，三价砷检出限低于0.5ppb，五价砷检出限低于0.5ppb。7.5分钟内完成无机汞、甲基汞、乙基汞分析，甲基汞的检出限低于0.2ppb，乙基汞的检出限低于1ppb。</w:t>
            </w:r>
          </w:p>
        </w:tc>
      </w:tr>
      <w:tr>
        <w:tc>
          <w:tcPr>
            <w:tcW w:type="dxa" w:w="2076"/>
          </w:tcPr>
          <w:p/>
        </w:tc>
        <w:tc>
          <w:tcPr>
            <w:tcW w:type="dxa" w:w="415"/>
          </w:tcPr>
          <w:p>
            <w:r>
              <w:rPr/>
              <w:t>48</w:t>
            </w:r>
          </w:p>
        </w:tc>
        <w:tc>
          <w:tcPr>
            <w:tcW w:type="dxa" w:w="5814"/>
          </w:tcPr>
          <w:p>
            <w:r>
              <w:rPr/>
              <w:t>1.19.智能快速进样系统</w:t>
            </w:r>
          </w:p>
        </w:tc>
      </w:tr>
      <w:tr>
        <w:tc>
          <w:tcPr>
            <w:tcW w:type="dxa" w:w="2076"/>
          </w:tcPr>
          <w:p/>
        </w:tc>
        <w:tc>
          <w:tcPr>
            <w:tcW w:type="dxa" w:w="415"/>
          </w:tcPr>
          <w:p>
            <w:r>
              <w:rPr/>
              <w:t>49</w:t>
            </w:r>
          </w:p>
        </w:tc>
        <w:tc>
          <w:tcPr>
            <w:tcW w:type="dxa" w:w="5814"/>
          </w:tcPr>
          <w:p>
            <w:r>
              <w:rPr/>
              <w:t>1.19.1.包含一个六通或更高配置的切换阀，可实现定量环与不连续进样功能，以增加样品通量及减少质谱区域的基质负荷（提供官方硬件安装图示关键页复印件）。</w:t>
            </w:r>
          </w:p>
        </w:tc>
      </w:tr>
      <w:tr>
        <w:tc>
          <w:tcPr>
            <w:tcW w:type="dxa" w:w="2076"/>
          </w:tcPr>
          <w:p/>
        </w:tc>
        <w:tc>
          <w:tcPr>
            <w:tcW w:type="dxa" w:w="415"/>
          </w:tcPr>
          <w:p>
            <w:r>
              <w:rPr/>
              <w:t>50</w:t>
            </w:r>
          </w:p>
        </w:tc>
        <w:tc>
          <w:tcPr>
            <w:tcW w:type="dxa" w:w="5814"/>
          </w:tcPr>
          <w:p>
            <w:r>
              <w:rPr/>
              <w:t>1.19.2.该系统可通过定量环进样把单个样品进样量控制在1mL以下，减少样品消耗量，可方便的通过样品采集时间精计算所需进样量及定量环长度（提供官方定量环长度计算说明）。</w:t>
            </w:r>
          </w:p>
        </w:tc>
      </w:tr>
      <w:tr>
        <w:tc>
          <w:tcPr>
            <w:tcW w:type="dxa" w:w="2076"/>
          </w:tcPr>
          <w:p/>
        </w:tc>
        <w:tc>
          <w:tcPr>
            <w:tcW w:type="dxa" w:w="415"/>
          </w:tcPr>
          <w:p>
            <w:r>
              <w:rPr/>
              <w:t>51</w:t>
            </w:r>
          </w:p>
        </w:tc>
        <w:tc>
          <w:tcPr>
            <w:tcW w:type="dxa" w:w="5814"/>
          </w:tcPr>
          <w:p>
            <w:r>
              <w:rPr/>
              <w:t>1.19.3.包含一个用于快速样品提升的活塞泵，实现定量环快速充样，充样时间≤15秒且作为现场验收标准，提高样品分析速度与分析效率（提供充样时间设置截图）。</w:t>
            </w:r>
          </w:p>
        </w:tc>
      </w:tr>
      <w:tr>
        <w:tc>
          <w:tcPr>
            <w:tcW w:type="dxa" w:w="2076"/>
          </w:tcPr>
          <w:p/>
        </w:tc>
        <w:tc>
          <w:tcPr>
            <w:tcW w:type="dxa" w:w="415"/>
          </w:tcPr>
          <w:p>
            <w:r>
              <w:rPr/>
              <w:t>52</w:t>
            </w:r>
          </w:p>
        </w:tc>
        <w:tc>
          <w:tcPr>
            <w:tcW w:type="dxa" w:w="5814"/>
          </w:tcPr>
          <w:p>
            <w:r>
              <w:rPr/>
              <w:t>1.19.4.该系统可由ICP-MS操作软件直接控制，或另配有方便易用的独立控制软件。</w:t>
            </w:r>
          </w:p>
        </w:tc>
      </w:tr>
      <w:tr>
        <w:tc>
          <w:tcPr>
            <w:tcW w:type="dxa" w:w="2076"/>
          </w:tcPr>
          <w:p>
            <w:r>
              <w:rPr/>
              <w:t>▲</w:t>
            </w:r>
          </w:p>
        </w:tc>
        <w:tc>
          <w:tcPr>
            <w:tcW w:type="dxa" w:w="415"/>
          </w:tcPr>
          <w:p>
            <w:r>
              <w:rPr/>
              <w:t>53</w:t>
            </w:r>
          </w:p>
        </w:tc>
        <w:tc>
          <w:tcPr>
            <w:tcW w:type="dxa" w:w="5814"/>
          </w:tcPr>
          <w:p>
            <w:r>
              <w:rPr/>
              <w:t>▲1.20.纳米颗粒分析模块：</w:t>
            </w:r>
          </w:p>
        </w:tc>
      </w:tr>
      <w:tr>
        <w:tc>
          <w:tcPr>
            <w:tcW w:type="dxa" w:w="2076"/>
          </w:tcPr>
          <w:p/>
        </w:tc>
        <w:tc>
          <w:tcPr>
            <w:tcW w:type="dxa" w:w="415"/>
          </w:tcPr>
          <w:p>
            <w:r>
              <w:rPr/>
              <w:t>54</w:t>
            </w:r>
          </w:p>
        </w:tc>
        <w:tc>
          <w:tcPr>
            <w:tcW w:type="dxa" w:w="5814"/>
          </w:tcPr>
          <w:p>
            <w:r>
              <w:rPr/>
              <w:t>1.20.1.配备专用单纳米颗粒应用模块，实现纳米颗粒的测定和表征。</w:t>
            </w:r>
          </w:p>
        </w:tc>
      </w:tr>
      <w:tr>
        <w:tc>
          <w:tcPr>
            <w:tcW w:type="dxa" w:w="2076"/>
          </w:tcPr>
          <w:p/>
        </w:tc>
        <w:tc>
          <w:tcPr>
            <w:tcW w:type="dxa" w:w="415"/>
          </w:tcPr>
          <w:p>
            <w:r>
              <w:rPr/>
              <w:t>55</w:t>
            </w:r>
          </w:p>
        </w:tc>
        <w:tc>
          <w:tcPr>
            <w:tcW w:type="dxa" w:w="5814"/>
          </w:tcPr>
          <w:p>
            <w:r>
              <w:rPr/>
              <w:t>1.20.2.能对植物中纳米铜进行表征，分析植物实际样品时，能对小于25nm的CuO颗粒进行表征，且多次重复RDS值基本能小于10%。须提供应用文献及官网公开下载网址证明。</w:t>
            </w:r>
          </w:p>
        </w:tc>
      </w:tr>
      <w:tr>
        <w:tc>
          <w:tcPr>
            <w:tcW w:type="dxa" w:w="2076"/>
          </w:tcPr>
          <w:p/>
        </w:tc>
        <w:tc>
          <w:tcPr>
            <w:tcW w:type="dxa" w:w="415"/>
          </w:tcPr>
          <w:p>
            <w:r>
              <w:rPr/>
              <w:t>56</w:t>
            </w:r>
          </w:p>
        </w:tc>
        <w:tc>
          <w:tcPr>
            <w:tcW w:type="dxa" w:w="5814"/>
          </w:tcPr>
          <w:p>
            <w:r>
              <w:rPr/>
              <w:t>1.20.3.具有快速多元素单纳米分析模式，能一次获得大于15个元素的单纳米数据。须提供应用文献及官网公开下载网址证明。</w:t>
            </w:r>
          </w:p>
        </w:tc>
      </w:tr>
      <w:tr>
        <w:tc>
          <w:tcPr>
            <w:tcW w:type="dxa" w:w="2076"/>
          </w:tcPr>
          <w:p/>
        </w:tc>
        <w:tc>
          <w:tcPr>
            <w:tcW w:type="dxa" w:w="415"/>
          </w:tcPr>
          <w:p>
            <w:r>
              <w:rPr/>
              <w:t>57</w:t>
            </w:r>
          </w:p>
        </w:tc>
        <w:tc>
          <w:tcPr>
            <w:tcW w:type="dxa" w:w="5814"/>
          </w:tcPr>
          <w:p>
            <w:r>
              <w:rPr/>
              <w:t>1.20.4.能同时对防晒霜等化妆品中Al、Ti、Zn纳米颗粒物进行分析，须提供应用文献及官网公开下载网址证明。</w:t>
            </w:r>
          </w:p>
        </w:tc>
      </w:tr>
      <w:tr>
        <w:tc>
          <w:tcPr>
            <w:tcW w:type="dxa" w:w="2076"/>
          </w:tcPr>
          <w:p/>
        </w:tc>
        <w:tc>
          <w:tcPr>
            <w:tcW w:type="dxa" w:w="415"/>
          </w:tcPr>
          <w:p>
            <w:r>
              <w:rPr/>
              <w:t>58</w:t>
            </w:r>
          </w:p>
        </w:tc>
        <w:tc>
          <w:tcPr>
            <w:tcW w:type="dxa" w:w="5814"/>
          </w:tcPr>
          <w:p>
            <w:r>
              <w:rPr/>
              <w:t>1.21.全惰性耐氢氟酸系统</w:t>
            </w:r>
          </w:p>
        </w:tc>
      </w:tr>
      <w:tr>
        <w:tc>
          <w:tcPr>
            <w:tcW w:type="dxa" w:w="2076"/>
          </w:tcPr>
          <w:p/>
        </w:tc>
        <w:tc>
          <w:tcPr>
            <w:tcW w:type="dxa" w:w="415"/>
          </w:tcPr>
          <w:p>
            <w:r>
              <w:rPr/>
              <w:t>59</w:t>
            </w:r>
          </w:p>
        </w:tc>
        <w:tc>
          <w:tcPr>
            <w:tcW w:type="dxa" w:w="5814"/>
          </w:tcPr>
          <w:p>
            <w:r>
              <w:rPr/>
              <w:t>1.21.1.能实现10%以上HF直接进样，系统包含耐氢氟酸雾化器，雾化室，矩管中心管，铂锥等。</w:t>
            </w:r>
          </w:p>
        </w:tc>
      </w:tr>
      <w:tr>
        <w:tc>
          <w:tcPr>
            <w:tcW w:type="dxa" w:w="2076"/>
          </w:tcPr>
          <w:p/>
        </w:tc>
        <w:tc>
          <w:tcPr>
            <w:tcW w:type="dxa" w:w="415"/>
          </w:tcPr>
          <w:p>
            <w:r>
              <w:rPr/>
              <w:t>60</w:t>
            </w:r>
          </w:p>
        </w:tc>
        <w:tc>
          <w:tcPr>
            <w:tcW w:type="dxa" w:w="5814"/>
          </w:tcPr>
          <w:p>
            <w:r>
              <w:rPr/>
              <w:t>1.22.高级应用包</w:t>
            </w:r>
          </w:p>
        </w:tc>
      </w:tr>
      <w:tr>
        <w:tc>
          <w:tcPr>
            <w:tcW w:type="dxa" w:w="2076"/>
          </w:tcPr>
          <w:p/>
        </w:tc>
        <w:tc>
          <w:tcPr>
            <w:tcW w:type="dxa" w:w="415"/>
          </w:tcPr>
          <w:p>
            <w:r>
              <w:rPr/>
              <w:t>61</w:t>
            </w:r>
          </w:p>
        </w:tc>
        <w:tc>
          <w:tcPr>
            <w:tcW w:type="dxa" w:w="5814"/>
          </w:tcPr>
          <w:p>
            <w:r>
              <w:rPr/>
              <w:t>1.22.1.能实现碰撞反应池轴向加速功能。</w:t>
            </w:r>
          </w:p>
        </w:tc>
      </w:tr>
      <w:tr>
        <w:tc>
          <w:tcPr>
            <w:tcW w:type="dxa" w:w="2076"/>
          </w:tcPr>
          <w:p/>
        </w:tc>
        <w:tc>
          <w:tcPr>
            <w:tcW w:type="dxa" w:w="415"/>
          </w:tcPr>
          <w:p>
            <w:r>
              <w:rPr/>
              <w:t>62</w:t>
            </w:r>
          </w:p>
        </w:tc>
        <w:tc>
          <w:tcPr>
            <w:tcW w:type="dxa" w:w="5814"/>
          </w:tcPr>
          <w:p>
            <w:r>
              <w:rPr/>
              <w:t>1.22.2.标配S、Si惰性气路以及气体过滤器，须提供气体过滤实物照片。</w:t>
            </w:r>
          </w:p>
        </w:tc>
      </w:tr>
      <w:tr>
        <w:tc>
          <w:tcPr>
            <w:tcW w:type="dxa" w:w="2076"/>
          </w:tcPr>
          <w:p/>
        </w:tc>
        <w:tc>
          <w:tcPr>
            <w:tcW w:type="dxa" w:w="415"/>
          </w:tcPr>
          <w:p>
            <w:r>
              <w:rPr/>
              <w:t>63</w:t>
            </w:r>
          </w:p>
        </w:tc>
        <w:tc>
          <w:tcPr>
            <w:tcW w:type="dxa" w:w="5814"/>
          </w:tcPr>
          <w:p>
            <w:r>
              <w:rPr/>
              <w:t>2.ICP-MS/MS操作软件及应用软件：</w:t>
            </w:r>
          </w:p>
        </w:tc>
      </w:tr>
      <w:tr>
        <w:tc>
          <w:tcPr>
            <w:tcW w:type="dxa" w:w="2076"/>
          </w:tcPr>
          <w:p/>
        </w:tc>
        <w:tc>
          <w:tcPr>
            <w:tcW w:type="dxa" w:w="415"/>
          </w:tcPr>
          <w:p>
            <w:r>
              <w:rPr/>
              <w:t>64</w:t>
            </w:r>
          </w:p>
        </w:tc>
        <w:tc>
          <w:tcPr>
            <w:tcW w:type="dxa" w:w="5814"/>
          </w:tcPr>
          <w:p>
            <w:r>
              <w:rPr/>
              <w:t>2.1.操作系统：Windows 10</w:t>
            </w:r>
          </w:p>
        </w:tc>
      </w:tr>
      <w:tr>
        <w:tc>
          <w:tcPr>
            <w:tcW w:type="dxa" w:w="2076"/>
          </w:tcPr>
          <w:p/>
        </w:tc>
        <w:tc>
          <w:tcPr>
            <w:tcW w:type="dxa" w:w="415"/>
          </w:tcPr>
          <w:p>
            <w:r>
              <w:rPr/>
              <w:t>65</w:t>
            </w:r>
          </w:p>
        </w:tc>
        <w:tc>
          <w:tcPr>
            <w:tcW w:type="dxa" w:w="5814"/>
          </w:tcPr>
          <w:p>
            <w:r>
              <w:rPr/>
              <w:t>2.2.全自动调谐及打印所有仪器工作参数报告功能</w:t>
            </w:r>
          </w:p>
        </w:tc>
      </w:tr>
      <w:tr>
        <w:tc>
          <w:tcPr>
            <w:tcW w:type="dxa" w:w="2076"/>
          </w:tcPr>
          <w:p/>
        </w:tc>
        <w:tc>
          <w:tcPr>
            <w:tcW w:type="dxa" w:w="415"/>
          </w:tcPr>
          <w:p>
            <w:r>
              <w:rPr/>
              <w:t>66</w:t>
            </w:r>
          </w:p>
        </w:tc>
        <w:tc>
          <w:tcPr>
            <w:tcW w:type="dxa" w:w="5814"/>
          </w:tcPr>
          <w:p>
            <w:r>
              <w:rPr/>
              <w:t>2.3.与色谱技术联用的控制软件以及数据处理软件</w:t>
            </w:r>
          </w:p>
        </w:tc>
      </w:tr>
      <w:tr>
        <w:tc>
          <w:tcPr>
            <w:tcW w:type="dxa" w:w="2076"/>
          </w:tcPr>
          <w:p/>
        </w:tc>
        <w:tc>
          <w:tcPr>
            <w:tcW w:type="dxa" w:w="415"/>
          </w:tcPr>
          <w:p>
            <w:r>
              <w:rPr/>
              <w:t>67</w:t>
            </w:r>
          </w:p>
        </w:tc>
        <w:tc>
          <w:tcPr>
            <w:tcW w:type="dxa" w:w="5814"/>
          </w:tcPr>
          <w:p>
            <w:r>
              <w:rPr/>
              <w:t>2.4.用户自定义报告格式功能</w:t>
            </w:r>
          </w:p>
        </w:tc>
      </w:tr>
      <w:tr>
        <w:tc>
          <w:tcPr>
            <w:tcW w:type="dxa" w:w="2076"/>
          </w:tcPr>
          <w:p/>
        </w:tc>
        <w:tc>
          <w:tcPr>
            <w:tcW w:type="dxa" w:w="415"/>
          </w:tcPr>
          <w:p>
            <w:r>
              <w:rPr/>
              <w:t>68</w:t>
            </w:r>
          </w:p>
        </w:tc>
        <w:tc>
          <w:tcPr>
            <w:tcW w:type="dxa" w:w="5814"/>
          </w:tcPr>
          <w:p>
            <w:r>
              <w:rPr/>
              <w:t>2.5.计算机硬件配置（最低配置）：CPU 12代i7四核3.3GHz，内存：32GB，硬盘：1T+256SSD，8×DVDRW，windows10 64位，24寸LCD及激光打印、复印、扫描一体机。</w:t>
            </w:r>
          </w:p>
        </w:tc>
      </w:tr>
      <w:tr>
        <w:tc>
          <w:tcPr>
            <w:tcW w:type="dxa" w:w="2076"/>
          </w:tcPr>
          <w:p/>
        </w:tc>
        <w:tc>
          <w:tcPr>
            <w:tcW w:type="dxa" w:w="415"/>
          </w:tcPr>
          <w:p>
            <w:r>
              <w:rPr/>
              <w:t>69</w:t>
            </w:r>
          </w:p>
        </w:tc>
        <w:tc>
          <w:tcPr>
            <w:tcW w:type="dxa" w:w="5814"/>
          </w:tcPr>
          <w:p>
            <w:r>
              <w:rPr/>
              <w:t>3.性能指标</w:t>
            </w:r>
          </w:p>
        </w:tc>
      </w:tr>
      <w:tr>
        <w:tc>
          <w:tcPr>
            <w:tcW w:type="dxa" w:w="2076"/>
          </w:tcPr>
          <w:p/>
        </w:tc>
        <w:tc>
          <w:tcPr>
            <w:tcW w:type="dxa" w:w="415"/>
          </w:tcPr>
          <w:p>
            <w:r>
              <w:rPr/>
              <w:t>70</w:t>
            </w:r>
          </w:p>
        </w:tc>
        <w:tc>
          <w:tcPr>
            <w:tcW w:type="dxa" w:w="5814"/>
          </w:tcPr>
          <w:p>
            <w:r>
              <w:rPr/>
              <w:t>3.1.灵敏度：</w:t>
            </w:r>
          </w:p>
        </w:tc>
      </w:tr>
      <w:tr>
        <w:tc>
          <w:tcPr>
            <w:tcW w:type="dxa" w:w="2076"/>
          </w:tcPr>
          <w:p/>
        </w:tc>
        <w:tc>
          <w:tcPr>
            <w:tcW w:type="dxa" w:w="415"/>
          </w:tcPr>
          <w:p>
            <w:r>
              <w:rPr/>
              <w:t>71</w:t>
            </w:r>
          </w:p>
        </w:tc>
        <w:tc>
          <w:tcPr>
            <w:tcW w:type="dxa" w:w="5814"/>
          </w:tcPr>
          <w:p>
            <w:r>
              <w:rPr/>
              <w:t>3.1.1.低质量数：Li(7) ≥ 100 Mcps/ppm</w:t>
            </w:r>
          </w:p>
        </w:tc>
      </w:tr>
      <w:tr>
        <w:tc>
          <w:tcPr>
            <w:tcW w:type="dxa" w:w="2076"/>
          </w:tcPr>
          <w:p/>
        </w:tc>
        <w:tc>
          <w:tcPr>
            <w:tcW w:type="dxa" w:w="415"/>
          </w:tcPr>
          <w:p>
            <w:r>
              <w:rPr/>
              <w:t>72</w:t>
            </w:r>
          </w:p>
        </w:tc>
        <w:tc>
          <w:tcPr>
            <w:tcW w:type="dxa" w:w="5814"/>
          </w:tcPr>
          <w:p>
            <w:r>
              <w:rPr/>
              <w:t>3.1.2.中质量数：Y(89) ≥ 400 Mcps/ppm</w:t>
            </w:r>
          </w:p>
        </w:tc>
      </w:tr>
      <w:tr>
        <w:tc>
          <w:tcPr>
            <w:tcW w:type="dxa" w:w="2076"/>
          </w:tcPr>
          <w:p/>
        </w:tc>
        <w:tc>
          <w:tcPr>
            <w:tcW w:type="dxa" w:w="415"/>
          </w:tcPr>
          <w:p>
            <w:r>
              <w:rPr/>
              <w:t>73</w:t>
            </w:r>
          </w:p>
        </w:tc>
        <w:tc>
          <w:tcPr>
            <w:tcW w:type="dxa" w:w="5814"/>
          </w:tcPr>
          <w:p>
            <w:r>
              <w:rPr/>
              <w:t>3.1.3.高质量数：Tl(205) ≥ 250 Mcps/ppm 或 U(238) ≥ 500 Mcps/ppm</w:t>
            </w:r>
          </w:p>
        </w:tc>
      </w:tr>
      <w:tr>
        <w:tc>
          <w:tcPr>
            <w:tcW w:type="dxa" w:w="2076"/>
          </w:tcPr>
          <w:p/>
        </w:tc>
        <w:tc>
          <w:tcPr>
            <w:tcW w:type="dxa" w:w="415"/>
          </w:tcPr>
          <w:p>
            <w:r>
              <w:rPr/>
              <w:t>74</w:t>
            </w:r>
          </w:p>
        </w:tc>
        <w:tc>
          <w:tcPr>
            <w:tcW w:type="dxa" w:w="5814"/>
          </w:tcPr>
          <w:p>
            <w:r>
              <w:rPr/>
              <w:t>3.2.检测限：</w:t>
            </w:r>
          </w:p>
        </w:tc>
      </w:tr>
      <w:tr>
        <w:tc>
          <w:tcPr>
            <w:tcW w:type="dxa" w:w="2076"/>
          </w:tcPr>
          <w:p/>
        </w:tc>
        <w:tc>
          <w:tcPr>
            <w:tcW w:type="dxa" w:w="415"/>
          </w:tcPr>
          <w:p>
            <w:r>
              <w:rPr/>
              <w:t>75</w:t>
            </w:r>
          </w:p>
        </w:tc>
        <w:tc>
          <w:tcPr>
            <w:tcW w:type="dxa" w:w="5814"/>
          </w:tcPr>
          <w:p>
            <w:r>
              <w:rPr/>
              <w:t>3.2.1.Be(9)：≤0.1 ppt</w:t>
            </w:r>
          </w:p>
        </w:tc>
      </w:tr>
      <w:tr>
        <w:tc>
          <w:tcPr>
            <w:tcW w:type="dxa" w:w="2076"/>
          </w:tcPr>
          <w:p/>
        </w:tc>
        <w:tc>
          <w:tcPr>
            <w:tcW w:type="dxa" w:w="415"/>
          </w:tcPr>
          <w:p>
            <w:r>
              <w:rPr/>
              <w:t>76</w:t>
            </w:r>
          </w:p>
        </w:tc>
        <w:tc>
          <w:tcPr>
            <w:tcW w:type="dxa" w:w="5814"/>
          </w:tcPr>
          <w:p>
            <w:r>
              <w:rPr/>
              <w:t>3.2.2.In(115)：≤0.05 ppt</w:t>
            </w:r>
          </w:p>
        </w:tc>
      </w:tr>
      <w:tr>
        <w:tc>
          <w:tcPr>
            <w:tcW w:type="dxa" w:w="2076"/>
          </w:tcPr>
          <w:p/>
        </w:tc>
        <w:tc>
          <w:tcPr>
            <w:tcW w:type="dxa" w:w="415"/>
          </w:tcPr>
          <w:p>
            <w:r>
              <w:rPr/>
              <w:t>77</w:t>
            </w:r>
          </w:p>
        </w:tc>
        <w:tc>
          <w:tcPr>
            <w:tcW w:type="dxa" w:w="5814"/>
          </w:tcPr>
          <w:p>
            <w:r>
              <w:rPr/>
              <w:t>3.2.3.U(238)：≤0.05 ppt</w:t>
            </w:r>
          </w:p>
        </w:tc>
      </w:tr>
      <w:tr>
        <w:tc>
          <w:tcPr>
            <w:tcW w:type="dxa" w:w="2076"/>
          </w:tcPr>
          <w:p/>
        </w:tc>
        <w:tc>
          <w:tcPr>
            <w:tcW w:type="dxa" w:w="415"/>
          </w:tcPr>
          <w:p>
            <w:r>
              <w:rPr/>
              <w:t>78</w:t>
            </w:r>
          </w:p>
        </w:tc>
        <w:tc>
          <w:tcPr>
            <w:tcW w:type="dxa" w:w="5814"/>
          </w:tcPr>
          <w:p>
            <w:r>
              <w:rPr/>
              <w:t>3.3.氧化物(CeO</w:t>
            </w:r>
            <w:r>
              <w:rPr/>
              <w:t>+</w:t>
            </w:r>
            <w:r>
              <w:rPr/>
              <w:t>/Ce</w:t>
            </w:r>
            <w:r>
              <w:rPr/>
              <w:t>+</w:t>
            </w:r>
            <w:r>
              <w:rPr/>
              <w:t>)：≤1.5%</w:t>
            </w:r>
          </w:p>
        </w:tc>
      </w:tr>
      <w:tr>
        <w:tc>
          <w:tcPr>
            <w:tcW w:type="dxa" w:w="2076"/>
          </w:tcPr>
          <w:p/>
        </w:tc>
        <w:tc>
          <w:tcPr>
            <w:tcW w:type="dxa" w:w="415"/>
          </w:tcPr>
          <w:p>
            <w:r>
              <w:rPr/>
              <w:t>79</w:t>
            </w:r>
          </w:p>
        </w:tc>
        <w:tc>
          <w:tcPr>
            <w:tcW w:type="dxa" w:w="5814"/>
          </w:tcPr>
          <w:p>
            <w:r>
              <w:rPr/>
              <w:t>3.4.双电荷离子(Ce</w:t>
            </w:r>
            <w:r>
              <w:rPr/>
              <w:t>2+</w:t>
            </w:r>
            <w:r>
              <w:rPr/>
              <w:t>/Ce</w:t>
            </w:r>
            <w:r>
              <w:rPr/>
              <w:t>+</w:t>
            </w:r>
            <w:r>
              <w:rPr/>
              <w:t>)：≤3.0%</w:t>
            </w:r>
          </w:p>
        </w:tc>
      </w:tr>
      <w:tr>
        <w:tc>
          <w:tcPr>
            <w:tcW w:type="dxa" w:w="2076"/>
          </w:tcPr>
          <w:p/>
        </w:tc>
        <w:tc>
          <w:tcPr>
            <w:tcW w:type="dxa" w:w="415"/>
          </w:tcPr>
          <w:p>
            <w:r>
              <w:rPr/>
              <w:t>80</w:t>
            </w:r>
          </w:p>
        </w:tc>
        <w:tc>
          <w:tcPr>
            <w:tcW w:type="dxa" w:w="5814"/>
          </w:tcPr>
          <w:p>
            <w:r>
              <w:rPr/>
              <w:t>3.5.丰度灵敏度：</w:t>
            </w:r>
          </w:p>
        </w:tc>
      </w:tr>
      <w:tr>
        <w:tc>
          <w:tcPr>
            <w:tcW w:type="dxa" w:w="2076"/>
          </w:tcPr>
          <w:p/>
        </w:tc>
        <w:tc>
          <w:tcPr>
            <w:tcW w:type="dxa" w:w="415"/>
          </w:tcPr>
          <w:p>
            <w:r>
              <w:rPr/>
              <w:t>81</w:t>
            </w:r>
          </w:p>
        </w:tc>
        <w:tc>
          <w:tcPr>
            <w:tcW w:type="dxa" w:w="5814"/>
          </w:tcPr>
          <w:p>
            <w:r>
              <w:rPr/>
              <w:t>3.5.1.低质量端：≤1×10</w:t>
            </w:r>
            <w:r>
              <w:rPr/>
              <w:t>-9</w:t>
            </w:r>
          </w:p>
        </w:tc>
      </w:tr>
      <w:tr>
        <w:tc>
          <w:tcPr>
            <w:tcW w:type="dxa" w:w="2076"/>
          </w:tcPr>
          <w:p/>
        </w:tc>
        <w:tc>
          <w:tcPr>
            <w:tcW w:type="dxa" w:w="415"/>
          </w:tcPr>
          <w:p>
            <w:r>
              <w:rPr/>
              <w:t>82</w:t>
            </w:r>
          </w:p>
        </w:tc>
        <w:tc>
          <w:tcPr>
            <w:tcW w:type="dxa" w:w="5814"/>
          </w:tcPr>
          <w:p>
            <w:r>
              <w:rPr/>
              <w:t>3.5.2.高质量端：≤1×10</w:t>
            </w:r>
            <w:r>
              <w:rPr/>
              <w:t>-9</w:t>
            </w:r>
          </w:p>
        </w:tc>
      </w:tr>
      <w:tr>
        <w:tc>
          <w:tcPr>
            <w:tcW w:type="dxa" w:w="2076"/>
          </w:tcPr>
          <w:p/>
        </w:tc>
        <w:tc>
          <w:tcPr>
            <w:tcW w:type="dxa" w:w="415"/>
          </w:tcPr>
          <w:p>
            <w:r>
              <w:rPr/>
              <w:t>83</w:t>
            </w:r>
          </w:p>
        </w:tc>
        <w:tc>
          <w:tcPr>
            <w:tcW w:type="dxa" w:w="5814"/>
          </w:tcPr>
          <w:p>
            <w:r>
              <w:rPr/>
              <w:t>3.6.短期稳定性(RSD)：≤2% (20 min)</w:t>
            </w:r>
          </w:p>
        </w:tc>
      </w:tr>
      <w:tr>
        <w:tc>
          <w:tcPr>
            <w:tcW w:type="dxa" w:w="2076"/>
          </w:tcPr>
          <w:p/>
        </w:tc>
        <w:tc>
          <w:tcPr>
            <w:tcW w:type="dxa" w:w="415"/>
          </w:tcPr>
          <w:p>
            <w:r>
              <w:rPr/>
              <w:t>84</w:t>
            </w:r>
          </w:p>
        </w:tc>
        <w:tc>
          <w:tcPr>
            <w:tcW w:type="dxa" w:w="5814"/>
          </w:tcPr>
          <w:p>
            <w:r>
              <w:rPr/>
              <w:t>3.7.长期稳定性(RSD)：≤3% (2 hrs)</w:t>
            </w:r>
          </w:p>
        </w:tc>
      </w:tr>
      <w:tr>
        <w:tc>
          <w:tcPr>
            <w:tcW w:type="dxa" w:w="2076"/>
          </w:tcPr>
          <w:p/>
        </w:tc>
        <w:tc>
          <w:tcPr>
            <w:tcW w:type="dxa" w:w="415"/>
          </w:tcPr>
          <w:p>
            <w:r>
              <w:rPr/>
              <w:t>85</w:t>
            </w:r>
          </w:p>
        </w:tc>
        <w:tc>
          <w:tcPr>
            <w:tcW w:type="dxa" w:w="5814"/>
          </w:tcPr>
          <w:p>
            <w:r>
              <w:rPr/>
              <w:t>3.8.同位素比精度：＜0.2% （</w:t>
            </w:r>
            <w:r>
              <w:rPr/>
              <w:t>107</w:t>
            </w:r>
            <w:r>
              <w:rPr/>
              <w:t>Ag/</w:t>
            </w:r>
            <w:r>
              <w:rPr/>
              <w:t>109</w:t>
            </w:r>
            <w:r>
              <w:rPr/>
              <w:t>Ag）</w:t>
            </w:r>
          </w:p>
        </w:tc>
      </w:tr>
      <w:tr>
        <w:tc>
          <w:tcPr>
            <w:tcW w:type="dxa" w:w="2076"/>
          </w:tcPr>
          <w:p/>
        </w:tc>
        <w:tc>
          <w:tcPr>
            <w:tcW w:type="dxa" w:w="415"/>
          </w:tcPr>
          <w:p>
            <w:r>
              <w:rPr/>
              <w:t>86</w:t>
            </w:r>
          </w:p>
        </w:tc>
        <w:tc>
          <w:tcPr>
            <w:tcW w:type="dxa" w:w="5814"/>
          </w:tcPr>
          <w:p>
            <w:r>
              <w:rPr/>
              <w:t>3.9.背景噪音 Be</w:t>
            </w:r>
            <w:r>
              <w:rPr/>
              <w:t>9</w:t>
            </w:r>
            <w:r>
              <w:rPr/>
              <w:t>＜0.3cps</w:t>
            </w:r>
          </w:p>
        </w:tc>
      </w:tr>
      <w:tr>
        <w:tc>
          <w:tcPr>
            <w:tcW w:type="dxa" w:w="2076"/>
          </w:tcPr>
          <w:p/>
        </w:tc>
        <w:tc>
          <w:tcPr>
            <w:tcW w:type="dxa" w:w="415"/>
          </w:tcPr>
          <w:p>
            <w:r>
              <w:rPr/>
              <w:t>87</w:t>
            </w:r>
          </w:p>
        </w:tc>
        <w:tc>
          <w:tcPr>
            <w:tcW w:type="dxa" w:w="5814"/>
          </w:tcPr>
          <w:p>
            <w:r>
              <w:rPr/>
              <w:t>4.MS/MS模式性能指标：两个四极杆可独立设置不同的质量数或质量扫描范围，以实现母离子扫描与子离子扫描功能，需提供相应的软件截图证明。</w:t>
            </w:r>
          </w:p>
        </w:tc>
      </w:tr>
      <w:tr>
        <w:tc>
          <w:tcPr>
            <w:tcW w:type="dxa" w:w="2076"/>
          </w:tcPr>
          <w:p/>
        </w:tc>
        <w:tc>
          <w:tcPr>
            <w:tcW w:type="dxa" w:w="415"/>
          </w:tcPr>
          <w:p>
            <w:r>
              <w:rPr/>
              <w:t>88</w:t>
            </w:r>
          </w:p>
        </w:tc>
        <w:tc>
          <w:tcPr>
            <w:tcW w:type="dxa" w:w="5814"/>
          </w:tcPr>
          <w:p>
            <w:r>
              <w:rPr/>
              <w:t>5.配置要求</w:t>
            </w:r>
          </w:p>
        </w:tc>
      </w:tr>
      <w:tr>
        <w:tc>
          <w:tcPr>
            <w:tcW w:type="dxa" w:w="2076"/>
          </w:tcPr>
          <w:p/>
        </w:tc>
        <w:tc>
          <w:tcPr>
            <w:tcW w:type="dxa" w:w="415"/>
          </w:tcPr>
          <w:p>
            <w:r>
              <w:rPr/>
              <w:t>89</w:t>
            </w:r>
          </w:p>
        </w:tc>
        <w:tc>
          <w:tcPr>
            <w:tcW w:type="dxa" w:w="5814"/>
          </w:tcPr>
          <w:p>
            <w:r>
              <w:rPr/>
              <w:t>5.1.ICP-MS/MS主机（包括进样系统，接口，9路质量流量计，数字控制固态射频发生器，离轴离子透镜，两个长度一致的双曲面四极杆，碰撞反应池，同时双通道模式检测器，机械泵和涡轮泵及其他必备工具和备件）</w:t>
            </w:r>
            <w:r>
              <w:rPr/>
              <w:t>，</w:t>
            </w:r>
            <w:r>
              <w:rPr/>
              <w:t>机械泵采用静音设计；</w:t>
            </w:r>
          </w:p>
        </w:tc>
      </w:tr>
      <w:tr>
        <w:tc>
          <w:tcPr>
            <w:tcW w:type="dxa" w:w="2076"/>
          </w:tcPr>
          <w:p/>
        </w:tc>
        <w:tc>
          <w:tcPr>
            <w:tcW w:type="dxa" w:w="415"/>
          </w:tcPr>
          <w:p>
            <w:r>
              <w:rPr/>
              <w:t>90</w:t>
            </w:r>
          </w:p>
        </w:tc>
        <w:tc>
          <w:tcPr>
            <w:tcW w:type="dxa" w:w="5814"/>
          </w:tcPr>
          <w:p>
            <w:r>
              <w:rPr/>
              <w:t>5.2.在线气体稀释装置1套；</w:t>
            </w:r>
          </w:p>
        </w:tc>
      </w:tr>
      <w:tr>
        <w:tc>
          <w:tcPr>
            <w:tcW w:type="dxa" w:w="2076"/>
          </w:tcPr>
          <w:p/>
        </w:tc>
        <w:tc>
          <w:tcPr>
            <w:tcW w:type="dxa" w:w="415"/>
          </w:tcPr>
          <w:p>
            <w:r>
              <w:rPr/>
              <w:t>91</w:t>
            </w:r>
          </w:p>
        </w:tc>
        <w:tc>
          <w:tcPr>
            <w:tcW w:type="dxa" w:w="5814"/>
          </w:tcPr>
          <w:p>
            <w:r>
              <w:rPr/>
              <w:t>5.3.冷却循环水系统1套；</w:t>
            </w:r>
          </w:p>
        </w:tc>
      </w:tr>
      <w:tr>
        <w:tc>
          <w:tcPr>
            <w:tcW w:type="dxa" w:w="2076"/>
          </w:tcPr>
          <w:p/>
        </w:tc>
        <w:tc>
          <w:tcPr>
            <w:tcW w:type="dxa" w:w="415"/>
          </w:tcPr>
          <w:p>
            <w:r>
              <w:rPr/>
              <w:t>92</w:t>
            </w:r>
          </w:p>
        </w:tc>
        <w:tc>
          <w:tcPr>
            <w:tcW w:type="dxa" w:w="5814"/>
          </w:tcPr>
          <w:p>
            <w:r>
              <w:rPr/>
              <w:t>5.4.高灵敏度屏蔽炬系统1套；</w:t>
            </w:r>
          </w:p>
        </w:tc>
      </w:tr>
      <w:tr>
        <w:tc>
          <w:tcPr>
            <w:tcW w:type="dxa" w:w="2076"/>
          </w:tcPr>
          <w:p/>
        </w:tc>
        <w:tc>
          <w:tcPr>
            <w:tcW w:type="dxa" w:w="415"/>
          </w:tcPr>
          <w:p>
            <w:r>
              <w:rPr/>
              <w:t>93</w:t>
            </w:r>
          </w:p>
        </w:tc>
        <w:tc>
          <w:tcPr>
            <w:tcW w:type="dxa" w:w="5814"/>
          </w:tcPr>
          <w:p>
            <w:r>
              <w:rPr/>
              <w:t>5.5.ICP-MS/MS工作站（电脑+激光打印、复印、扫描一体机  1套）；</w:t>
            </w:r>
          </w:p>
        </w:tc>
      </w:tr>
      <w:tr>
        <w:tc>
          <w:tcPr>
            <w:tcW w:type="dxa" w:w="2076"/>
          </w:tcPr>
          <w:p>
            <w:r>
              <w:rPr/>
              <w:t>▲</w:t>
            </w:r>
          </w:p>
        </w:tc>
        <w:tc>
          <w:tcPr>
            <w:tcW w:type="dxa" w:w="415"/>
          </w:tcPr>
          <w:p>
            <w:r>
              <w:rPr/>
              <w:t>94</w:t>
            </w:r>
          </w:p>
        </w:tc>
        <w:tc>
          <w:tcPr>
            <w:tcW w:type="dxa" w:w="5814"/>
          </w:tcPr>
          <w:p>
            <w:r>
              <w:rPr/>
              <w:t>▲5.6.ICP-MS/MS控制分析软件 1套（以后有新版本免费升级）；</w:t>
            </w:r>
          </w:p>
        </w:tc>
      </w:tr>
      <w:tr>
        <w:tc>
          <w:tcPr>
            <w:tcW w:type="dxa" w:w="2076"/>
          </w:tcPr>
          <w:p/>
        </w:tc>
        <w:tc>
          <w:tcPr>
            <w:tcW w:type="dxa" w:w="415"/>
          </w:tcPr>
          <w:p>
            <w:r>
              <w:rPr/>
              <w:t>95</w:t>
            </w:r>
          </w:p>
        </w:tc>
        <w:tc>
          <w:tcPr>
            <w:tcW w:type="dxa" w:w="5814"/>
          </w:tcPr>
          <w:p>
            <w:r>
              <w:rPr/>
              <w:t>5.7.ICP-MS/MS仪器安装及验收的必备附件（包括验收溶液包；仪器专用的工具等）；</w:t>
            </w:r>
          </w:p>
        </w:tc>
      </w:tr>
      <w:tr>
        <w:tc>
          <w:tcPr>
            <w:tcW w:type="dxa" w:w="2076"/>
          </w:tcPr>
          <w:p/>
        </w:tc>
        <w:tc>
          <w:tcPr>
            <w:tcW w:type="dxa" w:w="415"/>
          </w:tcPr>
          <w:p>
            <w:r>
              <w:rPr/>
              <w:t>96</w:t>
            </w:r>
          </w:p>
        </w:tc>
        <w:tc>
          <w:tcPr>
            <w:tcW w:type="dxa" w:w="5814"/>
          </w:tcPr>
          <w:p>
            <w:r>
              <w:rPr/>
              <w:t>5.8.半导体制冷装置（用于冷却雾化室）1套；</w:t>
            </w:r>
          </w:p>
        </w:tc>
      </w:tr>
      <w:tr>
        <w:tc>
          <w:tcPr>
            <w:tcW w:type="dxa" w:w="2076"/>
          </w:tcPr>
          <w:p/>
        </w:tc>
        <w:tc>
          <w:tcPr>
            <w:tcW w:type="dxa" w:w="415"/>
          </w:tcPr>
          <w:p>
            <w:r>
              <w:rPr/>
              <w:t>97</w:t>
            </w:r>
          </w:p>
        </w:tc>
        <w:tc>
          <w:tcPr>
            <w:tcW w:type="dxa" w:w="5814"/>
          </w:tcPr>
          <w:p>
            <w:r>
              <w:rPr/>
              <w:t>5.9.201个样品位的元素总量自动进样器1套及不少于200个配套的样品管；</w:t>
            </w:r>
          </w:p>
        </w:tc>
      </w:tr>
      <w:tr>
        <w:tc>
          <w:tcPr>
            <w:tcW w:type="dxa" w:w="2076"/>
          </w:tcPr>
          <w:p>
            <w:r>
              <w:rPr/>
              <w:t>▲</w:t>
            </w:r>
          </w:p>
        </w:tc>
        <w:tc>
          <w:tcPr>
            <w:tcW w:type="dxa" w:w="415"/>
          </w:tcPr>
          <w:p>
            <w:r>
              <w:rPr/>
              <w:t>98</w:t>
            </w:r>
          </w:p>
        </w:tc>
        <w:tc>
          <w:tcPr>
            <w:tcW w:type="dxa" w:w="5814"/>
          </w:tcPr>
          <w:p>
            <w:r>
              <w:rPr/>
              <w:t>▲5.10.智能快速进样系统1套；</w:t>
            </w:r>
          </w:p>
        </w:tc>
      </w:tr>
      <w:tr>
        <w:tc>
          <w:tcPr>
            <w:tcW w:type="dxa" w:w="2076"/>
          </w:tcPr>
          <w:p/>
        </w:tc>
        <w:tc>
          <w:tcPr>
            <w:tcW w:type="dxa" w:w="415"/>
          </w:tcPr>
          <w:p>
            <w:r>
              <w:rPr/>
              <w:t>99</w:t>
            </w:r>
          </w:p>
        </w:tc>
        <w:tc>
          <w:tcPr>
            <w:tcW w:type="dxa" w:w="5814"/>
          </w:tcPr>
          <w:p>
            <w:r>
              <w:rPr/>
              <w:t>5.11.纳米颗粒分析模块1套；</w:t>
            </w:r>
          </w:p>
        </w:tc>
      </w:tr>
      <w:tr>
        <w:tc>
          <w:tcPr>
            <w:tcW w:type="dxa" w:w="2076"/>
          </w:tcPr>
          <w:p/>
        </w:tc>
        <w:tc>
          <w:tcPr>
            <w:tcW w:type="dxa" w:w="415"/>
          </w:tcPr>
          <w:p>
            <w:r>
              <w:rPr/>
              <w:t>100</w:t>
            </w:r>
          </w:p>
        </w:tc>
        <w:tc>
          <w:tcPr>
            <w:tcW w:type="dxa" w:w="5814"/>
          </w:tcPr>
          <w:p>
            <w:r>
              <w:rPr/>
              <w:t>5.12.单细胞进样系统1套；</w:t>
            </w:r>
          </w:p>
        </w:tc>
      </w:tr>
      <w:tr>
        <w:tc>
          <w:tcPr>
            <w:tcW w:type="dxa" w:w="2076"/>
          </w:tcPr>
          <w:p/>
        </w:tc>
        <w:tc>
          <w:tcPr>
            <w:tcW w:type="dxa" w:w="415"/>
          </w:tcPr>
          <w:p>
            <w:r>
              <w:rPr/>
              <w:t>101</w:t>
            </w:r>
          </w:p>
        </w:tc>
        <w:tc>
          <w:tcPr>
            <w:tcW w:type="dxa" w:w="5814"/>
          </w:tcPr>
          <w:p>
            <w:r>
              <w:rPr/>
              <w:t>5.13.液相系统移动支架2套；</w:t>
            </w:r>
          </w:p>
        </w:tc>
      </w:tr>
      <w:tr>
        <w:tc>
          <w:tcPr>
            <w:tcW w:type="dxa" w:w="2076"/>
          </w:tcPr>
          <w:p/>
        </w:tc>
        <w:tc>
          <w:tcPr>
            <w:tcW w:type="dxa" w:w="415"/>
          </w:tcPr>
          <w:p>
            <w:r>
              <w:rPr/>
              <w:t>102</w:t>
            </w:r>
          </w:p>
        </w:tc>
        <w:tc>
          <w:tcPr>
            <w:tcW w:type="dxa" w:w="5814"/>
          </w:tcPr>
          <w:p>
            <w:r>
              <w:rPr/>
              <w:t>5.14.多元素内标混合溶液；</w:t>
            </w:r>
          </w:p>
        </w:tc>
      </w:tr>
      <w:tr>
        <w:tc>
          <w:tcPr>
            <w:tcW w:type="dxa" w:w="2076"/>
          </w:tcPr>
          <w:p/>
        </w:tc>
        <w:tc>
          <w:tcPr>
            <w:tcW w:type="dxa" w:w="415"/>
          </w:tcPr>
          <w:p>
            <w:r>
              <w:rPr/>
              <w:t>103</w:t>
            </w:r>
          </w:p>
        </w:tc>
        <w:tc>
          <w:tcPr>
            <w:tcW w:type="dxa" w:w="5814"/>
          </w:tcPr>
          <w:p>
            <w:r>
              <w:rPr/>
              <w:t>5.15.25种元素混合标准溶液；</w:t>
            </w:r>
          </w:p>
        </w:tc>
      </w:tr>
      <w:tr>
        <w:tc>
          <w:tcPr>
            <w:tcW w:type="dxa" w:w="2076"/>
          </w:tcPr>
          <w:p/>
        </w:tc>
        <w:tc>
          <w:tcPr>
            <w:tcW w:type="dxa" w:w="415"/>
          </w:tcPr>
          <w:p>
            <w:r>
              <w:rPr/>
              <w:t>104</w:t>
            </w:r>
          </w:p>
        </w:tc>
        <w:tc>
          <w:tcPr>
            <w:tcW w:type="dxa" w:w="5814"/>
          </w:tcPr>
          <w:p>
            <w:r>
              <w:rPr/>
              <w:t>5.16.多元素调谐溶液；</w:t>
            </w:r>
          </w:p>
        </w:tc>
      </w:tr>
      <w:tr>
        <w:tc>
          <w:tcPr>
            <w:tcW w:type="dxa" w:w="2076"/>
          </w:tcPr>
          <w:p/>
        </w:tc>
        <w:tc>
          <w:tcPr>
            <w:tcW w:type="dxa" w:w="415"/>
          </w:tcPr>
          <w:p>
            <w:r>
              <w:rPr/>
              <w:t>105</w:t>
            </w:r>
          </w:p>
        </w:tc>
        <w:tc>
          <w:tcPr>
            <w:tcW w:type="dxa" w:w="5814"/>
          </w:tcPr>
          <w:p>
            <w:r>
              <w:rPr/>
              <w:t>5.17.消耗品配件包（包含蠕动泵进样泵管12根，内标泵管12根，废液泵管12根，石英炬管12根，毛细进样管5米，2.5mm内径石英中心管1支，采样锥垫片或O圈3个，泵油2L）；</w:t>
            </w:r>
          </w:p>
        </w:tc>
      </w:tr>
      <w:tr>
        <w:tc>
          <w:tcPr>
            <w:tcW w:type="dxa" w:w="2076"/>
          </w:tcPr>
          <w:p/>
        </w:tc>
        <w:tc>
          <w:tcPr>
            <w:tcW w:type="dxa" w:w="415"/>
          </w:tcPr>
          <w:p>
            <w:r>
              <w:rPr/>
              <w:t>106</w:t>
            </w:r>
          </w:p>
        </w:tc>
        <w:tc>
          <w:tcPr>
            <w:tcW w:type="dxa" w:w="5814"/>
          </w:tcPr>
          <w:p>
            <w:r>
              <w:rPr/>
              <w:t>5.18.除主机标准配置外需包含以下配件：备用镍采样锥及截取锥2套，铂采样锥及截取锥1套，截取锥黄铜基座1套，1.5mm内径石英中心管1支，0.15mm和0.2mm内径样品管个5根，0.3mm样品管3米，雾化室排废管30根，雾化器和进样针各两套；</w:t>
            </w:r>
          </w:p>
        </w:tc>
      </w:tr>
      <w:tr>
        <w:tc>
          <w:tcPr>
            <w:tcW w:type="dxa" w:w="2076"/>
          </w:tcPr>
          <w:p/>
        </w:tc>
        <w:tc>
          <w:tcPr>
            <w:tcW w:type="dxa" w:w="415"/>
          </w:tcPr>
          <w:p>
            <w:r>
              <w:rPr/>
              <w:t>107</w:t>
            </w:r>
          </w:p>
        </w:tc>
        <w:tc>
          <w:tcPr>
            <w:tcW w:type="dxa" w:w="5814"/>
          </w:tcPr>
          <w:p>
            <w:r>
              <w:rPr/>
              <w:t>5.19.能满足仪器断电情况下至少工作1小时的UPS电池；及符合相应功率的UPS主机；</w:t>
            </w:r>
          </w:p>
        </w:tc>
      </w:tr>
      <w:tr>
        <w:tc>
          <w:tcPr>
            <w:tcW w:type="dxa" w:w="2076"/>
          </w:tcPr>
          <w:p/>
        </w:tc>
        <w:tc>
          <w:tcPr>
            <w:tcW w:type="dxa" w:w="415"/>
          </w:tcPr>
          <w:p>
            <w:r>
              <w:rPr/>
              <w:t>108</w:t>
            </w:r>
          </w:p>
        </w:tc>
        <w:tc>
          <w:tcPr>
            <w:tcW w:type="dxa" w:w="5814"/>
          </w:tcPr>
          <w:p>
            <w:r>
              <w:rPr/>
              <w:t>5.20.免费开放仪器接口，供用户接入信息系统读取样本及检测信息；</w:t>
            </w:r>
          </w:p>
        </w:tc>
      </w:tr>
      <w:tr>
        <w:tc>
          <w:tcPr>
            <w:tcW w:type="dxa" w:w="2076"/>
          </w:tcPr>
          <w:p/>
        </w:tc>
        <w:tc>
          <w:tcPr>
            <w:tcW w:type="dxa" w:w="415"/>
          </w:tcPr>
          <w:p>
            <w:r>
              <w:rPr/>
              <w:t>109</w:t>
            </w:r>
          </w:p>
        </w:tc>
        <w:tc>
          <w:tcPr>
            <w:tcW w:type="dxa" w:w="5814"/>
          </w:tcPr>
          <w:p>
            <w:r>
              <w:rPr/>
              <w:t>5.21.高压液相色谱二元梯度泵2套；</w:t>
            </w:r>
          </w:p>
        </w:tc>
      </w:tr>
      <w:tr>
        <w:tc>
          <w:tcPr>
            <w:tcW w:type="dxa" w:w="2076"/>
          </w:tcPr>
          <w:p/>
        </w:tc>
        <w:tc>
          <w:tcPr>
            <w:tcW w:type="dxa" w:w="415"/>
          </w:tcPr>
          <w:p>
            <w:r>
              <w:rPr/>
              <w:t>110</w:t>
            </w:r>
          </w:p>
        </w:tc>
        <w:tc>
          <w:tcPr>
            <w:tcW w:type="dxa" w:w="5814"/>
          </w:tcPr>
          <w:p>
            <w:r>
              <w:rPr/>
              <w:t>5.22.柱箱1套；</w:t>
            </w:r>
          </w:p>
        </w:tc>
      </w:tr>
      <w:tr>
        <w:tc>
          <w:tcPr>
            <w:tcW w:type="dxa" w:w="2076"/>
          </w:tcPr>
          <w:p/>
        </w:tc>
        <w:tc>
          <w:tcPr>
            <w:tcW w:type="dxa" w:w="415"/>
          </w:tcPr>
          <w:p>
            <w:r>
              <w:rPr/>
              <w:t>111</w:t>
            </w:r>
          </w:p>
        </w:tc>
        <w:tc>
          <w:tcPr>
            <w:tcW w:type="dxa" w:w="5814"/>
          </w:tcPr>
          <w:p>
            <w:r>
              <w:rPr/>
              <w:t>5.23.120位或者以上的自动进样器1套；</w:t>
            </w:r>
          </w:p>
        </w:tc>
      </w:tr>
      <w:tr>
        <w:tc>
          <w:tcPr>
            <w:tcW w:type="dxa" w:w="2076"/>
          </w:tcPr>
          <w:p/>
        </w:tc>
        <w:tc>
          <w:tcPr>
            <w:tcW w:type="dxa" w:w="415"/>
          </w:tcPr>
          <w:p>
            <w:r>
              <w:rPr/>
              <w:t>112</w:t>
            </w:r>
          </w:p>
        </w:tc>
        <w:tc>
          <w:tcPr>
            <w:tcW w:type="dxa" w:w="5814"/>
          </w:tcPr>
          <w:p>
            <w:r>
              <w:rPr/>
              <w:t>5.24.形态分析系统工作软件1套；</w:t>
            </w:r>
          </w:p>
        </w:tc>
      </w:tr>
      <w:tr>
        <w:tc>
          <w:tcPr>
            <w:tcW w:type="dxa" w:w="2076"/>
          </w:tcPr>
          <w:p/>
        </w:tc>
        <w:tc>
          <w:tcPr>
            <w:tcW w:type="dxa" w:w="415"/>
          </w:tcPr>
          <w:p>
            <w:r>
              <w:rPr/>
              <w:t>113</w:t>
            </w:r>
          </w:p>
        </w:tc>
        <w:tc>
          <w:tcPr>
            <w:tcW w:type="dxa" w:w="5814"/>
          </w:tcPr>
          <w:p>
            <w:r>
              <w:rPr/>
              <w:t>5.25.形态分析系统耗材【定量环200µL、高压输液泵备件、仪器说明书、光盘、C18汞形态色谱柱、只需加水的铬形态分析包（含铬柱、浓缩流动相）、只需加水的硒形态分析包（含硒柱、浓缩流动相）】1套、只需加水的无机砷分析包（含砷柱、浓缩流动相）1套；</w:t>
            </w:r>
          </w:p>
        </w:tc>
      </w:tr>
      <w:tr>
        <w:tc>
          <w:tcPr>
            <w:tcW w:type="dxa" w:w="2076"/>
          </w:tcPr>
          <w:p/>
        </w:tc>
        <w:tc>
          <w:tcPr>
            <w:tcW w:type="dxa" w:w="415"/>
          </w:tcPr>
          <w:p>
            <w:r>
              <w:rPr/>
              <w:t>114</w:t>
            </w:r>
          </w:p>
        </w:tc>
        <w:tc>
          <w:tcPr>
            <w:tcW w:type="dxa" w:w="5814"/>
          </w:tcPr>
          <w:p>
            <w:r>
              <w:rPr/>
              <w:t>5.26.备品备件【常用管路、接头以及工具：PEEK二通（2个）、色谱手紧接头（10个）、PEEK管路（2米）、扳手（1个）】1套。</w:t>
            </w:r>
          </w:p>
        </w:tc>
      </w:tr>
      <w:tr>
        <w:tc>
          <w:tcPr>
            <w:tcW w:type="dxa" w:w="2076"/>
          </w:tcPr>
          <w:p>
            <w:r>
              <w:rPr/>
              <w:t>说明</w:t>
            </w:r>
          </w:p>
        </w:tc>
        <w:tc>
          <w:tcPr>
            <w:tcW w:type="dxa" w:w="6229"/>
            <w:gridSpan w:val="2"/>
          </w:tcPr>
          <w:p>
            <w:pPr>
              <w:jc w:val="left"/>
            </w:pPr>
            <w:r>
              <w:rPr/>
              <w:t>打“★”号条款为实质性条款，若有任何一条负偏离或不满足则导致投标（响应）无效。</w:t>
            </w:r>
            <w:r>
              <w:br/>
            </w:r>
            <w:r>
              <w:rPr/>
              <w:t>打“▲”号条款为重要技术参数（如有），若有部分“▲”条款未响应或不满足，将根据评审要求影响其得分，但不作为无效投标（响应）条款。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1.采购代理机构：本项目是指广东海虹招标代理有限公司，负责整个采购活动的组织，依法负责编制和发布招标文件，对招标文件拥有最终的解释权，不以任何身份出任评标委员会成员。</w:t>
      </w:r>
    </w:p>
    <w:p>
      <w:pPr>
        <w:ind w:firstLine="480"/>
      </w:pPr>
      <w:r>
        <w:rPr/>
        <w:t>2.采购人：本项目是指</w:t>
      </w:r>
      <w:r>
        <w:rPr/>
        <w:t>佛山市疾病预防控制中心</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t>一、电子投标文件：</w:t>
            </w:r>
          </w:p>
          <w:p>
            <w:pPr>
              <w:ind w:firstLine="480"/>
            </w:pPr>
            <w:r>
              <w:rPr/>
              <w:t>（1）加密的电子投标文件 1 份（需在递交投标文件截止时间前成功上传至“云平台项目采购系统”）。</w:t>
            </w:r>
          </w:p>
          <w:p>
            <w:pPr>
              <w:ind w:firstLine="480"/>
            </w:pPr>
            <w:r>
              <w:rPr/>
              <w:t>供应商应保证该优先步骤</w:t>
            </w:r>
          </w:p>
          <w:p>
            <w:pPr>
              <w:ind w:firstLine="480"/>
            </w:pPr>
            <w:r>
              <w:rPr/>
              <w:t>（2）若现场无法使用系统进行电子开评标的，供应商须在开标现场递交非加密电子版投标文件U盘（或光盘）</w:t>
            </w:r>
            <w:r>
              <w:rPr/>
              <w:t>1</w:t>
            </w:r>
            <w:r>
              <w:rPr/>
              <w:t>份。</w:t>
            </w:r>
          </w:p>
          <w:p>
            <w:pPr>
              <w:ind w:firstLine="480"/>
            </w:pPr>
            <w:r>
              <w:rPr/>
              <w:t>供应商保证该后备步骤。</w:t>
            </w:r>
          </w:p>
          <w:p>
            <w:pPr>
              <w:ind w:firstLine="480"/>
            </w:pPr>
            <w:r>
              <w:rPr/>
              <w:t>二、纸质投标文件：</w:t>
            </w:r>
          </w:p>
          <w:p>
            <w:pPr>
              <w:ind w:firstLine="480"/>
            </w:pPr>
            <w:r>
              <w:rPr/>
              <w:t>（3）纸质投标文件正本</w:t>
            </w:r>
            <w:r>
              <w:rPr/>
              <w:t>1</w:t>
            </w:r>
            <w:r>
              <w:rPr/>
              <w:t>份，纸质投标文件副本</w:t>
            </w:r>
            <w:r>
              <w:rPr/>
              <w:t>0</w:t>
            </w:r>
            <w:r>
              <w:rPr/>
              <w:t>份。</w:t>
            </w:r>
          </w:p>
          <w:p>
            <w:pPr>
              <w:ind w:firstLine="480"/>
            </w:pPr>
            <w:r>
              <w:rPr/>
              <w:t>供应商须满足上述事项“一、电子投标文件”中（1）或（2）的要求，和“二、纸质投标文件”的要求。请保证电子投标文件应与纸质投标文件（如有）一致，如不一致时以电子投标文件为准。</w:t>
            </w:r>
          </w:p>
        </w:tc>
      </w:tr>
      <w:tr>
        <w:tc>
          <w:tcPr>
            <w:tcW w:type="dxa" w:w="1051"/>
          </w:tcPr>
          <w:p>
            <w:r>
              <w:rPr/>
              <w:t>11</w:t>
            </w:r>
          </w:p>
        </w:tc>
        <w:tc>
          <w:tcPr>
            <w:tcW w:type="dxa" w:w="2252"/>
          </w:tcPr>
          <w:p>
            <w:r>
              <w:rPr/>
              <w:t>中标候选供应商推荐家数</w:t>
            </w:r>
          </w:p>
        </w:tc>
        <w:tc>
          <w:tcPr>
            <w:tcW w:type="dxa" w:w="5004"/>
          </w:tcPr>
          <w:p>
            <w:r>
              <w:rPr/>
              <w:t>采购包1：</w:t>
            </w:r>
            <w:r>
              <w:rPr/>
              <w:t>1家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r>
              <w:rPr/>
              <w:t>采购机构代理服务收费标准：参照国家计委颁布的《招标代理服务收费管理暂行办法》（计价格[2002]1980号）收费标准按货物类收取。</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
            <w:pPr>
              <w:jc w:val="left"/>
            </w:pPr>
          </w:p>
          <w:p>
            <w:r>
              <w:rPr/>
              <w:t>政府采购质押融资，根据《佛山市政务服务数据管理局佛山市财政局关于进一步促进公平竞争优化政府采购营商环境的通知》（佛政数函[2021]54号），参与政府采购的中小微企业可凭借中标(成交)通知书或政府采购合同，利用“省中小融”、“粤信融”、“中征应收账款融资服务平台”等平台向金融机构申请融资，获得无财产抵押贷款。</w:t>
            </w: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采购包1：否</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5.5联合体各方均应满足采购文件规定的资格要求。由同一资质条件的投标人组成的联合体，应当按照资质等级较低的投标人确定联合体资质等级。</w:t>
      </w:r>
    </w:p>
    <w:p>
      <w:pPr>
        <w:ind w:firstLine="480"/>
      </w:pPr>
      <w:r>
        <w:rPr/>
        <w:t>5.6联合体各方应当共同与采购人签订采购合同，就合同约定的事项对采购人承担连带责任。</w:t>
      </w:r>
    </w:p>
    <w:p>
      <w:pPr>
        <w:ind w:firstLine="480"/>
      </w:pPr>
      <w:r>
        <w:rPr/>
        <w:t>5.7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广东海虹招标代理有限公司</w:t>
      </w:r>
      <w:r>
        <w:rPr/>
        <w:t>代收。具体操作要求详见</w:t>
      </w:r>
      <w:r>
        <w:rPr/>
        <w:t>广东海虹招标代理有限公司</w:t>
      </w:r>
      <w:r>
        <w:rPr/>
        <w:t>有关指引，递交事宜请自行咨询</w:t>
      </w:r>
      <w:r>
        <w:rPr/>
        <w:t>广东海虹招标代理有限公司</w:t>
      </w:r>
      <w:r>
        <w:rPr/>
        <w:t>；请各投标人在投标文件递交截止时间前按须知前附表规定的金额递交至</w:t>
      </w:r>
      <w:r>
        <w:rPr/>
        <w:t>广东海虹招标代理有限公司</w:t>
      </w:r>
      <w:r>
        <w:rPr/>
        <w:t>，到账情况以开标时</w:t>
      </w:r>
      <w:r>
        <w:rPr/>
        <w:t>广东海虹招标代理有限公司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（3）如需使用备用电子投标文件解密时，在规定的解密时间内无法提供备用电子投标文件或提供的备用电子投标文件与加密的电子投标文件版本不一致（即两份文件不是投标客户端编制同时生成的）。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招小姐</w:t>
      </w:r>
    </w:p>
    <w:p>
      <w:pPr>
        <w:ind w:firstLine="480"/>
      </w:pPr>
      <w:r>
        <w:rPr/>
        <w:t>电话：</w:t>
      </w:r>
      <w:r>
        <w:rPr/>
        <w:t>0757-82285519</w:t>
      </w:r>
    </w:p>
    <w:p>
      <w:pPr>
        <w:ind w:firstLine="480"/>
      </w:pPr>
      <w:r>
        <w:rPr/>
        <w:t>传真：</w:t>
      </w:r>
      <w:r>
        <w:rPr/>
        <w:t>0757-82285519</w:t>
      </w:r>
    </w:p>
    <w:p>
      <w:pPr>
        <w:ind w:firstLine="480"/>
      </w:pPr>
      <w:r>
        <w:rPr/>
        <w:t>邮箱：</w:t>
      </w:r>
      <w:r>
        <w:rPr/>
        <w:t>gdhh2022@126.com</w:t>
      </w:r>
    </w:p>
    <w:p>
      <w:pPr>
        <w:ind w:firstLine="480"/>
      </w:pPr>
      <w:r>
        <w:rPr/>
        <w:t>地址：</w:t>
      </w:r>
      <w:r>
        <w:rPr/>
        <w:t>广东省佛山市禅城区华远东路13号发展大厦12楼E号</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政府采购监督管理机构名称：佛山市政务服务数据管理局（交易监管科）</w:t>
      </w:r>
    </w:p>
    <w:p>
      <w:r>
        <w:rPr/>
        <w:t>地  址：佛山市禅城区季华五路公交大厦五楼</w:t>
      </w:r>
    </w:p>
    <w:p>
      <w:r>
        <w:rPr/>
        <w:t>电  话：0757-83999763</w:t>
      </w:r>
    </w:p>
    <w:p>
      <w:r>
        <w:rPr/>
        <w:t>邮  编：528000</w:t>
      </w:r>
    </w:p>
    <w:p>
      <w:r>
        <w:rPr/>
        <w:t>传  真：-</w:t>
      </w:r>
    </w:p>
    <w:p/>
    <w:p>
      <w:r>
        <w:rPr>
          <w:b/>
          <w:sz w:val="28"/>
        </w:rPr>
        <w:t>八、合同签订和履行</w:t>
      </w:r>
    </w:p>
    <w:p>
      <w:r>
        <w:rPr>
          <w:b/>
          <w:sz w:val="24"/>
        </w:rPr>
        <w:t>1.合同签订</w:t>
      </w:r>
    </w:p>
    <w:p>
      <w:pPr>
        <w:ind w:firstLine="480"/>
      </w:pPr>
      <w:r>
        <w:rPr/>
        <w:t>1.1采购人应当自《中标通知书》发出之日起三十日内（广州市规定自《中标通知书》发出之日起二十日内签订合同），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电感耦合等离子体串联三重四级杆质谱仪(ICP-MS-MS))：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广东海虹招标代理有限公司</w:t>
      </w:r>
      <w:r>
        <w:rPr/>
        <w:t>统一对外发布。</w:t>
      </w:r>
    </w:p>
    <w:p>
      <w:pPr>
        <w:ind w:firstLine="480"/>
      </w:pPr>
      <w:r>
        <w:rPr/>
        <w:t>（2）对</w:t>
      </w:r>
      <w:r>
        <w:rPr/>
        <w:t>广东海虹招标代理有限公司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 不同投标人的电子投标文件上传计算机的网卡MAC地址硬件信息相同的（开标现场上传电子投标文件的除外）；</w:t>
      </w:r>
    </w:p>
    <w:p>
      <w:pPr>
        <w:ind w:firstLine="480"/>
      </w:pPr>
      <w:r>
        <w:rPr/>
        <w:t>4.8投标人上传的电子投标文件使用该项目其他投标人的数字证书加密的或加盖该项目的其他投标人的电子印章的。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采购包1（电感耦合等离子体串联三重四级杆质谱仪(ICP-MS-MS)）：</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投标（响应）产品均由小微企业生产且使用该小微企业商号或者注册商标</w:t>
            </w:r>
          </w:p>
        </w:tc>
        <w:tc>
          <w:tcPr>
            <w:tcW w:type="dxa" w:w="1246"/>
          </w:tcPr>
          <w:p>
            <w:r>
              <w:rPr/>
              <w:t>10%</w:t>
            </w:r>
          </w:p>
        </w:tc>
        <w:tc>
          <w:tcPr>
            <w:tcW w:type="dxa" w:w="2160"/>
          </w:tcPr>
          <w:p>
            <w:pPr>
              <w:jc w:val="left"/>
            </w:pPr>
            <w:r>
              <w:rPr/>
              <w:t>货物由小微企业制造，即货物由小微企业生产且使用该小微企业商号或者注册商标时，给予10%的价格扣除C1，即：评标价=核实价×（1-C1）;监狱企业与残疾人福利性单位视同小型、微型企业，享受同等价格扣除，当企业属性重复时，不重复价格扣除。</w:t>
            </w:r>
          </w:p>
        </w:tc>
      </w:tr>
      <w:tr>
        <w:tc>
          <w:tcPr>
            <w:tcW w:type="dxa" w:w="8307"/>
            <w:gridSpan w:val="5"/>
          </w:tcPr>
          <w:p>
            <w:pPr>
              <w:jc w:val="left"/>
            </w:pPr>
            <w:r>
              <w:rPr/>
              <w:t>注：（1）上述评标价仅用于计算价格评分，成交金额以实际投标（响应）价为准。</w:t>
              <w:tab/>
              <w:tab/>
              <w:tab/>
              <w:tab/>
              <w:tab/>
              <w:t xml:space="preserve"> （2）组成联合体或者接受分包的小微企业与联合体内其他企业、分包企业之间存在直接控股、管理关系的，不享受价格扣除优惠政策。</w:t>
            </w:r>
          </w:p>
        </w:tc>
      </w:tr>
    </w:tbl>
    <w:p>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系统抓取并记录到供应商与同项目（采购包）其他投标（响应）供应商电子投标文件上传计算机的网卡MAC地址硬件信息相同（开标现场上传电子投标文件的除外）的情形，评标委员会应认定其投标（响应）无效。</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采购包1（电感耦合等离子体串联三重四级杆质谱仪(ICP-MS-MS)）：</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供应商必须具有良好的商业信誉和健全的财务会计制度（提供2020年或2022年度财务状况报告或基本开户行出具的资信证明） 。</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在经营活动中没有重大违法记录：参照投标（报价）函相关承诺格式内容。 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供应商必须符合法律、行政法规规定的其他条件</w:t>
            </w:r>
          </w:p>
        </w:tc>
        <w:tc>
          <w:tcPr>
            <w:tcW w:type="dxa" w:w="4238"/>
          </w:tcPr>
          <w:p>
            <w:r>
              <w:rPr/>
              <w:t>供应商在近三年内（自投标截止时间之日起往前推三年）没有被政府采购监督管理部门禁止参加政府采购活动。</w:t>
            </w:r>
          </w:p>
        </w:tc>
      </w:tr>
      <w:tr>
        <w:tc>
          <w:tcPr>
            <w:tcW w:type="dxa" w:w="890"/>
          </w:tcPr>
          <w:p>
            <w:r>
              <w:rPr/>
              <w:t>9</w:t>
            </w:r>
          </w:p>
        </w:tc>
        <w:tc>
          <w:tcPr>
            <w:tcW w:type="dxa" w:w="3178"/>
          </w:tcPr>
          <w:p>
            <w:r>
              <w:rPr/>
              <w:t>供应商必须符合法律、行政法规规定的其他条件</w:t>
            </w:r>
          </w:p>
        </w:tc>
        <w:tc>
          <w:tcPr>
            <w:tcW w:type="dxa" w:w="4238"/>
          </w:tcPr>
          <w:p>
            <w:r>
              <w:rPr/>
              <w:t>本项目允许国产产品或进口产品参与投标。</w:t>
            </w:r>
          </w:p>
        </w:tc>
      </w:tr>
      <w:tr>
        <w:tc>
          <w:tcPr>
            <w:tcW w:type="dxa" w:w="890"/>
          </w:tcPr>
          <w:p>
            <w:r>
              <w:rPr/>
              <w:t>10</w:t>
            </w:r>
          </w:p>
        </w:tc>
        <w:tc>
          <w:tcPr>
            <w:tcW w:type="dxa" w:w="3178"/>
          </w:tcPr>
          <w:p>
            <w:r>
              <w:rPr/>
              <w:t>落实政府采购政策需满足的资格要求</w:t>
            </w:r>
          </w:p>
        </w:tc>
        <w:tc>
          <w:tcPr>
            <w:tcW w:type="dxa" w:w="4238"/>
          </w:tcPr>
          <w:p>
            <w:r>
              <w:rPr/>
              <w:t>本项目非专门面向中小企业采购</w:t>
            </w:r>
          </w:p>
        </w:tc>
      </w:tr>
    </w:tbl>
    <w:p/>
    <w:p>
      <w:pPr>
        <w:ind w:firstLine="480"/>
      </w:pPr>
      <w:r>
        <w:rPr/>
        <w:t>表二符合性审查表：</w:t>
      </w:r>
    </w:p>
    <w:p>
      <w:pPr>
        <w:ind w:firstLine="480"/>
      </w:pPr>
    </w:p>
    <w:p/>
    <w:p>
      <w:r>
        <w:rPr/>
        <w:t>采购包1（电感耦合等离子体串联三重四级杆质谱仪(ICP-MS-MS)）：</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★标的提供的地点</w:t>
            </w:r>
          </w:p>
        </w:tc>
        <w:tc>
          <w:tcPr>
            <w:tcW w:type="dxa" w:w="4238"/>
          </w:tcPr>
          <w:p>
            <w:r>
              <w:rPr/>
              <w:t>★采购人（用户）所在地，地址为佛山市疾病预防控制中心（采购人指定地点）</w:t>
            </w:r>
          </w:p>
        </w:tc>
      </w:tr>
      <w:tr>
        <w:tc>
          <w:tcPr>
            <w:tcW w:type="dxa" w:w="890"/>
          </w:tcPr>
          <w:p>
            <w:r>
              <w:rPr/>
              <w:t>2</w:t>
            </w:r>
          </w:p>
        </w:tc>
        <w:tc>
          <w:tcPr>
            <w:tcW w:type="dxa" w:w="3178"/>
          </w:tcPr>
          <w:p>
            <w:r>
              <w:rPr/>
              <w:t>★报价要求</w:t>
            </w:r>
          </w:p>
        </w:tc>
        <w:tc>
          <w:tcPr>
            <w:tcW w:type="dxa" w:w="4238"/>
          </w:tcPr>
          <w:p>
            <w:r>
              <w:rPr/>
              <w:t>1.1.报价方案是唯一确定且不高于本项目预算金额；1.2.报价方式为广东省佛山市目的地交付验收价，均涵盖报价要求之一切费用。报价中必须包含设备及零配件的购置和安装、运输、保险、装卸、培训辅导、质保期售后服务、全额含税发票、雇员费用、合同实施过程中的应预见或不可预见费用等。</w:t>
            </w:r>
          </w:p>
        </w:tc>
      </w:tr>
      <w:tr>
        <w:tc>
          <w:tcPr>
            <w:tcW w:type="dxa" w:w="890"/>
          </w:tcPr>
          <w:p>
            <w:r>
              <w:rPr/>
              <w:t>3</w:t>
            </w:r>
          </w:p>
        </w:tc>
        <w:tc>
          <w:tcPr>
            <w:tcW w:type="dxa" w:w="3178"/>
          </w:tcPr>
          <w:p>
            <w:r>
              <w:rPr/>
              <w:t>其他</w:t>
            </w:r>
          </w:p>
        </w:tc>
        <w:tc>
          <w:tcPr>
            <w:tcW w:type="dxa" w:w="4238"/>
          </w:tcPr>
          <w:p>
            <w:r>
              <w:rPr/>
              <w:t>没有公开招标文件规定的其他无效投标的情形。</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电感耦合等离子体串联三重四级杆质谱仪(ICP-MS-MS)</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商务部分20.0分</w:t>
            </w:r>
          </w:p>
          <w:p>
            <w:r>
              <w:rPr/>
              <w:t>技术部分50.0分</w:t>
            </w:r>
          </w:p>
          <w:p>
            <w:r>
              <w:rPr/>
              <w:t>报价得分30.0分</w:t>
            </w:r>
          </w:p>
        </w:tc>
      </w:tr>
      <w:tr>
        <w:tc>
          <w:tcPr>
            <w:tcW w:type="dxa" w:w="922"/>
            <w:gridSpan w:val="2"/>
            <w:vMerge w:val="restart"/>
          </w:tcPr>
          <w:p>
            <w:pPr>
              <w:jc w:val="center"/>
            </w:pPr>
            <w:r>
              <w:rPr/>
              <w:t>技术部分</w:t>
            </w:r>
          </w:p>
        </w:tc>
        <w:tc>
          <w:tcPr>
            <w:tcW w:type="dxa" w:w="2307"/>
          </w:tcPr>
          <w:p>
            <w:pPr>
              <w:jc w:val="left"/>
            </w:pPr>
            <w:r>
              <w:rPr/>
              <w:t>技术符合性评价 (35.0分)</w:t>
            </w:r>
          </w:p>
        </w:tc>
        <w:tc>
          <w:tcPr>
            <w:tcW w:type="dxa" w:w="5076"/>
          </w:tcPr>
          <w:p>
            <w:pPr>
              <w:jc w:val="left"/>
            </w:pPr>
            <w:r>
              <w:rPr/>
              <w:t>根据《技术和服务要求响应表》响应情况，完全满足或优于技术性能要求的得满分；对未达到或未响应公开招标文件技术要求的，带“▲”号（重要技术要求）条款每一项扣除5分；不带“▲”号条款每一项扣除3分；扣完为止；超出要求的在此项不加分。</w:t>
            </w:r>
          </w:p>
        </w:tc>
      </w:tr>
      <w:tr>
        <w:tc>
          <w:tcPr>
            <w:tcW w:type="dxa" w:w="922"/>
            <w:gridSpan w:val="2"/>
            <w:vMerge/>
          </w:tcPr>
          <w:p/>
        </w:tc>
        <w:tc>
          <w:tcPr>
            <w:tcW w:type="dxa" w:w="2307"/>
          </w:tcPr>
          <w:p>
            <w:pPr>
              <w:jc w:val="left"/>
            </w:pPr>
            <w:r>
              <w:rPr/>
              <w:t>投标货物技术评价 (9.0分)</w:t>
            </w:r>
            <w:r>
              <w:rPr/>
              <w:t>，（等次分值选择：</w:t>
            </w:r>
            <w:r>
              <w:rPr/>
              <w:t>0.0;</w:t>
            </w:r>
            <w:r>
              <w:rPr/>
              <w:t>3.0;</w:t>
            </w:r>
            <w:r>
              <w:rPr/>
              <w:t>6.0;</w:t>
            </w:r>
            <w:r>
              <w:rPr/>
              <w:t>9.0;</w:t>
            </w:r>
            <w:r>
              <w:rPr/>
              <w:t>）</w:t>
            </w:r>
          </w:p>
        </w:tc>
        <w:tc>
          <w:tcPr>
            <w:tcW w:type="dxa" w:w="5076"/>
          </w:tcPr>
          <w:p>
            <w:pPr>
              <w:jc w:val="left"/>
            </w:pPr>
            <w:r>
              <w:rPr/>
              <w:t>根据投标人提交的技术方案及关于投标货物设计制造技术的资料进行评价： 1）所投货物选型配置方案合理完善、技术先进，得9分； 2）所投货物选型配置方案基本合理、技术水平一般，得6分； 3）所投货物选型配置方案不合理、技术落后，得3分； 4）不提供资料，得0分。</w:t>
            </w:r>
          </w:p>
        </w:tc>
      </w:tr>
      <w:tr>
        <w:tc>
          <w:tcPr>
            <w:tcW w:type="dxa" w:w="922"/>
            <w:gridSpan w:val="2"/>
            <w:vMerge/>
          </w:tcPr>
          <w:p/>
        </w:tc>
        <w:tc>
          <w:tcPr>
            <w:tcW w:type="dxa" w:w="2307"/>
          </w:tcPr>
          <w:p>
            <w:pPr>
              <w:jc w:val="left"/>
            </w:pPr>
            <w:r>
              <w:rPr/>
              <w:t>操作维护评价 (3.0分)</w:t>
            </w:r>
            <w:r>
              <w:rPr/>
              <w:t>，（等次分值选择：</w:t>
            </w:r>
            <w:r>
              <w:rPr/>
              <w:t>0.0;</w:t>
            </w:r>
            <w:r>
              <w:rPr/>
              <w:t>1.0;</w:t>
            </w:r>
            <w:r>
              <w:rPr/>
              <w:t>2.0;</w:t>
            </w:r>
            <w:r>
              <w:rPr/>
              <w:t>3.0;</w:t>
            </w:r>
            <w:r>
              <w:rPr/>
              <w:t>）</w:t>
            </w:r>
          </w:p>
        </w:tc>
        <w:tc>
          <w:tcPr>
            <w:tcW w:type="dxa" w:w="5076"/>
          </w:tcPr>
          <w:p>
            <w:pPr>
              <w:jc w:val="left"/>
            </w:pPr>
            <w:r>
              <w:rPr/>
              <w:t>根据投标人提交的技术方案及关于投标货物操作维护的资料进行评价： 1）所投货物操作维护高效便捷，得3分； 2）所投货物操作维护方便，得2分； 3）所投货物操作维护不方便，得1分； 4）不提供资料，得0分。</w:t>
            </w:r>
          </w:p>
        </w:tc>
      </w:tr>
      <w:tr>
        <w:tc>
          <w:tcPr>
            <w:tcW w:type="dxa" w:w="922"/>
            <w:gridSpan w:val="2"/>
            <w:vMerge/>
          </w:tcPr>
          <w:p/>
        </w:tc>
        <w:tc>
          <w:tcPr>
            <w:tcW w:type="dxa" w:w="2307"/>
          </w:tcPr>
          <w:p>
            <w:pPr>
              <w:jc w:val="left"/>
            </w:pPr>
            <w:r>
              <w:rPr/>
              <w:t>质量和效能评价 (3.0分)</w:t>
            </w:r>
            <w:r>
              <w:rPr/>
              <w:t>，（等次分值选择：</w:t>
            </w:r>
            <w:r>
              <w:rPr/>
              <w:t>0.0;</w:t>
            </w:r>
            <w:r>
              <w:rPr/>
              <w:t>1.0;</w:t>
            </w:r>
            <w:r>
              <w:rPr/>
              <w:t>2.0;</w:t>
            </w:r>
            <w:r>
              <w:rPr/>
              <w:t>3.0;</w:t>
            </w:r>
            <w:r>
              <w:rPr/>
              <w:t>）</w:t>
            </w:r>
          </w:p>
        </w:tc>
        <w:tc>
          <w:tcPr>
            <w:tcW w:type="dxa" w:w="5076"/>
          </w:tcPr>
          <w:p>
            <w:pPr>
              <w:jc w:val="left"/>
            </w:pPr>
            <w:r>
              <w:rPr/>
              <w:t>根据投标人提交的技术方案及关于投标货物质量和效能的资料进行评价： 1）所投货物材料优质、安全稳定、节能高效，得3分； 2）所投货物材料尚可、具有一定的可靠性，得2分； 3）所投货物用料不足、不稳定、耗能大，得1分； 4）不提供资料，得0分。</w:t>
            </w:r>
          </w:p>
        </w:tc>
      </w:tr>
      <w:tr>
        <w:tc>
          <w:tcPr>
            <w:tcW w:type="dxa" w:w="922"/>
            <w:gridSpan w:val="2"/>
            <w:vMerge w:val="restart"/>
          </w:tcPr>
          <w:p>
            <w:pPr>
              <w:jc w:val="center"/>
            </w:pPr>
            <w:r>
              <w:rPr/>
              <w:t>商务部分</w:t>
            </w:r>
          </w:p>
        </w:tc>
        <w:tc>
          <w:tcPr>
            <w:tcW w:type="dxa" w:w="2307"/>
          </w:tcPr>
          <w:p>
            <w:pPr>
              <w:jc w:val="left"/>
            </w:pPr>
            <w:r>
              <w:rPr/>
              <w:t>商务符合性评价 (5.0分)</w:t>
            </w:r>
          </w:p>
        </w:tc>
        <w:tc>
          <w:tcPr>
            <w:tcW w:type="dxa" w:w="5076"/>
          </w:tcPr>
          <w:p>
            <w:pPr>
              <w:jc w:val="left"/>
            </w:pPr>
            <w:r>
              <w:rPr/>
              <w:t>根据《商务条件响应表》响应情况，完全满足或优于商务要求的得满分；对未达到或未响应公开招标文件商务要求的，带“▲”号（重要商务要求）条款每一项扣除3分；不带“▲”号条款每一项扣除1分；扣完为止；超出要求的在此项不加分。</w:t>
            </w:r>
          </w:p>
        </w:tc>
      </w:tr>
      <w:tr>
        <w:tc>
          <w:tcPr>
            <w:tcW w:type="dxa" w:w="922"/>
            <w:gridSpan w:val="2"/>
            <w:vMerge/>
          </w:tcPr>
          <w:p/>
        </w:tc>
        <w:tc>
          <w:tcPr>
            <w:tcW w:type="dxa" w:w="2307"/>
          </w:tcPr>
          <w:p>
            <w:pPr>
              <w:jc w:val="left"/>
            </w:pPr>
            <w:r>
              <w:rPr/>
              <w:t>投标人或投标产品的认证情况 (5.0分)</w:t>
            </w:r>
          </w:p>
        </w:tc>
        <w:tc>
          <w:tcPr>
            <w:tcW w:type="dxa" w:w="5076"/>
          </w:tcPr>
          <w:p>
            <w:pPr>
              <w:jc w:val="left"/>
            </w:pPr>
            <w:r>
              <w:rPr/>
              <w:t>根据投标人或投标产品获得的相关认证证书进行评分，包括但不限于节能产品、环境标志产品、FDA、CE、CQC、ISO等认证，需提供有效认证证书复印件，每提供1项得2分，满分5分，不提供不得分。</w:t>
            </w:r>
          </w:p>
        </w:tc>
      </w:tr>
      <w:tr>
        <w:tc>
          <w:tcPr>
            <w:tcW w:type="dxa" w:w="922"/>
            <w:gridSpan w:val="2"/>
            <w:vMerge/>
          </w:tcPr>
          <w:p/>
        </w:tc>
        <w:tc>
          <w:tcPr>
            <w:tcW w:type="dxa" w:w="2307"/>
          </w:tcPr>
          <w:p>
            <w:pPr>
              <w:jc w:val="left"/>
            </w:pPr>
            <w:r>
              <w:rPr/>
              <w:t>市场业绩评价 (5.0分)</w:t>
            </w:r>
          </w:p>
        </w:tc>
        <w:tc>
          <w:tcPr>
            <w:tcW w:type="dxa" w:w="5076"/>
          </w:tcPr>
          <w:p>
            <w:pPr>
              <w:jc w:val="left"/>
            </w:pPr>
            <w:r>
              <w:rPr/>
              <w:t>根据投标人在2019年1月1日起至今独立完成同类项目的业绩进行评分（以对应项目的合同书复印件为准）每提供1项业绩得1分，最高5分，未提供或提供资料不完整者得0分。</w:t>
            </w:r>
          </w:p>
        </w:tc>
      </w:tr>
      <w:tr>
        <w:tc>
          <w:tcPr>
            <w:tcW w:type="dxa" w:w="922"/>
            <w:gridSpan w:val="2"/>
            <w:vMerge/>
          </w:tcPr>
          <w:p/>
        </w:tc>
        <w:tc>
          <w:tcPr>
            <w:tcW w:type="dxa" w:w="2307"/>
          </w:tcPr>
          <w:p>
            <w:pPr>
              <w:jc w:val="left"/>
            </w:pPr>
            <w:r>
              <w:rPr/>
              <w:t>售后服务评价 (5.0分)</w:t>
            </w:r>
            <w:r>
              <w:rPr/>
              <w:t>，（等次分值选择：</w:t>
            </w:r>
            <w:r>
              <w:rPr/>
              <w:t>0.0;</w:t>
            </w:r>
            <w:r>
              <w:rPr/>
              <w:t>1.0;</w:t>
            </w:r>
            <w:r>
              <w:rPr/>
              <w:t>3.0;</w:t>
            </w:r>
            <w:r>
              <w:rPr/>
              <w:t>5.0;</w:t>
            </w:r>
            <w:r>
              <w:rPr/>
              <w:t>）</w:t>
            </w:r>
          </w:p>
        </w:tc>
        <w:tc>
          <w:tcPr>
            <w:tcW w:type="dxa" w:w="5076"/>
          </w:tcPr>
          <w:p>
            <w:pPr>
              <w:jc w:val="left"/>
            </w:pPr>
            <w:r>
              <w:rPr/>
              <w:t>根据投标人提供的售后服务方案进行评价： 1）投标人售后服务方案完善，质保期优于项目需求，得5分； 2）投标人售后服务方案完善，得3分； 3）投标人售后服务方案不完善，得1分； 4）不提供售后服务方案，得0分。</w:t>
            </w:r>
          </w:p>
        </w:tc>
      </w:tr>
      <w:tr>
        <w:tc>
          <w:tcPr>
            <w:tcW w:type="dxa" w:w="922"/>
            <w:gridSpan w:val="2"/>
          </w:tcPr>
          <w:p>
            <w:pPr>
              <w:jc w:val="center"/>
            </w:pPr>
            <w:r>
              <w:rPr/>
              <w:t>投标报价</w:t>
            </w:r>
          </w:p>
        </w:tc>
        <w:tc>
          <w:tcPr>
            <w:tcW w:type="dxa" w:w="2307"/>
          </w:tcPr>
          <w:p>
            <w:pPr>
              <w:jc w:val="left"/>
            </w:pPr>
            <w:r>
              <w:rPr/>
              <w:t>投标报价得分 (30.0分)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Pr>
        <w:jc w:val="center"/>
      </w:pPr>
    </w:p>
    <w:p>
      <w:pPr>
        <w:jc w:val="center"/>
      </w:pPr>
    </w:p>
    <w:p>
      <w:pPr>
        <w:jc w:val="center"/>
      </w:pPr>
    </w:p>
    <w:p>
      <w:pPr>
        <w:jc w:val="center"/>
      </w:pPr>
      <w:r>
        <w:rPr>
          <w:b/>
          <w:sz w:val="48"/>
        </w:rPr>
        <w:t>佛山市采购项目</w:t>
      </w:r>
    </w:p>
    <w:p>
      <w:pPr>
        <w:jc w:val="center"/>
      </w:pPr>
    </w:p>
    <w:p>
      <w:pPr>
        <w:jc w:val="center"/>
      </w:pPr>
      <w:r>
        <w:rPr>
          <w:b/>
          <w:sz w:val="52"/>
        </w:rPr>
        <w:t>合同书</w:t>
      </w:r>
    </w:p>
    <w:p>
      <w:pPr>
        <w:jc w:val="center"/>
      </w:pPr>
    </w:p>
    <w:p>
      <w:pPr>
        <w:jc w:val="center"/>
      </w:pPr>
    </w:p>
    <w:p>
      <w:pPr>
        <w:jc w:val="both"/>
      </w:pPr>
      <w:r>
        <w:rPr/>
        <w:t xml:space="preserve"> </w:t>
      </w:r>
    </w:p>
    <w:p>
      <w:pPr>
        <w:jc w:val="both"/>
      </w:pPr>
      <w:r>
        <w:rPr>
          <w:sz w:val="30"/>
        </w:rPr>
        <w:t>项目名称：电感耦合等离子体串联三重四级杆质谱仪(ICP-MS-MS)</w:t>
      </w:r>
    </w:p>
    <w:p>
      <w:pPr>
        <w:jc w:val="both"/>
      </w:pPr>
      <w:r>
        <w:rPr>
          <w:sz w:val="30"/>
        </w:rPr>
        <w:t>项目编号：GDHH2221G</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ind w:firstLine="425"/>
        <w:jc w:val="both"/>
      </w:pPr>
    </w:p>
    <w:p>
      <w:pPr>
        <w:ind w:firstLine="425"/>
        <w:jc w:val="both"/>
      </w:pPr>
    </w:p>
    <w:p>
      <w:pPr>
        <w:ind w:firstLine="425"/>
        <w:jc w:val="both"/>
      </w:pPr>
    </w:p>
    <w:p>
      <w:pPr>
        <w:ind w:firstLine="425"/>
        <w:jc w:val="both"/>
      </w:pPr>
    </w:p>
    <w:p>
      <w:pPr>
        <w:ind w:firstLine="425"/>
        <w:jc w:val="both"/>
      </w:pPr>
    </w:p>
    <w:p>
      <w:pPr>
        <w:ind w:firstLine="425"/>
        <w:jc w:val="both"/>
      </w:pPr>
    </w:p>
    <w:p>
      <w:pPr>
        <w:ind w:firstLine="425"/>
        <w:jc w:val="both"/>
      </w:pPr>
    </w:p>
    <w:p>
      <w:pPr>
        <w:jc w:val="both"/>
      </w:pPr>
    </w:p>
    <w:p>
      <w:pPr>
        <w:jc w:val="both"/>
      </w:pPr>
      <w:r>
        <w:rPr>
          <w:b/>
          <w:sz w:val="28"/>
        </w:rPr>
        <w:t>甲方：</w:t>
      </w:r>
      <w:r>
        <w:rPr>
          <w:b/>
          <w:sz w:val="30"/>
          <w:u w:val="single"/>
        </w:rPr>
        <w:t>佛山市疾病预防控制中心（佛山市卫生检验中心）</w:t>
      </w:r>
    </w:p>
    <w:p>
      <w:pPr>
        <w:jc w:val="both"/>
      </w:pPr>
      <w:r>
        <w:rPr>
          <w:b/>
          <w:sz w:val="28"/>
        </w:rPr>
        <w:t>乙方：</w:t>
      </w:r>
      <w:r>
        <w:rPr>
          <w:b/>
          <w:sz w:val="28"/>
          <w:u w:val="single"/>
        </w:rPr>
        <w:t xml:space="preserve">                     </w:t>
      </w:r>
    </w:p>
    <w:p>
      <w:pPr>
        <w:jc w:val="center"/>
      </w:pPr>
      <w:r>
        <w:rPr>
          <w:b/>
          <w:sz w:val="28"/>
        </w:rPr>
        <w:t>签订日期：2022年  月  日</w:t>
      </w:r>
    </w:p>
    <w:p/>
    <w:p/>
    <w:p>
      <w:pPr>
        <w:ind w:firstLine="425"/>
        <w:jc w:val="both"/>
      </w:pPr>
      <w:r>
        <w:rPr>
          <w:b/>
          <w:sz w:val="24"/>
        </w:rPr>
        <w:t>甲方：</w:t>
      </w:r>
      <w:r>
        <w:rPr>
          <w:b/>
          <w:sz w:val="24"/>
          <w:u w:val="single"/>
        </w:rPr>
        <w:t>佛山市疾病预防控制中心（佛山市卫生检验中心）</w:t>
      </w:r>
    </w:p>
    <w:p>
      <w:pPr>
        <w:ind w:firstLine="425"/>
        <w:jc w:val="both"/>
      </w:pPr>
      <w:r>
        <w:rPr>
          <w:b/>
          <w:sz w:val="24"/>
        </w:rPr>
        <w:t>乙方：</w:t>
      </w:r>
      <w:r>
        <w:rPr>
          <w:b/>
          <w:sz w:val="24"/>
          <w:u w:val="single"/>
        </w:rPr>
        <w:t xml:space="preserve">                               </w:t>
      </w:r>
      <w:r>
        <w:rPr>
          <w:sz w:val="21"/>
          <w:u w:val="single"/>
        </w:rPr>
        <w:t xml:space="preserve"> </w:t>
      </w:r>
    </w:p>
    <w:p>
      <w:pPr>
        <w:jc w:val="left"/>
      </w:pPr>
    </w:p>
    <w:p>
      <w:pPr>
        <w:ind w:firstLine="480"/>
        <w:jc w:val="both"/>
      </w:pPr>
      <w:r>
        <w:rPr>
          <w:sz w:val="24"/>
        </w:rPr>
        <w:t>根据《中华人民共和国民法典》、《广东省政府采购公开招标文件》（项目编号：GDHH2221G）（以下称招标文件）的要求，</w:t>
      </w:r>
      <w:r>
        <w:rPr>
          <w:sz w:val="24"/>
        </w:rPr>
        <w:t>经双方协商，</w:t>
      </w:r>
      <w:r>
        <w:rPr>
          <w:sz w:val="24"/>
        </w:rPr>
        <w:t>本着平等互利和诚实信用的原则，</w:t>
      </w:r>
      <w:r>
        <w:rPr>
          <w:sz w:val="24"/>
        </w:rPr>
        <w:t>一致同意签订本合同如下。</w:t>
      </w:r>
    </w:p>
    <w:p>
      <w:pPr>
        <w:ind w:firstLine="425"/>
        <w:jc w:val="both"/>
      </w:pPr>
      <w:r>
        <w:rPr>
          <w:b/>
          <w:sz w:val="24"/>
        </w:rPr>
        <w:t>第一条　项目名称</w:t>
      </w:r>
    </w:p>
    <w:p>
      <w:pPr>
        <w:ind w:firstLine="425"/>
        <w:jc w:val="both"/>
      </w:pPr>
      <w:r>
        <w:rPr>
          <w:sz w:val="24"/>
        </w:rPr>
        <w:t>项目名称：电感耦合等离子体串联三重四级杆质谱仪(ICP-MS-MS)</w:t>
      </w:r>
    </w:p>
    <w:p>
      <w:pPr>
        <w:ind w:firstLine="425"/>
        <w:jc w:val="both"/>
      </w:pPr>
      <w:r>
        <w:rPr>
          <w:sz w:val="24"/>
        </w:rPr>
        <w:t>项目编号：GDHH2221G</w:t>
      </w:r>
    </w:p>
    <w:p>
      <w:pPr>
        <w:ind w:firstLine="425"/>
        <w:jc w:val="both"/>
      </w:pPr>
      <w:r>
        <w:rPr>
          <w:b/>
          <w:sz w:val="24"/>
        </w:rPr>
        <w:t>第二条　货物清单</w:t>
      </w:r>
    </w:p>
    <w:tbl>
      <w:tblPr>
        <w:tblW w:w="0" w:type="auto"/>
        <w:tblBorders>
          <w:top w:val="single"/>
          <w:left w:val="single"/>
          <w:bottom w:val="single"/>
          <w:right w:val="single"/>
          <w:insideH w:val="single"/>
          <w:insideV w:val="single"/>
        </w:tblBorders>
      </w:tblPr>
      <w:tblGrid>
        <w:gridCol w:w="485"/>
        <w:gridCol w:w="1456"/>
        <w:gridCol w:w="633"/>
        <w:gridCol w:w="876"/>
        <w:gridCol w:w="647"/>
        <w:gridCol w:w="485"/>
        <w:gridCol w:w="417"/>
        <w:gridCol w:w="1402"/>
        <w:gridCol w:w="1402"/>
        <w:gridCol w:w="498"/>
      </w:tblGrid>
      <w:tr>
        <w:tc>
          <w:tcPr>
            <w:tcW w:type="dxa" w:w="485"/>
            <w:tcBorders>
              <w:top w:val="single" w:color="000000" w:sz="4"/>
              <w:left w:val="single" w:color="000000" w:sz="4"/>
              <w:bottom w:val="single" w:color="000000" w:sz="4"/>
              <w:right w:val="single" w:color="000000" w:sz="4"/>
            </w:tcBorders>
            <w:shd w:fill="D9D9D9"/>
          </w:tcPr>
          <w:p>
            <w:pPr>
              <w:jc w:val="center"/>
            </w:pPr>
            <w:r>
              <w:rPr>
                <w:sz w:val="24"/>
              </w:rPr>
              <w:t>序号</w:t>
            </w:r>
          </w:p>
        </w:tc>
        <w:tc>
          <w:tcPr>
            <w:tcW w:type="dxa" w:w="1456"/>
            <w:tcBorders>
              <w:top w:val="single" w:color="000000" w:sz="4"/>
              <w:left w:val="none" w:color="000000" w:sz="4"/>
              <w:bottom w:val="single" w:color="000000" w:sz="4"/>
              <w:right w:val="single" w:color="000000" w:sz="4"/>
            </w:tcBorders>
            <w:shd w:fill="D9D9D9"/>
          </w:tcPr>
          <w:p>
            <w:pPr>
              <w:jc w:val="center"/>
            </w:pPr>
            <w:r>
              <w:rPr>
                <w:sz w:val="24"/>
              </w:rPr>
              <w:t>名称</w:t>
            </w:r>
          </w:p>
        </w:tc>
        <w:tc>
          <w:tcPr>
            <w:tcW w:type="dxa" w:w="633"/>
            <w:tcBorders>
              <w:top w:val="single" w:color="000000" w:sz="4"/>
              <w:left w:val="none" w:color="000000" w:sz="4"/>
              <w:bottom w:val="single" w:color="000000" w:sz="4"/>
              <w:right w:val="single" w:color="000000" w:sz="4"/>
            </w:tcBorders>
            <w:shd w:fill="D9D9D9"/>
          </w:tcPr>
          <w:p>
            <w:pPr>
              <w:jc w:val="center"/>
            </w:pPr>
            <w:r>
              <w:rPr>
                <w:sz w:val="24"/>
              </w:rPr>
              <w:t>品牌</w:t>
            </w:r>
          </w:p>
        </w:tc>
        <w:tc>
          <w:tcPr>
            <w:tcW w:type="dxa" w:w="876"/>
            <w:tcBorders>
              <w:top w:val="single" w:color="000000" w:sz="4"/>
              <w:left w:val="none" w:color="000000" w:sz="4"/>
              <w:bottom w:val="single" w:color="000000" w:sz="4"/>
              <w:right w:val="single" w:color="000000" w:sz="4"/>
            </w:tcBorders>
            <w:shd w:fill="D9D9D9"/>
          </w:tcPr>
          <w:p>
            <w:pPr>
              <w:jc w:val="center"/>
            </w:pPr>
            <w:r>
              <w:rPr>
                <w:sz w:val="24"/>
              </w:rPr>
              <w:t>型号</w:t>
            </w:r>
          </w:p>
          <w:p>
            <w:pPr>
              <w:jc w:val="center"/>
            </w:pPr>
            <w:r>
              <w:rPr>
                <w:sz w:val="24"/>
              </w:rPr>
              <w:t>规格</w:t>
            </w:r>
          </w:p>
        </w:tc>
        <w:tc>
          <w:tcPr>
            <w:tcW w:type="dxa" w:w="647"/>
            <w:tcBorders>
              <w:top w:val="single" w:color="000000" w:sz="4"/>
              <w:left w:val="none" w:color="000000" w:sz="4"/>
              <w:bottom w:val="single" w:color="000000" w:sz="4"/>
              <w:right w:val="single" w:color="000000" w:sz="4"/>
            </w:tcBorders>
            <w:shd w:fill="D9D9D9"/>
          </w:tcPr>
          <w:p>
            <w:pPr>
              <w:jc w:val="center"/>
            </w:pPr>
            <w:r>
              <w:rPr>
                <w:sz w:val="24"/>
              </w:rPr>
              <w:t>产地</w:t>
            </w:r>
          </w:p>
        </w:tc>
        <w:tc>
          <w:tcPr>
            <w:tcW w:type="dxa" w:w="485"/>
            <w:tcBorders>
              <w:top w:val="single" w:color="000000" w:sz="4"/>
              <w:left w:val="none" w:color="000000" w:sz="4"/>
              <w:bottom w:val="single" w:color="000000" w:sz="4"/>
              <w:right w:val="single" w:color="000000" w:sz="4"/>
            </w:tcBorders>
            <w:shd w:fill="D9D9D9"/>
          </w:tcPr>
          <w:p>
            <w:pPr>
              <w:jc w:val="center"/>
            </w:pPr>
            <w:r>
              <w:rPr>
                <w:sz w:val="24"/>
              </w:rPr>
              <w:t>单位</w:t>
            </w:r>
          </w:p>
        </w:tc>
        <w:tc>
          <w:tcPr>
            <w:tcW w:type="dxa" w:w="417"/>
            <w:tcBorders>
              <w:top w:val="single" w:color="000000" w:sz="4"/>
              <w:left w:val="none" w:color="000000" w:sz="4"/>
              <w:bottom w:val="single" w:color="000000" w:sz="4"/>
              <w:right w:val="single" w:color="000000" w:sz="4"/>
            </w:tcBorders>
            <w:shd w:fill="D9D9D9"/>
          </w:tcPr>
          <w:p>
            <w:pPr>
              <w:jc w:val="center"/>
            </w:pPr>
            <w:r>
              <w:rPr>
                <w:sz w:val="24"/>
              </w:rPr>
              <w:t>数量</w:t>
            </w:r>
          </w:p>
        </w:tc>
        <w:tc>
          <w:tcPr>
            <w:tcW w:type="dxa" w:w="1402"/>
            <w:tcBorders>
              <w:top w:val="single" w:color="000000" w:sz="4"/>
              <w:left w:val="none" w:color="000000" w:sz="4"/>
              <w:bottom w:val="single" w:color="000000" w:sz="4"/>
              <w:right w:val="single" w:color="000000" w:sz="4"/>
            </w:tcBorders>
            <w:shd w:fill="D9D9D9"/>
          </w:tcPr>
          <w:p>
            <w:pPr>
              <w:jc w:val="center"/>
            </w:pPr>
            <w:r>
              <w:rPr>
                <w:sz w:val="24"/>
              </w:rPr>
              <w:t>单价（元）</w:t>
            </w:r>
          </w:p>
        </w:tc>
        <w:tc>
          <w:tcPr>
            <w:tcW w:type="dxa" w:w="1402"/>
            <w:tcBorders>
              <w:top w:val="single" w:color="000000" w:sz="4"/>
              <w:left w:val="none" w:color="000000" w:sz="4"/>
              <w:bottom w:val="single" w:color="000000" w:sz="4"/>
              <w:right w:val="single" w:color="000000" w:sz="4"/>
            </w:tcBorders>
            <w:shd w:fill="D9D9D9"/>
          </w:tcPr>
          <w:p>
            <w:pPr>
              <w:jc w:val="center"/>
            </w:pPr>
            <w:r>
              <w:rPr>
                <w:sz w:val="24"/>
              </w:rPr>
              <w:t>合计（元）</w:t>
            </w:r>
          </w:p>
        </w:tc>
        <w:tc>
          <w:tcPr>
            <w:tcW w:type="dxa" w:w="498"/>
            <w:tcBorders>
              <w:top w:val="single" w:color="000000" w:sz="4"/>
              <w:left w:val="none" w:color="000000" w:sz="4"/>
              <w:bottom w:val="single" w:color="000000" w:sz="4"/>
              <w:right w:val="single" w:color="000000" w:sz="4"/>
            </w:tcBorders>
            <w:shd w:fill="D9D9D9"/>
          </w:tcPr>
          <w:p>
            <w:pPr>
              <w:jc w:val="center"/>
            </w:pPr>
            <w:r>
              <w:rPr>
                <w:sz w:val="24"/>
              </w:rPr>
              <w:t>备注</w:t>
            </w:r>
          </w:p>
        </w:tc>
      </w:tr>
      <w:tr>
        <w:tc>
          <w:tcPr>
            <w:tcW w:type="dxa" w:w="485"/>
            <w:tcBorders>
              <w:top w:val="none" w:color="000000" w:sz="4"/>
              <w:left w:val="single" w:color="000000" w:sz="4"/>
              <w:bottom w:val="single" w:color="000000" w:sz="4"/>
              <w:right w:val="single" w:color="000000" w:sz="4"/>
            </w:tcBorders>
          </w:tcPr>
          <w:p>
            <w:pPr>
              <w:jc w:val="center"/>
            </w:pPr>
            <w:r>
              <w:rPr>
                <w:sz w:val="24"/>
              </w:rPr>
              <w:t>1</w:t>
            </w:r>
          </w:p>
        </w:tc>
        <w:tc>
          <w:tcPr>
            <w:tcW w:type="dxa" w:w="1456"/>
            <w:tcBorders>
              <w:top w:val="none" w:color="000000" w:sz="4"/>
              <w:left w:val="none" w:color="000000" w:sz="4"/>
              <w:bottom w:val="single" w:color="000000" w:sz="4"/>
              <w:right w:val="single" w:color="000000" w:sz="4"/>
            </w:tcBorders>
          </w:tcPr>
          <w:p>
            <w:pPr>
              <w:jc w:val="center"/>
            </w:pPr>
          </w:p>
        </w:tc>
        <w:tc>
          <w:tcPr>
            <w:tcW w:type="dxa" w:w="633"/>
            <w:tcBorders>
              <w:top w:val="none" w:color="000000" w:sz="4"/>
              <w:left w:val="none" w:color="000000" w:sz="4"/>
              <w:bottom w:val="single" w:color="000000" w:sz="4"/>
              <w:right w:val="single" w:color="000000" w:sz="4"/>
            </w:tcBorders>
          </w:tcPr>
          <w:p>
            <w:pPr>
              <w:jc w:val="center"/>
            </w:pPr>
          </w:p>
        </w:tc>
        <w:tc>
          <w:tcPr>
            <w:tcW w:type="dxa" w:w="876"/>
            <w:tcBorders>
              <w:top w:val="none" w:color="000000" w:sz="4"/>
              <w:left w:val="none" w:color="000000" w:sz="4"/>
              <w:bottom w:val="single" w:color="000000" w:sz="4"/>
              <w:right w:val="single" w:color="000000" w:sz="4"/>
            </w:tcBorders>
          </w:tcPr>
          <w:p>
            <w:pPr>
              <w:jc w:val="center"/>
            </w:pPr>
          </w:p>
        </w:tc>
        <w:tc>
          <w:tcPr>
            <w:tcW w:type="dxa" w:w="647"/>
            <w:tcBorders>
              <w:top w:val="none" w:color="000000" w:sz="4"/>
              <w:left w:val="none" w:color="000000" w:sz="4"/>
              <w:bottom w:val="single" w:color="000000" w:sz="4"/>
              <w:right w:val="single" w:color="000000" w:sz="4"/>
            </w:tcBorders>
          </w:tcPr>
          <w:p>
            <w:pPr>
              <w:jc w:val="center"/>
            </w:pPr>
          </w:p>
        </w:tc>
        <w:tc>
          <w:tcPr>
            <w:tcW w:type="dxa" w:w="485"/>
            <w:tcBorders>
              <w:top w:val="none" w:color="000000" w:sz="4"/>
              <w:left w:val="none" w:color="000000" w:sz="4"/>
              <w:bottom w:val="single" w:color="000000" w:sz="4"/>
              <w:right w:val="single" w:color="000000" w:sz="4"/>
            </w:tcBorders>
          </w:tcPr>
          <w:p>
            <w:pPr>
              <w:jc w:val="center"/>
            </w:pPr>
          </w:p>
        </w:tc>
        <w:tc>
          <w:tcPr>
            <w:tcW w:type="dxa" w:w="417"/>
            <w:tcBorders>
              <w:top w:val="none" w:color="000000" w:sz="4"/>
              <w:left w:val="none" w:color="000000" w:sz="4"/>
              <w:bottom w:val="single" w:color="000000" w:sz="4"/>
              <w:right w:val="single" w:color="000000" w:sz="4"/>
            </w:tcBorders>
          </w:tcPr>
          <w:p>
            <w:pPr>
              <w:jc w:val="center"/>
            </w:pPr>
          </w:p>
        </w:tc>
        <w:tc>
          <w:tcPr>
            <w:tcW w:type="dxa" w:w="1402"/>
            <w:tcBorders>
              <w:top w:val="none" w:color="000000" w:sz="4"/>
              <w:left w:val="none" w:color="000000" w:sz="4"/>
              <w:bottom w:val="single" w:color="000000" w:sz="4"/>
              <w:right w:val="single" w:color="000000" w:sz="4"/>
            </w:tcBorders>
          </w:tcPr>
          <w:p>
            <w:pPr>
              <w:jc w:val="center"/>
            </w:pPr>
          </w:p>
        </w:tc>
        <w:tc>
          <w:tcPr>
            <w:tcW w:type="dxa" w:w="1402"/>
            <w:tcBorders>
              <w:top w:val="none" w:color="000000" w:sz="4"/>
              <w:left w:val="none" w:color="000000" w:sz="4"/>
              <w:bottom w:val="single" w:color="000000" w:sz="4"/>
              <w:right w:val="single" w:color="000000" w:sz="4"/>
            </w:tcBorders>
          </w:tcPr>
          <w:p>
            <w:pPr>
              <w:jc w:val="center"/>
            </w:pPr>
          </w:p>
        </w:tc>
        <w:tc>
          <w:tcPr>
            <w:tcW w:type="dxa" w:w="498"/>
            <w:tcBorders>
              <w:top w:val="none" w:color="000000" w:sz="4"/>
              <w:left w:val="none" w:color="000000" w:sz="4"/>
              <w:bottom w:val="single" w:color="000000" w:sz="4"/>
              <w:right w:val="single" w:color="000000" w:sz="4"/>
            </w:tcBorders>
          </w:tcPr>
          <w:p>
            <w:pPr>
              <w:jc w:val="center"/>
            </w:pPr>
            <w:r>
              <w:rPr>
                <w:sz w:val="24"/>
              </w:rPr>
              <w:t>/</w:t>
            </w:r>
          </w:p>
        </w:tc>
      </w:tr>
      <w:tr>
        <w:tc>
          <w:tcPr>
            <w:tcW w:type="dxa" w:w="485"/>
            <w:tcBorders>
              <w:top w:val="none" w:color="000000" w:sz="4"/>
              <w:left w:val="single" w:color="000000" w:sz="4"/>
              <w:bottom w:val="single" w:color="000000" w:sz="4"/>
              <w:right w:val="single" w:color="000000" w:sz="4"/>
            </w:tcBorders>
          </w:tcPr>
          <w:p>
            <w:pPr>
              <w:jc w:val="center"/>
            </w:pPr>
            <w:r>
              <w:rPr>
                <w:sz w:val="24"/>
              </w:rPr>
              <w:t>2</w:t>
            </w:r>
          </w:p>
        </w:tc>
        <w:tc>
          <w:tcPr>
            <w:tcW w:type="dxa" w:w="1456"/>
            <w:tcBorders>
              <w:top w:val="none" w:color="000000" w:sz="4"/>
              <w:left w:val="none" w:color="000000" w:sz="4"/>
              <w:bottom w:val="single" w:color="000000" w:sz="4"/>
              <w:right w:val="single" w:color="000000" w:sz="4"/>
            </w:tcBorders>
          </w:tcPr>
          <w:p>
            <w:pPr>
              <w:jc w:val="center"/>
            </w:pPr>
          </w:p>
        </w:tc>
        <w:tc>
          <w:tcPr>
            <w:tcW w:type="dxa" w:w="633"/>
            <w:tcBorders>
              <w:top w:val="none" w:color="000000" w:sz="4"/>
              <w:left w:val="none" w:color="000000" w:sz="4"/>
              <w:bottom w:val="single" w:color="000000" w:sz="4"/>
              <w:right w:val="single" w:color="000000" w:sz="4"/>
            </w:tcBorders>
          </w:tcPr>
          <w:p>
            <w:pPr>
              <w:jc w:val="center"/>
            </w:pPr>
          </w:p>
        </w:tc>
        <w:tc>
          <w:tcPr>
            <w:tcW w:type="dxa" w:w="876"/>
            <w:tcBorders>
              <w:top w:val="none" w:color="000000" w:sz="4"/>
              <w:left w:val="none" w:color="000000" w:sz="4"/>
              <w:bottom w:val="single" w:color="000000" w:sz="4"/>
              <w:right w:val="single" w:color="000000" w:sz="4"/>
            </w:tcBorders>
          </w:tcPr>
          <w:p>
            <w:pPr>
              <w:jc w:val="center"/>
            </w:pPr>
          </w:p>
        </w:tc>
        <w:tc>
          <w:tcPr>
            <w:tcW w:type="dxa" w:w="647"/>
            <w:tcBorders>
              <w:top w:val="none" w:color="000000" w:sz="4"/>
              <w:left w:val="none" w:color="000000" w:sz="4"/>
              <w:bottom w:val="single" w:color="000000" w:sz="4"/>
              <w:right w:val="single" w:color="000000" w:sz="4"/>
            </w:tcBorders>
          </w:tcPr>
          <w:p>
            <w:pPr>
              <w:jc w:val="center"/>
            </w:pPr>
          </w:p>
        </w:tc>
        <w:tc>
          <w:tcPr>
            <w:tcW w:type="dxa" w:w="485"/>
            <w:tcBorders>
              <w:top w:val="none" w:color="000000" w:sz="4"/>
              <w:left w:val="none" w:color="000000" w:sz="4"/>
              <w:bottom w:val="single" w:color="000000" w:sz="4"/>
              <w:right w:val="single" w:color="000000" w:sz="4"/>
            </w:tcBorders>
          </w:tcPr>
          <w:p>
            <w:pPr>
              <w:jc w:val="center"/>
            </w:pPr>
          </w:p>
        </w:tc>
        <w:tc>
          <w:tcPr>
            <w:tcW w:type="dxa" w:w="417"/>
            <w:tcBorders>
              <w:top w:val="none" w:color="000000" w:sz="4"/>
              <w:left w:val="none" w:color="000000" w:sz="4"/>
              <w:bottom w:val="single" w:color="000000" w:sz="4"/>
              <w:right w:val="single" w:color="000000" w:sz="4"/>
            </w:tcBorders>
          </w:tcPr>
          <w:p>
            <w:pPr>
              <w:jc w:val="center"/>
            </w:pPr>
          </w:p>
        </w:tc>
        <w:tc>
          <w:tcPr>
            <w:tcW w:type="dxa" w:w="1402"/>
            <w:tcBorders>
              <w:top w:val="none" w:color="000000" w:sz="4"/>
              <w:left w:val="none" w:color="000000" w:sz="4"/>
              <w:bottom w:val="single" w:color="000000" w:sz="4"/>
              <w:right w:val="single" w:color="000000" w:sz="4"/>
            </w:tcBorders>
          </w:tcPr>
          <w:p>
            <w:pPr>
              <w:jc w:val="center"/>
            </w:pPr>
          </w:p>
        </w:tc>
        <w:tc>
          <w:tcPr>
            <w:tcW w:type="dxa" w:w="1402"/>
            <w:tcBorders>
              <w:top w:val="none" w:color="000000" w:sz="4"/>
              <w:left w:val="none" w:color="000000" w:sz="4"/>
              <w:bottom w:val="single" w:color="000000" w:sz="4"/>
              <w:right w:val="single" w:color="000000" w:sz="4"/>
            </w:tcBorders>
          </w:tcPr>
          <w:p>
            <w:pPr>
              <w:jc w:val="center"/>
            </w:pPr>
          </w:p>
        </w:tc>
        <w:tc>
          <w:tcPr>
            <w:tcW w:type="dxa" w:w="498"/>
            <w:tcBorders>
              <w:top w:val="none" w:color="000000" w:sz="4"/>
              <w:left w:val="none" w:color="000000" w:sz="4"/>
              <w:bottom w:val="single" w:color="000000" w:sz="4"/>
              <w:right w:val="single" w:color="000000" w:sz="4"/>
            </w:tcBorders>
          </w:tcPr>
          <w:p>
            <w:pPr>
              <w:jc w:val="center"/>
            </w:pPr>
            <w:r>
              <w:rPr>
                <w:sz w:val="24"/>
              </w:rPr>
              <w:t>/</w:t>
            </w:r>
          </w:p>
        </w:tc>
      </w:tr>
      <w:tr>
        <w:tc>
          <w:tcPr>
            <w:tcW w:type="dxa" w:w="8301"/>
            <w:gridSpan w:val="10"/>
            <w:tcBorders>
              <w:top w:val="none" w:color="000000" w:sz="4"/>
              <w:left w:val="single" w:color="000000" w:sz="4"/>
              <w:bottom w:val="single" w:color="000000" w:sz="4"/>
              <w:right w:val="single" w:color="000000" w:sz="4"/>
            </w:tcBorders>
          </w:tcPr>
          <w:p>
            <w:pPr>
              <w:jc w:val="both"/>
            </w:pPr>
            <w:r>
              <w:rPr>
                <w:sz w:val="21"/>
              </w:rPr>
              <w:t>说明：请将详细配置清单（中英文对照）及评审有关承诺列在合同附页，并加盖骑缝章。</w:t>
            </w:r>
          </w:p>
        </w:tc>
      </w:tr>
    </w:tbl>
    <w:p>
      <w:pPr>
        <w:ind w:firstLine="425"/>
        <w:jc w:val="both"/>
      </w:pPr>
      <w:r>
        <w:rPr>
          <w:b/>
          <w:sz w:val="24"/>
        </w:rPr>
        <w:t>第三条　项目标的主要内容及要求</w:t>
      </w:r>
    </w:p>
    <w:p>
      <w:pPr>
        <w:ind w:firstLine="425"/>
        <w:jc w:val="both"/>
      </w:pPr>
      <w:r>
        <w:rPr>
          <w:sz w:val="24"/>
        </w:rPr>
        <w:t>（详见附件）</w:t>
      </w:r>
    </w:p>
    <w:p>
      <w:pPr>
        <w:ind w:firstLine="425"/>
        <w:jc w:val="both"/>
      </w:pPr>
      <w:r>
        <w:rPr>
          <w:b/>
          <w:sz w:val="24"/>
        </w:rPr>
        <w:t>第四条　合同</w:t>
      </w:r>
      <w:r>
        <w:rPr>
          <w:b/>
          <w:sz w:val="24"/>
        </w:rPr>
        <w:t>金额</w:t>
      </w:r>
    </w:p>
    <w:p>
      <w:pPr>
        <w:jc w:val="both"/>
      </w:pPr>
      <w:r>
        <w:rPr>
          <w:b/>
          <w:sz w:val="24"/>
        </w:rPr>
        <w:t>1.</w:t>
      </w:r>
      <w:r>
        <w:rPr>
          <w:sz w:val="24"/>
        </w:rPr>
        <w:t>合同总额人民币小写：</w:t>
      </w:r>
      <w:r>
        <w:rPr>
          <w:sz w:val="24"/>
          <w:u w:val="single"/>
        </w:rPr>
        <w:t xml:space="preserve">￥        </w:t>
      </w:r>
      <w:r>
        <w:rPr>
          <w:sz w:val="24"/>
        </w:rPr>
        <w:t>元  大写：</w:t>
      </w:r>
      <w:r>
        <w:rPr>
          <w:sz w:val="24"/>
          <w:u w:val="single"/>
        </w:rPr>
        <w:t xml:space="preserve">        整</w:t>
      </w:r>
      <w:r>
        <w:rPr>
          <w:sz w:val="24"/>
        </w:rPr>
        <w:t>。</w:t>
      </w:r>
    </w:p>
    <w:p>
      <w:pPr>
        <w:jc w:val="both"/>
      </w:pPr>
      <w:r>
        <w:rPr>
          <w:b/>
          <w:sz w:val="24"/>
        </w:rPr>
        <w:t>2.</w:t>
      </w:r>
      <w:r>
        <w:rPr>
          <w:sz w:val="24"/>
        </w:rPr>
        <w:t>合同总额包括设备及零配件的购置和安装、运输、保险、装卸、培训辅导、质保期售后服务、全额含税发票、雇员费用、合同实施过程中的应预见或不可预见费用等。</w:t>
      </w:r>
    </w:p>
    <w:p>
      <w:pPr>
        <w:jc w:val="both"/>
      </w:pPr>
      <w:r>
        <w:rPr>
          <w:b/>
          <w:sz w:val="24"/>
        </w:rPr>
        <w:t>3.</w:t>
      </w:r>
      <w:r>
        <w:rPr>
          <w:sz w:val="24"/>
        </w:rPr>
        <w:t>价格为固定不变价，天数为自然日。</w:t>
      </w:r>
    </w:p>
    <w:p>
      <w:pPr>
        <w:ind w:firstLine="425"/>
        <w:jc w:val="both"/>
      </w:pPr>
      <w:r>
        <w:rPr>
          <w:b/>
          <w:sz w:val="24"/>
        </w:rPr>
        <w:t>第五条　付款方式</w:t>
      </w:r>
    </w:p>
    <w:p>
      <w:pPr>
        <w:ind w:firstLine="482"/>
        <w:jc w:val="both"/>
      </w:pPr>
      <w:r>
        <w:rPr>
          <w:b/>
          <w:sz w:val="24"/>
        </w:rPr>
        <w:t>1.</w:t>
      </w:r>
      <w:r>
        <w:rPr>
          <w:sz w:val="24"/>
        </w:rPr>
        <w:t>设备到达甲方指定收货地点，经甲方确认货物数量后，支付合同总额的95％，合计：</w:t>
      </w:r>
      <w:r>
        <w:rPr>
          <w:sz w:val="24"/>
          <w:u w:val="single"/>
        </w:rPr>
        <w:t>￥     元（人民币     整）</w:t>
      </w:r>
      <w:r>
        <w:rPr>
          <w:sz w:val="24"/>
        </w:rPr>
        <w:t>；</w:t>
      </w:r>
    </w:p>
    <w:p>
      <w:pPr>
        <w:ind w:firstLine="482"/>
        <w:jc w:val="both"/>
      </w:pPr>
      <w:r>
        <w:rPr>
          <w:b/>
          <w:sz w:val="24"/>
        </w:rPr>
        <w:t>2</w:t>
      </w:r>
      <w:r>
        <w:rPr>
          <w:sz w:val="24"/>
        </w:rPr>
        <w:t>.</w:t>
      </w:r>
      <w:r>
        <w:rPr>
          <w:sz w:val="24"/>
        </w:rPr>
        <w:t>设备安装调试验收合格，投入使用正常运行1年后支付合同总额的5％，合计：</w:t>
      </w:r>
      <w:r>
        <w:rPr>
          <w:sz w:val="24"/>
          <w:u w:val="single"/>
        </w:rPr>
        <w:t>￥     元（人民币     整）</w:t>
      </w:r>
      <w:r>
        <w:rPr>
          <w:sz w:val="24"/>
        </w:rPr>
        <w:t>。</w:t>
      </w:r>
    </w:p>
    <w:p>
      <w:pPr>
        <w:ind w:firstLine="425"/>
        <w:jc w:val="both"/>
      </w:pPr>
      <w:r>
        <w:rPr>
          <w:b/>
          <w:sz w:val="24"/>
        </w:rPr>
        <w:t>第六条　交付时间、地点</w:t>
      </w:r>
    </w:p>
    <w:p>
      <w:pPr>
        <w:jc w:val="both"/>
      </w:pPr>
      <w:r>
        <w:rPr>
          <w:b/>
          <w:sz w:val="24"/>
        </w:rPr>
        <w:t>1.</w:t>
      </w:r>
      <w:r>
        <w:rPr>
          <w:sz w:val="24"/>
        </w:rPr>
        <w:t>交货地点：甲方所在地，地址为</w:t>
      </w:r>
      <w:r>
        <w:rPr>
          <w:sz w:val="24"/>
          <w:u w:val="single"/>
        </w:rPr>
        <w:t>广东省佛山市禅城区影萌路3号</w:t>
      </w:r>
      <w:r>
        <w:rPr>
          <w:sz w:val="24"/>
        </w:rPr>
        <w:t>。</w:t>
      </w:r>
    </w:p>
    <w:p>
      <w:pPr>
        <w:jc w:val="both"/>
      </w:pPr>
      <w:r>
        <w:rPr>
          <w:b/>
          <w:sz w:val="24"/>
        </w:rPr>
        <w:t>2.</w:t>
      </w:r>
      <w:r>
        <w:rPr>
          <w:sz w:val="24"/>
        </w:rPr>
        <w:t>交货期限：合同生效后</w:t>
      </w:r>
      <w:r>
        <w:rPr>
          <w:sz w:val="24"/>
          <w:u w:val="single"/>
        </w:rPr>
        <w:t>150</w:t>
      </w:r>
      <w:r>
        <w:rPr>
          <w:sz w:val="24"/>
        </w:rPr>
        <w:t>天内完成并可交付。</w:t>
      </w:r>
    </w:p>
    <w:p>
      <w:pPr>
        <w:ind w:firstLine="425"/>
        <w:jc w:val="both"/>
      </w:pPr>
      <w:r>
        <w:rPr>
          <w:b/>
          <w:sz w:val="24"/>
        </w:rPr>
        <w:t>第七条　验收标准与要求</w:t>
      </w:r>
    </w:p>
    <w:p>
      <w:pPr>
        <w:jc w:val="left"/>
      </w:pPr>
      <w:r>
        <w:rPr>
          <w:b/>
          <w:sz w:val="24"/>
        </w:rPr>
        <w:t>1.</w:t>
      </w:r>
      <w:r>
        <w:rPr>
          <w:sz w:val="24"/>
        </w:rPr>
        <w:t>货物须为原制造商制造的全新合格产品，整机无污染，无侵权行为、表面无划损、无任何缺陷隐患，能够符合甲方要求正常运行，在中国境内可依常规安全合法使用。</w:t>
      </w:r>
    </w:p>
    <w:p>
      <w:pPr>
        <w:jc w:val="left"/>
      </w:pPr>
      <w:r>
        <w:rPr>
          <w:b/>
          <w:sz w:val="24"/>
        </w:rPr>
        <w:t>2.</w:t>
      </w:r>
      <w:r>
        <w:rPr>
          <w:sz w:val="24"/>
        </w:rPr>
        <w:t>项目验收依次序对照执行标准为：①符合中华人民共和国国家和履约地相关安全质量标准、行业技术规范标准、环保节能标准；②符合招标文件和甲方认可的合理最佳配置、参数规格及各项要求；③货物来源国官方颁布的最新标准；④双方约定的其他验收标准。</w:t>
      </w:r>
    </w:p>
    <w:p>
      <w:pPr>
        <w:jc w:val="left"/>
      </w:pPr>
      <w:r>
        <w:rPr>
          <w:b/>
          <w:sz w:val="24"/>
        </w:rPr>
        <w:t>3.</w:t>
      </w:r>
      <w:r>
        <w:rPr>
          <w:sz w:val="24"/>
        </w:rPr>
        <w:t>包装标准为原厂制造商未启封全新包装，具出厂合格证，序列号、包装箱号与出厂批号一致，并可追索查阅。所有随设备的附件必须全新齐全。</w:t>
      </w:r>
    </w:p>
    <w:p>
      <w:pPr>
        <w:jc w:val="left"/>
      </w:pPr>
      <w:r>
        <w:rPr>
          <w:b/>
          <w:sz w:val="24"/>
        </w:rPr>
        <w:t>4.</w:t>
      </w:r>
      <w:r>
        <w:rPr>
          <w:sz w:val="24"/>
        </w:rPr>
        <w:t>中标货物应在验收交付前提交当地法定或甲方认可的专业计量部门出具的检定/校准合格证书，检定/校准费用由乙方负责。</w:t>
      </w:r>
    </w:p>
    <w:p>
      <w:pPr>
        <w:ind w:firstLine="425"/>
        <w:jc w:val="both"/>
      </w:pPr>
      <w:r>
        <w:rPr>
          <w:b/>
          <w:sz w:val="24"/>
        </w:rPr>
        <w:t>第八条　制作与</w:t>
      </w:r>
      <w:r>
        <w:rPr>
          <w:b/>
          <w:sz w:val="24"/>
        </w:rPr>
        <w:t>交付</w:t>
      </w:r>
    </w:p>
    <w:p>
      <w:pPr>
        <w:ind w:firstLine="480"/>
        <w:jc w:val="both"/>
      </w:pPr>
      <w:r>
        <w:rPr>
          <w:sz w:val="24"/>
        </w:rPr>
        <w:t>以符合招标文件要求和响应承诺的前提下，乙方将货物制作与交付至最佳状态且双方均认为满意，双方通过验收形成书面验收报告。</w:t>
      </w:r>
    </w:p>
    <w:p>
      <w:pPr>
        <w:ind w:firstLine="425"/>
        <w:jc w:val="both"/>
      </w:pPr>
      <w:r>
        <w:rPr>
          <w:b/>
          <w:sz w:val="24"/>
        </w:rPr>
        <w:t>第九条　质保期及售后服务要求</w:t>
      </w:r>
    </w:p>
    <w:p>
      <w:pPr>
        <w:jc w:val="both"/>
      </w:pPr>
      <w:r>
        <w:rPr>
          <w:b/>
          <w:sz w:val="24"/>
        </w:rPr>
        <w:t>1.</w:t>
      </w:r>
      <w:r>
        <w:rPr>
          <w:sz w:val="24"/>
        </w:rPr>
        <w:t>质量保证期（简称“质保期”）：仪器设备调试安装正式</w:t>
      </w:r>
      <w:r>
        <w:rPr>
          <w:sz w:val="24"/>
        </w:rPr>
        <w:t>投入使用之日起</w:t>
      </w:r>
      <w:r>
        <w:rPr>
          <w:sz w:val="24"/>
          <w:u w:val="single"/>
        </w:rPr>
        <w:t>三</w:t>
      </w:r>
      <w:r>
        <w:rPr>
          <w:sz w:val="24"/>
        </w:rPr>
        <w:t>年。</w:t>
      </w:r>
    </w:p>
    <w:p>
      <w:pPr>
        <w:jc w:val="both"/>
      </w:pPr>
      <w:r>
        <w:rPr>
          <w:b/>
          <w:sz w:val="24"/>
        </w:rPr>
        <w:t>2.</w:t>
      </w:r>
      <w:r>
        <w:rPr>
          <w:sz w:val="24"/>
        </w:rPr>
        <w:t>质保期内，如设备因自身故障致停用时间累计超过20天时，则质保期在状态恢复正常时重新计算或对故障设备予以重新更换。质保期满后，对所供应的货物设备可提供终身维护保养。</w:t>
      </w:r>
    </w:p>
    <w:p>
      <w:pPr>
        <w:jc w:val="both"/>
      </w:pPr>
      <w:r>
        <w:rPr>
          <w:b/>
          <w:sz w:val="24"/>
        </w:rPr>
        <w:t>3.</w:t>
      </w:r>
      <w:r>
        <w:rPr>
          <w:sz w:val="24"/>
        </w:rPr>
        <w:t>乙方应提供厂家销售授权书和售后服务承诺保证书。</w:t>
      </w:r>
    </w:p>
    <w:p>
      <w:pPr>
        <w:jc w:val="both"/>
      </w:pPr>
      <w:r>
        <w:rPr>
          <w:b/>
          <w:sz w:val="24"/>
        </w:rPr>
        <w:t>4.</w:t>
      </w:r>
      <w:r>
        <w:rPr>
          <w:sz w:val="24"/>
        </w:rPr>
        <w:t>免费保修期：验收合格后的设备保质期，质保期内包修、包换、包退、包维护保养，期满后可同时提供终身 (有偿) 维修保养服务；</w:t>
      </w:r>
    </w:p>
    <w:p>
      <w:pPr>
        <w:jc w:val="both"/>
      </w:pPr>
      <w:r>
        <w:rPr>
          <w:b/>
          <w:sz w:val="24"/>
        </w:rPr>
        <w:t>5.</w:t>
      </w:r>
      <w:r>
        <w:rPr>
          <w:sz w:val="24"/>
        </w:rPr>
        <w:t>维修服务收费标准：免费保修期后，提供终身维护服务，只按厂价收取所换的材料费，不收取任何维护或人工费用。乙方在质保期和维护期内负责甲方的产品升级的服务工作，并提供相关的信息技术和跟进工作，且不收取任何服务费用。</w:t>
      </w:r>
    </w:p>
    <w:p>
      <w:pPr>
        <w:jc w:val="both"/>
      </w:pPr>
      <w:r>
        <w:rPr>
          <w:b/>
          <w:sz w:val="24"/>
        </w:rPr>
        <w:t>6.</w:t>
      </w:r>
      <w:r>
        <w:rPr>
          <w:sz w:val="24"/>
        </w:rPr>
        <w:t>培训团队：根据甲方需求，在甲方所在单位开展现场培训工作，培训对象包括但不限于设备主要使用者、维护人员、管理人员等。</w:t>
      </w:r>
    </w:p>
    <w:p>
      <w:pPr>
        <w:jc w:val="both"/>
      </w:pPr>
      <w:r>
        <w:rPr>
          <w:b/>
          <w:sz w:val="24"/>
        </w:rPr>
        <w:t>7.</w:t>
      </w:r>
      <w:r>
        <w:rPr>
          <w:sz w:val="24"/>
        </w:rPr>
        <w:t>根据甲方需求，乙方应进行现场设备培训集中指导。同时，根据设备使用情况，随时可提供技术支持。</w:t>
      </w:r>
    </w:p>
    <w:p>
      <w:pPr>
        <w:jc w:val="both"/>
      </w:pPr>
      <w:r>
        <w:rPr>
          <w:b/>
          <w:sz w:val="24"/>
        </w:rPr>
        <w:t>8.</w:t>
      </w:r>
      <w:r>
        <w:rPr>
          <w:sz w:val="24"/>
        </w:rPr>
        <w:t>现场3天培训：乙方应指派专业工程师对甲方就设备的使用、仪器原理、基本操作日常维护保养等进行现场培训，保障甲方能熟练掌握操作、日常维护及及时排除大部分的系统障碍，保障甲方能够搭建数据库并将相关数据准确储存至甲方指定服务器或终端，包括备份操作。</w:t>
      </w:r>
    </w:p>
    <w:p>
      <w:pPr>
        <w:jc w:val="both"/>
      </w:pPr>
      <w:r>
        <w:rPr>
          <w:b/>
          <w:sz w:val="24"/>
        </w:rPr>
        <w:t>9.</w:t>
      </w:r>
      <w:r>
        <w:rPr>
          <w:sz w:val="24"/>
        </w:rPr>
        <w:t>培训效果及质量保证：乙方应接受甲方对培训结束后进行的效果评估，如经甲方评估为不合格的，乙方应另行指派人员重新进行培训。</w:t>
      </w:r>
    </w:p>
    <w:p>
      <w:pPr>
        <w:jc w:val="both"/>
      </w:pPr>
      <w:r>
        <w:rPr>
          <w:b/>
          <w:sz w:val="24"/>
        </w:rPr>
        <w:t>10.</w:t>
      </w:r>
      <w:r>
        <w:rPr>
          <w:sz w:val="24"/>
        </w:rPr>
        <w:t>为甲方提供定制培训，提供4个免费的厂家级培训名额，其中不少于2人的高级技术培训班的名额（课程包含理解原理，掌握ICP-MS/MS的完整操作、日常维护、建立故障诊断的思路，快速识别干扰并进行干扰的校正，发挥MS/MS反应模式的优势特点，使用多模式进行结果的验证等）。</w:t>
      </w:r>
    </w:p>
    <w:p>
      <w:pPr>
        <w:jc w:val="both"/>
      </w:pPr>
      <w:r>
        <w:rPr>
          <w:b/>
          <w:sz w:val="24"/>
        </w:rPr>
        <w:t>11.</w:t>
      </w:r>
      <w:r>
        <w:rPr>
          <w:sz w:val="24"/>
        </w:rPr>
        <w:t>乙方应设有稳定可靠的售后服务机构或同类合作机构</w:t>
      </w:r>
      <w:r>
        <w:rPr>
          <w:sz w:val="24"/>
        </w:rPr>
        <w:t>。</w:t>
      </w:r>
    </w:p>
    <w:p>
      <w:pPr>
        <w:jc w:val="both"/>
      </w:pPr>
      <w:r>
        <w:rPr>
          <w:b/>
          <w:sz w:val="24"/>
        </w:rPr>
        <w:t>12.</w:t>
      </w:r>
      <w:r>
        <w:rPr>
          <w:sz w:val="24"/>
        </w:rPr>
        <w:t>乙方提供常设7天×24小时热线服务和长期的免费技术支持。对甲方的售后服务通知，</w:t>
      </w:r>
      <w:r>
        <w:rPr>
          <w:sz w:val="24"/>
        </w:rPr>
        <w:t>厂家在广东省内配备售后工程师，2小时内响应，24小时内到现场</w:t>
      </w:r>
      <w:r>
        <w:rPr>
          <w:sz w:val="24"/>
        </w:rPr>
        <w:t>，48小时内处理完毕。如48小时内未处理完毕，乙方提供相同档次备用设备予甲方临时使用或采取应急措施解决，不得影响甲方的正常工作业务</w:t>
      </w:r>
      <w:r>
        <w:rPr>
          <w:sz w:val="24"/>
        </w:rPr>
        <w:t>。在质保期内货物出现质量问题（人为因素造成的例外），乙方无条件更换。因仪器故障而停用的时间，免费质保期累计相应顺延。</w:t>
      </w:r>
    </w:p>
    <w:p>
      <w:pPr>
        <w:jc w:val="both"/>
      </w:pPr>
      <w:r>
        <w:rPr>
          <w:b/>
          <w:sz w:val="24"/>
        </w:rPr>
        <w:t>13.</w:t>
      </w:r>
      <w:r>
        <w:rPr>
          <w:sz w:val="24"/>
        </w:rPr>
        <w:t>质保期内须提供周期上门免费服务：周期为2个月一次；形式为预约上门，服务内容为周期保养检修、检测系统运行状况、处理使用过程中出现问题等，并免费提供维修所需的配件及服务。</w:t>
      </w:r>
    </w:p>
    <w:p>
      <w:pPr>
        <w:jc w:val="both"/>
      </w:pPr>
      <w:r>
        <w:rPr>
          <w:b/>
          <w:sz w:val="24"/>
        </w:rPr>
        <w:t>14.</w:t>
      </w:r>
      <w:r>
        <w:rPr>
          <w:sz w:val="24"/>
        </w:rPr>
        <w:t>乙方送货时应一并提供完整的厂家维修手册、维修软件；提供设备所需耗材清单及相应订购渠道，保证耗材价格为市场最低价（超出部分甲方保留向乙方追索权利）；提供代理商及厂家售后服务机构联络方式；提供完整安装软件，用于日后系统重装；提供设备的运行、安装、使用环境要求；</w:t>
      </w:r>
      <w:r>
        <w:rPr>
          <w:sz w:val="24"/>
        </w:rPr>
        <w:t>终身提供免费技术咨询、编程、上门应用服务，以及在线远程技术服务</w:t>
      </w:r>
      <w:r>
        <w:rPr>
          <w:sz w:val="24"/>
        </w:rPr>
        <w:t>。</w:t>
      </w:r>
    </w:p>
    <w:p>
      <w:pPr>
        <w:jc w:val="both"/>
      </w:pPr>
      <w:r>
        <w:rPr>
          <w:b/>
          <w:sz w:val="24"/>
        </w:rPr>
        <w:t>15.</w:t>
      </w:r>
      <w:r>
        <w:rPr>
          <w:sz w:val="24"/>
        </w:rPr>
        <w:t>设备安装调试时，乙方应向甲方提供设备的检验报告（或相关合格证书）、全套使用说明书及操作手册；外文资料均需有中文译本。</w:t>
      </w:r>
    </w:p>
    <w:p>
      <w:pPr>
        <w:jc w:val="both"/>
      </w:pPr>
      <w:r>
        <w:rPr>
          <w:b/>
          <w:sz w:val="24"/>
        </w:rPr>
        <w:t>16.</w:t>
      </w:r>
      <w:r>
        <w:rPr>
          <w:sz w:val="24"/>
        </w:rPr>
        <w:t>乙方提供仪器的现场安装调试并达到投标书指标要求的技术性能，并同时在现场对用户进行操作培训。如果由于仪器本身原因而在六十天内调试没有通过，乙方必须更换一套新的相同型号或符合技术性能的仪器设备。</w:t>
      </w:r>
    </w:p>
    <w:p>
      <w:pPr>
        <w:jc w:val="both"/>
      </w:pPr>
      <w:r>
        <w:rPr>
          <w:b/>
          <w:sz w:val="24"/>
        </w:rPr>
        <w:t>17.</w:t>
      </w:r>
      <w:r>
        <w:rPr>
          <w:sz w:val="24"/>
        </w:rPr>
        <w:t>仪器在安装验收投入使用之日起提供36个月免费保修服务，在保修期内，所有服务及配件全部免费,每年提供一次上门仪器维护性保养的全套服务。乙方在中国设有保税库，能更及时地为用户提供备品备件。</w:t>
      </w:r>
    </w:p>
    <w:p>
      <w:pPr>
        <w:jc w:val="both"/>
      </w:pPr>
      <w:r>
        <w:rPr>
          <w:b/>
          <w:sz w:val="24"/>
        </w:rPr>
        <w:t>18.</w:t>
      </w:r>
      <w:r>
        <w:rPr>
          <w:sz w:val="24"/>
        </w:rPr>
        <w:t>乙方在国内应设有培训中心及专业的维修站，有专职的维修工程师及应用工程师有效保证售后维修的及时、快捷，并负责提供技术支持，保证仪器的正常操作，并协助用户进行方法开发。</w:t>
      </w:r>
    </w:p>
    <w:p>
      <w:pPr>
        <w:jc w:val="both"/>
      </w:pPr>
      <w:r>
        <w:rPr>
          <w:b/>
          <w:sz w:val="24"/>
        </w:rPr>
        <w:t>19.</w:t>
      </w:r>
      <w:r>
        <w:rPr>
          <w:sz w:val="24"/>
        </w:rPr>
        <w:t>检定/校准合格作为验收指标之一，乙方在设备安装调试，正常运行后，委托有资质的计量机构完成检定/校准，检定/校准费用由乙方承担。</w:t>
      </w:r>
    </w:p>
    <w:p>
      <w:pPr>
        <w:jc w:val="both"/>
      </w:pPr>
      <w:r>
        <w:rPr>
          <w:b/>
          <w:sz w:val="24"/>
        </w:rPr>
        <w:t>20.</w:t>
      </w:r>
      <w:r>
        <w:rPr>
          <w:sz w:val="24"/>
        </w:rPr>
        <w:t>乙方售后服务机构名称及地址：</w:t>
      </w:r>
    </w:p>
    <w:p>
      <w:pPr>
        <w:jc w:val="both"/>
      </w:pPr>
      <w:r>
        <w:rPr>
          <w:sz w:val="24"/>
        </w:rPr>
        <w:t>20.1</w:t>
      </w:r>
      <w:r>
        <w:rPr>
          <w:sz w:val="21"/>
        </w:rPr>
        <w:t>.</w:t>
      </w:r>
      <w:r>
        <w:rPr>
          <w:sz w:val="24"/>
        </w:rPr>
        <w:t>代理商售后服务机构名称：</w:t>
      </w:r>
      <w:r>
        <w:rPr>
          <w:sz w:val="24"/>
          <w:u w:val="single"/>
        </w:rPr>
        <w:t xml:space="preserve">                                            </w:t>
      </w:r>
      <w:r>
        <w:rPr>
          <w:sz w:val="24"/>
        </w:rPr>
        <w:t>；</w:t>
      </w:r>
    </w:p>
    <w:p>
      <w:pPr>
        <w:ind w:firstLine="720"/>
        <w:jc w:val="both"/>
      </w:pPr>
      <w:r>
        <w:rPr>
          <w:sz w:val="24"/>
        </w:rPr>
        <w:t>联系人：</w:t>
      </w:r>
      <w:r>
        <w:rPr>
          <w:sz w:val="24"/>
          <w:u w:val="single"/>
        </w:rPr>
        <w:t xml:space="preserve">       </w:t>
      </w:r>
      <w:r>
        <w:rPr>
          <w:sz w:val="24"/>
        </w:rPr>
        <w:t>，联系电话和手机：</w:t>
      </w:r>
      <w:r>
        <w:rPr>
          <w:sz w:val="24"/>
          <w:u w:val="single"/>
        </w:rPr>
        <w:t xml:space="preserve">            </w:t>
      </w:r>
      <w:r>
        <w:rPr>
          <w:sz w:val="24"/>
        </w:rPr>
        <w:t>，传真：</w:t>
      </w:r>
      <w:r>
        <w:rPr>
          <w:sz w:val="24"/>
          <w:u w:val="single"/>
        </w:rPr>
        <w:t xml:space="preserve">            </w:t>
      </w:r>
    </w:p>
    <w:p>
      <w:pPr>
        <w:jc w:val="both"/>
      </w:pPr>
      <w:r>
        <w:rPr>
          <w:sz w:val="24"/>
        </w:rPr>
        <w:t>20.2.</w:t>
      </w:r>
      <w:r>
        <w:rPr>
          <w:sz w:val="24"/>
        </w:rPr>
        <w:t>厂家售后服务机构名称：</w:t>
      </w:r>
      <w:r>
        <w:rPr>
          <w:sz w:val="24"/>
          <w:u w:val="single"/>
        </w:rPr>
        <w:t xml:space="preserve">                                              </w:t>
      </w:r>
      <w:r>
        <w:rPr>
          <w:sz w:val="24"/>
        </w:rPr>
        <w:t>；</w:t>
      </w:r>
    </w:p>
    <w:p>
      <w:pPr>
        <w:ind w:firstLine="665"/>
        <w:jc w:val="left"/>
      </w:pPr>
      <w:r>
        <w:rPr>
          <w:sz w:val="24"/>
        </w:rPr>
        <w:t>联系人：</w:t>
      </w:r>
      <w:r>
        <w:rPr>
          <w:sz w:val="24"/>
          <w:u w:val="single"/>
        </w:rPr>
        <w:t xml:space="preserve">       </w:t>
      </w:r>
      <w:r>
        <w:rPr>
          <w:sz w:val="24"/>
        </w:rPr>
        <w:t>，联系电话和手机：</w:t>
      </w:r>
      <w:r>
        <w:rPr>
          <w:sz w:val="24"/>
          <w:u w:val="single"/>
        </w:rPr>
        <w:t xml:space="preserve">            </w:t>
      </w:r>
      <w:r>
        <w:rPr>
          <w:sz w:val="24"/>
        </w:rPr>
        <w:t>，传真：</w:t>
      </w:r>
      <w:r>
        <w:rPr>
          <w:sz w:val="24"/>
          <w:u w:val="single"/>
        </w:rPr>
        <w:t xml:space="preserve">            </w:t>
      </w:r>
    </w:p>
    <w:p>
      <w:pPr>
        <w:jc w:val="both"/>
      </w:pPr>
      <w:r>
        <w:rPr>
          <w:sz w:val="24"/>
        </w:rPr>
        <w:t>20.3.</w:t>
      </w:r>
      <w:r>
        <w:rPr>
          <w:sz w:val="24"/>
        </w:rPr>
        <w:t>乙方保证厂家售后服务机构具备相应授权及资质，承担与乙方同等的质保期、维护期义务。若厂家售后服务机构有变动，应至少提前15个工作日与甲方联系，甲方以书面答复确认视为已知悉，否则乙方须承担因通知不及时导致甲方产生的一切损失。</w:t>
      </w:r>
    </w:p>
    <w:p>
      <w:pPr>
        <w:ind w:firstLine="425"/>
        <w:jc w:val="both"/>
      </w:pPr>
      <w:r>
        <w:rPr>
          <w:b/>
          <w:sz w:val="24"/>
        </w:rPr>
        <w:t>第十条　违约责任</w:t>
      </w:r>
    </w:p>
    <w:p>
      <w:pPr>
        <w:jc w:val="both"/>
      </w:pPr>
      <w:r>
        <w:rPr>
          <w:b/>
          <w:sz w:val="24"/>
        </w:rPr>
        <w:t>1.</w:t>
      </w:r>
      <w:r>
        <w:rPr>
          <w:sz w:val="24"/>
        </w:rPr>
        <w:t>乙方交付的货物或提供的服务不符合</w:t>
      </w:r>
      <w:r>
        <w:rPr>
          <w:sz w:val="24"/>
        </w:rPr>
        <w:t>招标文件</w:t>
      </w:r>
      <w:r>
        <w:rPr>
          <w:sz w:val="24"/>
        </w:rPr>
        <w:t>、投标文件或本合同规定的，甲方有权拒收，并且乙方须向甲方支付本合同总价20%的违约金。</w:t>
      </w:r>
    </w:p>
    <w:p>
      <w:pPr>
        <w:jc w:val="both"/>
      </w:pPr>
      <w:r>
        <w:rPr>
          <w:b/>
          <w:sz w:val="24"/>
        </w:rPr>
        <w:t>2.</w:t>
      </w:r>
      <w:r>
        <w:rPr>
          <w:sz w:val="24"/>
        </w:rPr>
        <w:t>乙方未按要求履行合同义务时，甲方有权拒绝验收，且对逾期交付的货物或工程，乙方从逾期之日起每日按合同总额的2‰比例向甲方支付违约金；逾期15日以上时，甲方有权终止合同，并有权要求乙方按照合同总额的20%支付违约金。违约金不足以弥补损失的，乙方应按全额赔偿。</w:t>
      </w:r>
    </w:p>
    <w:p>
      <w:pPr>
        <w:jc w:val="both"/>
      </w:pPr>
      <w:r>
        <w:rPr>
          <w:b/>
          <w:sz w:val="24"/>
        </w:rPr>
        <w:t>3.</w:t>
      </w:r>
      <w:r>
        <w:rPr>
          <w:sz w:val="24"/>
        </w:rPr>
        <w:t>因乙方交付货物存在质量问题或培训指导不当，导致甲方在操作过程中发生样本损毁、数据丢失、数据出错等情形，甲方有权要求乙方采取补救措施，补救不及时或无法补救的，甲方有权要求乙方按照合同总额的20%支付违约金。违约金不足以弥补损失的，乙方应按全额赔偿。</w:t>
      </w:r>
    </w:p>
    <w:p>
      <w:pPr>
        <w:jc w:val="both"/>
      </w:pPr>
      <w:r>
        <w:rPr>
          <w:b/>
          <w:sz w:val="24"/>
        </w:rPr>
        <w:t>4.</w:t>
      </w:r>
      <w:r>
        <w:rPr>
          <w:sz w:val="24"/>
        </w:rPr>
        <w:t>甲方未按要求履行合同义务时，且无正当理由拖延付款时，甲方须向乙方支付滞纳金，标准为每日按违约总额的2‰累计。甲方</w:t>
      </w:r>
      <w:r>
        <w:rPr>
          <w:sz w:val="24"/>
        </w:rPr>
        <w:t>在规定的付款时间内向政府财政支付部门提出办理财政支付申请手续后即视为甲方已经按期支付款项，因财政部门审核等原因导致乙方收款延迟的，不视为甲方违约，乙方不得因此向甲方提出索赔或承担迟延付款责任</w:t>
      </w:r>
    </w:p>
    <w:p>
      <w:pPr>
        <w:jc w:val="both"/>
      </w:pPr>
      <w:r>
        <w:rPr>
          <w:b/>
          <w:sz w:val="24"/>
        </w:rPr>
        <w:t>5.</w:t>
      </w:r>
      <w:r>
        <w:rPr>
          <w:sz w:val="24"/>
        </w:rPr>
        <w:t>其它违约责任按《中华人民共和国民法典》处理。</w:t>
      </w:r>
    </w:p>
    <w:p>
      <w:pPr>
        <w:ind w:firstLine="354"/>
        <w:jc w:val="both"/>
      </w:pPr>
      <w:r>
        <w:rPr>
          <w:b/>
          <w:sz w:val="24"/>
        </w:rPr>
        <w:t>第十一条　提出异议的时间和方法</w:t>
      </w:r>
    </w:p>
    <w:p>
      <w:pPr>
        <w:jc w:val="both"/>
      </w:pPr>
      <w:r>
        <w:rPr>
          <w:b/>
          <w:sz w:val="24"/>
        </w:rPr>
        <w:t>1.</w:t>
      </w:r>
      <w:r>
        <w:rPr>
          <w:sz w:val="24"/>
        </w:rPr>
        <w:t>甲方在验收后60天内如对货物的型号、规格、质量有异议时，应在妥善保管货物的同时，即向乙方提出书面异议。</w:t>
      </w:r>
    </w:p>
    <w:p>
      <w:pPr>
        <w:jc w:val="both"/>
      </w:pPr>
      <w:r>
        <w:rPr>
          <w:b/>
          <w:sz w:val="24"/>
        </w:rPr>
        <w:t>2.</w:t>
      </w:r>
      <w:r>
        <w:rPr>
          <w:sz w:val="24"/>
        </w:rPr>
        <w:t>乙方在接到甲方书面异议后，应在2天内负责处理并函复甲方处理情况，否则，即视为默认甲方提出的异议和处理意见。</w:t>
      </w:r>
    </w:p>
    <w:p>
      <w:pPr>
        <w:jc w:val="both"/>
      </w:pPr>
      <w:r>
        <w:rPr>
          <w:b/>
          <w:sz w:val="24"/>
        </w:rPr>
        <w:t>3.</w:t>
      </w:r>
      <w:r>
        <w:rPr>
          <w:sz w:val="24"/>
        </w:rPr>
        <w:t>甲方因违章操作、保管、保养不善等人为造成货物损毁，所提出的异议乙方有权不予接受。</w:t>
      </w:r>
    </w:p>
    <w:p>
      <w:pPr>
        <w:ind w:firstLine="425"/>
        <w:jc w:val="both"/>
      </w:pPr>
      <w:r>
        <w:rPr>
          <w:b/>
          <w:sz w:val="24"/>
        </w:rPr>
        <w:t>第十二条　争议的解决</w:t>
      </w:r>
    </w:p>
    <w:p>
      <w:pPr>
        <w:jc w:val="both"/>
      </w:pPr>
      <w:r>
        <w:rPr>
          <w:b/>
          <w:sz w:val="24"/>
        </w:rPr>
        <w:t>1.</w:t>
      </w:r>
      <w:r>
        <w:rPr>
          <w:sz w:val="24"/>
        </w:rPr>
        <w:t>合同履行过程中发生的任何争议，如双方未能通过友好协商解决，应向甲方所在地人民法院提起诉讼。对货物质量的检查鉴定，统一由佛山市市场监督管理局辖属的相关检测机构进行终局鉴定，鉴定结果符合质量技术标准时，鉴定费由委托方承担；否则鉴定费由乙方承担。</w:t>
      </w:r>
    </w:p>
    <w:p>
      <w:pPr>
        <w:jc w:val="both"/>
      </w:pPr>
      <w:r>
        <w:rPr>
          <w:b/>
          <w:sz w:val="24"/>
        </w:rPr>
        <w:t>2.</w:t>
      </w:r>
      <w:r>
        <w:rPr>
          <w:sz w:val="24"/>
        </w:rPr>
        <w:t>法院审理期间，除提交法院审理的事项外，合同其它事项和条款仍应继续履行。</w:t>
      </w:r>
    </w:p>
    <w:p>
      <w:pPr>
        <w:ind w:firstLine="425"/>
        <w:jc w:val="both"/>
      </w:pPr>
      <w:r>
        <w:rPr>
          <w:b/>
          <w:sz w:val="24"/>
        </w:rPr>
        <w:t>第十三条　不可抗力</w:t>
      </w:r>
    </w:p>
    <w:p>
      <w:pPr>
        <w:ind w:firstLine="480"/>
        <w:jc w:val="both"/>
      </w:pPr>
      <w:r>
        <w:rPr>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firstLine="425"/>
        <w:jc w:val="both"/>
      </w:pPr>
      <w:r>
        <w:rPr>
          <w:b/>
          <w:sz w:val="24"/>
        </w:rPr>
        <w:t>第十四条　税费</w:t>
      </w:r>
    </w:p>
    <w:p>
      <w:pPr>
        <w:jc w:val="both"/>
      </w:pPr>
      <w:r>
        <w:rPr>
          <w:b/>
          <w:sz w:val="24"/>
        </w:rPr>
        <w:t>1.</w:t>
      </w:r>
      <w:r>
        <w:rPr>
          <w:sz w:val="24"/>
        </w:rPr>
        <w:t>中国政府根据现行税法所征收的一切税费均由各缴税责任方独立承担。</w:t>
      </w:r>
    </w:p>
    <w:p>
      <w:pPr>
        <w:jc w:val="both"/>
      </w:pPr>
      <w:r>
        <w:rPr>
          <w:b/>
          <w:sz w:val="24"/>
        </w:rPr>
        <w:t>2.</w:t>
      </w:r>
      <w:r>
        <w:rPr>
          <w:sz w:val="24"/>
        </w:rPr>
        <w:t>在中国境外发生的与本合同相关的一切税费及不可预见费均由乙方负担。</w:t>
      </w:r>
    </w:p>
    <w:p>
      <w:pPr>
        <w:ind w:firstLine="425"/>
        <w:jc w:val="both"/>
      </w:pPr>
      <w:r>
        <w:rPr>
          <w:b/>
          <w:sz w:val="24"/>
        </w:rPr>
        <w:t>第十五条　合同生效</w:t>
      </w:r>
    </w:p>
    <w:p>
      <w:pPr>
        <w:ind w:firstLine="425"/>
        <w:jc w:val="both"/>
      </w:pPr>
      <w:r>
        <w:rPr>
          <w:sz w:val="24"/>
        </w:rPr>
        <w:t>本合同在甲乙双方法人代表或其授权代理人签字盖章之日起生效。</w:t>
      </w:r>
    </w:p>
    <w:p>
      <w:pPr>
        <w:ind w:firstLine="425"/>
        <w:jc w:val="both"/>
      </w:pPr>
      <w:r>
        <w:rPr>
          <w:b/>
          <w:sz w:val="24"/>
        </w:rPr>
        <w:t>第十六条　乙方应提供的资料内容</w:t>
      </w:r>
    </w:p>
    <w:p>
      <w:pPr>
        <w:jc w:val="both"/>
      </w:pPr>
      <w:r>
        <w:rPr>
          <w:b/>
          <w:sz w:val="24"/>
        </w:rPr>
        <w:t>1.</w:t>
      </w:r>
      <w:r>
        <w:rPr>
          <w:sz w:val="24"/>
        </w:rPr>
        <w:t>进口产品必须提供原产地证明和中国商检证明及合法进货渠道全套单证。</w:t>
      </w:r>
    </w:p>
    <w:p>
      <w:pPr>
        <w:jc w:val="both"/>
      </w:pPr>
      <w:r>
        <w:rPr>
          <w:b/>
          <w:sz w:val="24"/>
        </w:rPr>
        <w:t>2.</w:t>
      </w:r>
      <w:r>
        <w:rPr>
          <w:sz w:val="24"/>
        </w:rPr>
        <w:t>中国境内制造的产品必须提供出厂合格证。</w:t>
      </w:r>
    </w:p>
    <w:p>
      <w:pPr>
        <w:jc w:val="left"/>
      </w:pPr>
      <w:r>
        <w:rPr>
          <w:b/>
          <w:sz w:val="24"/>
        </w:rPr>
        <w:t>3.</w:t>
      </w:r>
      <w:r>
        <w:rPr>
          <w:sz w:val="24"/>
        </w:rPr>
        <w:t>提供产品技术（使用）说明书、产品质量说明书、技术服务资料。</w:t>
      </w:r>
      <w:r>
        <w:rPr>
          <w:sz w:val="24"/>
        </w:rPr>
        <w:t>外文资料均需有中文译本。</w:t>
      </w:r>
    </w:p>
    <w:p>
      <w:pPr>
        <w:jc w:val="left"/>
      </w:pPr>
      <w:r>
        <w:rPr>
          <w:b/>
          <w:sz w:val="24"/>
        </w:rPr>
        <w:t>4.</w:t>
      </w:r>
      <w:r>
        <w:rPr>
          <w:sz w:val="24"/>
        </w:rPr>
        <w:t>提供完整的厂家原版维修手册.使用及维护光盘。提供维护软件及密码开放。提供完整的安装软件，以便日后系统重装。乙方</w:t>
      </w:r>
      <w:r>
        <w:rPr>
          <w:sz w:val="24"/>
        </w:rPr>
        <w:t>必须负责所售设备软件的免费升级。</w:t>
      </w:r>
    </w:p>
    <w:p>
      <w:pPr>
        <w:jc w:val="left"/>
      </w:pPr>
      <w:r>
        <w:rPr>
          <w:b/>
          <w:sz w:val="24"/>
        </w:rPr>
        <w:t>5.</w:t>
      </w:r>
      <w:r>
        <w:rPr>
          <w:sz w:val="24"/>
        </w:rPr>
        <w:t>如有备件，乙方应随机向甲方提供一套标准备件包，并列出清单及单价。</w:t>
      </w:r>
    </w:p>
    <w:p>
      <w:pPr>
        <w:jc w:val="left"/>
      </w:pPr>
      <w:r>
        <w:rPr>
          <w:b/>
          <w:sz w:val="24"/>
        </w:rPr>
        <w:t>6.</w:t>
      </w:r>
      <w:r>
        <w:rPr>
          <w:sz w:val="24"/>
        </w:rPr>
        <w:t>乙方须向甲方提供设备的运行、安装、使用环境要求。</w:t>
      </w:r>
    </w:p>
    <w:p>
      <w:pPr>
        <w:ind w:firstLine="425"/>
        <w:jc w:val="both"/>
      </w:pPr>
      <w:r>
        <w:rPr>
          <w:b/>
          <w:sz w:val="24"/>
        </w:rPr>
        <w:t>第十七条　</w:t>
      </w:r>
      <w:r>
        <w:rPr>
          <w:b/>
          <w:sz w:val="24"/>
        </w:rPr>
        <w:t>关于政府采购合同融资：</w:t>
      </w:r>
    </w:p>
    <w:p>
      <w:pPr>
        <w:jc w:val="both"/>
      </w:pPr>
      <w:r>
        <w:rPr>
          <w:b/>
          <w:sz w:val="24"/>
        </w:rPr>
        <w:t>1.</w:t>
      </w:r>
      <w:r>
        <w:rPr>
          <w:sz w:val="24"/>
        </w:rPr>
        <w:t>乙方是否已申请政府采购合同融资</w:t>
      </w:r>
      <w:r>
        <w:rPr>
          <w:sz w:val="24"/>
        </w:rPr>
        <w:t>（在□打√表示）：□是，□否；</w:t>
      </w:r>
    </w:p>
    <w:p>
      <w:pPr>
        <w:ind w:firstLine="480"/>
        <w:jc w:val="both"/>
      </w:pPr>
      <w:r>
        <w:rPr>
          <w:sz w:val="24"/>
        </w:rPr>
        <w:t>融资银行及联系方式：</w:t>
      </w:r>
      <w:r>
        <w:rPr>
          <w:sz w:val="24"/>
          <w:u w:val="single"/>
        </w:rPr>
        <w:t xml:space="preserve">                                      </w:t>
      </w:r>
      <w:r>
        <w:rPr>
          <w:sz w:val="24"/>
        </w:rPr>
        <w:t>。</w:t>
      </w:r>
    </w:p>
    <w:p>
      <w:pPr>
        <w:jc w:val="both"/>
      </w:pPr>
      <w:r>
        <w:rPr>
          <w:b/>
          <w:sz w:val="24"/>
        </w:rPr>
        <w:t>2.</w:t>
      </w:r>
      <w:r>
        <w:rPr>
          <w:sz w:val="24"/>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ind w:firstLine="425"/>
        <w:jc w:val="both"/>
      </w:pPr>
      <w:r>
        <w:rPr>
          <w:b/>
          <w:sz w:val="24"/>
        </w:rPr>
        <w:t>第十八条　其它</w:t>
      </w:r>
    </w:p>
    <w:p>
      <w:pPr>
        <w:jc w:val="both"/>
      </w:pPr>
      <w:r>
        <w:rPr>
          <w:b/>
          <w:sz w:val="24"/>
        </w:rPr>
        <w:t>1.</w:t>
      </w:r>
      <w:r>
        <w:rPr>
          <w:sz w:val="24"/>
        </w:rPr>
        <w:t>所有经一方或双方签署确认的文件（包括会议纪要、补充协议、往来信函）、招标文件和投标响应承诺文件、合同附件及《中标通知书》均为本合同不可分割的有效组成部分，与本合同具有同等的法律效力和履约义务，其生效日期为签字盖章确认之日期。</w:t>
      </w:r>
    </w:p>
    <w:p>
      <w:pPr>
        <w:jc w:val="both"/>
      </w:pPr>
      <w:r>
        <w:rPr>
          <w:b/>
          <w:sz w:val="24"/>
        </w:rPr>
        <w:t>2.</w:t>
      </w:r>
      <w:r>
        <w:rPr>
          <w:sz w:val="24"/>
        </w:rPr>
        <w:t>如一方地址、电话、传真号码有变更，应在变更当日内书面通知对方，否则，应承担相应责任。</w:t>
      </w:r>
    </w:p>
    <w:p>
      <w:pPr>
        <w:jc w:val="both"/>
      </w:pPr>
      <w:r>
        <w:rPr>
          <w:b/>
          <w:sz w:val="24"/>
        </w:rPr>
        <w:t>3.</w:t>
      </w:r>
      <w:r>
        <w:rPr>
          <w:sz w:val="24"/>
        </w:rPr>
        <w:t>未经甲方书面同意，乙方不得擅自向第三方转让其应履行的合同项下的义务。</w:t>
      </w:r>
    </w:p>
    <w:p>
      <w:pPr>
        <w:jc w:val="both"/>
      </w:pPr>
      <w:r>
        <w:rPr>
          <w:b/>
          <w:sz w:val="24"/>
        </w:rPr>
        <w:t>4.</w:t>
      </w:r>
      <w:r>
        <w:rPr>
          <w:sz w:val="24"/>
        </w:rPr>
        <w:t>本合同一式</w:t>
      </w:r>
      <w:r>
        <w:rPr>
          <w:sz w:val="24"/>
          <w:u w:val="single"/>
        </w:rPr>
        <w:t>六</w:t>
      </w:r>
      <w:r>
        <w:rPr>
          <w:sz w:val="24"/>
        </w:rPr>
        <w:t>份，甲方</w:t>
      </w:r>
      <w:r>
        <w:rPr>
          <w:sz w:val="24"/>
          <w:u w:val="single"/>
        </w:rPr>
        <w:t>四</w:t>
      </w:r>
      <w:r>
        <w:rPr>
          <w:sz w:val="24"/>
        </w:rPr>
        <w:t>份、乙方</w:t>
      </w:r>
      <w:r>
        <w:rPr>
          <w:sz w:val="24"/>
          <w:u w:val="single"/>
        </w:rPr>
        <w:t>一</w:t>
      </w:r>
      <w:r>
        <w:rPr>
          <w:sz w:val="24"/>
        </w:rPr>
        <w:t>份，广东海虹招标代理有限公司</w:t>
      </w:r>
      <w:r>
        <w:rPr>
          <w:sz w:val="24"/>
          <w:u w:val="single"/>
        </w:rPr>
        <w:t>一</w:t>
      </w:r>
      <w:r>
        <w:rPr>
          <w:sz w:val="24"/>
        </w:rPr>
        <w:t>份。</w:t>
      </w:r>
    </w:p>
    <w:p>
      <w:pPr>
        <w:jc w:val="both"/>
      </w:pPr>
      <w:r>
        <w:rPr>
          <w:b/>
          <w:sz w:val="24"/>
        </w:rPr>
        <w:t>5.</w:t>
      </w:r>
      <w:r>
        <w:rPr>
          <w:sz w:val="24"/>
        </w:rPr>
        <w:t>本合同共计</w:t>
      </w:r>
      <w:r>
        <w:rPr>
          <w:sz w:val="24"/>
          <w:u w:val="single"/>
        </w:rPr>
        <w:t xml:space="preserve">     </w:t>
      </w:r>
      <w:r>
        <w:rPr>
          <w:sz w:val="24"/>
        </w:rPr>
        <w:t>页A4纸张，缺页之合同为无效合同。</w:t>
      </w:r>
    </w:p>
    <w:p>
      <w:pPr>
        <w:jc w:val="both"/>
      </w:pPr>
      <w:r>
        <w:rPr>
          <w:b/>
          <w:sz w:val="24"/>
        </w:rPr>
        <w:t>6.</w:t>
      </w:r>
      <w:r>
        <w:rPr>
          <w:sz w:val="24"/>
        </w:rPr>
        <w:t>本合同签约履约地点：广东省佛山市。</w:t>
      </w:r>
    </w:p>
    <w:p>
      <w:pPr>
        <w:jc w:val="both"/>
      </w:pPr>
      <w:r>
        <w:rPr>
          <w:b/>
          <w:sz w:val="24"/>
        </w:rPr>
        <w:t>7.</w:t>
      </w:r>
      <w:r>
        <w:rPr>
          <w:sz w:val="24"/>
        </w:rPr>
        <w:t>双方均已对以上各条款及附件作充分了解，并明确理解由此而产生的相关权责。</w:t>
      </w:r>
    </w:p>
    <w:p>
      <w:pPr>
        <w:ind w:firstLine="425"/>
        <w:jc w:val="both"/>
      </w:pPr>
    </w:p>
    <w:p>
      <w:pPr>
        <w:ind w:firstLine="425"/>
        <w:jc w:val="both"/>
      </w:pPr>
      <w:r>
        <w:rPr>
          <w:b/>
          <w:sz w:val="24"/>
        </w:rPr>
        <w:t>甲方（盖章）： 佛山市疾病预防控制中心           乙方（盖章）：</w:t>
      </w:r>
    </w:p>
    <w:p>
      <w:pPr>
        <w:ind w:firstLine="1922"/>
        <w:jc w:val="both"/>
      </w:pPr>
      <w:r>
        <w:rPr>
          <w:sz w:val="24"/>
        </w:rPr>
        <w:t>（佛山市卫生检验中心）</w:t>
      </w:r>
    </w:p>
    <w:p>
      <w:pPr>
        <w:ind w:firstLine="425"/>
        <w:jc w:val="both"/>
      </w:pPr>
      <w:r>
        <w:rPr>
          <w:sz w:val="24"/>
        </w:rPr>
        <w:t>法人代表或授权代理人（签字）：                     法人代表或授权代理人（签字）：</w:t>
      </w:r>
    </w:p>
    <w:p>
      <w:pPr>
        <w:ind w:firstLine="425"/>
        <w:jc w:val="both"/>
      </w:pPr>
      <w:r>
        <w:rPr>
          <w:sz w:val="21"/>
          <w:u w:val="single"/>
        </w:rPr>
        <w:t xml:space="preserve">                          </w:t>
      </w:r>
      <w:r>
        <w:rPr>
          <w:sz w:val="24"/>
        </w:rPr>
        <w:t xml:space="preserve">                         </w:t>
      </w:r>
      <w:r>
        <w:rPr>
          <w:sz w:val="24"/>
          <w:u w:val="single"/>
        </w:rPr>
        <w:t xml:space="preserve">                              </w:t>
      </w:r>
    </w:p>
    <w:p>
      <w:pPr>
        <w:jc w:val="both"/>
      </w:pPr>
      <w:r>
        <w:rPr>
          <w:sz w:val="24"/>
        </w:rPr>
        <w:t>地址： 广东省佛山市禅城区影萌路3号               地址：</w:t>
      </w:r>
    </w:p>
    <w:p>
      <w:pPr>
        <w:ind w:firstLine="425"/>
        <w:jc w:val="both"/>
      </w:pPr>
      <w:r>
        <w:rPr>
          <w:sz w:val="24"/>
        </w:rPr>
        <w:t>电话：                                                              电话：</w:t>
      </w:r>
    </w:p>
    <w:p>
      <w:pPr>
        <w:ind w:firstLine="425"/>
        <w:jc w:val="both"/>
      </w:pPr>
      <w:r>
        <w:rPr>
          <w:sz w:val="24"/>
        </w:rPr>
        <w:t>传真：                                                              传真：</w:t>
      </w:r>
    </w:p>
    <w:p>
      <w:pPr>
        <w:ind w:firstLine="425"/>
        <w:jc w:val="both"/>
      </w:pPr>
      <w:r>
        <w:rPr>
          <w:sz w:val="24"/>
        </w:rPr>
        <w:t>日期：2022年     月    日                                   日期：2022年     月     日</w:t>
      </w:r>
    </w:p>
    <w:p>
      <w:pPr>
        <w:ind w:firstLine="2730"/>
        <w:jc w:val="both"/>
      </w:pPr>
      <w:r>
        <w:rPr>
          <w:sz w:val="21"/>
        </w:rPr>
        <w:t xml:space="preserve">                       </w:t>
      </w:r>
      <w:r>
        <w:rPr>
          <w:sz w:val="24"/>
        </w:rPr>
        <w:t>收款专户如下</w:t>
      </w:r>
      <w:r>
        <w:rPr>
          <w:sz w:val="21"/>
        </w:rPr>
        <w:t>（须与乙方名称一致）</w:t>
      </w:r>
    </w:p>
    <w:p>
      <w:pPr>
        <w:ind w:firstLine="1560"/>
        <w:jc w:val="both"/>
      </w:pPr>
      <w:r>
        <w:rPr>
          <w:sz w:val="21"/>
        </w:rPr>
        <w:t xml:space="preserve">                                 </w:t>
      </w:r>
      <w:r>
        <w:rPr>
          <w:sz w:val="24"/>
        </w:rPr>
        <w:t>开户名称：</w:t>
      </w:r>
    </w:p>
    <w:p>
      <w:pPr>
        <w:ind w:firstLine="1680"/>
        <w:jc w:val="both"/>
      </w:pPr>
      <w:r>
        <w:rPr>
          <w:sz w:val="21"/>
        </w:rPr>
        <w:t xml:space="preserve">                                </w:t>
      </w:r>
      <w:r>
        <w:rPr>
          <w:sz w:val="24"/>
        </w:rPr>
        <w:t>银行帐号：</w:t>
      </w:r>
    </w:p>
    <w:p>
      <w:pPr>
        <w:ind w:firstLine="1680"/>
        <w:jc w:val="both"/>
      </w:pPr>
      <w:r>
        <w:rPr>
          <w:sz w:val="21"/>
        </w:rPr>
        <w:t xml:space="preserve">                                </w:t>
      </w:r>
      <w:r>
        <w:rPr>
          <w:sz w:val="24"/>
        </w:rPr>
        <w:t>开 户 行：</w:t>
      </w:r>
    </w:p>
    <w:p>
      <w:pPr>
        <w:ind w:firstLine="354"/>
        <w:jc w:val="left"/>
      </w:pPr>
    </w:p>
    <w:p>
      <w:pPr>
        <w:ind w:firstLine="354"/>
        <w:jc w:val="left"/>
      </w:pPr>
      <w:r>
        <w:rPr>
          <w:b/>
          <w:sz w:val="24"/>
        </w:rPr>
        <w:t>鉴证单位（盖章）：</w:t>
      </w:r>
    </w:p>
    <w:p>
      <w:pPr>
        <w:ind w:firstLine="353"/>
        <w:jc w:val="left"/>
      </w:pPr>
      <w:r>
        <w:rPr>
          <w:sz w:val="24"/>
        </w:rPr>
        <w:t>日期：2022年  月  日</w:t>
      </w:r>
    </w:p>
    <w:p>
      <w:pPr>
        <w:ind w:firstLine="354"/>
        <w:jc w:val="left"/>
      </w:pPr>
    </w:p>
    <w:p>
      <w:pPr>
        <w:ind w:firstLine="354"/>
        <w:jc w:val="left"/>
      </w:pPr>
    </w:p>
    <w:p>
      <w:pPr>
        <w:ind w:firstLine="354"/>
        <w:jc w:val="left"/>
      </w:pPr>
      <w:r>
        <w:rPr>
          <w:b/>
          <w:sz w:val="24"/>
        </w:rPr>
        <w:t>合同附件清单（附后）</w:t>
      </w:r>
    </w:p>
    <w:p/>
    <w:p/>
    <w:p>
      <w:pPr>
        <w:ind w:firstLine="425"/>
        <w:jc w:val="both"/>
      </w:pPr>
    </w:p>
    <w:p>
      <w:pPr>
        <w:jc w:val="left"/>
      </w:pPr>
      <w:r>
        <w:rPr>
          <w:b/>
          <w:sz w:val="24"/>
        </w:rPr>
        <w:t>附件一：配置清单</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440601-2022-02316</w:t>
      </w:r>
    </w:p>
    <w:p>
      <w:pPr>
        <w:jc w:val="center"/>
      </w:pPr>
      <w:r>
        <w:rPr>
          <w:b/>
          <w:sz w:val="24"/>
        </w:rPr>
        <w:t>采购项目编号：</w:t>
      </w:r>
      <w:r>
        <w:rPr>
          <w:b/>
          <w:sz w:val="24"/>
        </w:rPr>
        <w:t>GDHH2221G</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十、中小企业声明函</w:t>
      </w:r>
    </w:p>
    <w:p>
      <w:pPr>
        <w:ind w:firstLine="480"/>
      </w:pPr>
      <w:r>
        <w:rPr/>
        <w:t>十一、监狱企业</w:t>
      </w:r>
    </w:p>
    <w:p>
      <w:pPr>
        <w:ind w:firstLine="480"/>
      </w:pPr>
      <w:r>
        <w:rPr/>
        <w:t>十二、残疾人福利性单位声明函</w:t>
      </w:r>
    </w:p>
    <w:p>
      <w:pPr>
        <w:ind w:firstLine="480"/>
      </w:pPr>
      <w:r>
        <w:rPr/>
        <w:t>十三、联合体共同投标协议书</w:t>
      </w:r>
    </w:p>
    <w:p>
      <w:pPr>
        <w:ind w:firstLine="480"/>
      </w:pPr>
      <w:r>
        <w:rPr/>
        <w:t>十四、投标人业绩情况表</w:t>
      </w:r>
    </w:p>
    <w:p>
      <w:pPr>
        <w:ind w:firstLine="480"/>
      </w:pPr>
      <w:r>
        <w:rPr/>
        <w:t>十五、技术和服务要求响应表</w:t>
      </w:r>
    </w:p>
    <w:p>
      <w:pPr>
        <w:ind w:firstLine="480"/>
      </w:pPr>
      <w:r>
        <w:rPr/>
        <w:t>十六、商务条件响应表</w:t>
      </w:r>
    </w:p>
    <w:p>
      <w:pPr>
        <w:ind w:firstLine="480"/>
      </w:pPr>
      <w:r>
        <w:rPr/>
        <w:t>十七、履约进度计划表</w:t>
      </w:r>
    </w:p>
    <w:p>
      <w:pPr>
        <w:ind w:firstLine="480"/>
      </w:pPr>
      <w:r>
        <w:rPr/>
        <w:t>十八、各类证明材料</w:t>
      </w:r>
    </w:p>
    <w:p>
      <w:pPr>
        <w:ind w:firstLine="480"/>
      </w:pPr>
      <w:r>
        <w:rPr/>
        <w:t>十九、采购代理服务费支付承诺书</w:t>
      </w:r>
    </w:p>
    <w:p>
      <w:pPr>
        <w:ind w:firstLine="480"/>
      </w:pPr>
      <w:r>
        <w:rPr/>
        <w:t>二十、需要采购人提供的附加条件</w:t>
      </w:r>
    </w:p>
    <w:p>
      <w:pPr>
        <w:ind w:firstLine="480"/>
      </w:pPr>
      <w:r>
        <w:rPr/>
        <w:t>二十一、询问函、质疑函、投诉书格式</w:t>
      </w:r>
    </w:p>
    <w:p>
      <w:pPr>
        <w:ind w:firstLine="480"/>
      </w:pPr>
      <w:r>
        <w:rPr/>
        <w:t>二十二、项目实施方案、质量保证及售后服务承诺等</w:t>
      </w:r>
    </w:p>
    <w:p>
      <w:pPr>
        <w:ind w:firstLine="480"/>
      </w:pPr>
      <w:r>
        <w:rPr/>
        <w:t>二十三、附件</w:t>
      </w:r>
    </w:p>
    <w:p>
      <w:pPr>
        <w:ind w:firstLine="480"/>
      </w:pPr>
    </w:p>
    <w:p>
      <w:r>
        <w:rPr/>
        <w:t xml:space="preserve"> </w:t>
      </w:r>
    </w:p>
    <w:p/>
    <w:p>
      <w:r>
        <w:rPr>
          <w:b/>
          <w:sz w:val="28"/>
        </w:rPr>
        <w:t>格式一：</w:t>
      </w:r>
    </w:p>
    <w:p>
      <w:r>
        <w:rPr>
          <w:b/>
          <w:sz w:val="24"/>
        </w:rPr>
        <w:t>投标函</w:t>
      </w:r>
    </w:p>
    <w:p>
      <w:pPr>
        <w:ind w:firstLine="480"/>
      </w:pPr>
      <w:r>
        <w:rPr/>
        <w:t>致：</w:t>
      </w:r>
      <w:r>
        <w:rPr>
          <w:u w:val="single"/>
        </w:rPr>
        <w:t>广东海虹招标代理有限公司</w:t>
      </w:r>
    </w:p>
    <w:p>
      <w:pPr>
        <w:ind w:firstLine="480"/>
      </w:pPr>
      <w:r>
        <w:rPr/>
        <w:t>你方组织的</w:t>
      </w:r>
      <w:r>
        <w:rPr>
          <w:u w:val="single"/>
        </w:rPr>
        <w:t>电感耦合等离子体串联三重四级杆质谱仪(ICP-MS-MS)</w:t>
      </w:r>
      <w:r>
        <w:rPr/>
        <w:t>项目的招标[采购项目编号为：</w:t>
      </w:r>
      <w:r>
        <w:rPr>
          <w:u w:val="single"/>
        </w:rPr>
        <w:t>GDHH2221G</w:t>
      </w:r>
      <w:r>
        <w:rPr/>
        <w:t>]，我方愿参与投标。</w:t>
      </w:r>
    </w:p>
    <w:p>
      <w:pPr>
        <w:ind w:firstLine="480"/>
      </w:pPr>
      <w:r>
        <w:rPr/>
        <w:t>我方确认收到贵方提供的</w:t>
      </w:r>
      <w:r>
        <w:rPr>
          <w:u w:val="single"/>
        </w:rPr>
        <w:t>电感耦合等离子体串联三重四级杆质谱仪(ICP-MS-MS)</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按照政府采购有关政策的要求，在本次的技术方案中，采用符合政策的小型或微型企业产品、节能产品、环保标志产品，主要产品与核心技术介绍说明如下：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环保标志产品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2.“节能产品、环保标志产品”须填写认证证书编号，并在对应“节能产品”、“环保标志产品”栏中勾选，同时提供有效期内的证书复印件（加盖投标人公章）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广东海虹招标代理有限公司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电感耦合等离子体串联三重四级杆质谱仪(ICP-MS-MS)</w:t>
      </w:r>
      <w:r>
        <w:rPr/>
        <w:t>项目采购[采购项目编号为</w:t>
      </w:r>
      <w:r>
        <w:rPr/>
        <w:t>GDHH2221G</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设备及专业技术能力情况表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设备名称或专业技术人员</w:t>
            </w:r>
          </w:p>
        </w:tc>
        <w:tc>
          <w:tcPr>
            <w:tcW w:type="dxa" w:w="2076"/>
          </w:tcPr>
          <w:p>
            <w:r>
              <w:rPr/>
              <w:t>数量及单位</w:t>
            </w:r>
          </w:p>
        </w:tc>
        <w:tc>
          <w:tcPr>
            <w:tcW w:type="dxa" w:w="2076"/>
          </w:tcPr>
          <w:p>
            <w:r>
              <w:rPr/>
              <w:t>备注</w:t>
            </w:r>
          </w:p>
        </w:tc>
      </w:tr>
      <w:tr>
        <w:tc>
          <w:tcPr>
            <w:tcW w:type="dxa" w:w="2076"/>
          </w:tcPr>
          <w:p>
            <w:r>
              <w:rPr/>
              <w:t>1</w:t>
            </w:r>
          </w:p>
        </w:tc>
        <w:tc>
          <w:tcPr>
            <w:tcW w:type="dxa" w:w="2076"/>
          </w:tcPr>
          <w:p/>
        </w:tc>
        <w:tc>
          <w:tcPr>
            <w:tcW w:type="dxa" w:w="2076"/>
          </w:tcPr>
          <w:p/>
        </w:tc>
        <w:tc>
          <w:tcPr>
            <w:tcW w:type="dxa" w:w="2076"/>
          </w:tcPr>
          <w:p/>
        </w:tc>
      </w:tr>
      <w:tr>
        <w:tc>
          <w:tcPr>
            <w:tcW w:type="dxa" w:w="2076"/>
          </w:tcPr>
          <w:p>
            <w:r>
              <w:rPr/>
              <w:t>2</w:t>
            </w:r>
          </w:p>
        </w:tc>
        <w:tc>
          <w:tcPr>
            <w:tcW w:type="dxa" w:w="2076"/>
          </w:tcPr>
          <w:p/>
        </w:tc>
        <w:tc>
          <w:tcPr>
            <w:tcW w:type="dxa" w:w="2076"/>
          </w:tcPr>
          <w:p/>
        </w:tc>
        <w:tc>
          <w:tcPr>
            <w:tcW w:type="dxa" w:w="2076"/>
          </w:tcPr>
          <w:p/>
        </w:tc>
      </w:tr>
      <w:tr>
        <w:tc>
          <w:tcPr>
            <w:tcW w:type="dxa" w:w="2076"/>
          </w:tcPr>
          <w:p>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格式十一：</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格式十五：</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格式十六：</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格式十七：</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签定合同并生效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格式十九：</w:t>
      </w:r>
    </w:p>
    <w:p>
      <w:pPr>
        <w:jc w:val="center"/>
      </w:pPr>
      <w:r>
        <w:rPr>
          <w:b/>
          <w:sz w:val="24"/>
        </w:rPr>
        <w:t>采购代理服务费支付承诺书</w:t>
      </w:r>
    </w:p>
    <w:p>
      <w:pPr>
        <w:ind w:firstLine="480"/>
      </w:pPr>
      <w:r>
        <w:rPr/>
        <w:t>致：</w:t>
      </w:r>
      <w:r>
        <w:rPr/>
        <w:t>广东海虹招标代理有限公司</w:t>
      </w:r>
    </w:p>
    <w:p>
      <w:pPr>
        <w:ind w:firstLine="480"/>
      </w:pPr>
      <w:r>
        <w:rPr/>
        <w:t>如果我方在贵采购代理机构组织的</w:t>
      </w:r>
      <w:r>
        <w:rPr/>
        <w:t>电感耦合等离子体串联三重四级杆质谱仪(ICP-MS-MS)</w:t>
      </w:r>
      <w:r>
        <w:rPr/>
        <w:t>招标中获中标（采购项目编号：</w:t>
      </w:r>
      <w:r>
        <w:rPr/>
        <w:t>GDHH2221G</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广东海虹招标代理有限公司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广东海虹招标代理有限公司</w:t>
      </w:r>
    </w:p>
    <w:p>
      <w:pPr>
        <w:ind w:firstLine="480"/>
      </w:pPr>
      <w:r>
        <w:rPr/>
        <w:t>我单位已登记并准备参与</w:t>
      </w:r>
      <w:r>
        <w:rPr/>
        <w:t>电感耦合等离子体串联三重四级杆质谱仪(ICP-MS-MS)</w:t>
      </w:r>
      <w:r>
        <w:rPr/>
        <w:t>项目（采购项目编号：</w:t>
      </w:r>
      <w:r>
        <w:rPr/>
        <w:t>GDHH2221G</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格式二十二：</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格式二十三：</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