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440601-2024-01336</w:t>
      </w:r>
    </w:p>
    <w:p>
      <w:pPr>
        <w:pStyle w:val="null3"/>
        <w:jc w:val="center"/>
        <w:outlineLvl w:val="3"/>
      </w:pPr>
      <w:r>
        <w:rPr>
          <w:sz w:val="24"/>
          <w:b/>
        </w:rPr>
        <w:t>采购项目编号：</w:t>
      </w:r>
      <w:r>
        <w:rPr>
          <w:sz w:val="24"/>
          <w:b/>
        </w:rPr>
        <w:t>GDHH202423G</w:t>
      </w:r>
    </w:p>
    <w:p>
      <w:pPr>
        <w:pStyle w:val="null3"/>
        <w:jc w:val="center"/>
        <w:outlineLvl w:val="3"/>
      </w:pPr>
      <w:r>
        <w:rPr>
          <w:sz w:val="24"/>
          <w:b/>
        </w:rPr>
        <w:t>项目名称：</w:t>
      </w:r>
      <w:r>
        <w:rPr>
          <w:sz w:val="24"/>
          <w:b/>
        </w:rPr>
        <w:t>电子病历智能内涵质控及单病种质控平台</w:t>
      </w:r>
    </w:p>
    <w:p>
      <w:pPr>
        <w:pStyle w:val="null3"/>
        <w:jc w:val="center"/>
        <w:outlineLvl w:val="3"/>
      </w:pPr>
      <w:r>
        <w:rPr>
          <w:sz w:val="24"/>
          <w:b/>
        </w:rPr>
        <w:t>采购人：</w:t>
      </w:r>
      <w:r>
        <w:rPr>
          <w:sz w:val="24"/>
          <w:b/>
        </w:rPr>
        <w:t>佛山市第一人民医院</w:t>
      </w:r>
    </w:p>
    <w:p>
      <w:pPr>
        <w:pStyle w:val="null3"/>
        <w:jc w:val="center"/>
        <w:outlineLvl w:val="3"/>
      </w:pPr>
      <w:r>
        <w:rPr>
          <w:sz w:val="24"/>
          <w:b/>
        </w:rPr>
        <w:t>采购代理机构：</w:t>
      </w:r>
      <w:r>
        <w:rPr>
          <w:sz w:val="24"/>
          <w:b/>
        </w:rPr>
        <w:t>广东海虹招标代理有限公司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广东海虹招标代理有限公司</w:t>
      </w:r>
      <w:r>
        <w:rPr/>
        <w:t>受</w:t>
      </w:r>
      <w:r>
        <w:rPr/>
        <w:t>佛山市第一人民医院</w:t>
      </w:r>
      <w:r>
        <w:rPr/>
        <w:t>的委托，采用</w:t>
      </w:r>
      <w:r>
        <w:rPr/>
        <w:t>公开招标</w:t>
      </w:r>
      <w:r>
        <w:rPr/>
        <w:t>方式组织采购</w:t>
      </w:r>
      <w:r>
        <w:rPr/>
        <w:t>电子病历智能内涵质控及单病种质控平台</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电子病历智能内涵质控及单病种质控平台</w:t>
      </w:r>
    </w:p>
    <w:p>
      <w:pPr>
        <w:pStyle w:val="null3"/>
        <w:ind w:firstLine="480"/>
      </w:pPr>
      <w:r>
        <w:rPr/>
        <w:t>采购计划编号：</w:t>
      </w:r>
      <w:r>
        <w:rPr/>
        <w:t>440601-2024-01336</w:t>
      </w:r>
    </w:p>
    <w:p>
      <w:pPr>
        <w:pStyle w:val="null3"/>
        <w:ind w:firstLine="480"/>
      </w:pPr>
      <w:r>
        <w:rPr/>
        <w:t>采购项目编号：</w:t>
      </w:r>
      <w:r>
        <w:rPr/>
        <w:t>GDHH202423G</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采购包1(电子病历智能内涵质控及单病种质控平台):</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电子病历智能内涵质控及单病种质控平台</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2022或2023年度财务状况报告；③提供投标截止日前6个月内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要求填写采购公告附件的《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采购包1（电子病历智能内涵质控及单病种质控平台）：</w:t>
      </w:r>
      <w:r>
        <w:rPr/>
        <w:t>本项目专门面向中小企业采购。监狱企业、残疾人福利性单位视同小型、微型企业。 （1）中小企业评审及《中小企业声明函》填写要求：① 本项目为服务类项目，投标人须根据本项目采购类别选择对应的《中小企业声明函》填写。② 根据中小企业划分标准，本项目所属行业为软件和信息技术服务业。③ 投标人提交的《中小企业声明函》应按要求完整填报所有信息。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采购包1（电子病历智能内涵质控及单病种质控平台）：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佛山市第一人民医院</w:t>
      </w:r>
    </w:p>
    <w:p>
      <w:pPr>
        <w:pStyle w:val="null3"/>
        <w:ind w:firstLine="480"/>
      </w:pPr>
      <w:r>
        <w:rPr/>
        <w:t xml:space="preserve"> 地址：</w:t>
      </w:r>
      <w:r>
        <w:rPr/>
        <w:t>广东省佛山市禅城区岭南大道81号</w:t>
      </w:r>
    </w:p>
    <w:p>
      <w:pPr>
        <w:pStyle w:val="null3"/>
        <w:ind w:firstLine="480"/>
      </w:pPr>
      <w:r>
        <w:rPr/>
        <w:t xml:space="preserve"> 联系方式：</w:t>
      </w:r>
      <w:r>
        <w:rPr/>
        <w:t>0757-83163619</w:t>
      </w:r>
    </w:p>
    <w:p>
      <w:pPr>
        <w:pStyle w:val="null3"/>
        <w:outlineLvl w:val="3"/>
      </w:pPr>
      <w:r>
        <w:rPr>
          <w:sz w:val="24"/>
          <w:b/>
        </w:rPr>
        <w:t xml:space="preserve"> 2.采购代理机构信息</w:t>
      </w:r>
    </w:p>
    <w:p>
      <w:pPr>
        <w:pStyle w:val="null3"/>
        <w:ind w:firstLine="480"/>
      </w:pPr>
      <w:r>
        <w:rPr/>
        <w:t xml:space="preserve"> 名称：</w:t>
      </w:r>
      <w:r>
        <w:rPr/>
        <w:t>广东海虹招标代理有限公司</w:t>
      </w:r>
    </w:p>
    <w:p>
      <w:pPr>
        <w:pStyle w:val="null3"/>
        <w:ind w:firstLine="480"/>
      </w:pPr>
      <w:r>
        <w:rPr/>
        <w:t xml:space="preserve"> 地址：</w:t>
      </w:r>
      <w:r>
        <w:rPr/>
        <w:t>广东省佛山市禅城区佛山市禅城区华远东路13号发展大厦12楼E号</w:t>
      </w:r>
    </w:p>
    <w:p>
      <w:pPr>
        <w:pStyle w:val="null3"/>
        <w:ind w:firstLine="480"/>
      </w:pPr>
      <w:r>
        <w:rPr/>
        <w:t xml:space="preserve"> 联系方式：</w:t>
      </w:r>
      <w:r>
        <w:rPr/>
        <w:t>0757-82285519</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0757-82285519</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广东海虹招标代理有限公司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项目情况一览表：</w:t>
      </w:r>
    </w:p>
    <w:tbl>
      <w:tblPr>
        <w:tblW w:w="0" w:type="auto"/>
        <w:tblBorders>
          <w:top w:val="none" w:color="000000" w:sz="4"/>
          <w:left w:val="none" w:color="000000" w:sz="4"/>
          <w:bottom w:val="none" w:color="000000" w:sz="4"/>
          <w:right w:val="none" w:color="000000" w:sz="4"/>
          <w:insideH w:val="none"/>
          <w:insideV w:val="none"/>
        </w:tblBorders>
      </w:tblPr>
      <w:tblGrid>
        <w:gridCol w:w="745"/>
        <w:gridCol w:w="5460"/>
        <w:gridCol w:w="910"/>
        <w:gridCol w:w="1075"/>
      </w:tblGrid>
      <w:tr>
        <w:tc>
          <w:tcPr>
            <w:tcW w:type="dxa" w:w="745"/>
            <w:tcBorders>
              <w:top w:val="single" w:color="000000" w:sz="4"/>
              <w:left w:val="single" w:color="000000" w:sz="4"/>
              <w:bottom w:val="single" w:color="000000" w:sz="4"/>
              <w:right w:val="single" w:color="000000" w:sz="4"/>
            </w:tcBorders>
            <w:shd w:fill="DCE6F2"/>
            <w:tcMar>
              <w:top w:type="dxa" w:w="0"/>
              <w:left w:type="dxa" w:w="105"/>
              <w:bottom w:type="dxa" w:w="0"/>
              <w:right w:type="dxa" w:w="105"/>
            </w:tcMar>
          </w:tcPr>
          <w:p>
            <w:pPr>
              <w:pStyle w:val="null3"/>
              <w:jc w:val="center"/>
            </w:pPr>
            <w:r>
              <w:rPr>
                <w:sz w:val="24"/>
                <w:b/>
              </w:rPr>
              <w:t>序号</w:t>
            </w:r>
          </w:p>
        </w:tc>
        <w:tc>
          <w:tcPr>
            <w:tcW w:type="dxa" w:w="5460"/>
            <w:tcBorders>
              <w:top w:val="single" w:color="000000" w:sz="4"/>
              <w:left w:val="none" w:color="000000" w:sz="4"/>
              <w:bottom w:val="single" w:color="000000" w:sz="4"/>
              <w:right w:val="single" w:color="000000" w:sz="4"/>
            </w:tcBorders>
            <w:shd w:fill="DCE6F2"/>
            <w:tcMar>
              <w:top w:type="dxa" w:w="0"/>
              <w:left w:type="dxa" w:w="105"/>
              <w:bottom w:type="dxa" w:w="0"/>
              <w:right w:type="dxa" w:w="105"/>
            </w:tcMar>
          </w:tcPr>
          <w:p>
            <w:pPr>
              <w:pStyle w:val="null3"/>
              <w:jc w:val="center"/>
            </w:pPr>
            <w:r>
              <w:rPr>
                <w:sz w:val="24"/>
                <w:b/>
              </w:rPr>
              <w:t>采购内容</w:t>
            </w:r>
          </w:p>
        </w:tc>
        <w:tc>
          <w:tcPr>
            <w:tcW w:type="dxa" w:w="910"/>
            <w:tcBorders>
              <w:top w:val="single" w:color="000000" w:sz="4"/>
              <w:left w:val="none" w:color="000000" w:sz="4"/>
              <w:bottom w:val="single" w:color="000000" w:sz="4"/>
              <w:right w:val="single" w:color="000000" w:sz="4"/>
            </w:tcBorders>
            <w:shd w:fill="DCE6F2"/>
            <w:tcMar>
              <w:top w:type="dxa" w:w="0"/>
              <w:left w:type="dxa" w:w="105"/>
              <w:bottom w:type="dxa" w:w="0"/>
              <w:right w:type="dxa" w:w="105"/>
            </w:tcMar>
          </w:tcPr>
          <w:p>
            <w:pPr>
              <w:pStyle w:val="null3"/>
              <w:jc w:val="center"/>
            </w:pPr>
            <w:r>
              <w:rPr>
                <w:sz w:val="24"/>
                <w:b/>
              </w:rPr>
              <w:t>数量</w:t>
            </w:r>
          </w:p>
        </w:tc>
        <w:tc>
          <w:tcPr>
            <w:tcW w:type="dxa" w:w="1075"/>
            <w:tcBorders>
              <w:top w:val="single" w:color="000000" w:sz="4"/>
              <w:left w:val="none" w:color="000000" w:sz="4"/>
              <w:bottom w:val="single" w:color="000000" w:sz="4"/>
              <w:right w:val="single" w:color="000000" w:sz="4"/>
            </w:tcBorders>
            <w:shd w:fill="DCE6F2"/>
            <w:tcMar>
              <w:top w:type="dxa" w:w="0"/>
              <w:left w:type="dxa" w:w="105"/>
              <w:bottom w:type="dxa" w:w="0"/>
              <w:right w:type="dxa" w:w="105"/>
            </w:tcMar>
          </w:tcPr>
          <w:p>
            <w:pPr>
              <w:pStyle w:val="null3"/>
              <w:jc w:val="center"/>
            </w:pPr>
            <w:r>
              <w:rPr>
                <w:sz w:val="24"/>
                <w:b/>
              </w:rPr>
              <w:t>单位</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4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电子病历智能内涵质控及单病种质控平台</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w:t>
            </w:r>
          </w:p>
        </w:tc>
      </w:tr>
    </w:tbl>
    <w:p>
      <w:pPr>
        <w:pStyle w:val="null3"/>
      </w:pPr>
      <w:r>
        <w:rPr/>
        <w:t xml:space="preserve"> </w:t>
      </w:r>
    </w:p>
    <w:p>
      <w:pPr>
        <w:pStyle w:val="null3"/>
      </w:pPr>
      <w:r>
        <w:rPr/>
        <w:t>采购包1（电子病历智能内涵质控及单病种质控平台）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完工期：合同生效后一年内安装调试完毕并交付验收。</w:t>
            </w:r>
          </w:p>
        </w:tc>
      </w:tr>
      <w:tr>
        <w:tc>
          <w:tcPr>
            <w:tcW w:type="dxa" w:w="4153"/>
          </w:tcPr>
          <w:p>
            <w:pPr>
              <w:pStyle w:val="null3"/>
            </w:pPr>
            <w:r>
              <w:rPr/>
              <w:t>标的提供的地点</w:t>
            </w:r>
          </w:p>
        </w:tc>
        <w:tc>
          <w:tcPr>
            <w:tcW w:type="dxa" w:w="4153"/>
          </w:tcPr>
          <w:p>
            <w:pPr>
              <w:pStyle w:val="null3"/>
            </w:pPr>
            <w:r>
              <w:rPr/>
              <w:t>采购人所在地，地址为佛山市第一人民医院内（采购人指定地点）。</w:t>
            </w:r>
          </w:p>
        </w:tc>
      </w:tr>
      <w:tr>
        <w:tc>
          <w:tcPr>
            <w:tcW w:type="dxa" w:w="4153"/>
          </w:tcPr>
          <w:p>
            <w:pPr>
              <w:pStyle w:val="null3"/>
            </w:pPr>
            <w:r>
              <w:rPr/>
              <w:t>付款方式</w:t>
            </w:r>
          </w:p>
        </w:tc>
        <w:tc>
          <w:tcPr>
            <w:tcW w:type="dxa" w:w="4153"/>
          </w:tcPr>
          <w:p>
            <w:pPr>
              <w:pStyle w:val="null3"/>
            </w:pPr>
            <w:r>
              <w:rPr/>
              <w:t>1期：支付比例100%,★付款方式：1.合同签订后，30个工作日内采购人向中标人支付合同金额的30%；2.总体验收合格后，中标人向采购人提供整体验收报告、发票等资料，采购人收到资料后30个工作日内支付合同金额的65%；3.质保期结束后30个工作日内，采购人支付合同金额的5%。</w:t>
            </w:r>
          </w:p>
        </w:tc>
      </w:tr>
      <w:tr>
        <w:tc>
          <w:tcPr>
            <w:tcW w:type="dxa" w:w="4153"/>
          </w:tcPr>
          <w:p>
            <w:pPr>
              <w:pStyle w:val="null3"/>
            </w:pPr>
            <w:r>
              <w:rPr/>
              <w:t>验收要求</w:t>
            </w:r>
          </w:p>
        </w:tc>
        <w:tc>
          <w:tcPr>
            <w:tcW w:type="dxa" w:w="4153"/>
          </w:tcPr>
          <w:p>
            <w:pPr>
              <w:pStyle w:val="null3"/>
            </w:pPr>
            <w:r>
              <w:rPr/>
              <w:t>1期：★验收要求：遵守国际、国家、卫生部及相关行业的标准、规范和法律；满足最终签订的合同内所有要求和规定；以最终签订项目合同实际验收条款作为本项目内容验收条件。 上述各类标准与法规必须是有关官方机构最新发布的现行标准版本，中标人应向采购人提供详细的验收标准、验收手册；采购人有权委托中国法定专业质检部门对货物或系统进行检验。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 投标报价为实施本项目所须的一切费用：项目报价包括：系统建设费用、运维服务费用、设计开发费、货物及零配件的购置和安装、运输保险、装卸、培训辅导、质保期售后服务、所有的售后费用、所有的培训费用、全额含税发票、雇员费用、合同实施过程中的应预见和不可预见费用等。 (2) 本项目的预算金额为￥3,000,000.00元，本项目只接受低于或等于预算金额的投标报价，如投标人投标报价高于预算金额的，视为无效投标。</w:t>
            </w:r>
          </w:p>
        </w:tc>
      </w:tr>
      <w:tr>
        <w:tc>
          <w:tcPr>
            <w:tcW w:type="dxa" w:w="2076"/>
          </w:tcPr>
          <w:p/>
        </w:tc>
        <w:tc>
          <w:tcPr>
            <w:tcW w:type="dxa" w:w="2076"/>
          </w:tcPr>
          <w:p>
            <w:pPr>
              <w:pStyle w:val="null3"/>
              <w:jc w:val="center"/>
            </w:pPr>
            <w:r>
              <w:rPr/>
              <w:t>2</w:t>
            </w:r>
          </w:p>
        </w:tc>
        <w:tc>
          <w:tcPr>
            <w:tcW w:type="dxa" w:w="2076"/>
          </w:tcPr>
          <w:p>
            <w:pPr>
              <w:pStyle w:val="null3"/>
              <w:jc w:val="left"/>
            </w:pPr>
            <w:r>
              <w:rPr/>
              <w:t>实施服务要求</w:t>
            </w:r>
          </w:p>
        </w:tc>
        <w:tc>
          <w:tcPr>
            <w:tcW w:type="dxa" w:w="2076"/>
          </w:tcPr>
          <w:p>
            <w:pPr>
              <w:pStyle w:val="null3"/>
              <w:jc w:val="left"/>
            </w:pPr>
            <w:r>
              <w:rPr/>
              <w:t>供应商需任命有相关工作经验的项目经理与院方共同负责项目管理，并负责项目实施过程文档的收集与整理。项目实施上线期间，现场驻点项目相关工作经验工程师不少于5人，专职现场跟进和维护直至系统完全上线并完成验收。</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售后服务要求(1)</w:t>
            </w:r>
          </w:p>
        </w:tc>
        <w:tc>
          <w:tcPr>
            <w:tcW w:type="dxa" w:w="2076"/>
          </w:tcPr>
          <w:p>
            <w:pPr>
              <w:pStyle w:val="null3"/>
              <w:jc w:val="left"/>
            </w:pPr>
            <w:r>
              <w:rPr/>
              <w:t>系统维护期内，供应商现场驻点项目相关工作经验工程师不少于1人，须提供7×24 小时运行保障服务，系统运行需配套建立7×24 小时运行保障体系加以支撑，以保障系统全时间段无故障不间断正常运转。7×24 小时运行保障服务指建立7×24 小时运行保障体系，并提供与之配套的服务。</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售后服务要求(2)</w:t>
            </w:r>
          </w:p>
        </w:tc>
        <w:tc>
          <w:tcPr>
            <w:tcW w:type="dxa" w:w="2076"/>
          </w:tcPr>
          <w:p>
            <w:pPr>
              <w:pStyle w:val="null3"/>
              <w:jc w:val="left"/>
            </w:pPr>
            <w:r>
              <w:rPr/>
              <w:t>系统使用期间，应根据客户要求对原有功能修改或新增功能进行响应和实施，响应和实施时间原则不超过24小时；软件故障报修的响应时间：1小时。</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售后服务要求(3)</w:t>
            </w:r>
          </w:p>
        </w:tc>
        <w:tc>
          <w:tcPr>
            <w:tcW w:type="dxa" w:w="2076"/>
          </w:tcPr>
          <w:p>
            <w:pPr>
              <w:pStyle w:val="null3"/>
              <w:jc w:val="left"/>
            </w:pPr>
            <w:r>
              <w:rPr/>
              <w:t>应提供应用软件系统扩充、升级方面的技术支持服务。</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售后服务要求(4)</w:t>
            </w:r>
          </w:p>
        </w:tc>
        <w:tc>
          <w:tcPr>
            <w:tcW w:type="dxa" w:w="2076"/>
          </w:tcPr>
          <w:p>
            <w:pPr>
              <w:pStyle w:val="null3"/>
              <w:jc w:val="left"/>
            </w:pPr>
            <w:r>
              <w:rPr/>
              <w:t>在实施及免费维护期内，应满足所提供软件的功能模块客户化需求。</w:t>
            </w:r>
          </w:p>
        </w:tc>
      </w:tr>
      <w:tr>
        <w:tc>
          <w:tcPr>
            <w:tcW w:type="dxa" w:w="2076"/>
          </w:tcPr>
          <w:p/>
        </w:tc>
        <w:tc>
          <w:tcPr>
            <w:tcW w:type="dxa" w:w="2076"/>
          </w:tcPr>
          <w:p>
            <w:pPr>
              <w:pStyle w:val="null3"/>
              <w:jc w:val="center"/>
            </w:pPr>
            <w:r>
              <w:rPr/>
              <w:t>7</w:t>
            </w:r>
          </w:p>
        </w:tc>
        <w:tc>
          <w:tcPr>
            <w:tcW w:type="dxa" w:w="2076"/>
          </w:tcPr>
          <w:p>
            <w:pPr>
              <w:pStyle w:val="null3"/>
              <w:jc w:val="left"/>
            </w:pPr>
            <w:r>
              <w:rPr/>
              <w:t>售后服务要求(5)</w:t>
            </w:r>
          </w:p>
        </w:tc>
        <w:tc>
          <w:tcPr>
            <w:tcW w:type="dxa" w:w="2076"/>
          </w:tcPr>
          <w:p>
            <w:pPr>
              <w:pStyle w:val="null3"/>
              <w:jc w:val="left"/>
            </w:pPr>
            <w:r>
              <w:rPr/>
              <w:t>系统维护期：所提供应用软件系统均需提供从验收合格后起至少3年免费维护。项目通过验收后，中标人必须指派专业人员到现场提供使用操作培训。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电子病历智能内涵质控及单病种质控平台</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电子病历智能内涵质控及单病种质控平台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1电子病历智能内涵质控平台： 1.1 住院医生端质控提醒： 1.1.1 ▲支持在电子病历系统中外挂‘智能浮窗程序’，达成对临床住院医生实时提醒病历质量问题功能；</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 xml:space="preserve">1.1.2 </w:t>
            </w:r>
            <w:r>
              <w:rPr/>
              <w:t>▲支持医生进入本人</w:t>
            </w:r>
            <w:r>
              <w:rPr/>
              <w:t>/</w:t>
            </w:r>
            <w:r>
              <w:rPr/>
              <w:t>本科所属患者列表时，实时推荐</w:t>
            </w:r>
            <w:r>
              <w:rPr/>
              <w:t>AI</w:t>
            </w:r>
            <w:r>
              <w:rPr/>
              <w:t>质控出的问题患者列表；</w:t>
            </w:r>
          </w:p>
        </w:tc>
      </w:tr>
      <w:tr>
        <w:tc>
          <w:tcPr>
            <w:tcW w:type="dxa" w:w="2076"/>
          </w:tcPr>
          <w:p/>
        </w:tc>
        <w:tc>
          <w:tcPr>
            <w:tcW w:type="dxa" w:w="415"/>
          </w:tcPr>
          <w:p>
            <w:pPr>
              <w:pStyle w:val="null3"/>
            </w:pPr>
            <w:r>
              <w:rPr/>
              <w:t>3</w:t>
            </w:r>
          </w:p>
        </w:tc>
        <w:tc>
          <w:tcPr>
            <w:tcW w:type="dxa" w:w="5814"/>
          </w:tcPr>
          <w:p>
            <w:pPr>
              <w:pStyle w:val="null3"/>
            </w:pPr>
            <w:r>
              <w:rPr/>
              <w:t xml:space="preserve">1.1.3 </w:t>
            </w:r>
            <w:r>
              <w:rPr/>
              <w:t>支持医生打开患者病历时，实时提醒该患者所有文书问题缺陷；</w:t>
            </w:r>
          </w:p>
        </w:tc>
      </w:tr>
      <w:tr>
        <w:tc>
          <w:tcPr>
            <w:tcW w:type="dxa" w:w="2076"/>
          </w:tcPr>
          <w:p/>
        </w:tc>
        <w:tc>
          <w:tcPr>
            <w:tcW w:type="dxa" w:w="415"/>
          </w:tcPr>
          <w:p>
            <w:pPr>
              <w:pStyle w:val="null3"/>
            </w:pPr>
            <w:r>
              <w:rPr/>
              <w:t>4</w:t>
            </w:r>
          </w:p>
        </w:tc>
        <w:tc>
          <w:tcPr>
            <w:tcW w:type="dxa" w:w="5814"/>
          </w:tcPr>
          <w:p>
            <w:pPr>
              <w:pStyle w:val="null3"/>
            </w:pPr>
            <w:r>
              <w:rPr/>
              <w:t xml:space="preserve">1.1.4 </w:t>
            </w:r>
            <w:r>
              <w:rPr/>
              <w:t>支持医生在患者出院时，对病案首页及其他病历内容进行全面质量核查；</w:t>
            </w:r>
          </w:p>
        </w:tc>
      </w:tr>
      <w:tr>
        <w:tc>
          <w:tcPr>
            <w:tcW w:type="dxa" w:w="2076"/>
          </w:tcPr>
          <w:p/>
        </w:tc>
        <w:tc>
          <w:tcPr>
            <w:tcW w:type="dxa" w:w="415"/>
          </w:tcPr>
          <w:p>
            <w:pPr>
              <w:pStyle w:val="null3"/>
            </w:pPr>
            <w:r>
              <w:rPr/>
              <w:t>5</w:t>
            </w:r>
          </w:p>
        </w:tc>
        <w:tc>
          <w:tcPr>
            <w:tcW w:type="dxa" w:w="5814"/>
          </w:tcPr>
          <w:p>
            <w:pPr>
              <w:pStyle w:val="null3"/>
            </w:pPr>
            <w:r>
              <w:rPr/>
              <w:t xml:space="preserve">1.1.5 </w:t>
            </w:r>
            <w:r>
              <w:rPr/>
              <w:t>支持医生书写入院记录、病程记录、手术记录、出院记录、死亡记录等住院病历文书时，质控出对应文书问题缺陷；</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 xml:space="preserve">1.1.6 </w:t>
            </w:r>
            <w:r>
              <w:rPr/>
              <w:t>▲支持实时展示各文书缺陷内容详情，包括：缺陷项扣分值、缺陷项内容、缺陷问题明细；</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 xml:space="preserve">1.1.7 </w:t>
            </w:r>
            <w:r>
              <w:rPr/>
              <w:t>▲支持在智能浮窗程序显示核心制度患者标签，如死亡、手术、会诊、高危、长期住院；</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 xml:space="preserve">1.1.8 </w:t>
            </w:r>
            <w:r>
              <w:rPr/>
              <w:t>▲支持医生</w:t>
            </w:r>
            <w:r>
              <w:rPr/>
              <w:t>AI</w:t>
            </w:r>
            <w:r>
              <w:rPr/>
              <w:t>提醒的质控缺陷项进行问题反馈，同时支持录入反馈原因，且反馈问题原因需维护为选项便于医生操作。</w:t>
            </w:r>
          </w:p>
        </w:tc>
      </w:tr>
      <w:tr>
        <w:tc>
          <w:tcPr>
            <w:tcW w:type="dxa" w:w="2076"/>
          </w:tcPr>
          <w:p/>
        </w:tc>
        <w:tc>
          <w:tcPr>
            <w:tcW w:type="dxa" w:w="415"/>
          </w:tcPr>
          <w:p>
            <w:pPr>
              <w:pStyle w:val="null3"/>
            </w:pPr>
            <w:r>
              <w:rPr/>
              <w:t>9</w:t>
            </w:r>
          </w:p>
        </w:tc>
        <w:tc>
          <w:tcPr>
            <w:tcW w:type="dxa" w:w="5814"/>
          </w:tcPr>
          <w:p>
            <w:pPr>
              <w:pStyle w:val="null3"/>
            </w:pPr>
            <w:r>
              <w:rPr/>
              <w:t>1.2住院医生端预警： 1.2.1 支持在电子病历系统中外挂‘智能浮窗程序’，达成对临床住院医生提前告知待办书写事项功能； 1.2.2 支持医师打开患者病历时，预警该患者待书写病历、未完成病历； 1.2.3 支持医师打开患者病历时，预警各文书待书写内容，待书写内容需通过分析医嘱、检查检验的临床数据再进行有效预警； 1.2.4 支持医生对AI预警结果进行反馈，同时支持录入反馈原因，且反馈问题原因需维护为选项便于医生操作。</w:t>
            </w:r>
          </w:p>
        </w:tc>
      </w:tr>
      <w:tr>
        <w:tc>
          <w:tcPr>
            <w:tcW w:type="dxa" w:w="2076"/>
          </w:tcPr>
          <w:p/>
        </w:tc>
        <w:tc>
          <w:tcPr>
            <w:tcW w:type="dxa" w:w="415"/>
          </w:tcPr>
          <w:p>
            <w:pPr>
              <w:pStyle w:val="null3"/>
            </w:pPr>
            <w:r>
              <w:rPr/>
              <w:t>10</w:t>
            </w:r>
          </w:p>
        </w:tc>
        <w:tc>
          <w:tcPr>
            <w:tcW w:type="dxa" w:w="5814"/>
          </w:tcPr>
          <w:p>
            <w:pPr>
              <w:pStyle w:val="null3"/>
            </w:pPr>
            <w:r>
              <w:rPr/>
              <w:t>1.3住院医生端质控通知： 1.3.1 支持在电子病历系统中外挂‘智能浮窗程序’，达成环节或终末质控员通知临床住院医生对病案缺陷进行整改的功能； 1.3.2 支持医师打开患者病历时，查看当前病案接收到的通知消息； 1.3.3 支持医师打开病历列表时，查看非打开患者通知消息。</w:t>
            </w:r>
          </w:p>
        </w:tc>
      </w:tr>
      <w:tr>
        <w:tc>
          <w:tcPr>
            <w:tcW w:type="dxa" w:w="2076"/>
          </w:tcPr>
          <w:p/>
        </w:tc>
        <w:tc>
          <w:tcPr>
            <w:tcW w:type="dxa" w:w="415"/>
          </w:tcPr>
          <w:p>
            <w:pPr>
              <w:pStyle w:val="null3"/>
            </w:pPr>
            <w:r>
              <w:rPr/>
              <w:t>11</w:t>
            </w:r>
          </w:p>
        </w:tc>
        <w:tc>
          <w:tcPr>
            <w:tcW w:type="dxa" w:w="5814"/>
          </w:tcPr>
          <w:p>
            <w:pPr>
              <w:pStyle w:val="null3"/>
            </w:pPr>
            <w:r>
              <w:rPr/>
              <w:t>1.4 EMR集成： 1.4.1 支持与医院在用电子病历系统进行门诊/住院医生临床书写端集成； 1.4.2 支持实时API对接电子病历临床书写数据等； 1.4.3 支持提供实时API对接文档。</w:t>
            </w:r>
          </w:p>
        </w:tc>
      </w:tr>
      <w:tr>
        <w:tc>
          <w:tcPr>
            <w:tcW w:type="dxa" w:w="2076"/>
          </w:tcPr>
          <w:p/>
        </w:tc>
        <w:tc>
          <w:tcPr>
            <w:tcW w:type="dxa" w:w="415"/>
          </w:tcPr>
          <w:p>
            <w:pPr>
              <w:pStyle w:val="null3"/>
            </w:pPr>
            <w:r>
              <w:rPr/>
              <w:t>12</w:t>
            </w:r>
          </w:p>
        </w:tc>
        <w:tc>
          <w:tcPr>
            <w:tcW w:type="dxa" w:w="5814"/>
          </w:tcPr>
          <w:p>
            <w:pPr>
              <w:pStyle w:val="null3"/>
            </w:pPr>
            <w:r>
              <w:rPr/>
              <w:t>1.5住院医生端监控： 1.5.1 支持实时监控全院、各科室内临床工作内容，包括在院患者数、医生端病历问题数、医生端修改病历数； 1.5.2 支持实时统计文书问题，包含文书问题排行； 1.5.3 支持实时统计科室问题，包含科室问题排行； 1.5.4 支持实时统计各类病历问题报表，包含文书问题报表、科室问题报表； 1.5.5 支持查看医生端问题患者详情，可查看各临床医师书写病历内容与问题详情； 1.5.6 支持导出相关统计报表。</w:t>
            </w:r>
          </w:p>
        </w:tc>
      </w:tr>
      <w:tr>
        <w:tc>
          <w:tcPr>
            <w:tcW w:type="dxa" w:w="2076"/>
          </w:tcPr>
          <w:p/>
        </w:tc>
        <w:tc>
          <w:tcPr>
            <w:tcW w:type="dxa" w:w="415"/>
          </w:tcPr>
          <w:p>
            <w:pPr>
              <w:pStyle w:val="null3"/>
            </w:pPr>
            <w:r>
              <w:rPr/>
              <w:t>13</w:t>
            </w:r>
          </w:p>
        </w:tc>
        <w:tc>
          <w:tcPr>
            <w:tcW w:type="dxa" w:w="5814"/>
          </w:tcPr>
          <w:p>
            <w:pPr>
              <w:pStyle w:val="null3"/>
            </w:pPr>
            <w:r>
              <w:rPr/>
              <w:t>1.6 环节质控： 1.6.1环节机器与人工质控： 1.6.1.1 支持对在院、出院未编目的环节病历进行机器实时自动质控，向质控人员提醒机器质控出的患者文书缺陷分类、缺陷明细、扣分； 1.6.1.2 支持质控员添加人工检出缺陷，删除机器质控缺陷，并支持误删除的恢复功能； 1.6.1.3 支持环节质控时，支持对机器质控结果进行疑问反馈，支持反馈结果量化统计。</w:t>
            </w:r>
          </w:p>
        </w:tc>
      </w:tr>
      <w:tr>
        <w:tc>
          <w:tcPr>
            <w:tcW w:type="dxa" w:w="2076"/>
          </w:tcPr>
          <w:p/>
        </w:tc>
        <w:tc>
          <w:tcPr>
            <w:tcW w:type="dxa" w:w="415"/>
          </w:tcPr>
          <w:p>
            <w:pPr>
              <w:pStyle w:val="null3"/>
            </w:pPr>
            <w:r>
              <w:rPr/>
              <w:t>14</w:t>
            </w:r>
          </w:p>
        </w:tc>
        <w:tc>
          <w:tcPr>
            <w:tcW w:type="dxa" w:w="5814"/>
          </w:tcPr>
          <w:p>
            <w:pPr>
              <w:pStyle w:val="null3"/>
            </w:pPr>
            <w:r>
              <w:rPr/>
              <w:t>1.6.2运行患者列表： 1.6.2.1支持环节质控时，向质控人员展示在院患者列表；</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 xml:space="preserve">1.6.2.2 </w:t>
            </w:r>
            <w:r>
              <w:rPr/>
              <w:t>▲支持质控时筛选目标病历，支持多条件筛选，可根据患者</w:t>
            </w:r>
            <w:r>
              <w:rPr/>
              <w:t>id</w:t>
            </w:r>
            <w:r>
              <w:rPr/>
              <w:t>、入院日期、科室、医师、病历文书、问题分类、问题明细、质控状态进行筛选；</w:t>
            </w:r>
          </w:p>
        </w:tc>
      </w:tr>
      <w:tr>
        <w:tc>
          <w:tcPr>
            <w:tcW w:type="dxa" w:w="2076"/>
          </w:tcPr>
          <w:p/>
        </w:tc>
        <w:tc>
          <w:tcPr>
            <w:tcW w:type="dxa" w:w="415"/>
          </w:tcPr>
          <w:p>
            <w:pPr>
              <w:pStyle w:val="null3"/>
            </w:pPr>
            <w:r>
              <w:rPr/>
              <w:t>16</w:t>
            </w:r>
          </w:p>
        </w:tc>
        <w:tc>
          <w:tcPr>
            <w:tcW w:type="dxa" w:w="5814"/>
          </w:tcPr>
          <w:p>
            <w:pPr>
              <w:pStyle w:val="null3"/>
            </w:pPr>
            <w:r>
              <w:rPr/>
              <w:t>1.6.2.3</w:t>
            </w:r>
            <w:r>
              <w:rPr/>
              <w:t>支持导出推荐、筛选的患者列表。</w:t>
            </w:r>
          </w:p>
        </w:tc>
      </w:tr>
      <w:tr>
        <w:tc>
          <w:tcPr>
            <w:tcW w:type="dxa" w:w="2076"/>
          </w:tcPr>
          <w:p/>
        </w:tc>
        <w:tc>
          <w:tcPr>
            <w:tcW w:type="dxa" w:w="415"/>
          </w:tcPr>
          <w:p>
            <w:pPr>
              <w:pStyle w:val="null3"/>
            </w:pPr>
            <w:r>
              <w:rPr/>
              <w:t>17</w:t>
            </w:r>
          </w:p>
        </w:tc>
        <w:tc>
          <w:tcPr>
            <w:tcW w:type="dxa" w:w="5814"/>
          </w:tcPr>
          <w:p>
            <w:pPr>
              <w:pStyle w:val="null3"/>
            </w:pPr>
            <w:r>
              <w:rPr/>
              <w:t>1.6.3运行病历详情浏览： 1.6.3.1支持查看在院、出院未编的问题患者； 1.6.3.2支持病历详情调阅，可查看运行病历的患者视图，包含：病案首页、入院记录、病程记录、出院记录、医嘱、检查检验报告等抽取文书；</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1.6.4环节监控： 1.6.4.1 ▲支持查看当前AI质控病历总数、质控科室数；</w:t>
            </w:r>
          </w:p>
        </w:tc>
      </w:tr>
      <w:tr>
        <w:tc>
          <w:tcPr>
            <w:tcW w:type="dxa" w:w="2076"/>
          </w:tcPr>
          <w:p/>
        </w:tc>
        <w:tc>
          <w:tcPr>
            <w:tcW w:type="dxa" w:w="415"/>
          </w:tcPr>
          <w:p>
            <w:pPr>
              <w:pStyle w:val="null3"/>
            </w:pPr>
            <w:r>
              <w:rPr/>
              <w:t>19</w:t>
            </w:r>
          </w:p>
        </w:tc>
        <w:tc>
          <w:tcPr>
            <w:tcW w:type="dxa" w:w="5814"/>
          </w:tcPr>
          <w:p>
            <w:pPr>
              <w:pStyle w:val="null3"/>
            </w:pPr>
            <w:r>
              <w:rPr/>
              <w:t>1.6.4.2</w:t>
            </w:r>
            <w:r>
              <w:rPr/>
              <w:t>支持查看全院病历的甲级病历、乙级病历和丙级病历的数量和占比；</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 xml:space="preserve">1.6.4.3 </w:t>
            </w:r>
            <w:r>
              <w:rPr/>
              <w:t>▲支持查看时间维度病案质量情况，对病案质量变化趋势进行图形化展示。</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 xml:space="preserve">1.6.4.4 </w:t>
            </w:r>
            <w:r>
              <w:rPr/>
              <w:t>▲支持查看科室维度病历问题数量排名、各科室病历数量、各科室病历问题数量、各科室病历问题占比；</w:t>
            </w:r>
          </w:p>
        </w:tc>
      </w:tr>
      <w:tr>
        <w:tc>
          <w:tcPr>
            <w:tcW w:type="dxa" w:w="2076"/>
          </w:tcPr>
          <w:p/>
        </w:tc>
        <w:tc>
          <w:tcPr>
            <w:tcW w:type="dxa" w:w="415"/>
          </w:tcPr>
          <w:p>
            <w:pPr>
              <w:pStyle w:val="null3"/>
            </w:pPr>
            <w:r>
              <w:rPr/>
              <w:t>22</w:t>
            </w:r>
          </w:p>
        </w:tc>
        <w:tc>
          <w:tcPr>
            <w:tcW w:type="dxa" w:w="5814"/>
          </w:tcPr>
          <w:p>
            <w:pPr>
              <w:pStyle w:val="null3"/>
            </w:pPr>
            <w:r>
              <w:rPr/>
              <w:t xml:space="preserve">1.6.4.5 </w:t>
            </w:r>
            <w:r>
              <w:rPr/>
              <w:t>支持查看文书维度问题排名，展示全院各文书问题数量；</w:t>
            </w:r>
          </w:p>
        </w:tc>
      </w:tr>
      <w:tr>
        <w:tc>
          <w:tcPr>
            <w:tcW w:type="dxa" w:w="2076"/>
          </w:tcPr>
          <w:p/>
        </w:tc>
        <w:tc>
          <w:tcPr>
            <w:tcW w:type="dxa" w:w="415"/>
          </w:tcPr>
          <w:p>
            <w:pPr>
              <w:pStyle w:val="null3"/>
            </w:pPr>
            <w:r>
              <w:rPr/>
              <w:t>23</w:t>
            </w:r>
          </w:p>
        </w:tc>
        <w:tc>
          <w:tcPr>
            <w:tcW w:type="dxa" w:w="5814"/>
          </w:tcPr>
          <w:p>
            <w:pPr>
              <w:pStyle w:val="null3"/>
            </w:pPr>
            <w:r>
              <w:rPr/>
              <w:t xml:space="preserve">1.6.4.6 </w:t>
            </w:r>
            <w:r>
              <w:rPr/>
              <w:t>支持查看医生维度病历问题排名，各医师总病历数量、书写文书中甲乙丙各级文书问题数量；</w:t>
            </w:r>
          </w:p>
        </w:tc>
      </w:tr>
      <w:tr>
        <w:tc>
          <w:tcPr>
            <w:tcW w:type="dxa" w:w="2076"/>
          </w:tcPr>
          <w:p/>
        </w:tc>
        <w:tc>
          <w:tcPr>
            <w:tcW w:type="dxa" w:w="415"/>
          </w:tcPr>
          <w:p>
            <w:pPr>
              <w:pStyle w:val="null3"/>
            </w:pPr>
            <w:r>
              <w:rPr/>
              <w:t>24</w:t>
            </w:r>
          </w:p>
        </w:tc>
        <w:tc>
          <w:tcPr>
            <w:tcW w:type="dxa" w:w="5814"/>
          </w:tcPr>
          <w:p>
            <w:pPr>
              <w:pStyle w:val="null3"/>
            </w:pPr>
            <w:r>
              <w:rPr/>
              <w:t xml:space="preserve">1.6.4.7 </w:t>
            </w:r>
            <w:r>
              <w:rPr/>
              <w:t>支持查看全院环节监控出问题的明细，包含各科室甲乙丙问题病历量、问题患者详情；</w:t>
            </w:r>
          </w:p>
        </w:tc>
      </w:tr>
      <w:tr>
        <w:tc>
          <w:tcPr>
            <w:tcW w:type="dxa" w:w="2076"/>
          </w:tcPr>
          <w:p/>
        </w:tc>
        <w:tc>
          <w:tcPr>
            <w:tcW w:type="dxa" w:w="415"/>
          </w:tcPr>
          <w:p>
            <w:pPr>
              <w:pStyle w:val="null3"/>
            </w:pPr>
            <w:r>
              <w:rPr/>
              <w:t>25</w:t>
            </w:r>
          </w:p>
        </w:tc>
        <w:tc>
          <w:tcPr>
            <w:tcW w:type="dxa" w:w="5814"/>
          </w:tcPr>
          <w:p>
            <w:pPr>
              <w:pStyle w:val="null3"/>
            </w:pPr>
            <w:r>
              <w:rPr/>
              <w:t xml:space="preserve">1.6.4.8 </w:t>
            </w:r>
            <w:r>
              <w:rPr/>
              <w:t>报表支持下钻功能，定位具体患者或文书</w:t>
            </w:r>
          </w:p>
        </w:tc>
      </w:tr>
      <w:tr>
        <w:tc>
          <w:tcPr>
            <w:tcW w:type="dxa" w:w="2076"/>
          </w:tcPr>
          <w:p/>
        </w:tc>
        <w:tc>
          <w:tcPr>
            <w:tcW w:type="dxa" w:w="415"/>
          </w:tcPr>
          <w:p>
            <w:pPr>
              <w:pStyle w:val="null3"/>
            </w:pPr>
            <w:r>
              <w:rPr/>
              <w:t>26</w:t>
            </w:r>
          </w:p>
        </w:tc>
        <w:tc>
          <w:tcPr>
            <w:tcW w:type="dxa" w:w="5814"/>
          </w:tcPr>
          <w:p>
            <w:pPr>
              <w:pStyle w:val="null3"/>
            </w:pPr>
            <w:r>
              <w:rPr/>
              <w:t xml:space="preserve">1.6.4.9 </w:t>
            </w:r>
            <w:r>
              <w:rPr/>
              <w:t>支持查询环节监控各类型统计报表；</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 xml:space="preserve">1.6.4.10 </w:t>
            </w:r>
            <w:r>
              <w:rPr/>
              <w:t>▲支持环节监控各可视化图表的导出与下载。</w:t>
            </w:r>
          </w:p>
        </w:tc>
      </w:tr>
      <w:tr>
        <w:tc>
          <w:tcPr>
            <w:tcW w:type="dxa" w:w="2076"/>
          </w:tcPr>
          <w:p/>
        </w:tc>
        <w:tc>
          <w:tcPr>
            <w:tcW w:type="dxa" w:w="415"/>
          </w:tcPr>
          <w:p>
            <w:pPr>
              <w:pStyle w:val="null3"/>
            </w:pPr>
            <w:r>
              <w:rPr/>
              <w:t>28</w:t>
            </w:r>
          </w:p>
        </w:tc>
        <w:tc>
          <w:tcPr>
            <w:tcW w:type="dxa" w:w="5814"/>
          </w:tcPr>
          <w:p>
            <w:pPr>
              <w:pStyle w:val="null3"/>
            </w:pPr>
            <w:r>
              <w:rPr/>
              <w:t>1.7 终末质控： 1.7.1 终末机器与人工质控： 1.7.1.1 支持对已出科的终末病历进行机器定时质控，向质控人员展示机器质控出的患者文书缺陷分类、缺陷明细、扣分； 1.7.1.2 支持质控员添加人工检出缺陷，删除机器质控缺陷，并支持误删除的恢复功能； 1.7.1.3 支持对机器质控结果进行疑问反馈，支持反馈结果量化统计。</w:t>
            </w:r>
          </w:p>
        </w:tc>
      </w:tr>
      <w:tr>
        <w:tc>
          <w:tcPr>
            <w:tcW w:type="dxa" w:w="2076"/>
          </w:tcPr>
          <w:p/>
        </w:tc>
        <w:tc>
          <w:tcPr>
            <w:tcW w:type="dxa" w:w="415"/>
          </w:tcPr>
          <w:p>
            <w:pPr>
              <w:pStyle w:val="null3"/>
            </w:pPr>
            <w:r>
              <w:rPr/>
              <w:t>29</w:t>
            </w:r>
          </w:p>
        </w:tc>
        <w:tc>
          <w:tcPr>
            <w:tcW w:type="dxa" w:w="5814"/>
          </w:tcPr>
          <w:p>
            <w:pPr>
              <w:pStyle w:val="null3"/>
            </w:pPr>
            <w:r>
              <w:rPr/>
              <w:t>1.7.2 终末患者列表： 1.7.2.1 支持终末质控时，向质控人员展示出院患者列表； 1.7.2.2 支持对列表多个字段进行排序，包括时间，分数等； 1.7.2.3 支持质控时筛选目标病历，支持多条件筛选，可根据患者id、出院日期、科室、医师、病历文书、问题分类、问题明细、质控状态进行筛选； 1.7.2.4 支持导出推荐、筛选的患者列表。</w:t>
            </w:r>
          </w:p>
        </w:tc>
      </w:tr>
      <w:tr>
        <w:tc>
          <w:tcPr>
            <w:tcW w:type="dxa" w:w="2076"/>
          </w:tcPr>
          <w:p/>
        </w:tc>
        <w:tc>
          <w:tcPr>
            <w:tcW w:type="dxa" w:w="415"/>
          </w:tcPr>
          <w:p>
            <w:pPr>
              <w:pStyle w:val="null3"/>
            </w:pPr>
            <w:r>
              <w:rPr/>
              <w:t>30</w:t>
            </w:r>
          </w:p>
        </w:tc>
        <w:tc>
          <w:tcPr>
            <w:tcW w:type="dxa" w:w="5814"/>
          </w:tcPr>
          <w:p>
            <w:pPr>
              <w:pStyle w:val="null3"/>
            </w:pPr>
            <w:r>
              <w:rPr/>
              <w:t>1.7.3 终末病历详情浏览： 1.7.3.1 支持查看已出科病历的终末质控问题患者的质控分数及缺陷明细； 1.7.3.2 支持病历详情调阅，可查看终末病历的患者视图，包含：病案首页、入院记录、病程记录、出院记录、医嘱、检查检验报告等抽取文书；</w:t>
            </w:r>
          </w:p>
        </w:tc>
      </w:tr>
      <w:tr>
        <w:tc>
          <w:tcPr>
            <w:tcW w:type="dxa" w:w="2076"/>
          </w:tcPr>
          <w:p/>
        </w:tc>
        <w:tc>
          <w:tcPr>
            <w:tcW w:type="dxa" w:w="415"/>
          </w:tcPr>
          <w:p>
            <w:pPr>
              <w:pStyle w:val="null3"/>
            </w:pPr>
            <w:r>
              <w:rPr/>
              <w:t>31</w:t>
            </w:r>
          </w:p>
        </w:tc>
        <w:tc>
          <w:tcPr>
            <w:tcW w:type="dxa" w:w="5814"/>
          </w:tcPr>
          <w:p>
            <w:pPr>
              <w:pStyle w:val="null3"/>
            </w:pPr>
            <w:r>
              <w:rPr/>
              <w:t>1.7.4 终末监控： 1.7.4.1 支持查看终末质控的AI质控病历总数、质控科室数； 1.7.4.2 支持通过出院日期进行终末监控范围筛选； 1.7.4.3 支持查看全院病历的甲级病历、乙级病历和丙级病历的数量和占比； 1.7.4.4 支持按时间维度，对病案质量变化趋势进行图形化展示。 1.7.4.5 支持查看全院各科室病历问题数量排名、各科室病历数量、各科室病历问题数量、各科室病历问题占比； 1.7.4.6 支持查看全院各文书问题排名，展示全院各文书问题数量； 1.7.4.7 支持查看各医生病历问题排名，各医师总病历数量、书写文书中甲乙丙各级文书问题数量； 1.7.4.8 支持查看全院终末监控出问题的明细，包含各科室甲乙丙问题病历量、问题患者详情； 1.7.4.9 报表支持下钻功能，定位具体患者或文书； 1.7.4.10 支持查询终末监控各类型统计报表； 1.7.4.11 支持终末监控各可视化图表的导出与下载。</w:t>
            </w:r>
          </w:p>
        </w:tc>
      </w:tr>
      <w:tr>
        <w:tc>
          <w:tcPr>
            <w:tcW w:type="dxa" w:w="2076"/>
          </w:tcPr>
          <w:p/>
        </w:tc>
        <w:tc>
          <w:tcPr>
            <w:tcW w:type="dxa" w:w="415"/>
          </w:tcPr>
          <w:p>
            <w:pPr>
              <w:pStyle w:val="null3"/>
            </w:pPr>
            <w:r>
              <w:rPr/>
              <w:t>32</w:t>
            </w:r>
          </w:p>
        </w:tc>
        <w:tc>
          <w:tcPr>
            <w:tcW w:type="dxa" w:w="5814"/>
          </w:tcPr>
          <w:p>
            <w:pPr>
              <w:pStyle w:val="null3"/>
            </w:pPr>
            <w:r>
              <w:rPr/>
              <w:t>1.8 整改管理： 1.8.1 整改通知： 1.8.1.1 支持临床医师接收质控员发送整改通知，通知内容包含病历号，得分，缺陷等信息。 1.8.1.2 已发送的整改通知支持医师端和平台端显示； 1.8.1.3 支持临床医师对接收到的通知进行线上处理，包括整改确认及申诉反馈。 1.8.1.4 支持临床医生在医生端对整改通知进行申诉，并可将申诉结果反馈质控平台端。 1.8.1.5 支持整改病历通过不同状态，查看通知消息是否已完成处理。 1.8.1.6 支持临床医师查看反馈结果是否被质控员接受。</w:t>
            </w:r>
          </w:p>
        </w:tc>
      </w:tr>
      <w:tr>
        <w:tc>
          <w:tcPr>
            <w:tcW w:type="dxa" w:w="2076"/>
          </w:tcPr>
          <w:p/>
        </w:tc>
        <w:tc>
          <w:tcPr>
            <w:tcW w:type="dxa" w:w="415"/>
          </w:tcPr>
          <w:p>
            <w:pPr>
              <w:pStyle w:val="null3"/>
            </w:pPr>
            <w:r>
              <w:rPr/>
              <w:t>33</w:t>
            </w:r>
          </w:p>
        </w:tc>
        <w:tc>
          <w:tcPr>
            <w:tcW w:type="dxa" w:w="5814"/>
          </w:tcPr>
          <w:p>
            <w:pPr>
              <w:pStyle w:val="null3"/>
            </w:pPr>
            <w:r>
              <w:rPr/>
              <w:t>1.8.2 整改管理： 1.8.2.1 支持质控员在质控完成后，及时对问题病历发送要求整改通知，并定位到具体科室及医师； 1.8.2.2 支持转科病历，向转科前后不同科室发送通知。 1.8.2.3 支持质控人员对临床整改结果的审批，包括整改通过和问题驳回，驳回结果可以再通知； 1.8.2.4 支持质控人员依据整改状态、是否申诉，患者入出院信息等进行整改数据筛选； 1.8.2.5 平台端支持对医生整改结果的自动确认。 1.8.2.6 支持质控人员将通知整改内容导出，便于工作统计。</w:t>
            </w:r>
          </w:p>
        </w:tc>
      </w:tr>
      <w:tr>
        <w:tc>
          <w:tcPr>
            <w:tcW w:type="dxa" w:w="2076"/>
          </w:tcPr>
          <w:p/>
        </w:tc>
        <w:tc>
          <w:tcPr>
            <w:tcW w:type="dxa" w:w="415"/>
          </w:tcPr>
          <w:p>
            <w:pPr>
              <w:pStyle w:val="null3"/>
            </w:pPr>
            <w:r>
              <w:rPr/>
              <w:t>34</w:t>
            </w:r>
          </w:p>
        </w:tc>
        <w:tc>
          <w:tcPr>
            <w:tcW w:type="dxa" w:w="5814"/>
          </w:tcPr>
          <w:p>
            <w:pPr>
              <w:pStyle w:val="null3"/>
            </w:pPr>
            <w:r>
              <w:rPr/>
              <w:t>1.9 质控工作管理： 1.9.1 质控工作统计： 1.9.1.1 支持按质控员维度对工作量统计，包括质控数量，通知数量，和整改确认完成数量。 1.9.1.2 支持科室维度的工作量统计，包括质控数量，通知数量，和整改确认完成数量。 1.9.1.3 支持规则维度的工作量统计，包括质控数量，通知数量，和整改确认完成数量。</w:t>
            </w:r>
          </w:p>
        </w:tc>
      </w:tr>
      <w:tr>
        <w:tc>
          <w:tcPr>
            <w:tcW w:type="dxa" w:w="2076"/>
          </w:tcPr>
          <w:p/>
        </w:tc>
        <w:tc>
          <w:tcPr>
            <w:tcW w:type="dxa" w:w="415"/>
          </w:tcPr>
          <w:p>
            <w:pPr>
              <w:pStyle w:val="null3"/>
            </w:pPr>
            <w:r>
              <w:rPr/>
              <w:t>35</w:t>
            </w:r>
          </w:p>
        </w:tc>
        <w:tc>
          <w:tcPr>
            <w:tcW w:type="dxa" w:w="5814"/>
          </w:tcPr>
          <w:p>
            <w:pPr>
              <w:pStyle w:val="null3"/>
            </w:pPr>
            <w:r>
              <w:rPr/>
              <w:t>1.9.2 质控工作计划： 1.9.2.1 支持创建终末质控计划，可以按比例、病历特点等进行数据抽取 1.9.2.2 支持查看质控计划的完成进度 1.9.2.3 支持跳转致质控详情，进行质控工作</w:t>
            </w:r>
          </w:p>
        </w:tc>
      </w:tr>
      <w:tr>
        <w:tc>
          <w:tcPr>
            <w:tcW w:type="dxa" w:w="2076"/>
          </w:tcPr>
          <w:p/>
        </w:tc>
        <w:tc>
          <w:tcPr>
            <w:tcW w:type="dxa" w:w="415"/>
          </w:tcPr>
          <w:p>
            <w:pPr>
              <w:pStyle w:val="null3"/>
            </w:pPr>
            <w:r>
              <w:rPr/>
              <w:t>36</w:t>
            </w:r>
          </w:p>
        </w:tc>
        <w:tc>
          <w:tcPr>
            <w:tcW w:type="dxa" w:w="5814"/>
          </w:tcPr>
          <w:p>
            <w:pPr>
              <w:pStyle w:val="null3"/>
            </w:pPr>
            <w:r>
              <w:rPr/>
              <w:t>1.10 质控评分表对照： 1.10.1 支持AI质控住院评分表在线下载功能； 1.10.2 支持自定义配置住院评分表采用版本、甲乙丙级病历计算方式及分数区间； 1.10.3 支持对于AI质控住院评分表的编辑修改功能，包括但不限于文书最大扣分；项目最大扣分、是否每项扣分、每项扣分分值等； 1.10.4 支持医院自定义导入个性化住院评表； 1.10.5支持院内评分表与AI质控评分项的双向映射。</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1.11 质控评分项管理： 1.11.1 支持展示AI质控全部评分项内容； 1.11.2 ▲支持根据不同质控时间节点配置评分项，包括医生端、环节、终末； 1.11.3 支持医院根据实际情况启停用评分项； 1.11.4 支持针对于不同科室配置专科评分项； 1.11.5 支持自定义设置单项否决、属性等评分项参数。</w:t>
            </w:r>
          </w:p>
        </w:tc>
      </w:tr>
      <w:tr>
        <w:tc>
          <w:tcPr>
            <w:tcW w:type="dxa" w:w="2076"/>
          </w:tcPr>
          <w:p/>
        </w:tc>
        <w:tc>
          <w:tcPr>
            <w:tcW w:type="dxa" w:w="415"/>
          </w:tcPr>
          <w:p>
            <w:pPr>
              <w:pStyle w:val="null3"/>
            </w:pPr>
            <w:r>
              <w:rPr/>
              <w:t>38</w:t>
            </w:r>
          </w:p>
        </w:tc>
        <w:tc>
          <w:tcPr>
            <w:tcW w:type="dxa" w:w="5814"/>
          </w:tcPr>
          <w:p>
            <w:pPr>
              <w:pStyle w:val="null3"/>
            </w:pPr>
            <w:r>
              <w:rPr/>
              <w:t>1.12 评分项维护： 1.12.1系统支持质控规则编辑，根据需要进行本地化调整，确保规则符合医院要求与习惯。包括但不限于： ①及时性规则支持标准时间选择，如使用创建时间或签名时间判断文书书写完成等； ②完整规则支持本地化调整，当医院电子病历无相应字段时，可关闭； ③缺失类规则支持按照字数进行判断，当文书低于设置标准时，可判断为未书写，如首次病程记录低于10个字。</w:t>
            </w:r>
          </w:p>
        </w:tc>
      </w:tr>
      <w:tr>
        <w:tc>
          <w:tcPr>
            <w:tcW w:type="dxa" w:w="2076"/>
          </w:tcPr>
          <w:p/>
        </w:tc>
        <w:tc>
          <w:tcPr>
            <w:tcW w:type="dxa" w:w="415"/>
          </w:tcPr>
          <w:p>
            <w:pPr>
              <w:pStyle w:val="null3"/>
            </w:pPr>
            <w:r>
              <w:rPr/>
              <w:t>39</w:t>
            </w:r>
          </w:p>
        </w:tc>
        <w:tc>
          <w:tcPr>
            <w:tcW w:type="dxa" w:w="5814"/>
          </w:tcPr>
          <w:p>
            <w:pPr>
              <w:pStyle w:val="null3"/>
            </w:pPr>
            <w:r>
              <w:rPr/>
              <w:t>1.13 用户与权限管理： 1.13.1 支持提供科室、人员、角色导入模板，便于维护； 1.13.2 支持科室字典导入、科室信息新增、修改、删除； 1.13.3 支持用户字典导入、用户信息新增与修改、删除、启停用； 1.13.4 支持角色字典导入、角色信息新增与修改、删除、启停用；支持角色与用户之间进行绑定； 1.13.5 支持通过角色进行产品功能权限分配； 1.13.6 支持全院与各科室数据权限依据角色进行分配。</w:t>
            </w:r>
          </w:p>
        </w:tc>
      </w:tr>
      <w:tr>
        <w:tc>
          <w:tcPr>
            <w:tcW w:type="dxa" w:w="2076"/>
          </w:tcPr>
          <w:p/>
        </w:tc>
        <w:tc>
          <w:tcPr>
            <w:tcW w:type="dxa" w:w="415"/>
          </w:tcPr>
          <w:p>
            <w:pPr>
              <w:pStyle w:val="null3"/>
            </w:pPr>
            <w:r>
              <w:rPr/>
              <w:t>40</w:t>
            </w:r>
          </w:p>
        </w:tc>
        <w:tc>
          <w:tcPr>
            <w:tcW w:type="dxa" w:w="5814"/>
          </w:tcPr>
          <w:p>
            <w:pPr>
              <w:pStyle w:val="null3"/>
            </w:pPr>
            <w:r>
              <w:rPr/>
              <w:t>1.14 系统运行监控： 1.14.1 支持根据日、周、月度不同时间维度查询全院、各科室医生端点击情况及变化趋势； 1.14.2 支持分析临床科室对于不同功能模块的使用取向，包含：提醒、预警、通知； 1.14.3 支持分析当前使用医生端小程序的用户类型； 1.14.4 支持分析不同科室对于医生端消小程序的点击情况与响应力度； 1.14.5 支持查看各科室接收质控提示却未响应的排名情况； 1.14.6 支持实时查看各科室医师实际使用医生端小程序各功能模块的情况及响应力度。</w:t>
            </w:r>
          </w:p>
        </w:tc>
      </w:tr>
      <w:tr>
        <w:tc>
          <w:tcPr>
            <w:tcW w:type="dxa" w:w="2076"/>
          </w:tcPr>
          <w:p/>
        </w:tc>
        <w:tc>
          <w:tcPr>
            <w:tcW w:type="dxa" w:w="415"/>
          </w:tcPr>
          <w:p>
            <w:pPr>
              <w:pStyle w:val="null3"/>
            </w:pPr>
            <w:r>
              <w:rPr/>
              <w:t>41</w:t>
            </w:r>
          </w:p>
        </w:tc>
        <w:tc>
          <w:tcPr>
            <w:tcW w:type="dxa" w:w="5814"/>
          </w:tcPr>
          <w:p>
            <w:pPr>
              <w:pStyle w:val="null3"/>
            </w:pPr>
            <w:r>
              <w:rPr/>
              <w:t>1.15 病历质控规则引擎： 1.15.1 首页基础质控库： 1.15.1.1 支持病案首页填报字段的必填项质控，包括对国考上报、医保清单政策要求字段进行完整性校验； 1.15.1.2 支持病案首页填报字段的数值逻辑性质控，包括对年龄、新生儿体重、呼吸机使用时长等填写值范围进行逻辑性校验。</w:t>
            </w:r>
          </w:p>
        </w:tc>
      </w:tr>
      <w:tr>
        <w:tc>
          <w:tcPr>
            <w:tcW w:type="dxa" w:w="2076"/>
          </w:tcPr>
          <w:p/>
        </w:tc>
        <w:tc>
          <w:tcPr>
            <w:tcW w:type="dxa" w:w="415"/>
          </w:tcPr>
          <w:p>
            <w:pPr>
              <w:pStyle w:val="null3"/>
            </w:pPr>
            <w:r>
              <w:rPr/>
              <w:t>42</w:t>
            </w:r>
          </w:p>
        </w:tc>
        <w:tc>
          <w:tcPr>
            <w:tcW w:type="dxa" w:w="5814"/>
          </w:tcPr>
          <w:p>
            <w:pPr>
              <w:pStyle w:val="null3"/>
            </w:pPr>
            <w:r>
              <w:rPr/>
              <w:t>1.15.2 首页一致质控库： 1.15.2.1 首页一致质控库需满足对首页内容与文书内容是否一致，与检查/检验报告内容是否一致。 1.15.2.2 支持对从入院记录、出院记录、死亡记录等病历内容提取的首页字段进行逻辑质控，如首页字段‘过敏药物’与入院记录过敏药物不一致； 1.15.2.3 支持对从医嘱单内容提取的首页字段进行逻辑质控，如首页字段‘是否使用呼吸机’与医嘱中呼吸机执行记录不一致；</w:t>
            </w:r>
          </w:p>
        </w:tc>
      </w:tr>
      <w:tr>
        <w:tc>
          <w:tcPr>
            <w:tcW w:type="dxa" w:w="2076"/>
          </w:tcPr>
          <w:p/>
        </w:tc>
        <w:tc>
          <w:tcPr>
            <w:tcW w:type="dxa" w:w="415"/>
          </w:tcPr>
          <w:p>
            <w:pPr>
              <w:pStyle w:val="null3"/>
            </w:pPr>
            <w:r>
              <w:rPr/>
              <w:t>43</w:t>
            </w:r>
          </w:p>
        </w:tc>
        <w:tc>
          <w:tcPr>
            <w:tcW w:type="dxa" w:w="5814"/>
          </w:tcPr>
          <w:p>
            <w:pPr>
              <w:pStyle w:val="null3"/>
            </w:pPr>
            <w:r>
              <w:rPr/>
              <w:t>1.15.3 首页诊断质控库： 1.15.3.1 对首页诊断名称填写的规范性进行提醒； 1.15.3.2 首页诊断编码规则，对不能作为主要诊断的编码，合并编码，编码性别年龄错误等进行提醒； 1.15.3.3 对出院诊断中的其他项目进行检查，如主要诊断入院情况不能为无，出院转归情况，是否漏填。</w:t>
            </w:r>
          </w:p>
        </w:tc>
      </w:tr>
      <w:tr>
        <w:tc>
          <w:tcPr>
            <w:tcW w:type="dxa" w:w="2076"/>
          </w:tcPr>
          <w:p/>
        </w:tc>
        <w:tc>
          <w:tcPr>
            <w:tcW w:type="dxa" w:w="415"/>
          </w:tcPr>
          <w:p>
            <w:pPr>
              <w:pStyle w:val="null3"/>
            </w:pPr>
            <w:r>
              <w:rPr/>
              <w:t>44</w:t>
            </w:r>
          </w:p>
        </w:tc>
        <w:tc>
          <w:tcPr>
            <w:tcW w:type="dxa" w:w="5814"/>
          </w:tcPr>
          <w:p>
            <w:pPr>
              <w:pStyle w:val="null3"/>
            </w:pPr>
            <w:r>
              <w:rPr/>
              <w:t>1.15.4 首页手术质控库： 1.15.4.1 对首页手术名称的规范性进行提醒； 1.15.4.2 首页手术编码规则，对不能作为主要诊断的编码，需要辅助编码的手术，主要手术与主要诊断不匹配等进行提醒； 1.15.4.3 对手术其他项目进行检查，如手术与手术费用，手术漏填，手术排序错误等进行提醒。</w:t>
            </w:r>
          </w:p>
        </w:tc>
      </w:tr>
      <w:tr>
        <w:tc>
          <w:tcPr>
            <w:tcW w:type="dxa" w:w="2076"/>
          </w:tcPr>
          <w:p/>
        </w:tc>
        <w:tc>
          <w:tcPr>
            <w:tcW w:type="dxa" w:w="415"/>
          </w:tcPr>
          <w:p>
            <w:pPr>
              <w:pStyle w:val="null3"/>
            </w:pPr>
            <w:r>
              <w:rPr/>
              <w:t>45</w:t>
            </w:r>
          </w:p>
        </w:tc>
        <w:tc>
          <w:tcPr>
            <w:tcW w:type="dxa" w:w="5814"/>
          </w:tcPr>
          <w:p>
            <w:pPr>
              <w:pStyle w:val="null3"/>
            </w:pPr>
            <w:r>
              <w:rPr/>
              <w:t>1.15.5 文书超时质控库： 1.15.5.1 时限次数质控库需满足校验国家住院病案评分标准中文书是否超时书写、是否未书写文书、是否未按规定频次书写病程记录。包括但不限于：支持依据首页入出院时间或临床系统入出院时间，对文书书写是否超时进行校验，如入院记录未在入院24小时内书写、首次病程记录未在入院8小时内书写； 1.15.5.2 支持依据医嘱或其他临床系统数据，对未书写的文书进行校验，如医嘱含死亡记录未书写死亡记录、医嘱含抢救记录未记录抢救记录； 1.15.5.3 支持依据医嘱或其他临床系统数据，对文书是否未按频次书写进行校验，如医嘱含病危记录日常病程未按每日一次书写。</w:t>
            </w:r>
          </w:p>
        </w:tc>
      </w:tr>
      <w:tr>
        <w:tc>
          <w:tcPr>
            <w:tcW w:type="dxa" w:w="2076"/>
          </w:tcPr>
          <w:p/>
        </w:tc>
        <w:tc>
          <w:tcPr>
            <w:tcW w:type="dxa" w:w="415"/>
          </w:tcPr>
          <w:p>
            <w:pPr>
              <w:pStyle w:val="null3"/>
            </w:pPr>
            <w:r>
              <w:rPr/>
              <w:t>46</w:t>
            </w:r>
          </w:p>
        </w:tc>
        <w:tc>
          <w:tcPr>
            <w:tcW w:type="dxa" w:w="5814"/>
          </w:tcPr>
          <w:p>
            <w:pPr>
              <w:pStyle w:val="null3"/>
            </w:pPr>
            <w:r>
              <w:rPr/>
              <w:t>1.15.6 数值合理质控库： 1.15.6.1 数值合理质控库需满足校验病历文书中涉及数值、日期、字典项是否存在明显不合理。包括但不限于： 1.15.6.2 支持对医学常识类内容的校验，如心率超过260次/分，收缩压小于舒张压； 1.15.6.3 支持对入出院记录内容不合理的校验，如入院记录记录时间早于入院时间。</w:t>
            </w:r>
          </w:p>
        </w:tc>
      </w:tr>
      <w:tr>
        <w:tc>
          <w:tcPr>
            <w:tcW w:type="dxa" w:w="2076"/>
          </w:tcPr>
          <w:p/>
        </w:tc>
        <w:tc>
          <w:tcPr>
            <w:tcW w:type="dxa" w:w="415"/>
          </w:tcPr>
          <w:p>
            <w:pPr>
              <w:pStyle w:val="null3"/>
            </w:pPr>
            <w:r>
              <w:rPr/>
              <w:t>47</w:t>
            </w:r>
          </w:p>
        </w:tc>
        <w:tc>
          <w:tcPr>
            <w:tcW w:type="dxa" w:w="5814"/>
          </w:tcPr>
          <w:p>
            <w:pPr>
              <w:pStyle w:val="null3"/>
            </w:pPr>
            <w:r>
              <w:rPr/>
              <w:t>1.15.7 文书完整质控库： 1.15.7.1 提供文书内容完整性校验功能，支持校验各文书是否缺失必写章节，如入院记录缺失主诉、首次病程记录缺失鉴别诊断； 1.15.7.2 提供文书类型完整性校验，支持校验各文书文本内容的缺失校验，如输血记录未记录输血类型、死亡记录未记录死亡时间。</w:t>
            </w:r>
          </w:p>
        </w:tc>
      </w:tr>
      <w:tr>
        <w:tc>
          <w:tcPr>
            <w:tcW w:type="dxa" w:w="2076"/>
          </w:tcPr>
          <w:p/>
        </w:tc>
        <w:tc>
          <w:tcPr>
            <w:tcW w:type="dxa" w:w="415"/>
          </w:tcPr>
          <w:p>
            <w:pPr>
              <w:pStyle w:val="null3"/>
            </w:pPr>
            <w:r>
              <w:rPr/>
              <w:t>48</w:t>
            </w:r>
          </w:p>
        </w:tc>
        <w:tc>
          <w:tcPr>
            <w:tcW w:type="dxa" w:w="5814"/>
          </w:tcPr>
          <w:p>
            <w:pPr>
              <w:pStyle w:val="null3"/>
            </w:pPr>
            <w:r>
              <w:rPr/>
              <w:t>1.15.8 文书重复质控库： 1.15.8.1 文书重复质控库需满足校验各病历文书是否复制粘贴内容重复。包括但不限于： 1.15.8.2 支持通过分词后结果进行各文书各章节内容是否一致校验，如首次病程与现病史重复； 1.15.8.3 支持各文书内容是否一致校验，如上级医师首次查房与首次病程记录内容重复。</w:t>
            </w:r>
          </w:p>
        </w:tc>
      </w:tr>
      <w:tr>
        <w:tc>
          <w:tcPr>
            <w:tcW w:type="dxa" w:w="2076"/>
          </w:tcPr>
          <w:p/>
        </w:tc>
        <w:tc>
          <w:tcPr>
            <w:tcW w:type="dxa" w:w="415"/>
          </w:tcPr>
          <w:p>
            <w:pPr>
              <w:pStyle w:val="null3"/>
            </w:pPr>
            <w:r>
              <w:rPr/>
              <w:t>49</w:t>
            </w:r>
          </w:p>
        </w:tc>
        <w:tc>
          <w:tcPr>
            <w:tcW w:type="dxa" w:w="5814"/>
          </w:tcPr>
          <w:p>
            <w:pPr>
              <w:pStyle w:val="null3"/>
            </w:pPr>
            <w:r>
              <w:rPr/>
              <w:t>1.15.9 文书一致质控库： 1.15.9.1 文书一致质控库需满足校验各病历间文书内容是否保持逻辑一致。包括但不限于： 1.15.9.2 支持通过分词后文书内容，将单文书各章节内容比对是否一致，如主诉与现病史症状不一致、既往史否认史与现病史比对不一致； 1.15.9.3 持通过分词后文书内容，将入院记录、首次病程记录、日常病程记录、上级医师查房记录文书进行内容比对是否一致，如入院记录主诉症状与首次病程记录症状不一致。</w:t>
            </w:r>
          </w:p>
        </w:tc>
      </w:tr>
      <w:tr>
        <w:tc>
          <w:tcPr>
            <w:tcW w:type="dxa" w:w="2076"/>
          </w:tcPr>
          <w:p/>
        </w:tc>
        <w:tc>
          <w:tcPr>
            <w:tcW w:type="dxa" w:w="415"/>
          </w:tcPr>
          <w:p>
            <w:pPr>
              <w:pStyle w:val="null3"/>
            </w:pPr>
            <w:r>
              <w:rPr/>
              <w:t>50</w:t>
            </w:r>
          </w:p>
        </w:tc>
        <w:tc>
          <w:tcPr>
            <w:tcW w:type="dxa" w:w="5814"/>
          </w:tcPr>
          <w:p>
            <w:pPr>
              <w:pStyle w:val="null3"/>
            </w:pPr>
            <w:r>
              <w:rPr/>
              <w:t>1.15.10 多源一致质控库： 1.15.10.1 多源一致质控库需满足校验各病历记录内容与其他临床系统数据是否一致。包括但不限于： 1.15.10.2 支持通过分词后，病历文书与医嘱比对内容是否一致，如出院记录出院带药名称与医嘱出院带药名称不相同； 1.15.10.3 支持通过分词后，病历文书与检查报告内容是否一致，如检查报告心电图异常未在日常病程中记录； 1.15.10.4 支持病历文书与检验报告内容是否一致，如检验报告异常未在日常病程中记录。</w:t>
            </w:r>
          </w:p>
        </w:tc>
      </w:tr>
      <w:tr>
        <w:tc>
          <w:tcPr>
            <w:tcW w:type="dxa" w:w="2076"/>
          </w:tcPr>
          <w:p/>
        </w:tc>
        <w:tc>
          <w:tcPr>
            <w:tcW w:type="dxa" w:w="415"/>
          </w:tcPr>
          <w:p>
            <w:pPr>
              <w:pStyle w:val="null3"/>
            </w:pPr>
            <w:r>
              <w:rPr/>
              <w:t>51</w:t>
            </w:r>
          </w:p>
        </w:tc>
        <w:tc>
          <w:tcPr>
            <w:tcW w:type="dxa" w:w="5814"/>
          </w:tcPr>
          <w:p>
            <w:pPr>
              <w:pStyle w:val="null3"/>
            </w:pPr>
            <w:r>
              <w:rPr/>
              <w:t>1.15.11 多就诊次一致质控库： 1.15.11.1 支持不同就诊次文书之间内容是否一致核对，如本次主诉与前一就诊次主诉内容雷同。</w:t>
            </w:r>
          </w:p>
        </w:tc>
      </w:tr>
      <w:tr>
        <w:tc>
          <w:tcPr>
            <w:tcW w:type="dxa" w:w="2076"/>
          </w:tcPr>
          <w:p/>
        </w:tc>
        <w:tc>
          <w:tcPr>
            <w:tcW w:type="dxa" w:w="415"/>
          </w:tcPr>
          <w:p>
            <w:pPr>
              <w:pStyle w:val="null3"/>
            </w:pPr>
            <w:r>
              <w:rPr/>
              <w:t>52</w:t>
            </w:r>
          </w:p>
        </w:tc>
        <w:tc>
          <w:tcPr>
            <w:tcW w:type="dxa" w:w="5814"/>
          </w:tcPr>
          <w:p>
            <w:pPr>
              <w:pStyle w:val="null3"/>
            </w:pPr>
            <w:r>
              <w:rPr/>
              <w:t>1.15.12 真实病情质控库： 1.15.12.1 真实病情质控库需满足校验文书是否如实按照患者实际在院病情发展顺序记录。包括但不限于： 1.15.12.2 支持依据分词后辅助检查报告数据推出患者实际发生病情未在文书中记录。如初步诊断主诊断为不稳定性心绞痛，心肌损伤标志物结果异常，病程中未记录； 1.15.12.3 支持依据分词后病历文书前后病情描述不符合医学逻辑的校验，如初步诊断无“脑出血/蛛网膜下腔出血”诊断，出院诊断含“脑出血/蛛网膜下腔出血”，日常病程无记录。</w:t>
            </w:r>
          </w:p>
        </w:tc>
      </w:tr>
      <w:tr>
        <w:tc>
          <w:tcPr>
            <w:tcW w:type="dxa" w:w="2076"/>
          </w:tcPr>
          <w:p/>
        </w:tc>
        <w:tc>
          <w:tcPr>
            <w:tcW w:type="dxa" w:w="415"/>
          </w:tcPr>
          <w:p>
            <w:pPr>
              <w:pStyle w:val="null3"/>
            </w:pPr>
            <w:r>
              <w:rPr/>
              <w:t>53</w:t>
            </w:r>
          </w:p>
        </w:tc>
        <w:tc>
          <w:tcPr>
            <w:tcW w:type="dxa" w:w="5814"/>
          </w:tcPr>
          <w:p>
            <w:pPr>
              <w:pStyle w:val="null3"/>
            </w:pPr>
            <w:r>
              <w:rPr/>
              <w:t>1.15.13 诊治分析质控库： 1.15.13.1 诊治分析质控库需满足校验文书是否如实按照实际医师诊治、分析行为记录。包括但不限于： 1.15.13.2 支持依据病历文书、检查报告、检验报告内容分析患者疾病进展情况，校验该疾病的治疗过程是否被记录。如术后检查报告头颅CT/MRI显示出血面积增大/新发出血，术后病程无上级医师处理意见； 1.15.13.3 支持针对病历中出现的疾病应书写的诊断分析过程是否被如实记录。如初步诊断主诊断为神经根型颈椎病，主诉为上肢疼痛、麻木，鉴别诊断无胸廓出口综合征、甲状腺疾病术前小结手术指征不明确； 1.15.13.4 支持依据医嘱数据智能分析，对患者治疗方案变更是否被记录进行校验。如重要医嘱更改，病程记录中未记录更改理由。</w:t>
            </w:r>
          </w:p>
        </w:tc>
      </w:tr>
      <w:tr>
        <w:tc>
          <w:tcPr>
            <w:tcW w:type="dxa" w:w="2076"/>
          </w:tcPr>
          <w:p/>
        </w:tc>
        <w:tc>
          <w:tcPr>
            <w:tcW w:type="dxa" w:w="415"/>
          </w:tcPr>
          <w:p>
            <w:pPr>
              <w:pStyle w:val="null3"/>
            </w:pPr>
            <w:r>
              <w:rPr/>
              <w:t>54</w:t>
            </w:r>
          </w:p>
        </w:tc>
        <w:tc>
          <w:tcPr>
            <w:tcW w:type="dxa" w:w="5814"/>
          </w:tcPr>
          <w:p>
            <w:pPr>
              <w:pStyle w:val="null3"/>
            </w:pPr>
            <w:r>
              <w:rPr/>
              <w:t>1.15.14 病历诊断质控库： 1.15.14.1 病历诊断质控库需满足校验文书记录的疾病诊断是否属实、是否无医学逻辑问题。包括但不限于： 1.15.14.2 支持通过分析病历文书中记录的疾病史、症状、体征信息，对入院记录初步诊断与出院记录出院诊断进行漏诊校验，如现病史/既往史含高脂血症/高血压/糖尿病/冠状动脉粥样硬化性心脏病，初步诊断未提及； 1.15.14.3 支持对入院记录初步诊断与出院记录出院诊断进行无依据诊断，如初步诊断缺少辅助检查中含有的低钠血症； 1.15.14.4 支持校对病历中入出院诊断名称与分期分型不规范，如呼吸衰竭应写明分型。</w:t>
            </w:r>
          </w:p>
        </w:tc>
      </w:tr>
      <w:tr>
        <w:tc>
          <w:tcPr>
            <w:tcW w:type="dxa" w:w="2076"/>
          </w:tcPr>
          <w:p/>
        </w:tc>
        <w:tc>
          <w:tcPr>
            <w:tcW w:type="dxa" w:w="415"/>
          </w:tcPr>
          <w:p>
            <w:pPr>
              <w:pStyle w:val="null3"/>
            </w:pPr>
            <w:r>
              <w:rPr/>
              <w:t>55</w:t>
            </w:r>
          </w:p>
        </w:tc>
        <w:tc>
          <w:tcPr>
            <w:tcW w:type="dxa" w:w="5814"/>
          </w:tcPr>
          <w:p>
            <w:pPr>
              <w:pStyle w:val="null3"/>
            </w:pPr>
            <w:r>
              <w:rPr/>
              <w:t>1.15.15 专病逻辑质控库： 1.15.15.1 专病逻辑质控库需满足校验病历文书针对专科疾病是否记录符合专病逻辑。包括但不限于： 1.15.15.2 支持依据分词后病历文书疾病诊断，对该专病的诊断过程未在病历文书中记录的校验，如初步诊断主诊断为肺栓塞，现病史/辅助检查无CTPA/MRPA/超声心动图/核素肺通气灌注扫描/选择性肺动脉造影检查； 1.15.15.3 支持对专科疾病的发生、发展、诊断、治疗过程记录存在逻辑矛盾的校验，如第一诊断为急性心力衰竭时，主诉应包含呼吸困难/胸闷/气短/憋气/喘息。</w:t>
            </w:r>
          </w:p>
        </w:tc>
      </w:tr>
      <w:tr>
        <w:tc>
          <w:tcPr>
            <w:tcW w:type="dxa" w:w="2076"/>
          </w:tcPr>
          <w:p/>
        </w:tc>
        <w:tc>
          <w:tcPr>
            <w:tcW w:type="dxa" w:w="415"/>
          </w:tcPr>
          <w:p>
            <w:pPr>
              <w:pStyle w:val="null3"/>
            </w:pPr>
            <w:r>
              <w:rPr/>
              <w:t>56</w:t>
            </w:r>
          </w:p>
        </w:tc>
        <w:tc>
          <w:tcPr>
            <w:tcW w:type="dxa" w:w="5814"/>
          </w:tcPr>
          <w:p>
            <w:pPr>
              <w:pStyle w:val="null3"/>
            </w:pPr>
            <w:r>
              <w:rPr/>
              <w:t>1.15.16 书写预警库： 1.15.16.1 书写预警库需满足针对病案内容待完成文书、待书写内容预先提示。包括但不限于： 1.15.16.2 支持提前预警待超时文书，如请在剩余4h内书写首次病程记录； 1.15.16.3 支持提前预警待书写内容，如医嘱含药物名称，请在病程记录中记录。</w:t>
            </w:r>
          </w:p>
        </w:tc>
      </w:tr>
      <w:tr>
        <w:tc>
          <w:tcPr>
            <w:tcW w:type="dxa" w:w="2076"/>
          </w:tcPr>
          <w:p/>
        </w:tc>
        <w:tc>
          <w:tcPr>
            <w:tcW w:type="dxa" w:w="415"/>
          </w:tcPr>
          <w:p>
            <w:pPr>
              <w:pStyle w:val="null3"/>
            </w:pPr>
            <w:r>
              <w:rPr/>
              <w:t>57</w:t>
            </w:r>
          </w:p>
        </w:tc>
        <w:tc>
          <w:tcPr>
            <w:tcW w:type="dxa" w:w="5814"/>
          </w:tcPr>
          <w:p>
            <w:pPr>
              <w:pStyle w:val="null3"/>
            </w:pPr>
            <w:r>
              <w:rPr/>
              <w:t>1.16 病历理解服务引擎： 1.16.1 病历标签化： 1.16.1.1 支持21年病案管理质量控制指标中的分母进行定义，如植入物患者，恶性肿瘤放化疗患者，CT/MRI大型检查患者等； 1.16.1.2 支持核心制度患者定义，如手术患者，会诊患者，死亡患者等； 1.16.1.3 支持特殊患者定义，如低风险死亡患者，术后并发症患者，VTE 患者等。</w:t>
            </w:r>
          </w:p>
        </w:tc>
      </w:tr>
      <w:tr>
        <w:tc>
          <w:tcPr>
            <w:tcW w:type="dxa" w:w="2076"/>
          </w:tcPr>
          <w:p/>
        </w:tc>
        <w:tc>
          <w:tcPr>
            <w:tcW w:type="dxa" w:w="415"/>
          </w:tcPr>
          <w:p>
            <w:pPr>
              <w:pStyle w:val="null3"/>
            </w:pPr>
            <w:r>
              <w:rPr/>
              <w:t>58</w:t>
            </w:r>
          </w:p>
        </w:tc>
        <w:tc>
          <w:tcPr>
            <w:tcW w:type="dxa" w:w="5814"/>
          </w:tcPr>
          <w:p>
            <w:pPr>
              <w:pStyle w:val="null3"/>
            </w:pPr>
            <w:r>
              <w:rPr/>
              <w:t>1.16.2 病历标签应用： 1.16.2.1 支持对死亡、手术、低风险死亡，术后并发症、VTE病例等重点关注病历进行标记，筛选； 1.16.2.2 支持对标签进行数据统计，如低风险死亡患者发生率，术后并发症患者发生率； 1.16.2.3 支持临床医生端及平台端展示病历所属标签分类。</w:t>
            </w:r>
          </w:p>
        </w:tc>
      </w:tr>
      <w:tr>
        <w:tc>
          <w:tcPr>
            <w:tcW w:type="dxa" w:w="2076"/>
          </w:tcPr>
          <w:p/>
        </w:tc>
        <w:tc>
          <w:tcPr>
            <w:tcW w:type="dxa" w:w="415"/>
          </w:tcPr>
          <w:p>
            <w:pPr>
              <w:pStyle w:val="null3"/>
            </w:pPr>
            <w:r>
              <w:rPr/>
              <w:t>59</w:t>
            </w:r>
          </w:p>
        </w:tc>
        <w:tc>
          <w:tcPr>
            <w:tcW w:type="dxa" w:w="5814"/>
          </w:tcPr>
          <w:p>
            <w:pPr>
              <w:pStyle w:val="null3"/>
            </w:pPr>
            <w:r>
              <w:rPr/>
              <w:t>2 单病种质控平台功能要求： 2.1 功能要求： 2.1.1 能够从系统中产生某类单病种质量指标中的具体指标，如：ST段抬高心肌梗死、心力衰竭、社区获得性肺炎、急性脑梗死、髋、膝关节置换术、冠状动脉旁路移植术、儿童社区获得性肺炎、围手术期预防感染、剖宫产、慢性阻塞性肺疾病、围手术期预防深静脉栓塞等。 2.1.2 通过与电子病历系统、单病种数据上报系统深度融合，依靠人工智能引擎实现单病种数据的智能采集和计算，建立映射匹配与复杂规则，多数病种可通过API接口实现数据提取并和单病种数据室上报系统完成对接。各病种的数据提取严格按国家文件细则要求，满足国家单病种数据上报要求并对单病种数据进行多维质控。 2.1.3 实现过程化管控，持续改进医疗质量。依据单病种质量管理要求，系统应实时核查病种的关键过程节点完成情况。对每个病种或每项医疗技术都有关键质控点，系统对这些关键质控点进行监测、分析和改进，实现PDCA循环改进，才能进一步规范诊疗行为，提升单病种治疗过程的规范性，进而实现国家卫生健康委提出的“持续改进医疗质量”的要求。 2.1.4 精细化分析，提升医院质量管理水平。系统应对病种指标进行多维度监测和对比分析，如：患者分析、疾病分析、影响因素分析、预测分析、干预分析等，对科室和医生情况进行监控，并做到质控详情可追溯。利用大数据技术实现病种由显式因素向隐式因素分析、由几十维变量向数千维大规模变量分析的转变，进而改进病种治疗方案。 2.1.5 系统维护期内，能满足国家政策性要求的相关病种指标的质控和统计。</w:t>
            </w:r>
          </w:p>
        </w:tc>
      </w:tr>
      <w:tr>
        <w:tc>
          <w:tcPr>
            <w:tcW w:type="dxa" w:w="2076"/>
          </w:tcPr>
          <w:p/>
        </w:tc>
        <w:tc>
          <w:tcPr>
            <w:tcW w:type="dxa" w:w="415"/>
          </w:tcPr>
          <w:p>
            <w:pPr>
              <w:pStyle w:val="null3"/>
            </w:pPr>
            <w:r>
              <w:rPr/>
              <w:t>60</w:t>
            </w:r>
          </w:p>
        </w:tc>
        <w:tc>
          <w:tcPr>
            <w:tcW w:type="dxa" w:w="5814"/>
          </w:tcPr>
          <w:p>
            <w:pPr>
              <w:pStyle w:val="null3"/>
            </w:pPr>
            <w:r>
              <w:rPr/>
              <w:t>3 数据基础服务要求： 3.1 数据集成服务： 3.1.1 支持与集成平台对接； 3.1.2支持与数据中心对接； 3.1.3支持实时对接医院业务系统API接口。</w:t>
            </w:r>
          </w:p>
        </w:tc>
      </w:tr>
      <w:tr>
        <w:tc>
          <w:tcPr>
            <w:tcW w:type="dxa" w:w="2076"/>
          </w:tcPr>
          <w:p/>
        </w:tc>
        <w:tc>
          <w:tcPr>
            <w:tcW w:type="dxa" w:w="415"/>
          </w:tcPr>
          <w:p>
            <w:pPr>
              <w:pStyle w:val="null3"/>
            </w:pPr>
            <w:r>
              <w:rPr/>
              <w:t>61</w:t>
            </w:r>
          </w:p>
        </w:tc>
        <w:tc>
          <w:tcPr>
            <w:tcW w:type="dxa" w:w="5814"/>
          </w:tcPr>
          <w:p>
            <w:pPr>
              <w:pStyle w:val="null3"/>
            </w:pPr>
            <w:r>
              <w:rPr/>
              <w:t>3.2 数据处理服务： 3.2.1 文档规范化处理服务： 3.2.1.1 支持建立文档规范化处理体系。对于不规范病历相关文书，通过自然语言处理和特征识别，进行文档规范化整理。</w:t>
            </w:r>
          </w:p>
        </w:tc>
      </w:tr>
      <w:tr>
        <w:tc>
          <w:tcPr>
            <w:tcW w:type="dxa" w:w="2076"/>
          </w:tcPr>
          <w:p/>
        </w:tc>
        <w:tc>
          <w:tcPr>
            <w:tcW w:type="dxa" w:w="415"/>
          </w:tcPr>
          <w:p>
            <w:pPr>
              <w:pStyle w:val="null3"/>
            </w:pPr>
            <w:r>
              <w:rPr/>
              <w:t>62</w:t>
            </w:r>
          </w:p>
        </w:tc>
        <w:tc>
          <w:tcPr>
            <w:tcW w:type="dxa" w:w="5814"/>
          </w:tcPr>
          <w:p>
            <w:pPr>
              <w:pStyle w:val="null3"/>
            </w:pPr>
            <w:r>
              <w:rPr/>
              <w:t>3.2.2 数据预处理与清洗服务： 3.2.2.1 支持建立数据预处理和数据清洗体系，包含格式转换、去除冗余、数据填补、数据映射、不规范数据转换为标准化数据存储、数据纠正。</w:t>
            </w:r>
          </w:p>
        </w:tc>
      </w:tr>
      <w:tr>
        <w:tc>
          <w:tcPr>
            <w:tcW w:type="dxa" w:w="2076"/>
          </w:tcPr>
          <w:p/>
        </w:tc>
        <w:tc>
          <w:tcPr>
            <w:tcW w:type="dxa" w:w="415"/>
          </w:tcPr>
          <w:p>
            <w:pPr>
              <w:pStyle w:val="null3"/>
            </w:pPr>
            <w:r>
              <w:rPr/>
              <w:t>63</w:t>
            </w:r>
          </w:p>
        </w:tc>
        <w:tc>
          <w:tcPr>
            <w:tcW w:type="dxa" w:w="5814"/>
          </w:tcPr>
          <w:p>
            <w:pPr>
              <w:pStyle w:val="null3"/>
            </w:pPr>
            <w:r>
              <w:rPr/>
              <w:t>3.2.3 数据抽取与融合服务： 3.2.3.1 支持建立数据抽取体系，实现对住院病历、门诊病历、医嘱、检查报告、检验报告、病理报告、护理文书、手麻数据、危急值数据、费用数据进行近期同步数据抽取和增量抽取； 3.2.3.2 支持建立数据融合处理体系，通过数据之间的关系进行数据融合。</w:t>
            </w:r>
          </w:p>
        </w:tc>
      </w:tr>
      <w:tr>
        <w:tc>
          <w:tcPr>
            <w:tcW w:type="dxa" w:w="2076"/>
          </w:tcPr>
          <w:p/>
        </w:tc>
        <w:tc>
          <w:tcPr>
            <w:tcW w:type="dxa" w:w="415"/>
          </w:tcPr>
          <w:p>
            <w:pPr>
              <w:pStyle w:val="null3"/>
            </w:pPr>
            <w:r>
              <w:rPr/>
              <w:t>64</w:t>
            </w:r>
          </w:p>
        </w:tc>
        <w:tc>
          <w:tcPr>
            <w:tcW w:type="dxa" w:w="5814"/>
          </w:tcPr>
          <w:p>
            <w:pPr>
              <w:pStyle w:val="null3"/>
            </w:pPr>
            <w:r>
              <w:rPr/>
              <w:t>3.2.4 数据加工处理监控服务： 3.2.4.1 支持建立建设数据加工处理监控平台，透明化监控从数据抽取、数据融合、后结构化处理以及标准化处理过程日志，实现数据一致性核查和异常处理。</w:t>
            </w:r>
          </w:p>
        </w:tc>
      </w:tr>
      <w:tr>
        <w:tc>
          <w:tcPr>
            <w:tcW w:type="dxa" w:w="2076"/>
          </w:tcPr>
          <w:p/>
        </w:tc>
        <w:tc>
          <w:tcPr>
            <w:tcW w:type="dxa" w:w="415"/>
          </w:tcPr>
          <w:p>
            <w:pPr>
              <w:pStyle w:val="null3"/>
            </w:pPr>
            <w:r>
              <w:rPr/>
              <w:t>65</w:t>
            </w:r>
          </w:p>
        </w:tc>
        <w:tc>
          <w:tcPr>
            <w:tcW w:type="dxa" w:w="5814"/>
          </w:tcPr>
          <w:p>
            <w:pPr>
              <w:pStyle w:val="null3"/>
            </w:pPr>
            <w:r>
              <w:rPr/>
              <w:t>3.3 自然语言处理与后结构化服务： 3.3.1自然语言处理服务： 3.3.1.1提供建设自然语言处理体系。通过自然语言分词以及上下文语义识别，利用机器学习结合数据模型实现对自由文本病历、检查报告、护理记录、费用等的全量数据后结构化处理。</w:t>
            </w:r>
          </w:p>
        </w:tc>
      </w:tr>
      <w:tr>
        <w:tc>
          <w:tcPr>
            <w:tcW w:type="dxa" w:w="2076"/>
          </w:tcPr>
          <w:p/>
        </w:tc>
        <w:tc>
          <w:tcPr>
            <w:tcW w:type="dxa" w:w="415"/>
          </w:tcPr>
          <w:p>
            <w:pPr>
              <w:pStyle w:val="null3"/>
            </w:pPr>
            <w:r>
              <w:rPr/>
              <w:t>66</w:t>
            </w:r>
          </w:p>
        </w:tc>
        <w:tc>
          <w:tcPr>
            <w:tcW w:type="dxa" w:w="5814"/>
          </w:tcPr>
          <w:p>
            <w:pPr>
              <w:pStyle w:val="null3"/>
            </w:pPr>
            <w:r>
              <w:rPr/>
              <w:t>3.3.2语料库： 3.3.2.1 支持利用人工加机器的方法，不断将词汇进行正确的归类，实现知识语料库的不断丰富，提高数据利用的准确程度。</w:t>
            </w:r>
          </w:p>
        </w:tc>
      </w:tr>
      <w:tr>
        <w:tc>
          <w:tcPr>
            <w:tcW w:type="dxa" w:w="2076"/>
          </w:tcPr>
          <w:p/>
        </w:tc>
        <w:tc>
          <w:tcPr>
            <w:tcW w:type="dxa" w:w="415"/>
          </w:tcPr>
          <w:p>
            <w:pPr>
              <w:pStyle w:val="null3"/>
            </w:pPr>
            <w:r>
              <w:rPr/>
              <w:t>67</w:t>
            </w:r>
          </w:p>
        </w:tc>
        <w:tc>
          <w:tcPr>
            <w:tcW w:type="dxa" w:w="5814"/>
          </w:tcPr>
          <w:p>
            <w:pPr>
              <w:pStyle w:val="null3"/>
            </w:pPr>
            <w:r>
              <w:rPr/>
              <w:t>3.3.3 自然语义处理与后结构化： 3.3.3.1 通过自然语义理解，对自由文本的内容进行实体处理和抽取，形成后结构化的文本段落，提高数据利用能力。</w:t>
            </w:r>
          </w:p>
        </w:tc>
      </w:tr>
      <w:tr>
        <w:tc>
          <w:tcPr>
            <w:tcW w:type="dxa" w:w="2076"/>
          </w:tcPr>
          <w:p/>
        </w:tc>
        <w:tc>
          <w:tcPr>
            <w:tcW w:type="dxa" w:w="415"/>
          </w:tcPr>
          <w:p>
            <w:pPr>
              <w:pStyle w:val="null3"/>
            </w:pPr>
            <w:r>
              <w:rPr/>
              <w:t>68</w:t>
            </w:r>
          </w:p>
        </w:tc>
        <w:tc>
          <w:tcPr>
            <w:tcW w:type="dxa" w:w="5814"/>
          </w:tcPr>
          <w:p>
            <w:pPr>
              <w:pStyle w:val="null3"/>
            </w:pPr>
            <w:r>
              <w:rPr/>
              <w:t>3.4 医学知识图谱应用： 3.4.1 质控规则要求基于强大知识图谱，对检验检查等结果是否异常进行判断，从而更好的进行逻辑判断。 3.4.2 要求图谱收录症状、体征、部位、药品、检验检查等百万级实体，并构建千万级的实体关系。 3.4. 知识图谱除覆盖西医内容外，还要求对中医中药等民族医药内容进行收录。</w:t>
            </w:r>
          </w:p>
        </w:tc>
      </w:tr>
      <w:tr>
        <w:tc>
          <w:tcPr>
            <w:tcW w:type="dxa" w:w="2076"/>
          </w:tcPr>
          <w:p/>
        </w:tc>
        <w:tc>
          <w:tcPr>
            <w:tcW w:type="dxa" w:w="415"/>
          </w:tcPr>
          <w:p>
            <w:pPr>
              <w:pStyle w:val="null3"/>
            </w:pPr>
            <w:r>
              <w:rPr/>
              <w:t>69</w:t>
            </w:r>
          </w:p>
        </w:tc>
        <w:tc>
          <w:tcPr>
            <w:tcW w:type="dxa" w:w="5814"/>
          </w:tcPr>
          <w:p>
            <w:pPr>
              <w:pStyle w:val="null3"/>
            </w:pPr>
            <w:r>
              <w:rPr/>
              <w:t>3.5 服务监控平台： 3.5.1 一键部署： 3.5.1.1 支持建立一键部署功能，通过前端界面可对质控服务进行启停用；</w:t>
            </w:r>
          </w:p>
        </w:tc>
      </w:tr>
      <w:tr>
        <w:tc>
          <w:tcPr>
            <w:tcW w:type="dxa" w:w="2076"/>
          </w:tcPr>
          <w:p/>
        </w:tc>
        <w:tc>
          <w:tcPr>
            <w:tcW w:type="dxa" w:w="415"/>
          </w:tcPr>
          <w:p>
            <w:pPr>
              <w:pStyle w:val="null3"/>
            </w:pPr>
            <w:r>
              <w:rPr/>
              <w:t>70</w:t>
            </w:r>
          </w:p>
        </w:tc>
        <w:tc>
          <w:tcPr>
            <w:tcW w:type="dxa" w:w="5814"/>
          </w:tcPr>
          <w:p>
            <w:pPr>
              <w:pStyle w:val="null3"/>
            </w:pPr>
            <w:r>
              <w:rPr/>
              <w:t>3.5.2 权限认证： 3.5.2.1 支持建立多层级数据权限管理体系，实现通过多层级账号和安全体系设置；</w:t>
            </w:r>
          </w:p>
        </w:tc>
      </w:tr>
      <w:tr>
        <w:tc>
          <w:tcPr>
            <w:tcW w:type="dxa" w:w="2076"/>
          </w:tcPr>
          <w:p/>
        </w:tc>
        <w:tc>
          <w:tcPr>
            <w:tcW w:type="dxa" w:w="415"/>
          </w:tcPr>
          <w:p>
            <w:pPr>
              <w:pStyle w:val="null3"/>
            </w:pPr>
            <w:r>
              <w:rPr/>
              <w:t>71</w:t>
            </w:r>
          </w:p>
        </w:tc>
        <w:tc>
          <w:tcPr>
            <w:tcW w:type="dxa" w:w="5814"/>
          </w:tcPr>
          <w:p>
            <w:pPr>
              <w:pStyle w:val="null3"/>
            </w:pPr>
            <w:r>
              <w:rPr/>
              <w:t>3.5.2.2 支持建立系统安全体系，包含网络访问安全、系统安全、数据安全、管理安全体系；</w:t>
            </w:r>
          </w:p>
        </w:tc>
      </w:tr>
      <w:tr>
        <w:tc>
          <w:tcPr>
            <w:tcW w:type="dxa" w:w="2076"/>
          </w:tcPr>
          <w:p/>
        </w:tc>
        <w:tc>
          <w:tcPr>
            <w:tcW w:type="dxa" w:w="415"/>
          </w:tcPr>
          <w:p>
            <w:pPr>
              <w:pStyle w:val="null3"/>
            </w:pPr>
            <w:r>
              <w:rPr/>
              <w:t>72</w:t>
            </w:r>
          </w:p>
        </w:tc>
        <w:tc>
          <w:tcPr>
            <w:tcW w:type="dxa" w:w="5814"/>
          </w:tcPr>
          <w:p>
            <w:pPr>
              <w:pStyle w:val="null3"/>
            </w:pPr>
            <w:r>
              <w:rPr/>
              <w:t>3.5.2.3 支持建立敏感数据脱敏体系，根据HIPAA及国家相关要求进行敏感数据管理。</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3.5.3 产品服务监控： 3.5.3.1 ▲支持建立产品服务监控平台，透明化监控从产品后台服务、数据抽取服务、自然语言处理服务以及知识库服务的各过程日志，实现服务异常提醒可视化。</w:t>
            </w:r>
          </w:p>
        </w:tc>
      </w:tr>
      <w:tr>
        <w:tc>
          <w:tcPr>
            <w:tcW w:type="dxa" w:w="2076"/>
          </w:tcPr>
          <w:p/>
        </w:tc>
        <w:tc>
          <w:tcPr>
            <w:tcW w:type="dxa" w:w="415"/>
          </w:tcPr>
          <w:p>
            <w:pPr>
              <w:pStyle w:val="null3"/>
            </w:pPr>
            <w:r>
              <w:rPr/>
              <w:t>74</w:t>
            </w:r>
          </w:p>
        </w:tc>
        <w:tc>
          <w:tcPr>
            <w:tcW w:type="dxa" w:w="5814"/>
          </w:tcPr>
          <w:p>
            <w:pPr>
              <w:pStyle w:val="null3"/>
            </w:pPr>
            <w:r>
              <w:rPr/>
              <w:t>3.5.3.2 数据抽取任务异常等不良事件，通过与院内消息平台对接，实现消息提醒功能，对现场实施人员进行报警，便于问题快速跟进。</w:t>
            </w:r>
          </w:p>
        </w:tc>
      </w:tr>
      <w:tr>
        <w:tc>
          <w:tcPr>
            <w:tcW w:type="dxa" w:w="2076"/>
          </w:tcPr>
          <w:p/>
        </w:tc>
        <w:tc>
          <w:tcPr>
            <w:tcW w:type="dxa" w:w="415"/>
          </w:tcPr>
          <w:p>
            <w:pPr>
              <w:pStyle w:val="null3"/>
            </w:pPr>
            <w:r>
              <w:rPr/>
              <w:t>75</w:t>
            </w:r>
          </w:p>
        </w:tc>
        <w:tc>
          <w:tcPr>
            <w:tcW w:type="dxa" w:w="5814"/>
          </w:tcPr>
          <w:p>
            <w:pPr>
              <w:pStyle w:val="null3"/>
            </w:pPr>
            <w:r>
              <w:rPr/>
              <w:t>3.6 数据存储与备份： 3.6.1 数据存储： 3.6.1.1 为了保证系统稳定，要求系统内病历数据与质控结果数据独立存储，需实现数据解耦，同时达到节省磁盘空间效果；</w:t>
            </w:r>
          </w:p>
        </w:tc>
      </w:tr>
      <w:tr>
        <w:tc>
          <w:tcPr>
            <w:tcW w:type="dxa" w:w="2076"/>
          </w:tcPr>
          <w:p/>
        </w:tc>
        <w:tc>
          <w:tcPr>
            <w:tcW w:type="dxa" w:w="415"/>
          </w:tcPr>
          <w:p>
            <w:pPr>
              <w:pStyle w:val="null3"/>
            </w:pPr>
            <w:r>
              <w:rPr/>
              <w:t>76</w:t>
            </w:r>
          </w:p>
        </w:tc>
        <w:tc>
          <w:tcPr>
            <w:tcW w:type="dxa" w:w="5814"/>
          </w:tcPr>
          <w:p>
            <w:pPr>
              <w:pStyle w:val="null3"/>
            </w:pPr>
            <w:r>
              <w:rPr/>
              <w:t>3.6.1.2 要求系统对质控结果进行分段式存储，在满足近期高频数据的快速查询同时，确保低频历史数据不会丢失。</w:t>
            </w:r>
          </w:p>
        </w:tc>
      </w:tr>
      <w:tr>
        <w:tc>
          <w:tcPr>
            <w:tcW w:type="dxa" w:w="2076"/>
          </w:tcPr>
          <w:p/>
        </w:tc>
        <w:tc>
          <w:tcPr>
            <w:tcW w:type="dxa" w:w="415"/>
          </w:tcPr>
          <w:p>
            <w:pPr>
              <w:pStyle w:val="null3"/>
            </w:pPr>
            <w:r>
              <w:rPr/>
              <w:t>77</w:t>
            </w:r>
          </w:p>
        </w:tc>
        <w:tc>
          <w:tcPr>
            <w:tcW w:type="dxa" w:w="5814"/>
          </w:tcPr>
          <w:p>
            <w:pPr>
              <w:pStyle w:val="null3"/>
            </w:pPr>
            <w:r>
              <w:rPr/>
              <w:t>3.6.2 数据备份： 3.6.2.1 要求每日对质控结果进行备份，可恢复任意7日内的历史数据，降低服务器断电等事故发生后的影响，符合电子病历应用水平分级评价标准中数据安全要求。</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4 其他要求： 4.1 符合国家医院信息化相关标准的要求： 4.1.1 ▲系统需完全符合国家《电子病历系统应用水平分级评价标准》1至7级相关要求。</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4.1.2 ▲系统需完全符合国家《医院智慧服务分级评估标准体系》1至5级相关要求。</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 xml:space="preserve">4.1.3 </w:t>
            </w:r>
            <w:r>
              <w:rPr/>
              <w:t>▲系统需完全符合国家《医院智慧管理分级评估标准体系》</w:t>
            </w:r>
            <w:r>
              <w:rPr/>
              <w:t>1</w:t>
            </w:r>
            <w:r>
              <w:rPr/>
              <w:t>至</w:t>
            </w:r>
            <w:r>
              <w:rPr/>
              <w:t>5</w:t>
            </w:r>
            <w:r>
              <w:rPr/>
              <w:t>级相关要求。</w:t>
            </w:r>
          </w:p>
        </w:tc>
      </w:tr>
      <w:tr>
        <w:tc>
          <w:tcPr>
            <w:tcW w:type="dxa" w:w="2076"/>
          </w:tcPr>
          <w:p/>
        </w:tc>
        <w:tc>
          <w:tcPr>
            <w:tcW w:type="dxa" w:w="415"/>
          </w:tcPr>
          <w:p>
            <w:pPr>
              <w:pStyle w:val="null3"/>
            </w:pPr>
            <w:r>
              <w:rPr/>
              <w:t>81</w:t>
            </w:r>
          </w:p>
        </w:tc>
        <w:tc>
          <w:tcPr>
            <w:tcW w:type="dxa" w:w="5814"/>
          </w:tcPr>
          <w:p>
            <w:pPr>
              <w:pStyle w:val="null3"/>
            </w:pPr>
            <w:r>
              <w:rPr/>
              <w:t xml:space="preserve">4.1.4 </w:t>
            </w:r>
            <w:r>
              <w:rPr/>
              <w:t>系统需完全符合国家《医院信息互联互通标准化成熟度测评》四级甲等及以上相关要求。</w:t>
            </w:r>
          </w:p>
        </w:tc>
      </w:tr>
      <w:tr>
        <w:tc>
          <w:tcPr>
            <w:tcW w:type="dxa" w:w="2076"/>
          </w:tcPr>
          <w:p/>
        </w:tc>
        <w:tc>
          <w:tcPr>
            <w:tcW w:type="dxa" w:w="415"/>
          </w:tcPr>
          <w:p>
            <w:pPr>
              <w:pStyle w:val="null3"/>
            </w:pPr>
            <w:r>
              <w:rPr/>
              <w:t>82</w:t>
            </w:r>
          </w:p>
        </w:tc>
        <w:tc>
          <w:tcPr>
            <w:tcW w:type="dxa" w:w="5814"/>
          </w:tcPr>
          <w:p>
            <w:pPr>
              <w:pStyle w:val="null3"/>
            </w:pPr>
            <w:r>
              <w:rPr/>
              <w:t>4.2数据共享要求： 4.2.1 本系统所有数据产权归采购人所有，中标方应无条件向采购人提供数据共享及数据库表结构说明，并按采购人的要求向医院集成平台提供数据。</w:t>
            </w:r>
          </w:p>
        </w:tc>
      </w:tr>
      <w:tr>
        <w:tc>
          <w:tcPr>
            <w:tcW w:type="dxa" w:w="2076"/>
          </w:tcPr>
          <w:p/>
        </w:tc>
        <w:tc>
          <w:tcPr>
            <w:tcW w:type="dxa" w:w="415"/>
          </w:tcPr>
          <w:p>
            <w:pPr>
              <w:pStyle w:val="null3"/>
            </w:pPr>
            <w:r>
              <w:rPr/>
              <w:t>83</w:t>
            </w:r>
          </w:p>
        </w:tc>
        <w:tc>
          <w:tcPr>
            <w:tcW w:type="dxa" w:w="5814"/>
          </w:tcPr>
          <w:p>
            <w:pPr>
              <w:pStyle w:val="null3"/>
            </w:pPr>
            <w:r>
              <w:rPr/>
              <w:t>4.3 与第三方系统对接要求： 4.3.1本系统需按采购方提供的统一标准接口规范完成与第三方系统的数据集成与交互，以实现院内系统业务数据的互联互通，且不得额外收取费用。第三方系统包括但不仅限于：医院信息集成平台、HIS、EMR、LIS、PACS、RIS、微信公众号、微信小程序等。</w:t>
            </w:r>
          </w:p>
        </w:tc>
      </w:tr>
      <w:tr>
        <w:tc>
          <w:tcPr>
            <w:tcW w:type="dxa" w:w="2076"/>
          </w:tcPr>
          <w:p/>
        </w:tc>
        <w:tc>
          <w:tcPr>
            <w:tcW w:type="dxa" w:w="415"/>
          </w:tcPr>
          <w:p>
            <w:pPr>
              <w:pStyle w:val="null3"/>
            </w:pPr>
            <w:r>
              <w:rPr/>
              <w:t>84</w:t>
            </w:r>
          </w:p>
        </w:tc>
        <w:tc>
          <w:tcPr>
            <w:tcW w:type="dxa" w:w="5814"/>
          </w:tcPr>
          <w:p>
            <w:pPr>
              <w:pStyle w:val="null3"/>
            </w:pPr>
            <w:r>
              <w:rPr/>
              <w:t>4.4 网络安全及数据保密要求： 4.4.1 系统整体安全级别需完全符合国家《网络安全等级保护2.0》三级标准的相关要求。</w:t>
            </w:r>
          </w:p>
        </w:tc>
      </w:tr>
      <w:tr>
        <w:tc>
          <w:tcPr>
            <w:tcW w:type="dxa" w:w="2076"/>
          </w:tcPr>
          <w:p/>
        </w:tc>
        <w:tc>
          <w:tcPr>
            <w:tcW w:type="dxa" w:w="415"/>
          </w:tcPr>
          <w:p>
            <w:pPr>
              <w:pStyle w:val="null3"/>
            </w:pPr>
            <w:r>
              <w:rPr/>
              <w:t>85</w:t>
            </w:r>
          </w:p>
        </w:tc>
        <w:tc>
          <w:tcPr>
            <w:tcW w:type="dxa" w:w="5814"/>
          </w:tcPr>
          <w:p>
            <w:pPr>
              <w:pStyle w:val="null3"/>
            </w:pPr>
            <w:r>
              <w:rPr/>
              <w:t>4.4.2 系统实施上线及使用过程中产生的所有数据，包括但不限于患者信息、诊疗信息、药品耗材信息、生产经营信息等，未经建设方同意不得向第三方披露。承建方需签订《网络安全与数据保密承诺书》及《项目实施工作人员授权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采购机构代理服务收费标准：参照国家计委颁布的《招标代理服务收费管理暂行办法》（计价格[2002]1980号）服务类收费标准下浮73%。</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政府采购质押融资，政府采购质押融资 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0757-82285519</w:t>
      </w:r>
    </w:p>
    <w:p>
      <w:pPr>
        <w:pStyle w:val="null3"/>
        <w:ind w:firstLine="480"/>
      </w:pPr>
      <w:r>
        <w:rPr/>
        <w:t>传真：</w:t>
      </w:r>
      <w:r>
        <w:rPr/>
        <w:t>0757-82285519</w:t>
      </w:r>
    </w:p>
    <w:p>
      <w:pPr>
        <w:pStyle w:val="null3"/>
        <w:ind w:firstLine="480"/>
      </w:pPr>
      <w:r>
        <w:rPr/>
        <w:t>邮箱：</w:t>
      </w:r>
      <w:r>
        <w:rPr/>
        <w:t>gdhh2022@126.com</w:t>
      </w:r>
    </w:p>
    <w:p>
      <w:pPr>
        <w:pStyle w:val="null3"/>
        <w:ind w:firstLine="480"/>
      </w:pPr>
      <w:r>
        <w:rPr/>
        <w:t>地址：</w:t>
      </w:r>
      <w:r>
        <w:rPr/>
        <w:t>广东省佛山市禅城区华远东路13号发展大厦12楼E号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政府采购监督管理机构名称：佛山市政务服务数据管理局（交易监管科）</w:t>
      </w:r>
    </w:p>
    <w:p>
      <w:pPr>
        <w:pStyle w:val="null3"/>
      </w:pPr>
      <w:r>
        <w:rPr/>
        <w:t>地 址：佛山市禅城区季华五路公交大厦五楼</w:t>
      </w:r>
    </w:p>
    <w:p>
      <w:pPr>
        <w:pStyle w:val="null3"/>
      </w:pPr>
      <w:r>
        <w:rPr/>
        <w:t>电 话：0757-83999763</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子病历智能内涵质控及单病种质控平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广东海虹招标代理有限公司</w:t>
      </w:r>
      <w:r>
        <w:rPr/>
        <w:t>统一对外发布。</w:t>
      </w:r>
    </w:p>
    <w:p>
      <w:pPr>
        <w:pStyle w:val="null3"/>
        <w:ind w:firstLine="480"/>
      </w:pPr>
      <w:r>
        <w:rPr/>
        <w:t>（2）对</w:t>
      </w:r>
      <w:r>
        <w:rPr/>
        <w:t>广东海虹招标代理有限公司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采购包1（电子病历智能内涵质控及单病种质控平台）：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采购包1（电子病历智能内涵质控及单病种质控平台）：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提供以下三种证明材料之一：①提供《政府采购供应商资格信用承诺函》，具体要求详见采购公告附件；②提供2022或2023年度财务状况报告；③提供投标截止日前6个月内基本开户行出具的资信证明。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要求填写采购公告附件的《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本项目专门面向中小企业采购。监狱企业、残疾人福利性单位视同小型、微型企业。 （1）中小企业评审及《中小企业声明函》填写要求：① 本项目为服务类项目，投标人须根据本项目采购类别选择对应的《中小企业声明函》填写。② 根据中小企业划分标准，本项目所属行业为软件和信息技术服务业。③ 投标人提交的《中小企业声明函》应按要求完整填报所有信息。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采购包1（电子病历智能内涵质控及单病种质控平台）：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1. 投标报价为实施本项目所须的一切费用：项目报价包括：系统建设费用、运维服务费用、设计开发费、货物及零配件的购置和安装、运输保险、装卸、培训辅导、质保期售后服务、所有的售后费用、所有的培训费用、全额含税发票、雇员费用、合同实施过程中的应预见和不可预见费用等。 2. 本项目的预算金额为￥3,000,000.00元，本项目只接受低于或等于预算金额的投标报价，如投标人投标报价高于预算金额的，视为无效投标。</w:t>
            </w:r>
          </w:p>
        </w:tc>
      </w:tr>
      <w:tr>
        <w:tc>
          <w:tcPr>
            <w:tcW w:type="dxa" w:w="890"/>
          </w:tcPr>
          <w:p>
            <w:pPr>
              <w:pStyle w:val="null3"/>
            </w:pPr>
            <w:r>
              <w:rPr/>
              <w:t>2</w:t>
            </w:r>
          </w:p>
        </w:tc>
        <w:tc>
          <w:tcPr>
            <w:tcW w:type="dxa" w:w="3178"/>
          </w:tcPr>
          <w:p>
            <w:pPr>
              <w:pStyle w:val="null3"/>
            </w:pPr>
            <w:r>
              <w:rPr/>
              <w:t>★付款方式</w:t>
            </w:r>
          </w:p>
        </w:tc>
        <w:tc>
          <w:tcPr>
            <w:tcW w:type="dxa" w:w="4238"/>
          </w:tcPr>
          <w:p>
            <w:pPr>
              <w:pStyle w:val="null3"/>
            </w:pPr>
            <w:r>
              <w:rPr/>
              <w:t>1.合同签订后，30个工作日内采购人向中标人支付合同金额的30%；2.总体验收合格后，中标人向采购人提供整体验收报告、发票等资料，采购人收到资料后30个工作日内支付合同金额的65%；3.质保期结束后30个工作日内，采购人支付合同金额的5%。</w:t>
            </w:r>
          </w:p>
        </w:tc>
      </w:tr>
      <w:tr>
        <w:tc>
          <w:tcPr>
            <w:tcW w:type="dxa" w:w="890"/>
          </w:tcPr>
          <w:p>
            <w:pPr>
              <w:pStyle w:val="null3"/>
            </w:pPr>
            <w:r>
              <w:rPr/>
              <w:t>3</w:t>
            </w:r>
          </w:p>
        </w:tc>
        <w:tc>
          <w:tcPr>
            <w:tcW w:type="dxa" w:w="3178"/>
          </w:tcPr>
          <w:p>
            <w:pPr>
              <w:pStyle w:val="null3"/>
            </w:pPr>
            <w:r>
              <w:rPr/>
              <w:t>★验收要求</w:t>
            </w:r>
          </w:p>
        </w:tc>
        <w:tc>
          <w:tcPr>
            <w:tcW w:type="dxa" w:w="4238"/>
          </w:tcPr>
          <w:p>
            <w:pPr>
              <w:pStyle w:val="null3"/>
            </w:pPr>
            <w:r>
              <w:rPr/>
              <w:t>遵守国际、国家、卫生部及相关行业的标准、规范和法律；满足最终签订的合同内所有要求和规定；以最终签订项目合同实际验收条款作为本项目内容验收条件。 上述各类标准与法规必须是有关官方机构最新发布的现行标准版本，中标人应向采购人提供详细的验收标准、验收手册；采购人有权委托中国法定专业质检部门对货物或系统进行检验。</w:t>
            </w:r>
          </w:p>
        </w:tc>
      </w:tr>
      <w:tr>
        <w:tc>
          <w:tcPr>
            <w:tcW w:type="dxa" w:w="890"/>
          </w:tcPr>
          <w:p>
            <w:pPr>
              <w:pStyle w:val="null3"/>
            </w:pPr>
            <w:r>
              <w:rPr/>
              <w:t>4</w:t>
            </w:r>
          </w:p>
        </w:tc>
        <w:tc>
          <w:tcPr>
            <w:tcW w:type="dxa" w:w="3178"/>
          </w:tcPr>
          <w:p>
            <w:pPr>
              <w:pStyle w:val="null3"/>
            </w:pPr>
            <w:r>
              <w:rPr/>
              <w:t>其他</w:t>
            </w:r>
          </w:p>
        </w:tc>
        <w:tc>
          <w:tcPr>
            <w:tcW w:type="dxa" w:w="4238"/>
          </w:tcPr>
          <w:p>
            <w:pPr>
              <w:pStyle w:val="null3"/>
            </w:pPr>
            <w:r>
              <w:rPr/>
              <w:t>没有公开招标文件规定的投标无效的情形。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采购包1(电子病历智能内涵质控及单病种质控平台):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技术和服务要求响应表 (10.0分)</w:t>
            </w:r>
          </w:p>
        </w:tc>
        <w:tc>
          <w:tcPr>
            <w:tcW w:type="dxa" w:w="5076"/>
          </w:tcPr>
          <w:p>
            <w:pPr>
              <w:pStyle w:val="null3"/>
              <w:jc w:val="left"/>
            </w:pPr>
            <w:r>
              <w:rPr/>
              <w:t>根据《技术和服务要求响应表》响应情况（共85项），完全满足或优于技术性能要求的得满分（10分）；对未达到或未响应技术要求的，带“▲”号（重要技术要求）条款（共15项）每一项扣除0.2分；不带“▲”号条款（共70项）每一项扣除0.1分。注：带“▲”号的系统功能性项目，需在投标文件中以实际功能截图进行响应，且以此作为评审的重要依据。</w:t>
            </w:r>
          </w:p>
        </w:tc>
      </w:tr>
      <w:tr>
        <w:tc>
          <w:tcPr>
            <w:tcW w:type="dxa" w:w="922"/>
            <w:gridSpan w:val="2"/>
            <w:vMerge/>
          </w:tcPr>
          <w:p/>
        </w:tc>
        <w:tc>
          <w:tcPr>
            <w:tcW w:type="dxa" w:w="2307"/>
          </w:tcPr>
          <w:p>
            <w:pPr>
              <w:pStyle w:val="null3"/>
              <w:jc w:val="left"/>
            </w:pPr>
            <w:r>
              <w:rPr/>
              <w:t>总体设计方案 (6.0分)</w:t>
            </w:r>
            <w:r>
              <w:rPr/>
              <w:t>，（等次分值选择：</w:t>
            </w:r>
            <w:r>
              <w:rPr/>
              <w:t>0.0;</w:t>
            </w:r>
            <w:r>
              <w:rPr/>
              <w:t>1.0;</w:t>
            </w:r>
            <w:r>
              <w:rPr/>
              <w:t>4.0;</w:t>
            </w:r>
            <w:r>
              <w:rPr/>
              <w:t>6.0;</w:t>
            </w:r>
            <w:r>
              <w:rPr/>
              <w:t>）</w:t>
            </w:r>
          </w:p>
        </w:tc>
        <w:tc>
          <w:tcPr>
            <w:tcW w:type="dxa" w:w="5076"/>
          </w:tcPr>
          <w:p>
            <w:pPr>
              <w:pStyle w:val="null3"/>
              <w:jc w:val="left"/>
            </w:pPr>
            <w:r>
              <w:rPr/>
              <w:t>根据投标人提供的系统设计、安全设计、性能设计等方面提出的方案进行评价。 1.设计思路清晰，设计方案非常具体，能全面覆盖项目总体需求；主要技术应用、安全设计建议、性能和可靠性设计等方面分析清晰透彻的，得6分； 2.设计思路尚为清晰，设计方案能全面覆盖项目总体需求但不够具体；主要技术应用、安全设计建议、性能和可靠性设计等方面分析尚为透彻的，得4分； 3.设计思路不够清晰，设计方案不够具体，不够全面覆盖项目总体需求；主要技术应用、安全设计建议、性能和可靠性设计等设计分析一般的，得1分； 4.设计思路混乱，设计方案有欠缺或不提供方案的，不得分。</w:t>
            </w:r>
          </w:p>
        </w:tc>
      </w:tr>
      <w:tr>
        <w:tc>
          <w:tcPr>
            <w:tcW w:type="dxa" w:w="922"/>
            <w:gridSpan w:val="2"/>
            <w:vMerge/>
          </w:tcPr>
          <w:p/>
        </w:tc>
        <w:tc>
          <w:tcPr>
            <w:tcW w:type="dxa" w:w="2307"/>
          </w:tcPr>
          <w:p>
            <w:pPr>
              <w:pStyle w:val="null3"/>
              <w:jc w:val="left"/>
            </w:pPr>
            <w:r>
              <w:rPr/>
              <w:t>系统集成能力 (5.0分)</w:t>
            </w:r>
          </w:p>
        </w:tc>
        <w:tc>
          <w:tcPr>
            <w:tcW w:type="dxa" w:w="5076"/>
          </w:tcPr>
          <w:p>
            <w:pPr>
              <w:pStyle w:val="null3"/>
              <w:jc w:val="left"/>
            </w:pPr>
            <w:r>
              <w:rPr/>
              <w:t>所投产品应满足与采购人当前运行的电子病历系统(嘉和美康电子病历V6系统)深度集成，具有与采购人在用电子病历系统的集成案例。有1个案例得5分，本项最高5分。注：提供以下证明材料之一：①集成案例合同复印件（能体现与采购人在用相同的电子病历系统，不能体现的还须提供合同用户单位出具的兼容性证明文件）；②采购人在用的电子病历系统厂商开具的兼容性证明。不提供或评委专家不能判断的本项不得分。</w:t>
            </w:r>
          </w:p>
        </w:tc>
      </w:tr>
      <w:tr>
        <w:tc>
          <w:tcPr>
            <w:tcW w:type="dxa" w:w="922"/>
            <w:gridSpan w:val="2"/>
            <w:vMerge/>
          </w:tcPr>
          <w:p/>
        </w:tc>
        <w:tc>
          <w:tcPr>
            <w:tcW w:type="dxa" w:w="2307"/>
          </w:tcPr>
          <w:p>
            <w:pPr>
              <w:pStyle w:val="null3"/>
              <w:jc w:val="left"/>
            </w:pPr>
            <w:r>
              <w:rPr/>
              <w:t>现场演示 (18.0分)</w:t>
            </w:r>
          </w:p>
        </w:tc>
        <w:tc>
          <w:tcPr>
            <w:tcW w:type="dxa" w:w="5076"/>
          </w:tcPr>
          <w:p>
            <w:pPr>
              <w:pStyle w:val="null3"/>
              <w:jc w:val="left"/>
            </w:pPr>
            <w:r>
              <w:rPr/>
              <w:t>根据演示要求的相关内容逐一进行系统演示，每项3分。演示内容需使用软件的真实系统进行现场运行和演示，演示时间控制在10分钟内。 1.提供自然语言处理（NLP）服务：通过分词引擎对病历数据进行自然语言分词以及上下文语义识别，实现病历内容的后结构化处理。 2.提供医生端智能质控功能，支持在智能浮窗程序分别提供质控提醒、预警和通知功能，并显示核心制度患者标签，如死亡、手术、会诊、高危、长期住院。 3.提供病历质控规则库分类维护功能，能够配置质控规则逻辑。质控规则分类需包括文书缺失质控库、文书超时质控库、数值合理质控库库、文书重复规则库、文书一致质控库、文书多源一致质控库、病历诊断质控库、专病逻辑质控库、真实病情质控库、诊治分析质控库、书写预警库、核心制度库、医疗质量质控库等。 4.提供病案管理质量指标监控功能，根据质控结果自动生成病案质量管理指标，如病历书写时效性能、诊疗行为记录符合率、重大检查记录符合率等指标，支撑病案质量动态监控。 5.提供质控时针对目标病历的高级筛选功能，包括： ①基本信息筛选：根据质控医师、三级医师、住院次、住院天数等条件进行筛查询； ②问题病历筛选：根据病案等级、文书类型、缺陷项目、缺陷明细、是否问题病例、质控状态、超时、单否等条件进行筛选查询； ③重点病例筛选：根据手术级别、护理等级、术中大量输血、重症抢救、低风险病种、无指证入院、VTE评分、疼痛评分、军人病例、化疗等条件进行筛选查询 6.提供病历质控监控功能：能够实时监控全院病历质量情况，并统计高频问题文书排名、科室问题排名、问题病案类型分布、医生问题分布情况进行图形化结果展示。</w:t>
            </w:r>
          </w:p>
        </w:tc>
      </w:tr>
      <w:tr>
        <w:tc>
          <w:tcPr>
            <w:tcW w:type="dxa" w:w="922"/>
            <w:gridSpan w:val="2"/>
            <w:vMerge/>
          </w:tcPr>
          <w:p/>
        </w:tc>
        <w:tc>
          <w:tcPr>
            <w:tcW w:type="dxa" w:w="2307"/>
          </w:tcPr>
          <w:p>
            <w:pPr>
              <w:pStyle w:val="null3"/>
              <w:jc w:val="left"/>
            </w:pPr>
            <w:r>
              <w:rPr/>
              <w:t>售后服务方案评价 (6.0分)</w:t>
            </w:r>
            <w:r>
              <w:rPr/>
              <w:t>，（等次分值选择：</w:t>
            </w:r>
            <w:r>
              <w:rPr/>
              <w:t>0.0;</w:t>
            </w:r>
            <w:r>
              <w:rPr/>
              <w:t>1.0;</w:t>
            </w:r>
            <w:r>
              <w:rPr/>
              <w:t>4.0;</w:t>
            </w:r>
            <w:r>
              <w:rPr/>
              <w:t>6.0;</w:t>
            </w:r>
            <w:r>
              <w:rPr/>
              <w:t>）</w:t>
            </w:r>
          </w:p>
        </w:tc>
        <w:tc>
          <w:tcPr>
            <w:tcW w:type="dxa" w:w="5076"/>
          </w:tcPr>
          <w:p>
            <w:pPr>
              <w:pStyle w:val="null3"/>
              <w:jc w:val="left"/>
            </w:pPr>
            <w:r>
              <w:rPr/>
              <w:t>根据售后服务的响应时间、故障修复时间、巡检次数及巡检时间段售后服务的保障措施、质保时间等方面进行评分： （1）售后服务的响应时间、故障修复时间迅速，巡检次数及巡检时间段售后服务的保障措施、质保时间等方方案详细合理且优于项目要求的得6分； （2）售后服务的响应时间、故障修复时间迅速，巡检次数及巡检时间段售后服务的保障措施、质保时间等方案有所欠缺但基本满足项目要求的得4分； （3）售后服务的响应时间、故障修复时间不够迅速，巡检次数及巡检时间段售后服务的保障措施、质保时间等方案简略不能满足项目要求的得1分； 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商务要求响应表 (4.0分)</w:t>
            </w:r>
          </w:p>
        </w:tc>
        <w:tc>
          <w:tcPr>
            <w:tcW w:type="dxa" w:w="5076"/>
          </w:tcPr>
          <w:p>
            <w:pPr>
              <w:pStyle w:val="null3"/>
              <w:jc w:val="left"/>
            </w:pPr>
            <w:r>
              <w:rPr/>
              <w:t>根据《商务条件响应表》响应情况（共8项)，完全满足或优于商务要求的得满分；对未达到或未响应公开招标文件商务要求的条款，每一项扣除0.5分；超出要求的在此项不加分。</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根据投标人或所投产品生产厂家在2020年1月1日起至今独立承接同类项目的业绩进行评价（以对应项目的合同书复印件为准），每提供1项业绩得1分，最高5分，未提供或提供资料不完整者得0分。</w:t>
            </w:r>
          </w:p>
        </w:tc>
      </w:tr>
      <w:tr>
        <w:tc>
          <w:tcPr>
            <w:tcW w:type="dxa" w:w="922"/>
            <w:gridSpan w:val="2"/>
            <w:vMerge/>
          </w:tcPr>
          <w:p/>
        </w:tc>
        <w:tc>
          <w:tcPr>
            <w:tcW w:type="dxa" w:w="2307"/>
          </w:tcPr>
          <w:p>
            <w:pPr>
              <w:pStyle w:val="null3"/>
              <w:jc w:val="left"/>
            </w:pPr>
            <w:r>
              <w:rPr/>
              <w:t>质量保证与售后服务能力 (6.0分)</w:t>
            </w:r>
          </w:p>
        </w:tc>
        <w:tc>
          <w:tcPr>
            <w:tcW w:type="dxa" w:w="5076"/>
          </w:tcPr>
          <w:p>
            <w:pPr>
              <w:pStyle w:val="null3"/>
              <w:jc w:val="left"/>
            </w:pPr>
            <w:r>
              <w:rPr/>
              <w:t>提供投标人或所投产品生产厂家信息技术服务运行维护标准（ITSS）符合性证书，二级及以上得6分，三级得4分，其他不得分。 提供证明材料复印件。</w:t>
            </w:r>
          </w:p>
        </w:tc>
      </w:tr>
      <w:tr>
        <w:tc>
          <w:tcPr>
            <w:tcW w:type="dxa" w:w="922"/>
            <w:gridSpan w:val="2"/>
            <w:vMerge/>
          </w:tcPr>
          <w:p/>
        </w:tc>
        <w:tc>
          <w:tcPr>
            <w:tcW w:type="dxa" w:w="2307"/>
          </w:tcPr>
          <w:p>
            <w:pPr>
              <w:pStyle w:val="null3"/>
              <w:jc w:val="left"/>
            </w:pPr>
            <w:r>
              <w:rPr/>
              <w:t>专业能力 (4.0分)</w:t>
            </w:r>
          </w:p>
        </w:tc>
        <w:tc>
          <w:tcPr>
            <w:tcW w:type="dxa" w:w="5076"/>
          </w:tcPr>
          <w:p>
            <w:pPr>
              <w:pStyle w:val="null3"/>
              <w:jc w:val="left"/>
            </w:pPr>
            <w:r>
              <w:rPr/>
              <w:t>投标人或投标人所投产品生产厂家具有与本项目相关的软件著作权登记证书（包括但不限于以下系统），每提供一项得1分，最高得4分。 1.电子病历系统 2.临床决策支持系统 3.单病种上报系统 4.病历内涵质控系统 注：提供证书复印件，未提供不得分。</w:t>
            </w:r>
          </w:p>
        </w:tc>
      </w:tr>
      <w:tr>
        <w:tc>
          <w:tcPr>
            <w:tcW w:type="dxa" w:w="922"/>
            <w:gridSpan w:val="2"/>
            <w:vMerge/>
          </w:tcPr>
          <w:p/>
        </w:tc>
        <w:tc>
          <w:tcPr>
            <w:tcW w:type="dxa" w:w="2307"/>
          </w:tcPr>
          <w:p>
            <w:pPr>
              <w:pStyle w:val="null3"/>
              <w:jc w:val="left"/>
            </w:pPr>
            <w:r>
              <w:rPr/>
              <w:t>投入人员情况 (6.0分)</w:t>
            </w:r>
          </w:p>
        </w:tc>
        <w:tc>
          <w:tcPr>
            <w:tcW w:type="dxa" w:w="5076"/>
          </w:tcPr>
          <w:p>
            <w:pPr>
              <w:pStyle w:val="null3"/>
              <w:jc w:val="left"/>
            </w:pPr>
            <w:r>
              <w:rPr/>
              <w:t>负责本项目的管理人员具备以下资质的，符合一项得2分，最高得6分： 1.系统分析员（师）认证； 2.项目经理认证资质（PMP）； 3.信息系统项目管理师（高级）； 说明：同一人员具有多个资质认证证书，不重复计分。注：需提供项目投入人员的相关资质证书扫描件并加盖公章，以及投标截止之日前三个月内任意一个月在投标人或所投产品生产厂家购买社会保障资金的扫描件加盖公章（如投标人或所投产品生产厂家属于依法不需要缴纳社会保障资金的，提供相应证明材料）。或与投标人或所投产品生产厂家签订的劳动合同复印件加盖公章作为证明材料。</w:t>
            </w:r>
          </w:p>
        </w:tc>
      </w:tr>
      <w:tr>
        <w:tc>
          <w:tcPr>
            <w:tcW w:type="dxa" w:w="922"/>
            <w:gridSpan w:val="2"/>
            <w:vMerge/>
          </w:tcPr>
          <w:p/>
        </w:tc>
        <w:tc>
          <w:tcPr>
            <w:tcW w:type="dxa" w:w="2307"/>
          </w:tcPr>
          <w:p>
            <w:pPr>
              <w:pStyle w:val="null3"/>
              <w:jc w:val="left"/>
            </w:pPr>
            <w:r>
              <w:rPr/>
              <w:t>驻场人员服务评价 (10.0分)</w:t>
            </w:r>
          </w:p>
        </w:tc>
        <w:tc>
          <w:tcPr>
            <w:tcW w:type="dxa" w:w="5076"/>
          </w:tcPr>
          <w:p>
            <w:pPr>
              <w:pStyle w:val="null3"/>
              <w:jc w:val="left"/>
            </w:pPr>
            <w:r>
              <w:rPr/>
              <w:t>根据所投产品的生产厂商提供的驻场服务人员进行评分： 在开发实施阶段，驻场开发实施人员不少于5人，必须拥有源代码，能够进行现场开发实施；系统上线后，驻场维护人员不少于1人。 满足此条件得7分，每增加一名驻场维护人员可得1分，最高得10分。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21"/>
        </w:rPr>
        <w:t xml:space="preserve"> </w:t>
      </w:r>
    </w:p>
    <w:p>
      <w:pPr>
        <w:pStyle w:val="null3"/>
        <w:jc w:val="center"/>
      </w:pPr>
      <w:r>
        <w:rPr>
          <w:sz w:val="21"/>
        </w:rPr>
        <w:t xml:space="preserve"> </w:t>
      </w:r>
    </w:p>
    <w:p>
      <w:pPr>
        <w:pStyle w:val="null3"/>
        <w:jc w:val="center"/>
      </w:pPr>
      <w:r>
        <w:rPr>
          <w:sz w:val="68"/>
          <w:b/>
          <w:color w:val="000000"/>
        </w:rPr>
        <w:t>合同书</w:t>
      </w:r>
    </w:p>
    <w:p>
      <w:pPr>
        <w:pStyle w:val="null3"/>
        <w:jc w:val="center"/>
      </w:pPr>
      <w:r>
        <w:rPr>
          <w:sz w:val="30"/>
          <w:b/>
          <w:color w:val="000000"/>
        </w:rPr>
        <w:t>项目编号：</w:t>
      </w:r>
      <w:r>
        <w:rPr>
          <w:sz w:val="21"/>
          <w:b/>
          <w:u w:val="single"/>
        </w:rPr>
        <w:t xml:space="preserve">              </w:t>
      </w:r>
    </w:p>
    <w:p>
      <w:pPr>
        <w:pStyle w:val="null3"/>
        <w:ind w:firstLine="2409"/>
        <w:jc w:val="both"/>
      </w:pPr>
      <w:r>
        <w:rPr>
          <w:sz w:val="30"/>
          <w:b/>
          <w:color w:val="000000"/>
        </w:rPr>
        <w:t>项目名称：</w:t>
      </w:r>
      <w:r>
        <w:rPr>
          <w:sz w:val="21"/>
          <w:b/>
          <w:u w:val="single"/>
        </w:rPr>
        <w:t xml:space="preserve">              </w:t>
      </w:r>
    </w:p>
    <w:p>
      <w:pPr>
        <w:pStyle w:val="null3"/>
        <w:ind w:firstLine="2409"/>
        <w:jc w:val="both"/>
      </w:pPr>
      <w:r>
        <w:rPr>
          <w:sz w:val="30"/>
          <w:b/>
          <w:color w:val="000000"/>
        </w:rPr>
        <w:t>合同编号：</w:t>
      </w:r>
      <w:r>
        <w:rPr>
          <w:sz w:val="21"/>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79"/>
        <w:gridCol w:w="6027"/>
      </w:tblGrid>
      <w:tr>
        <w:tc>
          <w:tcPr>
            <w:tcW w:type="dxa" w:w="2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甲</w:t>
            </w:r>
            <w:r>
              <w:rPr>
                <w:sz w:val="28"/>
                <w:b/>
                <w:color w:val="000000"/>
              </w:rPr>
              <w:t>方：</w:t>
            </w:r>
          </w:p>
        </w:tc>
        <w:tc>
          <w:tcPr>
            <w:tcW w:type="dxa" w:w="6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u w:val="single"/>
              </w:rPr>
              <w:t xml:space="preserve">   </w:t>
            </w:r>
            <w:r>
              <w:rPr>
                <w:sz w:val="28"/>
                <w:b/>
                <w:color w:val="000000"/>
                <w:u w:val="single"/>
              </w:rPr>
              <w:t>（采购人名称）</w:t>
            </w:r>
            <w:r>
              <w:rPr>
                <w:sz w:val="21"/>
                <w:b/>
                <w:u w:val="single"/>
              </w:rPr>
              <w:t xml:space="preserve">   </w:t>
            </w:r>
          </w:p>
        </w:tc>
      </w:tr>
      <w:tr>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乙</w:t>
            </w:r>
            <w:r>
              <w:rPr>
                <w:sz w:val="28"/>
                <w:b/>
                <w:color w:val="000000"/>
              </w:rPr>
              <w:t>方：</w:t>
            </w:r>
          </w:p>
        </w:tc>
        <w:tc>
          <w:tcPr>
            <w:tcW w:type="dxa" w:w="6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21"/>
                <w:b/>
                <w:u w:val="single"/>
              </w:rPr>
              <w:t xml:space="preserve"> </w:t>
            </w:r>
          </w:p>
        </w:tc>
      </w:tr>
      <w:tr>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6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u w:val="single"/>
              </w:rPr>
              <w:t xml:space="preserve">   </w:t>
            </w:r>
            <w:r>
              <w:rPr>
                <w:sz w:val="28"/>
                <w:b/>
                <w:color w:val="000000"/>
                <w:u w:val="single"/>
              </w:rPr>
              <w:t>年</w:t>
            </w:r>
            <w:r>
              <w:rPr>
                <w:sz w:val="28"/>
                <w:b/>
                <w:color w:val="000000"/>
                <w:u w:val="single"/>
              </w:rPr>
              <w:t>月</w:t>
            </w:r>
            <w:r>
              <w:rPr>
                <w:sz w:val="28"/>
                <w:b/>
                <w:color w:val="000000"/>
                <w:u w:val="single"/>
              </w:rPr>
              <w:t>日</w:t>
            </w:r>
            <w:r>
              <w:rPr>
                <w:sz w:val="21"/>
                <w:b/>
                <w:u w:val="single"/>
              </w:rPr>
              <w:t xml:space="preserve">   </w:t>
            </w:r>
          </w:p>
        </w:tc>
      </w:tr>
    </w:tbl>
    <w:p>
      <w:pPr>
        <w:pStyle w:val="null3"/>
        <w:jc w:val="center"/>
      </w:pPr>
      <w:r>
        <w:rPr>
          <w:sz w:val="21"/>
          <w:i/>
          <w:color w:val="FF0000"/>
        </w:rPr>
        <w:t>注：本合同仅为合同的参考文本，可根据项目的具体要求进行修订。</w:t>
      </w:r>
    </w:p>
    <w:p>
      <w:pPr>
        <w:pStyle w:val="null3"/>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54"/>
        <w:gridCol w:w="6852"/>
      </w:tblGrid>
      <w:tr>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项目名称：</w:t>
            </w:r>
          </w:p>
        </w:tc>
        <w:tc>
          <w:tcPr>
            <w:tcW w:type="dxa" w:w="6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w:t>
            </w:r>
            <w:r>
              <w:rPr>
                <w:sz w:val="24"/>
                <w:b/>
                <w:color w:val="000000"/>
              </w:rPr>
              <w:t>方：</w:t>
            </w:r>
          </w:p>
        </w:tc>
        <w:tc>
          <w:tcPr>
            <w:tcW w:type="dxa" w:w="6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r>
              <w:rPr>
                <w:sz w:val="24"/>
                <w:color w:val="000000"/>
                <w:u w:val="single"/>
              </w:rPr>
              <w:t>（采购人名称）</w:t>
            </w:r>
            <w:r>
              <w:rPr>
                <w:sz w:val="21"/>
                <w:u w:val="single"/>
              </w:rPr>
              <w:t xml:space="preserve">                               </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w:t>
            </w:r>
            <w:r>
              <w:rPr>
                <w:sz w:val="24"/>
                <w:b/>
                <w:color w:val="000000"/>
              </w:rPr>
              <w:t>方：</w:t>
            </w:r>
          </w:p>
        </w:tc>
        <w:tc>
          <w:tcPr>
            <w:tcW w:type="dxa" w:w="6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u w:val="single"/>
              </w:rPr>
              <w:t>（中标/成交供应商）</w:t>
            </w:r>
            <w:r>
              <w:rPr>
                <w:sz w:val="21"/>
                <w:u w:val="single"/>
              </w:rPr>
              <w:t xml:space="preserve">                            </w:t>
            </w:r>
          </w:p>
        </w:tc>
      </w:tr>
    </w:tbl>
    <w:p>
      <w:pPr>
        <w:pStyle w:val="null3"/>
        <w:ind w:firstLine="420"/>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4"/>
          <w:b/>
          <w:color w:val="000000"/>
        </w:rPr>
        <w:t>一、项目主要内容及实现功能目标：</w:t>
      </w:r>
      <w:r>
        <w:rPr>
          <w:sz w:val="24"/>
          <w:color w:val="000000"/>
        </w:rPr>
        <w:t>（按照采购文件和投标/响应文件执行）。</w:t>
      </w:r>
    </w:p>
    <w:p>
      <w:pPr>
        <w:pStyle w:val="null3"/>
        <w:jc w:val="both"/>
      </w:pPr>
      <w:r>
        <w:rPr>
          <w:sz w:val="24"/>
          <w:b/>
          <w:color w:val="000000"/>
        </w:rPr>
        <w:t>二、产品及服务供应清单：</w:t>
      </w:r>
      <w:r>
        <w:rPr>
          <w:sz w:val="24"/>
          <w:color w:val="000000"/>
        </w:rPr>
        <w:t>见附件1《报价清单明细表》。</w:t>
      </w:r>
    </w:p>
    <w:p>
      <w:pPr>
        <w:pStyle w:val="null3"/>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50"/>
        <w:gridCol w:w="1559"/>
        <w:gridCol w:w="5997"/>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5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 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合同总价（元）</w:t>
            </w: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大写：</w:t>
            </w:r>
            <w:r>
              <w:rPr>
                <w:sz w:val="24"/>
                <w:color w:val="000000"/>
                <w:u w:val="single"/>
              </w:rPr>
              <w:t xml:space="preserve">                </w:t>
            </w:r>
            <w:r>
              <w:rPr>
                <w:sz w:val="24"/>
                <w:color w:val="000000"/>
              </w:rPr>
              <w:t>；小写：</w:t>
            </w:r>
            <w:r>
              <w:rPr>
                <w:sz w:val="24"/>
                <w:color w:val="000000"/>
                <w:u w:val="single"/>
              </w:rPr>
              <w:t xml:space="preserve">            </w:t>
            </w:r>
            <w:r>
              <w:rPr>
                <w:sz w:val="24"/>
                <w:color w:val="000000"/>
              </w:rPr>
              <w:t>。</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合同总额包括系统建设费用、运维服务费用、设计开发费、货物及零配件的购置和安装、运输保险、装卸、培训辅导、质保期售后服务、所有的售后费用、所有的培训费用、全额含税发票、雇员费用、合同实施过程中的应预见和不可预见费用等。</w:t>
            </w:r>
          </w:p>
          <w:p>
            <w:pPr>
              <w:pStyle w:val="null3"/>
              <w:jc w:val="both"/>
            </w:pPr>
            <w:r>
              <w:rPr>
                <w:sz w:val="24"/>
                <w:color w:val="000000"/>
              </w:rPr>
              <w:t>价格为固定不变价，天数为公历日。</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完工期</w:t>
            </w: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合同生效后一年内安装调试完毕并交付验收。</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项目服务地点</w:t>
            </w: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甲方（用户）所在地，地址为佛山市第一人民医院（院方指定地点）。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付款方式：1.合同签订后，30个工作日内甲方向乙方支付合同金额的30%；2.</w:t>
            </w:r>
            <w:r>
              <w:rPr>
                <w:sz w:val="24"/>
              </w:rPr>
              <w:t>总体验收合格后</w:t>
            </w:r>
            <w:r>
              <w:rPr>
                <w:sz w:val="24"/>
              </w:rPr>
              <w:t>，乙方向甲方提供整体验收报告、发票等资料，甲方收到资料后30个工作日内支付合同金额的65%；3.</w:t>
            </w:r>
            <w:r>
              <w:rPr>
                <w:sz w:val="24"/>
              </w:rPr>
              <w:t>质保期结束后</w:t>
            </w:r>
            <w:r>
              <w:rPr>
                <w:sz w:val="24"/>
              </w:rPr>
              <w:t>30</w:t>
            </w:r>
            <w:r>
              <w:rPr>
                <w:sz w:val="24"/>
              </w:rPr>
              <w:t>个工作日内</w:t>
            </w:r>
            <w:r>
              <w:rPr>
                <w:sz w:val="24"/>
              </w:rPr>
              <w:t>，甲方支付合同金额的5%。</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结算时，乙方须提供以下有效文件：本项目合同、乙方开具的正式发票、中标通知书。</w:t>
            </w:r>
          </w:p>
          <w:p>
            <w:pPr>
              <w:pStyle w:val="null3"/>
              <w:jc w:val="both"/>
            </w:pPr>
            <w:r>
              <w:rPr>
                <w:sz w:val="24"/>
                <w:color w:val="000000"/>
              </w:rPr>
              <w:t>费用以转账方式转入乙方的银行账户。</w:t>
            </w:r>
          </w:p>
          <w:p>
            <w:pPr>
              <w:pStyle w:val="null3"/>
              <w:jc w:val="both"/>
            </w:pPr>
            <w:r>
              <w:rPr>
                <w:sz w:val="24"/>
                <w:color w:val="000000"/>
              </w:rPr>
              <w:t>收款方、出具发票方、合同乙方均必须与中标（成交）供应商名称一致。</w:t>
            </w:r>
          </w:p>
        </w:tc>
      </w:tr>
    </w:tbl>
    <w:p>
      <w:pPr>
        <w:pStyle w:val="null3"/>
        <w:jc w:val="both"/>
      </w:pPr>
      <w:r>
        <w:rPr>
          <w:sz w:val="24"/>
          <w:b/>
          <w:color w:val="000000"/>
        </w:rPr>
        <w:t>四、安装与调试：</w:t>
      </w:r>
    </w:p>
    <w:p>
      <w:pPr>
        <w:pStyle w:val="null3"/>
        <w:ind w:firstLine="480"/>
        <w:jc w:val="both"/>
      </w:pPr>
      <w:r>
        <w:rPr>
          <w:sz w:val="24"/>
          <w:color w:val="000000"/>
        </w:rPr>
        <w:t>以符合采购文件要求和响应承诺的前提下，乙方将设备（系统）安装并调试至正常运行的最佳状态且双方均认为满意。</w:t>
      </w:r>
    </w:p>
    <w:p>
      <w:pPr>
        <w:pStyle w:val="null3"/>
        <w:jc w:val="both"/>
      </w:pPr>
      <w:r>
        <w:rPr>
          <w:sz w:val="24"/>
          <w:b/>
          <w:color w:val="000000"/>
        </w:rPr>
        <w:t>五、验收标准与要求：</w:t>
      </w:r>
    </w:p>
    <w:p>
      <w:pPr>
        <w:pStyle w:val="null3"/>
        <w:ind w:firstLine="480"/>
        <w:jc w:val="both"/>
      </w:pPr>
      <w:r>
        <w:rPr>
          <w:sz w:val="24"/>
        </w:rPr>
        <w:t>遵守国际、国家、卫生部及相关行业的标准、规范和法律；满足最终签订的合同内所有要求和规定；以最终签订项目合同实际验收条款作为本项目内容验收条件。</w:t>
      </w:r>
    </w:p>
    <w:p>
      <w:pPr>
        <w:pStyle w:val="null3"/>
        <w:ind w:firstLine="480"/>
        <w:jc w:val="both"/>
      </w:pPr>
      <w:r>
        <w:rPr>
          <w:sz w:val="24"/>
        </w:rPr>
        <w:t>上述各类标准与法规必须是有关官方机构最新发布的现行标准版本，乙方应向甲方提供详细的验收标准、验收手册；甲方有权委托中国法定专业质检部门对货物或系统进行检验。</w:t>
      </w:r>
    </w:p>
    <w:p>
      <w:pPr>
        <w:pStyle w:val="null3"/>
        <w:jc w:val="both"/>
      </w:pPr>
      <w:r>
        <w:rPr>
          <w:sz w:val="24"/>
          <w:b/>
          <w:color w:val="000000"/>
        </w:rPr>
        <w:t>六、实施服务要求</w:t>
      </w:r>
    </w:p>
    <w:p>
      <w:pPr>
        <w:pStyle w:val="null3"/>
        <w:ind w:firstLine="480"/>
        <w:jc w:val="both"/>
      </w:pPr>
      <w:r>
        <w:rPr>
          <w:sz w:val="24"/>
          <w:color w:val="000000"/>
        </w:rPr>
        <w:t>乙方任命有相关工作经验的项目经理与甲方共同负责项目管理，并负责项目实施过程文档的收集与整理。项目实施上线期间，现场驻点项目相关工作经验工程师不少于5人，专职现场跟进和维护直至系统完全上线并完成验收。</w:t>
      </w:r>
    </w:p>
    <w:p>
      <w:pPr>
        <w:pStyle w:val="null3"/>
        <w:jc w:val="both"/>
      </w:pPr>
      <w:r>
        <w:rPr>
          <w:sz w:val="24"/>
          <w:b/>
          <w:color w:val="000000"/>
        </w:rPr>
        <w:t>七、售后服务要求：</w:t>
      </w:r>
    </w:p>
    <w:p>
      <w:pPr>
        <w:pStyle w:val="null3"/>
        <w:jc w:val="both"/>
      </w:pPr>
      <w:r>
        <w:rPr>
          <w:sz w:val="24"/>
          <w:color w:val="000000"/>
        </w:rPr>
        <w:t>1.</w:t>
      </w:r>
      <w:r>
        <w:rPr>
          <w:sz w:val="24"/>
          <w:color w:val="000000"/>
        </w:rPr>
        <w:t>系统维护期内，</w:t>
      </w:r>
      <w:r>
        <w:rPr>
          <w:sz w:val="24"/>
        </w:rPr>
        <w:t>乙方现场驻点项目相关工作经验工程师不少于1人，须提供7×24 小时运行保障服务，系统运行需配套建立7×24 小时运行保障体系加以支撑，以保障系统全时间段无故障不间断正常运转。7×24 小时运行保障服务指建立7×24 小时运行保障体系，并提供与之配套的服务。</w:t>
      </w:r>
    </w:p>
    <w:p>
      <w:pPr>
        <w:pStyle w:val="null3"/>
        <w:jc w:val="both"/>
      </w:pPr>
      <w:r>
        <w:rPr>
          <w:sz w:val="24"/>
        </w:rPr>
        <w:t xml:space="preserve">2. </w:t>
      </w:r>
      <w:r>
        <w:rPr>
          <w:sz w:val="24"/>
        </w:rPr>
        <w:t>系统使用期间，应根据甲方要求对原有功能修改或新增功能进行响应和实施，响应和实施时间原则不超过24小时；软件故障报修的响应时间：1小时。</w:t>
      </w:r>
    </w:p>
    <w:p>
      <w:pPr>
        <w:pStyle w:val="null3"/>
        <w:jc w:val="both"/>
      </w:pPr>
      <w:r>
        <w:rPr>
          <w:sz w:val="24"/>
        </w:rPr>
        <w:t xml:space="preserve">3. </w:t>
      </w:r>
      <w:r>
        <w:rPr>
          <w:sz w:val="24"/>
        </w:rPr>
        <w:t>应提供应用软件系统扩充、升级方面的技术支持服务。</w:t>
      </w:r>
    </w:p>
    <w:p>
      <w:pPr>
        <w:pStyle w:val="null3"/>
        <w:jc w:val="both"/>
      </w:pPr>
      <w:r>
        <w:rPr>
          <w:sz w:val="24"/>
        </w:rPr>
        <w:t xml:space="preserve">4. </w:t>
      </w:r>
      <w:r>
        <w:rPr>
          <w:sz w:val="24"/>
        </w:rPr>
        <w:t>在实施及免费维护期内，应满足所提供软件的功能模块客户化需求。</w:t>
      </w:r>
    </w:p>
    <w:p>
      <w:pPr>
        <w:pStyle w:val="null3"/>
        <w:jc w:val="both"/>
      </w:pPr>
      <w:r>
        <w:rPr>
          <w:sz w:val="24"/>
        </w:rPr>
        <w:t xml:space="preserve">5. </w:t>
      </w:r>
      <w:r>
        <w:rPr>
          <w:sz w:val="24"/>
        </w:rPr>
        <w:t>系统维护期：所提供应用软件系统均需提供从验收合格后起至少3年免费维护。项目通过验收后，乙方必须指派专业人员到现场提供使用操作培训。</w:t>
      </w:r>
    </w:p>
    <w:p>
      <w:pPr>
        <w:pStyle w:val="null3"/>
        <w:jc w:val="both"/>
      </w:pPr>
      <w:r>
        <w:rPr>
          <w:sz w:val="24"/>
          <w:color w:val="000000"/>
        </w:rPr>
        <w:t xml:space="preserve">6. </w:t>
      </w:r>
      <w:r>
        <w:rPr>
          <w:sz w:val="24"/>
          <w:color w:val="000000"/>
        </w:rPr>
        <w:t>乙方售后服务机构名称及地址：</w:t>
      </w:r>
    </w:p>
    <w:p>
      <w:pPr>
        <w:pStyle w:val="null3"/>
        <w:jc w:val="both"/>
      </w:pPr>
      <w:r>
        <w:rPr>
          <w:sz w:val="24"/>
          <w:color w:val="000000"/>
        </w:rPr>
        <w:t xml:space="preserve">6.1. </w:t>
      </w:r>
      <w:r>
        <w:rPr>
          <w:sz w:val="24"/>
          <w:color w:val="000000"/>
        </w:rPr>
        <w:t>售后服务机构名称及地址：</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jc w:val="both"/>
      </w:pPr>
      <w:r>
        <w:rPr>
          <w:sz w:val="24"/>
          <w:b/>
          <w:color w:val="000000"/>
        </w:rPr>
        <w:t>八、违约责任：</w:t>
      </w:r>
    </w:p>
    <w:p>
      <w:pPr>
        <w:pStyle w:val="null3"/>
        <w:jc w:val="both"/>
      </w:pPr>
      <w:r>
        <w:rPr>
          <w:sz w:val="24"/>
          <w:b/>
          <w:color w:val="000000"/>
        </w:rPr>
        <w:t>1.</w:t>
      </w:r>
      <w:r>
        <w:rPr>
          <w:sz w:val="24"/>
          <w:color w:val="000000"/>
        </w:rPr>
        <w:t>乙方未按要求履行合同义务时，须从违约之日起每日按合同总额的2‰比例向甲方支付违约金；逾期15日以上时，甲方有权终止合同，由此造成甲方的经济损失由乙方承担。违约金不足以弥补损失的，乙方应按全额赔偿。</w:t>
      </w:r>
    </w:p>
    <w:p>
      <w:pPr>
        <w:pStyle w:val="null3"/>
        <w:jc w:val="both"/>
      </w:pPr>
      <w:r>
        <w:rPr>
          <w:sz w:val="24"/>
          <w:b/>
          <w:color w:val="000000"/>
        </w:rPr>
        <w:t>2.</w:t>
      </w:r>
      <w:r>
        <w:rPr>
          <w:sz w:val="24"/>
          <w:color w:val="000000"/>
        </w:rPr>
        <w:t>甲方未按要求履行合同义务时，或无故拖延验收、付款时，甲方须向乙方支付滞纳金，标准为每日按逾期应付款总额的2‰累计。</w:t>
      </w:r>
    </w:p>
    <w:p>
      <w:pPr>
        <w:pStyle w:val="null3"/>
        <w:jc w:val="both"/>
      </w:pPr>
      <w:r>
        <w:rPr>
          <w:sz w:val="24"/>
          <w:b/>
          <w:color w:val="000000"/>
        </w:rPr>
        <w:t>3.</w:t>
      </w:r>
      <w:r>
        <w:rPr>
          <w:sz w:val="24"/>
          <w:color w:val="000000"/>
        </w:rPr>
        <w:t>其它违约责任按《中华人民共和国民法典》处理。</w:t>
      </w:r>
    </w:p>
    <w:p>
      <w:pPr>
        <w:pStyle w:val="null3"/>
        <w:jc w:val="both"/>
      </w:pPr>
      <w:r>
        <w:rPr>
          <w:sz w:val="24"/>
          <w:b/>
          <w:color w:val="000000"/>
        </w:rPr>
        <w:t>4.</w:t>
      </w:r>
      <w:r>
        <w:rPr>
          <w:sz w:val="24"/>
          <w:color w:val="000000"/>
        </w:rPr>
        <w:t>守约方为维护自身合法权益所产生的仲裁或诉讼费、律师费、保全费、担保费等，由违约方承担。</w:t>
      </w:r>
    </w:p>
    <w:p>
      <w:pPr>
        <w:pStyle w:val="null3"/>
        <w:jc w:val="both"/>
      </w:pPr>
      <w:r>
        <w:rPr>
          <w:sz w:val="24"/>
          <w:b/>
          <w:color w:val="000000"/>
        </w:rPr>
        <w:t>九、提出异议的时间和方法：</w:t>
      </w:r>
    </w:p>
    <w:p>
      <w:pPr>
        <w:pStyle w:val="null3"/>
        <w:jc w:val="both"/>
      </w:pPr>
      <w:r>
        <w:rPr>
          <w:sz w:val="24"/>
          <w:b/>
          <w:color w:val="000000"/>
        </w:rPr>
        <w:t>1.</w:t>
      </w:r>
      <w:r>
        <w:rPr>
          <w:sz w:val="24"/>
          <w:color w:val="000000"/>
        </w:rPr>
        <w:t>甲方在验收后60天内如对货物或服务有异议时，应向乙方提出书面异议。</w:t>
      </w:r>
    </w:p>
    <w:p>
      <w:pPr>
        <w:pStyle w:val="null3"/>
        <w:jc w:val="both"/>
      </w:pPr>
      <w:r>
        <w:rPr>
          <w:sz w:val="24"/>
          <w:b/>
          <w:color w:val="000000"/>
        </w:rPr>
        <w:t>2.</w:t>
      </w:r>
      <w:r>
        <w:rPr>
          <w:sz w:val="24"/>
          <w:color w:val="000000"/>
        </w:rPr>
        <w:t>乙方在接到甲方书面异议后，应在3天内负责处理并函复甲方处理情况，否则，即视为默认甲方提出的异议和处理意见。</w:t>
      </w:r>
    </w:p>
    <w:p>
      <w:pPr>
        <w:pStyle w:val="null3"/>
        <w:jc w:val="both"/>
      </w:pPr>
      <w:r>
        <w:rPr>
          <w:sz w:val="24"/>
          <w:b/>
          <w:color w:val="000000"/>
        </w:rPr>
        <w:t>3.</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jc w:val="both"/>
      </w:pPr>
      <w:r>
        <w:rPr>
          <w:sz w:val="24"/>
          <w:b/>
          <w:color w:val="000000"/>
        </w:rPr>
        <w:t>十、争议的解决：</w:t>
      </w:r>
    </w:p>
    <w:p>
      <w:pPr>
        <w:pStyle w:val="null3"/>
        <w:jc w:val="both"/>
      </w:pPr>
      <w:r>
        <w:rPr>
          <w:sz w:val="24"/>
          <w:b/>
          <w:color w:val="000000"/>
        </w:rPr>
        <w:t>1.</w:t>
      </w:r>
      <w:r>
        <w:rPr>
          <w:sz w:val="24"/>
          <w:color w:val="000000"/>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4"/>
          <w:color w:val="000000"/>
        </w:rPr>
        <w:t>法院审理期间，除提交法院审理的事项外，其它无争议的事项和条款仍应继续履行。</w:t>
      </w:r>
    </w:p>
    <w:p>
      <w:pPr>
        <w:pStyle w:val="null3"/>
        <w:jc w:val="both"/>
      </w:pPr>
      <w:r>
        <w:rPr>
          <w:sz w:val="24"/>
          <w:b/>
          <w:color w:val="000000"/>
        </w:rPr>
        <w:t>十一、不可抗力：</w:t>
      </w:r>
    </w:p>
    <w:p>
      <w:pPr>
        <w:pStyle w:val="null3"/>
        <w:ind w:firstLine="480"/>
        <w:jc w:val="both"/>
      </w:pPr>
      <w:r>
        <w:rPr>
          <w:sz w:val="24"/>
          <w:color w:val="000000"/>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十二、税费：</w:t>
      </w:r>
    </w:p>
    <w:p>
      <w:pPr>
        <w:pStyle w:val="null3"/>
        <w:jc w:val="both"/>
      </w:pPr>
      <w:r>
        <w:rPr>
          <w:sz w:val="24"/>
          <w:b/>
          <w:color w:val="000000"/>
        </w:rPr>
        <w:t>1.</w:t>
      </w:r>
      <w:r>
        <w:rPr>
          <w:sz w:val="24"/>
          <w:color w:val="000000"/>
        </w:rPr>
        <w:t>本合同实施过程中所发生的一切税费及不可预见费均由乙方承担。</w:t>
      </w:r>
    </w:p>
    <w:p>
      <w:pPr>
        <w:pStyle w:val="null3"/>
        <w:jc w:val="both"/>
      </w:pPr>
      <w:r>
        <w:rPr>
          <w:sz w:val="24"/>
          <w:b/>
          <w:color w:val="000000"/>
        </w:rPr>
        <w:t>2.</w:t>
      </w:r>
      <w:r>
        <w:rPr>
          <w:sz w:val="24"/>
          <w:color w:val="000000"/>
        </w:rPr>
        <w:t>乙方依照税务规章优先在合同履约地开具发票及纳税，咨询：0757-12366。</w:t>
      </w:r>
    </w:p>
    <w:p>
      <w:pPr>
        <w:pStyle w:val="null3"/>
        <w:jc w:val="both"/>
      </w:pPr>
      <w:r>
        <w:rPr>
          <w:sz w:val="24"/>
          <w:b/>
          <w:color w:val="000000"/>
        </w:rPr>
        <w:t>十三、合同生效与合同备案：</w:t>
      </w:r>
    </w:p>
    <w:p>
      <w:pPr>
        <w:pStyle w:val="null3"/>
        <w:jc w:val="both"/>
      </w:pPr>
      <w:r>
        <w:rPr>
          <w:sz w:val="24"/>
          <w:b/>
          <w:color w:val="000000"/>
        </w:rPr>
        <w:t>1.</w:t>
      </w:r>
      <w:r>
        <w:rPr>
          <w:sz w:val="24"/>
          <w:color w:val="000000"/>
        </w:rPr>
        <w:t>本合同在甲乙双方法人代表或其授权代表签字盖章后生效。</w:t>
      </w:r>
    </w:p>
    <w:p>
      <w:pPr>
        <w:pStyle w:val="null3"/>
        <w:jc w:val="both"/>
      </w:pPr>
      <w:r>
        <w:rPr>
          <w:sz w:val="24"/>
          <w:b/>
          <w:color w:val="000000"/>
        </w:rPr>
        <w:t>2.</w:t>
      </w:r>
      <w:r>
        <w:rPr>
          <w:sz w:val="24"/>
          <w:color w:val="000000"/>
        </w:rPr>
        <w:t>自采购合同签订之日起7个工作日内，由甲方按照有关规定将采购合同副本报同级人民政府财政部门（政府采购管理部门）备案。</w:t>
      </w:r>
    </w:p>
    <w:p>
      <w:pPr>
        <w:pStyle w:val="null3"/>
        <w:jc w:val="both"/>
      </w:pPr>
      <w:r>
        <w:rPr>
          <w:sz w:val="24"/>
          <w:b/>
          <w:color w:val="000000"/>
        </w:rPr>
        <w:t>十四、乙方应提供的资料内容：</w:t>
      </w:r>
    </w:p>
    <w:p>
      <w:pPr>
        <w:pStyle w:val="null3"/>
        <w:jc w:val="both"/>
      </w:pPr>
      <w:r>
        <w:rPr>
          <w:sz w:val="21"/>
          <w:b/>
        </w:rPr>
        <w:t xml:space="preserve">  </w:t>
      </w:r>
      <w:r>
        <w:rPr>
          <w:sz w:val="21"/>
          <w:b/>
          <w:u w:val="single"/>
        </w:rPr>
        <w:t xml:space="preserve">                             </w:t>
      </w:r>
      <w:r>
        <w:rPr>
          <w:sz w:val="24"/>
          <w:b/>
          <w:color w:val="000000"/>
        </w:rPr>
        <w:t>。</w:t>
      </w:r>
    </w:p>
    <w:p>
      <w:pPr>
        <w:pStyle w:val="null3"/>
        <w:jc w:val="both"/>
      </w:pPr>
      <w:r>
        <w:rPr>
          <w:sz w:val="24"/>
          <w:b/>
        </w:rPr>
        <w:t>十五、关于政府采购合同融资：</w:t>
      </w:r>
    </w:p>
    <w:p>
      <w:pPr>
        <w:pStyle w:val="null3"/>
        <w:jc w:val="both"/>
      </w:pPr>
      <w:r>
        <w:rPr>
          <w:sz w:val="24"/>
          <w:b/>
        </w:rPr>
        <w:t>1.</w:t>
      </w:r>
      <w:r>
        <w:rPr>
          <w:sz w:val="24"/>
        </w:rPr>
        <w:t>乙方是否已申请政府采购合同融资（在□打√表示）：□是，□否；</w:t>
      </w:r>
    </w:p>
    <w:p>
      <w:pPr>
        <w:pStyle w:val="null3"/>
        <w:jc w:val="both"/>
      </w:pPr>
      <w:r>
        <w:rPr>
          <w:sz w:val="24"/>
        </w:rPr>
        <w:t>融资银行及联系方式：</w:t>
      </w:r>
      <w:r>
        <w:rPr>
          <w:sz w:val="21"/>
          <w:u w:val="single"/>
        </w:rPr>
        <w:t xml:space="preserve">                                        </w:t>
      </w:r>
      <w:r>
        <w:rPr>
          <w:sz w:val="24"/>
        </w:rPr>
        <w:t>。</w:t>
      </w:r>
    </w:p>
    <w:p>
      <w:pPr>
        <w:pStyle w:val="null3"/>
        <w:jc w:val="both"/>
      </w:pPr>
      <w:r>
        <w:rPr>
          <w:sz w:val="24"/>
          <w:b/>
        </w:rPr>
        <w:t>2.</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4"/>
          <w:b/>
          <w:color w:val="000000"/>
        </w:rPr>
        <w:t>十六、其它：</w:t>
      </w:r>
    </w:p>
    <w:p>
      <w:pPr>
        <w:pStyle w:val="null3"/>
        <w:jc w:val="both"/>
      </w:pPr>
      <w:r>
        <w:rPr>
          <w:sz w:val="24"/>
          <w:b/>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4"/>
          <w:color w:val="000000"/>
        </w:rPr>
        <w:t>如一方（包括联系人）地址、电话、传真号码有变更，应在变更后3个工作日内书面通知对方联系人或负责人，否则，因此造成的损失由未履行通知义务方承担相应责任。</w:t>
      </w:r>
    </w:p>
    <w:p>
      <w:pPr>
        <w:pStyle w:val="null3"/>
        <w:jc w:val="both"/>
      </w:pPr>
      <w:r>
        <w:rPr>
          <w:sz w:val="24"/>
          <w:b/>
          <w:color w:val="000000"/>
        </w:rPr>
        <w:t>3.</w:t>
      </w:r>
      <w:r>
        <w:rPr>
          <w:sz w:val="24"/>
          <w:color w:val="000000"/>
        </w:rPr>
        <w:t>未经甲方书面同意，乙方不得擅自向第三方转让其主体性和关键性合同义务。</w:t>
      </w:r>
    </w:p>
    <w:p>
      <w:pPr>
        <w:pStyle w:val="null3"/>
        <w:jc w:val="both"/>
      </w:pPr>
      <w:r>
        <w:rPr>
          <w:sz w:val="24"/>
          <w:b/>
          <w:color w:val="000000"/>
        </w:rPr>
        <w:t>4.</w:t>
      </w:r>
      <w:r>
        <w:rPr>
          <w:sz w:val="24"/>
          <w:color w:val="000000"/>
        </w:rPr>
        <w:t>本合同一式</w:t>
      </w:r>
      <w:r>
        <w:rPr>
          <w:sz w:val="21"/>
          <w:u w:val="single"/>
        </w:rPr>
        <w:t xml:space="preserve"> </w:t>
      </w:r>
      <w:r>
        <w:rPr>
          <w:sz w:val="24"/>
          <w:color w:val="000000"/>
        </w:rPr>
        <w:t>份，甲方执三份，乙方执</w:t>
      </w:r>
      <w:r>
        <w:rPr>
          <w:sz w:val="21"/>
          <w:u w:val="single"/>
        </w:rPr>
        <w:t xml:space="preserve"> </w:t>
      </w:r>
      <w:r>
        <w:rPr>
          <w:sz w:val="24"/>
          <w:color w:val="000000"/>
        </w:rPr>
        <w:t>份，采购代理机构执一份。</w:t>
      </w:r>
    </w:p>
    <w:p>
      <w:pPr>
        <w:pStyle w:val="null3"/>
        <w:jc w:val="both"/>
      </w:pPr>
      <w:r>
        <w:rPr>
          <w:sz w:val="24"/>
          <w:b/>
          <w:color w:val="000000"/>
        </w:rPr>
        <w:t>5.</w:t>
      </w:r>
      <w:r>
        <w:rPr>
          <w:sz w:val="24"/>
          <w:color w:val="000000"/>
        </w:rPr>
        <w:t>本合同（含附件）共计</w:t>
      </w:r>
      <w:r>
        <w:rPr>
          <w:sz w:val="21"/>
          <w:u w:val="single"/>
        </w:rPr>
        <w:t xml:space="preserve"> </w:t>
      </w:r>
      <w:r>
        <w:rPr>
          <w:sz w:val="24"/>
          <w:color w:val="000000"/>
        </w:rPr>
        <w:t>页A4纸张，缺页之合同为无效合同。</w:t>
      </w:r>
    </w:p>
    <w:p>
      <w:pPr>
        <w:pStyle w:val="null3"/>
        <w:jc w:val="both"/>
      </w:pPr>
      <w:r>
        <w:rPr>
          <w:sz w:val="24"/>
          <w:b/>
          <w:color w:val="000000"/>
        </w:rPr>
        <w:t>6.</w:t>
      </w:r>
      <w:r>
        <w:rPr>
          <w:sz w:val="24"/>
          <w:color w:val="000000"/>
        </w:rPr>
        <w:t>本合同签约履约地点：广东省佛山市。</w:t>
      </w:r>
    </w:p>
    <w:p>
      <w:pPr>
        <w:pStyle w:val="null3"/>
        <w:jc w:val="both"/>
      </w:pPr>
      <w:r>
        <w:rPr>
          <w:sz w:val="24"/>
          <w:b/>
          <w:color w:val="000000"/>
        </w:rPr>
        <w:t>7.</w:t>
      </w:r>
      <w:r>
        <w:rPr>
          <w:sz w:val="24"/>
          <w:color w:val="000000"/>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8.</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43"/>
        <w:gridCol w:w="4063"/>
      </w:tblGrid>
      <w:tr>
        <w:tc>
          <w:tcPr>
            <w:tcW w:type="dxa" w:w="4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甲方（盖章）：</w:t>
            </w:r>
          </w:p>
        </w:tc>
        <w:tc>
          <w:tcPr>
            <w:tcW w:type="dxa" w:w="4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（采购人名称）</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（中标</w:t>
            </w:r>
            <w:r>
              <w:rPr>
                <w:sz w:val="24"/>
                <w:b/>
              </w:rPr>
              <w:t>/</w:t>
            </w:r>
            <w:r>
              <w:rPr>
                <w:sz w:val="24"/>
                <w:b/>
              </w:rPr>
              <w:t>成交供应商）</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法人代表或授权代表（签字）：</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法人代表或授权代表（签字）：</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传真：</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传真：</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日期：</w:t>
            </w:r>
            <w:r>
              <w:rPr>
                <w:sz w:val="24"/>
              </w:rPr>
              <w:t>年</w:t>
            </w:r>
            <w:r>
              <w:rPr>
                <w:sz w:val="24"/>
              </w:rPr>
              <w:t>月</w:t>
            </w:r>
            <w:r>
              <w:rPr>
                <w:sz w:val="24"/>
              </w:rPr>
              <w:t>日</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日期：</w:t>
            </w:r>
            <w:r>
              <w:rPr>
                <w:sz w:val="24"/>
              </w:rPr>
              <w:t>年</w:t>
            </w:r>
            <w:r>
              <w:rPr>
                <w:sz w:val="24"/>
              </w:rPr>
              <w:t>月</w:t>
            </w:r>
            <w:r>
              <w:rPr>
                <w:sz w:val="24"/>
              </w:rPr>
              <w:t>日</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收款方、开票方须与乙方一致，专户为：</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开户名称：</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银行账号：</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开户行：</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见证单位（盖章）：</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见证人（签字）：</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合同附件清单：</w:t>
      </w:r>
    </w:p>
    <w:p>
      <w:pPr>
        <w:pStyle w:val="null3"/>
        <w:jc w:val="left"/>
      </w:pPr>
      <w:r>
        <w:rPr>
          <w:sz w:val="24"/>
          <w:color w:val="000000"/>
        </w:rPr>
        <w:t>附件</w:t>
      </w:r>
      <w:r>
        <w:rPr>
          <w:sz w:val="24"/>
          <w:color w:val="000000"/>
        </w:rPr>
        <w:t>1</w:t>
      </w:r>
      <w:r>
        <w:rPr>
          <w:sz w:val="24"/>
          <w:color w:val="000000"/>
        </w:rPr>
        <w:t>：《报价清单明细表》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440601-2024-01336</w:t>
      </w:r>
    </w:p>
    <w:p>
      <w:pPr>
        <w:pStyle w:val="null3"/>
        <w:jc w:val="center"/>
        <w:outlineLvl w:val="3"/>
      </w:pPr>
      <w:r>
        <w:rPr>
          <w:sz w:val="24"/>
          <w:b/>
        </w:rPr>
        <w:t>采购项目编号：</w:t>
      </w:r>
      <w:r>
        <w:rPr>
          <w:sz w:val="24"/>
          <w:b/>
        </w:rPr>
        <w:t>GDHH202423G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广东海虹招标代理有限公司</w:t>
      </w:r>
    </w:p>
    <w:p>
      <w:pPr>
        <w:pStyle w:val="null3"/>
        <w:ind w:firstLine="480"/>
      </w:pPr>
      <w:r>
        <w:rPr/>
        <w:t xml:space="preserve"> 你方组织的</w:t>
      </w:r>
      <w:r>
        <w:rPr>
          <w:u w:val="single"/>
        </w:rPr>
        <w:t>“</w:t>
      </w:r>
      <w:r>
        <w:rPr>
          <w:u w:val="single"/>
        </w:rPr>
        <w:t>电子病历智能内涵质控及单病种质控平台</w:t>
      </w:r>
      <w:r>
        <w:rPr>
          <w:u w:val="single"/>
        </w:rPr>
        <w:t>”</w:t>
      </w:r>
      <w:r>
        <w:rPr/>
        <w:t>项目的招标[采购项目编号为：</w:t>
      </w:r>
      <w:r>
        <w:rPr>
          <w:u w:val="single"/>
        </w:rPr>
        <w:t>GDHH202423G</w:t>
      </w:r>
      <w:r>
        <w:rPr/>
        <w:t>]，我方愿参与投标。</w:t>
      </w:r>
    </w:p>
    <w:p>
      <w:pPr>
        <w:pStyle w:val="null3"/>
        <w:ind w:firstLine="480"/>
      </w:pPr>
      <w:r>
        <w:rPr/>
        <w:t>我方确认收到贵方提供的</w:t>
      </w:r>
      <w:r>
        <w:rPr>
          <w:u w:val="single"/>
        </w:rPr>
        <w:t>“</w:t>
      </w:r>
      <w:r>
        <w:rPr>
          <w:u w:val="single"/>
        </w:rPr>
        <w:t>电子病历智能内涵质控及单病种质控平台</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电子病历智能内涵质控及单病种质控平台</w:t>
      </w:r>
      <w:r>
        <w:rPr/>
        <w:t>”项目采购[采购项目编号为</w:t>
      </w:r>
      <w:r>
        <w:rPr/>
        <w:t>GDHH202423G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广东海虹招标代理有限公司</w:t>
      </w:r>
    </w:p>
    <w:p>
      <w:pPr>
        <w:pStyle w:val="null3"/>
        <w:ind w:firstLine="480"/>
      </w:pPr>
      <w:r>
        <w:rPr/>
        <w:t xml:space="preserve"> 如果我方在贵采购代理机构组织的</w:t>
      </w:r>
      <w:r>
        <w:rPr/>
        <w:t>电子病历智能内涵质控及单病种质控平台</w:t>
      </w:r>
      <w:r>
        <w:rPr/>
        <w:t>招标中获中标（采购项目编号：</w:t>
      </w:r>
      <w:r>
        <w:rPr/>
        <w:t>GDHH202423G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广东海虹招标代理有限公司</w:t>
      </w:r>
    </w:p>
    <w:p>
      <w:pPr>
        <w:pStyle w:val="null3"/>
        <w:ind w:firstLine="480"/>
      </w:pPr>
      <w:r>
        <w:rPr/>
        <w:t>我单位已登记并准备参与“</w:t>
      </w:r>
      <w:r>
        <w:rPr/>
        <w:t>电子病历智能内涵质控及单病种质控平台</w:t>
      </w:r>
      <w:r>
        <w:rPr/>
        <w:t>”项目（采购项目编号：</w:t>
      </w:r>
      <w:r>
        <w:rPr/>
        <w:t>GDHH202423G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