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440605-2022-06343</w:t>
      </w:r>
    </w:p>
    <w:p>
      <w:pPr>
        <w:jc w:val="center"/>
      </w:pPr>
      <w:r>
        <w:rPr>
          <w:b/>
          <w:sz w:val="24"/>
        </w:rPr>
        <w:t>采购项目编号：</w:t>
      </w:r>
      <w:r>
        <w:rPr>
          <w:b/>
          <w:sz w:val="24"/>
        </w:rPr>
        <w:t>JF2022(NH)WS0075</w:t>
      </w:r>
    </w:p>
    <w:p>
      <w:pPr>
        <w:jc w:val="center"/>
      </w:pPr>
      <w:r>
        <w:rPr>
          <w:b/>
          <w:sz w:val="24"/>
        </w:rPr>
        <w:t>项目名称：</w:t>
      </w:r>
      <w:r>
        <w:rPr>
          <w:b/>
          <w:sz w:val="24"/>
        </w:rPr>
        <w:t>近红外脑功能成像装置</w:t>
      </w:r>
    </w:p>
    <w:p>
      <w:pPr>
        <w:jc w:val="center"/>
      </w:pPr>
      <w:r>
        <w:rPr>
          <w:b/>
          <w:sz w:val="24"/>
        </w:rPr>
        <w:t>采购人：</w:t>
      </w:r>
      <w:r>
        <w:rPr>
          <w:b/>
          <w:sz w:val="24"/>
        </w:rPr>
        <w:t>佛山市南海区妇幼保健院</w:t>
      </w:r>
    </w:p>
    <w:p>
      <w:pPr>
        <w:jc w:val="center"/>
      </w:pPr>
      <w:r>
        <w:rPr>
          <w:b/>
          <w:sz w:val="24"/>
        </w:rPr>
        <w:t>采购代理机构：</w:t>
      </w:r>
      <w:r>
        <w:rPr>
          <w:b/>
          <w:sz w:val="24"/>
        </w:rPr>
        <w:t>广东海虹招标代理有限公司</w:t>
      </w:r>
    </w:p>
    <w:p>
      <w:pPr>
        <w:ind w:firstLine="480"/>
      </w:pPr>
    </w:p>
    <w:p>
      <w:r>
        <w:rPr/>
        <w:t xml:space="preserve"> </w:t>
      </w:r>
    </w:p>
    <w:p/>
    <w:p>
      <w:pPr>
        <w:jc w:val="center"/>
      </w:pPr>
      <w:r>
        <w:rPr>
          <w:b/>
          <w:sz w:val="36"/>
        </w:rPr>
        <w:t>第一章 磋商邀请</w:t>
      </w:r>
    </w:p>
    <w:p>
      <w:pPr>
        <w:ind w:firstLine="480"/>
      </w:pPr>
      <w:r>
        <w:rPr/>
        <w:t>广东海虹招标代理有限公司</w:t>
      </w:r>
      <w:r>
        <w:rPr/>
        <w:t>受</w:t>
      </w:r>
      <w:r>
        <w:rPr/>
        <w:t>佛山市南海区妇幼保健院</w:t>
      </w:r>
      <w:r>
        <w:rPr/>
        <w:t>的委托，采用</w:t>
      </w:r>
      <w:r>
        <w:rPr/>
        <w:t>竞争性磋商</w:t>
      </w:r>
      <w:r>
        <w:rPr/>
        <w:t>方式组织采购</w:t>
      </w:r>
      <w:r>
        <w:rPr/>
        <w:t>近红外脑功能成像装置</w:t>
      </w:r>
      <w:r>
        <w:rPr/>
        <w:t>。欢迎符合资格条件的供应商参加。</w:t>
      </w:r>
    </w:p>
    <w:p>
      <w:r>
        <w:rPr>
          <w:b/>
          <w:sz w:val="28"/>
        </w:rPr>
        <w:t>一.项目概述</w:t>
      </w:r>
    </w:p>
    <w:p>
      <w:r>
        <w:rPr>
          <w:b/>
          <w:sz w:val="24"/>
        </w:rPr>
        <w:t>1.名称与编号</w:t>
      </w:r>
    </w:p>
    <w:p>
      <w:pPr>
        <w:ind w:firstLine="480"/>
      </w:pPr>
      <w:r>
        <w:rPr/>
        <w:t>采购项目名称：</w:t>
      </w:r>
      <w:r>
        <w:rPr/>
        <w:t>近红外脑功能成像装置</w:t>
      </w:r>
    </w:p>
    <w:p>
      <w:pPr>
        <w:ind w:firstLine="480"/>
      </w:pPr>
      <w:r>
        <w:rPr/>
        <w:t>采购计划编号：</w:t>
      </w:r>
      <w:r>
        <w:rPr/>
        <w:t>440605-2022-06343</w:t>
      </w:r>
    </w:p>
    <w:p>
      <w:pPr>
        <w:ind w:firstLine="480"/>
      </w:pPr>
      <w:r>
        <w:rPr/>
        <w:t>采购项目编号：</w:t>
      </w:r>
      <w:r>
        <w:rPr/>
        <w:t>JF2022(NH)WS0075</w:t>
      </w:r>
    </w:p>
    <w:p>
      <w:pPr>
        <w:ind w:firstLine="480"/>
      </w:pPr>
      <w:r>
        <w:rPr/>
        <w:t>采购方式：</w:t>
      </w:r>
      <w:r>
        <w:rPr/>
        <w:t>竞争性磋商</w:t>
      </w:r>
    </w:p>
    <w:p>
      <w:pPr>
        <w:ind w:firstLine="480"/>
      </w:pPr>
      <w:r>
        <w:rPr/>
        <w:t>预算金额：</w:t>
      </w:r>
      <w:r>
        <w:rPr/>
        <w:t>1,600,000.00</w:t>
      </w:r>
      <w:r>
        <w:rPr/>
        <w:t>元</w:t>
      </w:r>
    </w:p>
    <w:p>
      <w:r>
        <w:rPr>
          <w:b/>
          <w:sz w:val="24"/>
        </w:rPr>
        <w:t>2.项目内容及需求情况（采购项目技术规格、参数及要求）</w:t>
      </w:r>
    </w:p>
    <w:p>
      <w:pPr>
        <w:ind w:firstLine="480"/>
      </w:pPr>
    </w:p>
    <w:p/>
    <w:p>
      <w:r>
        <w:rPr/>
        <w:t>采购包1(近红外脑功能成像装置):</w:t>
      </w:r>
    </w:p>
    <w:p>
      <w:r>
        <w:rPr/>
        <w:t>采购包预算金额：1,600,000.00元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物理治疗、康复及体育治疗仪器设备</w:t>
            </w:r>
          </w:p>
        </w:tc>
        <w:tc>
          <w:tcPr>
            <w:tcW w:type="dxa" w:w="2136"/>
          </w:tcPr>
          <w:p>
            <w:r>
              <w:rPr/>
              <w:t>近红外脑功能成像装置</w:t>
            </w:r>
          </w:p>
        </w:tc>
        <w:tc>
          <w:tcPr>
            <w:tcW w:type="dxa" w:w="1187"/>
          </w:tcPr>
          <w:p>
            <w:r>
              <w:rPr/>
              <w:t>1.0000(台)</w:t>
            </w:r>
          </w:p>
        </w:tc>
        <w:tc>
          <w:tcPr>
            <w:tcW w:type="dxa" w:w="1187"/>
          </w:tcPr>
          <w:p>
            <w:r>
              <w:rPr/>
              <w:t>详见第二章</w:t>
            </w:r>
          </w:p>
        </w:tc>
        <w:tc>
          <w:tcPr>
            <w:tcW w:type="dxa" w:w="1187"/>
          </w:tcPr>
          <w:p>
            <w:r>
              <w:rPr/>
              <w:t>否</w:t>
            </w:r>
          </w:p>
        </w:tc>
      </w:tr>
    </w:tbl>
    <w:p/>
    <w:p>
      <w:r>
        <w:rPr/>
        <w:t>本采购包不接受联合体响应</w:t>
      </w:r>
    </w:p>
    <w:p/>
    <w:p>
      <w:r>
        <w:rPr/>
        <w:t>合同履行期限：自合同生效之日起至合同全部权利义务履行完毕之日止。</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3）具有良好的商业信誉和健全的财务会计制度：供应商必须具有良好的商业信誉和健全的财务会计制度（提供2020或2021年度财务状况报告或基本开户行出具的资信证明）。</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采购包1（近红外脑功能成像装置）：</w:t>
      </w:r>
      <w:r>
        <w:rPr/>
        <w:t>本项目不属于专门面向中小企业采购项目。</w:t>
      </w:r>
    </w:p>
    <w:p/>
    <w:p>
      <w:r>
        <w:rPr>
          <w:b/>
          <w:sz w:val="24"/>
        </w:rPr>
        <w:t>3.本项目特定的资格要求：</w:t>
      </w:r>
    </w:p>
    <w:p>
      <w:pPr>
        <w:ind w:firstLine="480"/>
      </w:pPr>
    </w:p>
    <w:p/>
    <w:p>
      <w:r>
        <w:rPr/>
        <w:t>采购包1（近红外脑功能成像装置）：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3)供应商在近三年内（自响应截止时间之日起往前推三年）没有被政府采购监督管理部门禁止参加政府采购活动。</w:t>
      </w:r>
    </w:p>
    <w:p/>
    <w:p>
      <w:r>
        <w:rPr/>
        <w:t>4)所投产品属医疗器械管理的产品，须具有医疗器械注册证或第一类医疗器械备案凭证（含备案信息表）；</w:t>
      </w:r>
    </w:p>
    <w:p/>
    <w:p>
      <w:r>
        <w:rPr/>
        <w:t>5)供应商须具有涵盖所投产品范围的《医疗器械生产许可证》或《医疗器械经营许可证》或《医疗器械经营备案凭证》；</w:t>
      </w:r>
    </w:p>
    <w:p/>
    <w:p>
      <w:r>
        <w:rPr/>
        <w:t>6)本项目不允许进口产品参与报价。</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佛山市南海区妇幼保健院</w:t>
      </w:r>
    </w:p>
    <w:p>
      <w:pPr>
        <w:ind w:firstLine="480"/>
      </w:pPr>
      <w:r>
        <w:rPr/>
        <w:t>地址：</w:t>
      </w:r>
      <w:r>
        <w:rPr/>
        <w:t>佛山市南海区桂平西路6号</w:t>
      </w:r>
    </w:p>
    <w:p>
      <w:pPr>
        <w:ind w:firstLine="480"/>
      </w:pPr>
      <w:r>
        <w:rPr/>
        <w:t>联系方式：</w:t>
      </w:r>
      <w:r>
        <w:rPr/>
        <w:t>0757-86238162</w:t>
      </w:r>
    </w:p>
    <w:p>
      <w:r>
        <w:rPr>
          <w:b/>
          <w:sz w:val="24"/>
        </w:rPr>
        <w:t>2.采购代理机构信息</w:t>
      </w:r>
    </w:p>
    <w:p>
      <w:pPr>
        <w:ind w:firstLine="480"/>
      </w:pPr>
      <w:r>
        <w:rPr/>
        <w:t>名称：</w:t>
      </w:r>
      <w:r>
        <w:rPr/>
        <w:t>广东海虹招标代理有限公司</w:t>
      </w:r>
    </w:p>
    <w:p>
      <w:pPr>
        <w:ind w:firstLine="480"/>
      </w:pPr>
      <w:r>
        <w:rPr/>
        <w:t>地址：</w:t>
      </w:r>
      <w:r>
        <w:rPr/>
        <w:t>广东省佛山市禅城区华远东路13号发展大厦12楼E号</w:t>
      </w:r>
    </w:p>
    <w:p>
      <w:pPr>
        <w:ind w:firstLine="480"/>
      </w:pPr>
      <w:r>
        <w:rPr/>
        <w:t>联系方式：</w:t>
      </w:r>
      <w:r>
        <w:rPr/>
        <w:t>0757-82285519</w:t>
      </w:r>
    </w:p>
    <w:p>
      <w:r>
        <w:rPr>
          <w:b/>
          <w:sz w:val="24"/>
        </w:rPr>
        <w:t>3.项目联系方式</w:t>
      </w:r>
    </w:p>
    <w:p>
      <w:pPr>
        <w:ind w:firstLine="480"/>
      </w:pPr>
      <w:r>
        <w:rPr/>
        <w:t>项目联系人：</w:t>
      </w:r>
      <w:r>
        <w:rPr/>
        <w:t>李先生</w:t>
      </w:r>
    </w:p>
    <w:p>
      <w:pPr>
        <w:ind w:firstLine="480"/>
      </w:pPr>
      <w:r>
        <w:rPr/>
        <w:t>电话：</w:t>
      </w:r>
      <w:r>
        <w:rPr/>
        <w:t>0757-82285519</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广东海虹招标代理有限公司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4"/>
        </w:rPr>
        <w:t>项目编号：JF2022(NH)WS0075</w:t>
      </w:r>
    </w:p>
    <w:p>
      <w:pPr>
        <w:jc w:val="both"/>
      </w:pPr>
      <w:r>
        <w:rPr>
          <w:sz w:val="24"/>
        </w:rPr>
        <w:t>项目名称：近红外脑功能成像装置</w:t>
      </w:r>
    </w:p>
    <w:p>
      <w:pPr>
        <w:jc w:val="both"/>
      </w:pPr>
      <w:r>
        <w:rPr>
          <w:sz w:val="24"/>
        </w:rPr>
        <w:t>最高限价：￥1530000.00元</w:t>
      </w:r>
    </w:p>
    <w:p>
      <w:pPr>
        <w:jc w:val="both"/>
      </w:pPr>
      <w:r>
        <w:rPr>
          <w:sz w:val="24"/>
        </w:rPr>
        <w:t>采购项目清单：</w:t>
      </w:r>
    </w:p>
    <w:tbl>
      <w:tblPr>
        <w:tblW w:w="0" w:type="auto"/>
        <w:tblBorders>
          <w:top w:val="none" w:color="000000" w:sz="4"/>
          <w:left w:val="none" w:color="000000" w:sz="4"/>
          <w:bottom w:val="none" w:color="000000" w:sz="4"/>
          <w:right w:val="none" w:color="000000" w:sz="4"/>
          <w:insideH w:val="none"/>
          <w:insideV w:val="none"/>
        </w:tblBorders>
      </w:tblPr>
      <w:tblGrid>
        <w:gridCol w:w="1059"/>
        <w:gridCol w:w="3743"/>
        <w:gridCol w:w="932"/>
        <w:gridCol w:w="932"/>
        <w:gridCol w:w="1624"/>
      </w:tblGrid>
      <w:tr>
        <w:tc>
          <w:tcPr>
            <w:tcW w:type="dxa" w:w="1059"/>
            <w:tcBorders>
              <w:top w:val="single" w:color="000000" w:sz="4"/>
              <w:left w:val="single" w:color="000000" w:sz="4"/>
              <w:bottom w:val="single" w:color="000000" w:sz="4"/>
              <w:right w:val="single" w:color="000000" w:sz="4"/>
            </w:tcBorders>
            <w:shd w:fill="C0C0C0"/>
          </w:tcPr>
          <w:p>
            <w:pPr>
              <w:jc w:val="center"/>
            </w:pPr>
            <w:r>
              <w:rPr>
                <w:b/>
                <w:color w:val="000000"/>
                <w:sz w:val="24"/>
              </w:rPr>
              <w:t>序号</w:t>
            </w:r>
          </w:p>
        </w:tc>
        <w:tc>
          <w:tcPr>
            <w:tcW w:type="dxa" w:w="3743"/>
            <w:tcBorders>
              <w:top w:val="single" w:color="000000" w:sz="4"/>
              <w:left w:val="none" w:color="000000" w:sz="4"/>
              <w:bottom w:val="single" w:color="000000" w:sz="4"/>
              <w:right w:val="single" w:color="000000" w:sz="4"/>
            </w:tcBorders>
            <w:shd w:fill="C0C0C0"/>
          </w:tcPr>
          <w:p>
            <w:pPr>
              <w:jc w:val="center"/>
            </w:pPr>
            <w:r>
              <w:rPr>
                <w:b/>
                <w:color w:val="000000"/>
                <w:sz w:val="24"/>
              </w:rPr>
              <w:t>采购内容</w:t>
            </w:r>
          </w:p>
        </w:tc>
        <w:tc>
          <w:tcPr>
            <w:tcW w:type="dxa" w:w="932"/>
            <w:tcBorders>
              <w:top w:val="single" w:color="000000" w:sz="4"/>
              <w:left w:val="none" w:color="000000" w:sz="4"/>
              <w:bottom w:val="single" w:color="000000" w:sz="4"/>
              <w:right w:val="single" w:color="000000" w:sz="4"/>
            </w:tcBorders>
            <w:shd w:fill="C0C0C0"/>
          </w:tcPr>
          <w:p>
            <w:pPr>
              <w:jc w:val="center"/>
            </w:pPr>
            <w:r>
              <w:rPr>
                <w:b/>
                <w:color w:val="000000"/>
                <w:sz w:val="24"/>
              </w:rPr>
              <w:t>单位</w:t>
            </w:r>
          </w:p>
        </w:tc>
        <w:tc>
          <w:tcPr>
            <w:tcW w:type="dxa" w:w="932"/>
            <w:tcBorders>
              <w:top w:val="single" w:color="000000" w:sz="4"/>
              <w:left w:val="none" w:color="000000" w:sz="4"/>
              <w:bottom w:val="single" w:color="000000" w:sz="4"/>
              <w:right w:val="single" w:color="000000" w:sz="4"/>
            </w:tcBorders>
            <w:shd w:fill="C0C0C0"/>
          </w:tcPr>
          <w:p>
            <w:pPr>
              <w:jc w:val="center"/>
            </w:pPr>
            <w:r>
              <w:rPr>
                <w:b/>
                <w:color w:val="000000"/>
                <w:sz w:val="24"/>
              </w:rPr>
              <w:t>数量</w:t>
            </w:r>
          </w:p>
        </w:tc>
        <w:tc>
          <w:tcPr>
            <w:tcW w:type="dxa" w:w="1624"/>
            <w:tcBorders>
              <w:top w:val="single" w:color="000000" w:sz="4"/>
              <w:left w:val="none" w:color="000000" w:sz="4"/>
              <w:bottom w:val="single" w:color="000000" w:sz="4"/>
              <w:right w:val="single" w:color="000000" w:sz="4"/>
            </w:tcBorders>
            <w:shd w:fill="C0C0C0"/>
          </w:tcPr>
          <w:p>
            <w:pPr>
              <w:jc w:val="center"/>
            </w:pPr>
            <w:r>
              <w:rPr>
                <w:b/>
                <w:color w:val="000000"/>
                <w:sz w:val="24"/>
              </w:rPr>
              <w:t>是否核心产品</w:t>
            </w:r>
          </w:p>
        </w:tc>
      </w:tr>
      <w:tr>
        <w:tc>
          <w:tcPr>
            <w:tcW w:type="dxa" w:w="1059"/>
            <w:tcBorders>
              <w:top w:val="none" w:color="000000" w:sz="4"/>
              <w:left w:val="single" w:color="000000" w:sz="4"/>
              <w:bottom w:val="single" w:color="000000" w:sz="4"/>
              <w:right w:val="single" w:color="000000" w:sz="4"/>
            </w:tcBorders>
          </w:tcPr>
          <w:p>
            <w:pPr>
              <w:jc w:val="center"/>
            </w:pPr>
            <w:r>
              <w:rPr>
                <w:sz w:val="24"/>
              </w:rPr>
              <w:t>1</w:t>
            </w:r>
          </w:p>
        </w:tc>
        <w:tc>
          <w:tcPr>
            <w:tcW w:type="dxa" w:w="3743"/>
            <w:tcBorders>
              <w:top w:val="none" w:color="000000" w:sz="4"/>
              <w:left w:val="none" w:color="000000" w:sz="4"/>
              <w:bottom w:val="single" w:color="000000" w:sz="4"/>
              <w:right w:val="single" w:color="000000" w:sz="4"/>
            </w:tcBorders>
          </w:tcPr>
          <w:p>
            <w:pPr>
              <w:jc w:val="center"/>
            </w:pPr>
            <w:r>
              <w:rPr>
                <w:sz w:val="24"/>
              </w:rPr>
              <w:t>近红外脑功能成像装置</w:t>
            </w:r>
          </w:p>
        </w:tc>
        <w:tc>
          <w:tcPr>
            <w:tcW w:type="dxa" w:w="932"/>
            <w:tcBorders>
              <w:top w:val="none" w:color="000000" w:sz="4"/>
              <w:left w:val="none" w:color="000000" w:sz="4"/>
              <w:bottom w:val="single" w:color="000000" w:sz="4"/>
              <w:right w:val="single" w:color="000000" w:sz="4"/>
            </w:tcBorders>
          </w:tcPr>
          <w:p>
            <w:pPr>
              <w:jc w:val="center"/>
            </w:pPr>
            <w:r>
              <w:rPr>
                <w:color w:val="000000"/>
                <w:sz w:val="24"/>
              </w:rPr>
              <w:t>台</w:t>
            </w:r>
          </w:p>
        </w:tc>
        <w:tc>
          <w:tcPr>
            <w:tcW w:type="dxa" w:w="932"/>
            <w:tcBorders>
              <w:top w:val="none" w:color="000000" w:sz="4"/>
              <w:left w:val="none" w:color="000000" w:sz="4"/>
              <w:bottom w:val="single" w:color="000000" w:sz="4"/>
              <w:right w:val="single" w:color="000000" w:sz="4"/>
            </w:tcBorders>
          </w:tcPr>
          <w:p>
            <w:pPr>
              <w:jc w:val="center"/>
            </w:pPr>
            <w:r>
              <w:rPr>
                <w:color w:val="000000"/>
                <w:sz w:val="24"/>
              </w:rPr>
              <w:t>1</w:t>
            </w:r>
          </w:p>
        </w:tc>
        <w:tc>
          <w:tcPr>
            <w:tcW w:type="dxa" w:w="1624"/>
            <w:tcBorders>
              <w:top w:val="none" w:color="000000" w:sz="4"/>
              <w:left w:val="none" w:color="000000" w:sz="4"/>
              <w:bottom w:val="single" w:color="000000" w:sz="4"/>
              <w:right w:val="single" w:color="000000" w:sz="4"/>
            </w:tcBorders>
          </w:tcPr>
          <w:p>
            <w:pPr>
              <w:jc w:val="center"/>
            </w:pPr>
            <w:r>
              <w:rPr>
                <w:color w:val="000000"/>
                <w:sz w:val="24"/>
              </w:rPr>
              <w:t>是</w:t>
            </w:r>
          </w:p>
        </w:tc>
      </w:tr>
    </w:tbl>
    <w:p/>
    <w:p>
      <w:pPr>
        <w:ind w:firstLine="480"/>
      </w:pPr>
    </w:p>
    <w:p/>
    <w:p>
      <w:r>
        <w:rPr/>
        <w:t>采购包1（近红外脑功能成像装置）：</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合同生效后30天内安装调试完毕并交付验收。</w:t>
            </w:r>
          </w:p>
        </w:tc>
      </w:tr>
      <w:tr>
        <w:tc>
          <w:tcPr>
            <w:tcW w:type="dxa" w:w="4153"/>
          </w:tcPr>
          <w:p>
            <w:r>
              <w:rPr/>
              <w:t>标的提供的地点</w:t>
            </w:r>
          </w:p>
        </w:tc>
        <w:tc>
          <w:tcPr>
            <w:tcW w:type="dxa" w:w="4153"/>
          </w:tcPr>
          <w:p>
            <w:pPr>
              <w:jc w:val="left"/>
            </w:pPr>
          </w:p>
          <w:p>
            <w:r>
              <w:rPr/>
              <w:t>★采购人（用户）所在地，地址为佛山市南海区妇幼保健院（院方指定地点）。</w:t>
            </w:r>
          </w:p>
        </w:tc>
      </w:tr>
      <w:tr>
        <w:tc>
          <w:tcPr>
            <w:tcW w:type="dxa" w:w="4153"/>
          </w:tcPr>
          <w:p>
            <w:r>
              <w:rPr/>
              <w:t>响应有效期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1期：支付比例50%，签订合同后支付合同总价的50%。</w:t>
            </w:r>
          </w:p>
          <w:p/>
          <w:p>
            <w:r>
              <w:rPr/>
              <w:t>2期：支付比例48%，设备安装调试结束，提交全部报告材料，调试完成并验收合格后30天内，支付至合同总价的98%。</w:t>
            </w:r>
          </w:p>
          <w:p/>
          <w:p>
            <w:r>
              <w:rPr/>
              <w:t>3期：支付比例2%，从验收合格之日起，正常使用12个月后30天内，支付合同总价的2%。 注：成交供应商凭以下有效文件与采购人结算：①合同；②成交供应商开具的正式发票；③验收调试报告；④成交通知书。</w:t>
            </w:r>
          </w:p>
        </w:tc>
      </w:tr>
      <w:tr>
        <w:tc>
          <w:tcPr>
            <w:tcW w:type="dxa" w:w="4153"/>
          </w:tcPr>
          <w:p>
            <w:r>
              <w:rPr/>
              <w:t>验收要求</w:t>
            </w:r>
          </w:p>
        </w:tc>
        <w:tc>
          <w:tcPr>
            <w:tcW w:type="dxa" w:w="4153"/>
          </w:tcPr>
          <w:p>
            <w:pPr>
              <w:jc w:val="left"/>
            </w:pPr>
          </w:p>
          <w:p/>
          <w:p/>
          <w:p>
            <w:r>
              <w:rPr/>
              <w:t>1期：（1）交付验收：在设备安装调试完毕、工程初步验收合格后10个工作日内，成交供应商以采购人的名义作为终端客户，负责办理所有产品设备（包括保修卡）的一切保修注册备案手续，成交供应商/厂家要保证在医院现有的场地、配置等条件下，安装调试至医院在实际工作中正常使用。然后由双方或法定专业质检部门共同验收并出具验收确认书，验收交付前的保管安全责任由成交供应商负责，采购人为此可无偿提供必要的临时仓储场所。 如果成交货物属于《计量法》规定的强检计量器具的或属于压力容器的，应在验收交付前提交当地法定专业检定部门出具的检定合格证书，检定费用由成交供应商负责。 （2）项目验收依次序对照执行标准为：①符合中华人民共和国国家和履约地相关安全质量标准、行业技术规范标准、环保节能标准；②符合采购文件和响应承诺中各方共同认可的合理最佳配置、参数规格及各项要求；③符合产品来源国官方颁布的最新标准；④双方约定的其他验收标准。</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报价要求:1.1.报价方案是唯一确定且不高于本项目预算金额和最高限价，本项目最高限价：￥1530000.00元；1.2.报价方式为广东省佛山市目的地交付验收价，均涵盖报价要求之一切费用。报价中必须包含设备及零配件的购置和安装、运输、保险、装卸、培训辅导、质保期售后服务、全额含税发票、雇员费用、合同实施过程中的应预见或不可预见费用等。</w:t>
            </w:r>
          </w:p>
          <w:p/>
          <w:p>
            <w:r>
              <w:rPr/>
              <w:t>▲经销授权证明:供应商须为所参与报价货物的制造商或者为有销售授权的代理经销商。代理经销商须在响应文件中提供有效的各级销售授权书和供应商上一级国内授权方的营业执照及医疗器械生产（或经营）企业许可证或备案凭证；供应商上一级国内授权方须具有所授权货物的生产（或经营）范围。</w:t>
            </w:r>
          </w:p>
          <w:p/>
          <w:p>
            <w:r>
              <w:rPr/>
              <w:t>质量保证期（质保期）:验收交付之日起5年。如设备因自身故障致停用时间累计超过20天时，则质保期在状态恢复正常时重新计算或对故障设备予以重新更换。质保期满后，对所供应的货物设备可提供终身维护保养。</w:t>
            </w:r>
          </w:p>
          <w:p/>
          <w:p>
            <w:r>
              <w:rPr/>
              <w:t>售后服务要求1:成交供应商应设有稳定可靠的售后服务机构或同类合作机构。</w:t>
            </w:r>
          </w:p>
          <w:p/>
          <w:p>
            <w:r>
              <w:rPr/>
              <w:t>售后服务要求2:成交供应商提供常设7天×24小时热线服务和长期的免费技术支持。对采购人的售后服务通知，成交供应商接报后8小时内响应，12小时内到达现场，48小时内处理完毕。如48小时内未处理完毕，成交供应商提供相同型号的备用设备予采购人临时使用或采取应急措施解决，不得影响采购人的正常工作业务。</w:t>
            </w:r>
          </w:p>
          <w:p/>
          <w:p>
            <w:r>
              <w:rPr/>
              <w:t>售后服务要求3:质保期内，每季度对设备免费提供定期保养维护，出具保养维护记录，保养维护内容包括但不限于：机器清洁，性能测试及校准，必要的机械或电气检查，以及非紧急性质的补救性维修。</w:t>
            </w:r>
          </w:p>
          <w:p/>
          <w:p>
            <w:r>
              <w:rPr/>
              <w:t>售后服务要求4:提供完整的厂家维修手册、维修软件、开放维修密码；提供代理商及厂家售后服务机构联络方式；提供完整安装软件，用于日后系统重装；提供设备的运行、安装、使用环境要求；提供使用人员现场技术培训，保证使用人员正常操作设备的各种功能。</w:t>
            </w:r>
          </w:p>
          <w:p/>
          <w:p>
            <w:r>
              <w:rPr/>
              <w:t>售后服务要求5:设备安装调试时，成交供应商应向采购人提供设备的检验报告（或相关合格证书）、全套使用说明书及操作手册；外文资料均需有中文译本。</w:t>
            </w:r>
          </w:p>
          <w:p/>
          <w:p>
            <w:r>
              <w:rPr/>
              <w:t>售后服务要求6:软件免费升级。</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r>
              <w:rPr/>
              <w:t>△</w:t>
            </w:r>
          </w:p>
        </w:tc>
        <w:tc>
          <w:tcPr>
            <w:tcW w:type="dxa" w:w="1923"/>
          </w:tcPr>
          <w:p>
            <w:r>
              <w:rPr/>
              <w:t>物理治疗、康复及体育治疗仪器设备</w:t>
            </w:r>
          </w:p>
        </w:tc>
        <w:tc>
          <w:tcPr>
            <w:tcW w:type="dxa" w:w="1923"/>
          </w:tcPr>
          <w:p>
            <w:r>
              <w:rPr/>
              <w:t>近红外脑功能成像装置</w:t>
            </w:r>
          </w:p>
        </w:tc>
        <w:tc>
          <w:tcPr>
            <w:tcW w:type="dxa" w:w="385"/>
          </w:tcPr>
          <w:p>
            <w:r>
              <w:rPr/>
              <w:t>台</w:t>
            </w:r>
          </w:p>
        </w:tc>
        <w:tc>
          <w:tcPr>
            <w:tcW w:type="dxa" w:w="769"/>
          </w:tcPr>
          <w:p>
            <w:pPr>
              <w:jc w:val="right"/>
            </w:pPr>
            <w:r>
              <w:rPr/>
              <w:t>1.0000</w:t>
            </w:r>
          </w:p>
        </w:tc>
        <w:tc>
          <w:tcPr>
            <w:tcW w:type="dxa" w:w="769"/>
          </w:tcPr>
          <w:p>
            <w:pPr>
              <w:jc w:val="right"/>
            </w:pPr>
            <w:r>
              <w:rPr/>
              <w:t>1,600,000.00</w:t>
            </w:r>
          </w:p>
        </w:tc>
        <w:tc>
          <w:tcPr>
            <w:tcW w:type="dxa" w:w="769"/>
          </w:tcPr>
          <w:p>
            <w:pPr>
              <w:jc w:val="right"/>
            </w:pPr>
            <w:r>
              <w:rPr/>
              <w:t>1,600,000.00</w:t>
            </w:r>
          </w:p>
        </w:tc>
        <w:tc>
          <w:tcPr>
            <w:tcW w:type="dxa" w:w="769"/>
          </w:tcPr>
          <w:p>
            <w:r>
              <w:rPr/>
              <w:t>工业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近红外脑功能成像装置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1. 功能要求：设备采用近红外光照射生理机体表面，通过光吸收量变化，对大脑皮质表面区域血液中的氧合血红蛋白、脱氧血红蛋白的浓度变化进行多点测量，可获得血液量变化的分布、脑的代谢以及循环状态的图谱图像，同时该图谱图像可与MRI图像融合，通过动态图像显示脑活化状态数据；</w:t>
            </w:r>
          </w:p>
        </w:tc>
      </w:tr>
      <w:tr>
        <w:tc>
          <w:tcPr>
            <w:tcW w:type="dxa" w:w="2076"/>
          </w:tcPr>
          <w:p/>
        </w:tc>
        <w:tc>
          <w:tcPr>
            <w:tcW w:type="dxa" w:w="415"/>
          </w:tcPr>
          <w:p>
            <w:r>
              <w:rPr/>
              <w:t>2</w:t>
            </w:r>
          </w:p>
        </w:tc>
        <w:tc>
          <w:tcPr>
            <w:tcW w:type="dxa" w:w="5814"/>
          </w:tcPr>
          <w:p>
            <w:r>
              <w:rPr/>
              <w:t>2. 主机功耗低，节能环保，噪声小，对患者无干扰；</w:t>
            </w:r>
          </w:p>
        </w:tc>
      </w:tr>
      <w:tr>
        <w:tc>
          <w:tcPr>
            <w:tcW w:type="dxa" w:w="2076"/>
          </w:tcPr>
          <w:p>
            <w:r>
              <w:rPr/>
              <w:t>▲</w:t>
            </w:r>
          </w:p>
        </w:tc>
        <w:tc>
          <w:tcPr>
            <w:tcW w:type="dxa" w:w="415"/>
          </w:tcPr>
          <w:p>
            <w:r>
              <w:rPr/>
              <w:t>3</w:t>
            </w:r>
          </w:p>
        </w:tc>
        <w:tc>
          <w:tcPr>
            <w:tcW w:type="dxa" w:w="5814"/>
          </w:tcPr>
          <w:p>
            <w:r>
              <w:rPr>
                <w:sz w:val="24"/>
              </w:rPr>
              <w:t>▲</w:t>
            </w:r>
            <w:r>
              <w:rPr/>
              <w:t>3. 发射探头：≥10发射探头（单主机，非级联）（需提供医疗器械检验机构出具的、并在药监局备案的技术要求或检验报告的封面页及对应页）；</w:t>
            </w:r>
          </w:p>
        </w:tc>
      </w:tr>
      <w:tr>
        <w:tc>
          <w:tcPr>
            <w:tcW w:type="dxa" w:w="2076"/>
          </w:tcPr>
          <w:p>
            <w:r>
              <w:rPr/>
              <w:t>▲</w:t>
            </w:r>
          </w:p>
        </w:tc>
        <w:tc>
          <w:tcPr>
            <w:tcW w:type="dxa" w:w="415"/>
          </w:tcPr>
          <w:p>
            <w:r>
              <w:rPr/>
              <w:t>4</w:t>
            </w:r>
          </w:p>
        </w:tc>
        <w:tc>
          <w:tcPr>
            <w:tcW w:type="dxa" w:w="5814"/>
          </w:tcPr>
          <w:p>
            <w:r>
              <w:rPr>
                <w:sz w:val="24"/>
              </w:rPr>
              <w:t>▲</w:t>
            </w:r>
            <w:r>
              <w:rPr/>
              <w:t>4. 接收探头：≥10接收探头（单主机，非级联），探测器为雪崩二极管APD，探测微弱光信号更灵敏（需提供医疗器械检验机构出具的，并在药监局备案的技术要求或检验报告的封面页及对应页）；</w:t>
            </w:r>
          </w:p>
        </w:tc>
      </w:tr>
      <w:tr>
        <w:tc>
          <w:tcPr>
            <w:tcW w:type="dxa" w:w="2076"/>
          </w:tcPr>
          <w:p>
            <w:r>
              <w:rPr/>
              <w:t>▲</w:t>
            </w:r>
          </w:p>
        </w:tc>
        <w:tc>
          <w:tcPr>
            <w:tcW w:type="dxa" w:w="415"/>
          </w:tcPr>
          <w:p>
            <w:r>
              <w:rPr/>
              <w:t>5</w:t>
            </w:r>
          </w:p>
        </w:tc>
        <w:tc>
          <w:tcPr>
            <w:tcW w:type="dxa" w:w="5814"/>
          </w:tcPr>
          <w:p>
            <w:r>
              <w:rPr>
                <w:sz w:val="24"/>
              </w:rPr>
              <w:t>▲</w:t>
            </w:r>
            <w:r>
              <w:rPr/>
              <w:t>5. 通道数：≥35有效探测通道（非断层），支持多脑区同步检测（需提供医疗器械检验机构出具的，并在药监局备案的技术要求或检验报告的封面页及对应页）；</w:t>
            </w:r>
          </w:p>
        </w:tc>
      </w:tr>
      <w:tr>
        <w:tc>
          <w:tcPr>
            <w:tcW w:type="dxa" w:w="2076"/>
          </w:tcPr>
          <w:p/>
        </w:tc>
        <w:tc>
          <w:tcPr>
            <w:tcW w:type="dxa" w:w="415"/>
          </w:tcPr>
          <w:p>
            <w:r>
              <w:rPr/>
              <w:t>6</w:t>
            </w:r>
          </w:p>
        </w:tc>
        <w:tc>
          <w:tcPr>
            <w:tcW w:type="dxa" w:w="5814"/>
          </w:tcPr>
          <w:p>
            <w:r>
              <w:rPr/>
              <w:t>6. 测量时间分辨率：全通道测量时不低于18Hz，实时捕捉血氧响应信号；</w:t>
            </w:r>
          </w:p>
        </w:tc>
      </w:tr>
      <w:tr>
        <w:tc>
          <w:tcPr>
            <w:tcW w:type="dxa" w:w="2076"/>
          </w:tcPr>
          <w:p>
            <w:r>
              <w:rPr/>
              <w:t>▲</w:t>
            </w:r>
          </w:p>
        </w:tc>
        <w:tc>
          <w:tcPr>
            <w:tcW w:type="dxa" w:w="415"/>
          </w:tcPr>
          <w:p>
            <w:r>
              <w:rPr/>
              <w:t>7</w:t>
            </w:r>
          </w:p>
        </w:tc>
        <w:tc>
          <w:tcPr>
            <w:tcW w:type="dxa" w:w="5814"/>
          </w:tcPr>
          <w:p>
            <w:r>
              <w:rPr>
                <w:sz w:val="24"/>
              </w:rPr>
              <w:t>▲</w:t>
            </w:r>
            <w:r>
              <w:rPr/>
              <w:t>7. 光源波长：双波长或三波长，能提供波长700nm～800nm的超短波，距离血红蛋白等位点波长远，能避免700nm以下组织强光吸收，信噪比高，准确度高；</w:t>
            </w:r>
          </w:p>
        </w:tc>
      </w:tr>
      <w:tr>
        <w:tc>
          <w:tcPr>
            <w:tcW w:type="dxa" w:w="2076"/>
          </w:tcPr>
          <w:p/>
        </w:tc>
        <w:tc>
          <w:tcPr>
            <w:tcW w:type="dxa" w:w="415"/>
          </w:tcPr>
          <w:p>
            <w:r>
              <w:rPr/>
              <w:t>8</w:t>
            </w:r>
          </w:p>
        </w:tc>
        <w:tc>
          <w:tcPr>
            <w:tcW w:type="dxa" w:w="5814"/>
          </w:tcPr>
          <w:p>
            <w:r>
              <w:rPr/>
              <w:t>8. 发射探头光功率：单波长≥25mW，高亮度、安全的近红外光照明，有效地克服生物组织的光吸收衰减；</w:t>
            </w:r>
          </w:p>
        </w:tc>
      </w:tr>
      <w:tr>
        <w:tc>
          <w:tcPr>
            <w:tcW w:type="dxa" w:w="2076"/>
          </w:tcPr>
          <w:p/>
        </w:tc>
        <w:tc>
          <w:tcPr>
            <w:tcW w:type="dxa" w:w="415"/>
          </w:tcPr>
          <w:p>
            <w:r>
              <w:rPr/>
              <w:t>9</w:t>
            </w:r>
          </w:p>
        </w:tc>
        <w:tc>
          <w:tcPr>
            <w:tcW w:type="dxa" w:w="5814"/>
          </w:tcPr>
          <w:p>
            <w:r>
              <w:rPr/>
              <w:t>9. 激光安全等级达Class 1M或以上；</w:t>
            </w:r>
          </w:p>
        </w:tc>
      </w:tr>
      <w:tr>
        <w:tc>
          <w:tcPr>
            <w:tcW w:type="dxa" w:w="2076"/>
          </w:tcPr>
          <w:p>
            <w:r>
              <w:rPr/>
              <w:t>▲</w:t>
            </w:r>
          </w:p>
        </w:tc>
        <w:tc>
          <w:tcPr>
            <w:tcW w:type="dxa" w:w="415"/>
          </w:tcPr>
          <w:p>
            <w:r>
              <w:rPr/>
              <w:t>10</w:t>
            </w:r>
          </w:p>
        </w:tc>
        <w:tc>
          <w:tcPr>
            <w:tcW w:type="dxa" w:w="5814"/>
          </w:tcPr>
          <w:p>
            <w:r>
              <w:rPr>
                <w:sz w:val="24"/>
              </w:rPr>
              <w:t>▲</w:t>
            </w:r>
            <w:r>
              <w:rPr/>
              <w:t>10. 支持分时采集及穿戴式采集：分时采集时光源可不同时点亮，能消除不同探测通道之间的相互串扰和混淆；穿戴式采集，可背包穿戴式采集自然活动状态下的脑功能活动信号，抗运动干扰能力强（需提供所投设备支持可穿戴式采集的证明文件）；</w:t>
            </w:r>
          </w:p>
        </w:tc>
      </w:tr>
      <w:tr>
        <w:tc>
          <w:tcPr>
            <w:tcW w:type="dxa" w:w="2076"/>
          </w:tcPr>
          <w:p>
            <w:r>
              <w:rPr/>
              <w:t>▲</w:t>
            </w:r>
          </w:p>
        </w:tc>
        <w:tc>
          <w:tcPr>
            <w:tcW w:type="dxa" w:w="415"/>
          </w:tcPr>
          <w:p>
            <w:r>
              <w:rPr/>
              <w:t>11</w:t>
            </w:r>
          </w:p>
        </w:tc>
        <w:tc>
          <w:tcPr>
            <w:tcW w:type="dxa" w:w="5814"/>
          </w:tcPr>
          <w:p>
            <w:r>
              <w:rPr>
                <w:sz w:val="24"/>
              </w:rPr>
              <w:t>▲</w:t>
            </w:r>
            <w:r>
              <w:rPr/>
              <w:t>11. 支持无线功能：可与电脑无线连接、最大工作距离不低于7米（响应文件中需提供医疗器械检验机构出具的技术要求或检验报告的封面页及对应页）；</w:t>
            </w:r>
          </w:p>
        </w:tc>
      </w:tr>
      <w:tr>
        <w:tc>
          <w:tcPr>
            <w:tcW w:type="dxa" w:w="2076"/>
          </w:tcPr>
          <w:p/>
        </w:tc>
        <w:tc>
          <w:tcPr>
            <w:tcW w:type="dxa" w:w="415"/>
          </w:tcPr>
          <w:p>
            <w:r>
              <w:rPr/>
              <w:t>12</w:t>
            </w:r>
          </w:p>
        </w:tc>
        <w:tc>
          <w:tcPr>
            <w:tcW w:type="dxa" w:w="5814"/>
          </w:tcPr>
          <w:p>
            <w:r>
              <w:rPr/>
              <w:t>12. ≥2个布头帽，支持全头检测，尺寸可选，适用于不同头围人群；可自由配置探头于感兴趣的大脑区域；≥3个硅胶头帽，规格尺寸可选，适用于不同头围人群；</w:t>
            </w:r>
          </w:p>
        </w:tc>
      </w:tr>
      <w:tr>
        <w:tc>
          <w:tcPr>
            <w:tcW w:type="dxa" w:w="2076"/>
          </w:tcPr>
          <w:p>
            <w:r>
              <w:rPr/>
              <w:t>▲</w:t>
            </w:r>
          </w:p>
        </w:tc>
        <w:tc>
          <w:tcPr>
            <w:tcW w:type="dxa" w:w="415"/>
          </w:tcPr>
          <w:p>
            <w:r>
              <w:rPr/>
              <w:t>13</w:t>
            </w:r>
          </w:p>
        </w:tc>
        <w:tc>
          <w:tcPr>
            <w:tcW w:type="dxa" w:w="5814"/>
          </w:tcPr>
          <w:p>
            <w:r>
              <w:rPr>
                <w:sz w:val="24"/>
              </w:rPr>
              <w:t>▲</w:t>
            </w:r>
            <w:r>
              <w:rPr/>
              <w:t>13. 生物安全相容性：探头和头帽与人体头部直接接触。</w:t>
            </w:r>
          </w:p>
        </w:tc>
      </w:tr>
      <w:tr>
        <w:tc>
          <w:tcPr>
            <w:tcW w:type="dxa" w:w="2076"/>
          </w:tcPr>
          <w:p>
            <w:r>
              <w:rPr/>
              <w:t>▲</w:t>
            </w:r>
          </w:p>
        </w:tc>
        <w:tc>
          <w:tcPr>
            <w:tcW w:type="dxa" w:w="415"/>
          </w:tcPr>
          <w:p>
            <w:r>
              <w:rPr/>
              <w:t>14</w:t>
            </w:r>
          </w:p>
        </w:tc>
        <w:tc>
          <w:tcPr>
            <w:tcW w:type="dxa" w:w="5814"/>
          </w:tcPr>
          <w:p>
            <w:r>
              <w:rPr>
                <w:sz w:val="24"/>
              </w:rPr>
              <w:t>▲</w:t>
            </w:r>
            <w:r>
              <w:rPr/>
              <w:t>14. 支持与脑电EEG联用，实现多模态脑功能信号检测。</w:t>
            </w:r>
          </w:p>
        </w:tc>
      </w:tr>
      <w:tr>
        <w:tc>
          <w:tcPr>
            <w:tcW w:type="dxa" w:w="2076"/>
          </w:tcPr>
          <w:p/>
        </w:tc>
        <w:tc>
          <w:tcPr>
            <w:tcW w:type="dxa" w:w="415"/>
          </w:tcPr>
          <w:p>
            <w:r>
              <w:rPr/>
              <w:t>15</w:t>
            </w:r>
          </w:p>
        </w:tc>
        <w:tc>
          <w:tcPr>
            <w:tcW w:type="dxa" w:w="5814"/>
          </w:tcPr>
          <w:p>
            <w:r>
              <w:rPr/>
              <w:t>15. 支持与tDCS、TMS同位联用，可提供与TMS同位置、同时工作专用薄光纤探头；</w:t>
            </w:r>
          </w:p>
        </w:tc>
      </w:tr>
      <w:tr>
        <w:tc>
          <w:tcPr>
            <w:tcW w:type="dxa" w:w="2076"/>
          </w:tcPr>
          <w:p/>
        </w:tc>
        <w:tc>
          <w:tcPr>
            <w:tcW w:type="dxa" w:w="415"/>
          </w:tcPr>
          <w:p>
            <w:r>
              <w:rPr/>
              <w:t>16</w:t>
            </w:r>
          </w:p>
        </w:tc>
        <w:tc>
          <w:tcPr>
            <w:tcW w:type="dxa" w:w="5814"/>
          </w:tcPr>
          <w:p>
            <w:r>
              <w:rPr/>
              <w:t>16. 探头防水性能达到IPX7或以上；</w:t>
            </w:r>
          </w:p>
        </w:tc>
      </w:tr>
      <w:tr>
        <w:tc>
          <w:tcPr>
            <w:tcW w:type="dxa" w:w="2076"/>
          </w:tcPr>
          <w:p>
            <w:r>
              <w:rPr/>
              <w:t>▲</w:t>
            </w:r>
          </w:p>
        </w:tc>
        <w:tc>
          <w:tcPr>
            <w:tcW w:type="dxa" w:w="415"/>
          </w:tcPr>
          <w:p>
            <w:r>
              <w:rPr/>
              <w:t>17</w:t>
            </w:r>
          </w:p>
        </w:tc>
        <w:tc>
          <w:tcPr>
            <w:tcW w:type="dxa" w:w="5814"/>
          </w:tcPr>
          <w:p>
            <w:r>
              <w:rPr>
                <w:sz w:val="24"/>
              </w:rPr>
              <w:t>▲</w:t>
            </w:r>
            <w:r>
              <w:rPr/>
              <w:t>17. 与整机同品牌采集软件：获得计算机软件著作权登记证书；支持层叠曲线、散布曲线、拓扑二维图像和拓扑三维MRI图像融合显示等多种信号显示方式，显示方式直观灵活；（响应文件中需提供软件著作权证书）；</w:t>
            </w:r>
          </w:p>
        </w:tc>
      </w:tr>
      <w:tr>
        <w:tc>
          <w:tcPr>
            <w:tcW w:type="dxa" w:w="2076"/>
          </w:tcPr>
          <w:p/>
        </w:tc>
        <w:tc>
          <w:tcPr>
            <w:tcW w:type="dxa" w:w="415"/>
          </w:tcPr>
          <w:p>
            <w:r>
              <w:rPr/>
              <w:t>18</w:t>
            </w:r>
          </w:p>
        </w:tc>
        <w:tc>
          <w:tcPr>
            <w:tcW w:type="dxa" w:w="5814"/>
          </w:tcPr>
          <w:p>
            <w:r>
              <w:rPr/>
              <w:t>18. 支持自定义任务课题设计，可自定义刺激素材，包括视频、音频、图片、文字等，支持自定义时间长度和播放时序；</w:t>
            </w:r>
          </w:p>
        </w:tc>
      </w:tr>
      <w:tr>
        <w:tc>
          <w:tcPr>
            <w:tcW w:type="dxa" w:w="2076"/>
          </w:tcPr>
          <w:p/>
        </w:tc>
        <w:tc>
          <w:tcPr>
            <w:tcW w:type="dxa" w:w="415"/>
          </w:tcPr>
          <w:p>
            <w:r>
              <w:rPr/>
              <w:t>19</w:t>
            </w:r>
          </w:p>
        </w:tc>
        <w:tc>
          <w:tcPr>
            <w:tcW w:type="dxa" w:w="5814"/>
          </w:tcPr>
          <w:p>
            <w:r>
              <w:rPr/>
              <w:t>19. 具备临床科研研究模板，并针对模板提供自动分析和参数提取；</w:t>
            </w:r>
          </w:p>
        </w:tc>
      </w:tr>
      <w:tr>
        <w:tc>
          <w:tcPr>
            <w:tcW w:type="dxa" w:w="2076"/>
          </w:tcPr>
          <w:p/>
        </w:tc>
        <w:tc>
          <w:tcPr>
            <w:tcW w:type="dxa" w:w="415"/>
          </w:tcPr>
          <w:p>
            <w:r>
              <w:rPr/>
              <w:t>20</w:t>
            </w:r>
          </w:p>
        </w:tc>
        <w:tc>
          <w:tcPr>
            <w:tcW w:type="dxa" w:w="5814"/>
          </w:tcPr>
          <w:p>
            <w:r>
              <w:rPr/>
              <w:t>20. 具备临床检查模块，可提取积分值、重心值等特征参数；</w:t>
            </w:r>
          </w:p>
        </w:tc>
      </w:tr>
      <w:tr>
        <w:tc>
          <w:tcPr>
            <w:tcW w:type="dxa" w:w="2076"/>
          </w:tcPr>
          <w:p>
            <w:r>
              <w:rPr/>
              <w:t>▲</w:t>
            </w:r>
          </w:p>
        </w:tc>
        <w:tc>
          <w:tcPr>
            <w:tcW w:type="dxa" w:w="415"/>
          </w:tcPr>
          <w:p>
            <w:r>
              <w:rPr/>
              <w:t>21</w:t>
            </w:r>
          </w:p>
        </w:tc>
        <w:tc>
          <w:tcPr>
            <w:tcW w:type="dxa" w:w="5814"/>
          </w:tcPr>
          <w:p>
            <w:r>
              <w:rPr>
                <w:sz w:val="24"/>
              </w:rPr>
              <w:t>▲</w:t>
            </w:r>
            <w:r>
              <w:rPr/>
              <w:t>21. 具备临床检查模块--脑卒中康复评价方案，提供配套肢体任务态检查，可提取脑网络、脑激活特征参数，应用于脑卒中康复患者的康复评估（需提供所投设备支持实现的评估方案有效性的证明文件）；</w:t>
            </w:r>
          </w:p>
        </w:tc>
      </w:tr>
      <w:tr>
        <w:tc>
          <w:tcPr>
            <w:tcW w:type="dxa" w:w="2076"/>
          </w:tcPr>
          <w:p>
            <w:r>
              <w:rPr/>
              <w:t>▲</w:t>
            </w:r>
          </w:p>
        </w:tc>
        <w:tc>
          <w:tcPr>
            <w:tcW w:type="dxa" w:w="415"/>
          </w:tcPr>
          <w:p>
            <w:r>
              <w:rPr/>
              <w:t>22</w:t>
            </w:r>
          </w:p>
        </w:tc>
        <w:tc>
          <w:tcPr>
            <w:tcW w:type="dxa" w:w="5814"/>
          </w:tcPr>
          <w:p>
            <w:r>
              <w:rPr>
                <w:sz w:val="24"/>
              </w:rPr>
              <w:t>▲</w:t>
            </w:r>
            <w:r>
              <w:rPr/>
              <w:t>22. 具备临床检查模块--注意力障碍儿童静息态检查，可提取脑网络指标，应用于注意力障碍儿童的临床检查或评估（需提供所投设备支持实现的检测方案有效性的证明文件）；</w:t>
            </w:r>
          </w:p>
        </w:tc>
      </w:tr>
      <w:tr>
        <w:tc>
          <w:tcPr>
            <w:tcW w:type="dxa" w:w="2076"/>
          </w:tcPr>
          <w:p/>
        </w:tc>
        <w:tc>
          <w:tcPr>
            <w:tcW w:type="dxa" w:w="415"/>
          </w:tcPr>
          <w:p>
            <w:r>
              <w:rPr/>
              <w:t>23</w:t>
            </w:r>
          </w:p>
        </w:tc>
        <w:tc>
          <w:tcPr>
            <w:tcW w:type="dxa" w:w="5814"/>
          </w:tcPr>
          <w:p>
            <w:r>
              <w:rPr/>
              <w:t>23. 具备临床疗效评价功能，支持多次临床检查数据比照分析；</w:t>
            </w:r>
          </w:p>
        </w:tc>
      </w:tr>
      <w:tr>
        <w:tc>
          <w:tcPr>
            <w:tcW w:type="dxa" w:w="2076"/>
          </w:tcPr>
          <w:p/>
        </w:tc>
        <w:tc>
          <w:tcPr>
            <w:tcW w:type="dxa" w:w="415"/>
          </w:tcPr>
          <w:p>
            <w:r>
              <w:rPr/>
              <w:t>24</w:t>
            </w:r>
          </w:p>
        </w:tc>
        <w:tc>
          <w:tcPr>
            <w:tcW w:type="dxa" w:w="5814"/>
          </w:tcPr>
          <w:p>
            <w:r>
              <w:rPr/>
              <w:t>24. 医疗数据管理：支持病人信息录入，以病人信息为基准进行数据管理，可根据病人的姓名、出生年月、测量日期等信息对数据进行检索查看；</w:t>
            </w:r>
          </w:p>
        </w:tc>
      </w:tr>
      <w:tr>
        <w:tc>
          <w:tcPr>
            <w:tcW w:type="dxa" w:w="2076"/>
          </w:tcPr>
          <w:p/>
        </w:tc>
        <w:tc>
          <w:tcPr>
            <w:tcW w:type="dxa" w:w="415"/>
          </w:tcPr>
          <w:p>
            <w:r>
              <w:rPr/>
              <w:t>25</w:t>
            </w:r>
          </w:p>
        </w:tc>
        <w:tc>
          <w:tcPr>
            <w:tcW w:type="dxa" w:w="5814"/>
          </w:tcPr>
          <w:p>
            <w:r>
              <w:rPr/>
              <w:t>25. 为病人提供和出具的临床报告图表：可选取层叠曲线、散布曲线、拓扑二维图、拓扑三维图、特征值图表进入报告，多样化的图表排布方案供选择，为病人提供和出具详细的临床检查报告；</w:t>
            </w:r>
          </w:p>
        </w:tc>
      </w:tr>
      <w:tr>
        <w:tc>
          <w:tcPr>
            <w:tcW w:type="dxa" w:w="2076"/>
          </w:tcPr>
          <w:p/>
        </w:tc>
        <w:tc>
          <w:tcPr>
            <w:tcW w:type="dxa" w:w="415"/>
          </w:tcPr>
          <w:p>
            <w:r>
              <w:rPr/>
              <w:t>26</w:t>
            </w:r>
          </w:p>
        </w:tc>
        <w:tc>
          <w:tcPr>
            <w:tcW w:type="dxa" w:w="5814"/>
          </w:tcPr>
          <w:p>
            <w:r>
              <w:rPr/>
              <w:t>26. 为病人提供和出具的临床报告描述：常用波谱描述和提示语快速选择，方便用户快速编辑；波谱描述和提示语条目用户可自定义增删和编辑；为病人提供和出具的临床检查报告可另存为word、pdf格式文本；支持为病人提供和出具的临床检查报告预览；</w:t>
            </w:r>
          </w:p>
        </w:tc>
      </w:tr>
      <w:tr>
        <w:tc>
          <w:tcPr>
            <w:tcW w:type="dxa" w:w="2076"/>
          </w:tcPr>
          <w:p>
            <w:r>
              <w:rPr/>
              <w:t>▲</w:t>
            </w:r>
          </w:p>
        </w:tc>
        <w:tc>
          <w:tcPr>
            <w:tcW w:type="dxa" w:w="415"/>
          </w:tcPr>
          <w:p>
            <w:r>
              <w:rPr/>
              <w:t>27</w:t>
            </w:r>
          </w:p>
        </w:tc>
        <w:tc>
          <w:tcPr>
            <w:tcW w:type="dxa" w:w="5814"/>
          </w:tcPr>
          <w:p>
            <w:r>
              <w:rPr>
                <w:sz w:val="24"/>
              </w:rPr>
              <w:t>▲</w:t>
            </w:r>
            <w:r>
              <w:rPr/>
              <w:t>27. 与整机同品牌的科学研究分析软件，非第三方开源软件：临床与科研模块分开，兼顾临床模块的简捷性与科研模块的功能丰富和灵活性（响应文件中需提供软件著作权证书）；</w:t>
            </w:r>
          </w:p>
        </w:tc>
      </w:tr>
      <w:tr>
        <w:tc>
          <w:tcPr>
            <w:tcW w:type="dxa" w:w="2076"/>
          </w:tcPr>
          <w:p/>
        </w:tc>
        <w:tc>
          <w:tcPr>
            <w:tcW w:type="dxa" w:w="415"/>
          </w:tcPr>
          <w:p>
            <w:r>
              <w:rPr/>
              <w:t>28</w:t>
            </w:r>
          </w:p>
        </w:tc>
        <w:tc>
          <w:tcPr>
            <w:tcW w:type="dxa" w:w="5814"/>
          </w:tcPr>
          <w:p>
            <w:r>
              <w:rPr/>
              <w:t>28. 科学研究分析软件数据预处理：支持频带滤波（低通、高通、带通）功能，去除无关的生理频段及低频漂移；识别低信噪比通道，支持手动或自动删除通道；支持伪迹移除\校正，可自动/手动识别运动伪迹，支持自动、手动伪迹去除与校正；</w:t>
            </w:r>
          </w:p>
        </w:tc>
      </w:tr>
      <w:tr>
        <w:tc>
          <w:tcPr>
            <w:tcW w:type="dxa" w:w="2076"/>
          </w:tcPr>
          <w:p>
            <w:r>
              <w:rPr/>
              <w:t>▲</w:t>
            </w:r>
          </w:p>
        </w:tc>
        <w:tc>
          <w:tcPr>
            <w:tcW w:type="dxa" w:w="415"/>
          </w:tcPr>
          <w:p>
            <w:r>
              <w:rPr/>
              <w:t>29</w:t>
            </w:r>
          </w:p>
        </w:tc>
        <w:tc>
          <w:tcPr>
            <w:tcW w:type="dxa" w:w="5814"/>
          </w:tcPr>
          <w:p>
            <w:r>
              <w:rPr>
                <w:sz w:val="24"/>
              </w:rPr>
              <w:t>▲</w:t>
            </w:r>
            <w:r>
              <w:rPr/>
              <w:t>29. 科学研究分析软件具备一站式数据分析功能，提供数据预处理、伪迹识别与校正、一般线性模型GLM脑激活计算、脑网络连接计算、统计分析、三维显示等功能；</w:t>
            </w:r>
          </w:p>
        </w:tc>
      </w:tr>
      <w:tr>
        <w:tc>
          <w:tcPr>
            <w:tcW w:type="dxa" w:w="2076"/>
          </w:tcPr>
          <w:p>
            <w:r>
              <w:rPr/>
              <w:t>▲</w:t>
            </w:r>
          </w:p>
        </w:tc>
        <w:tc>
          <w:tcPr>
            <w:tcW w:type="dxa" w:w="415"/>
          </w:tcPr>
          <w:p>
            <w:r>
              <w:rPr/>
              <w:t>30</w:t>
            </w:r>
          </w:p>
        </w:tc>
        <w:tc>
          <w:tcPr>
            <w:tcW w:type="dxa" w:w="5814"/>
          </w:tcPr>
          <w:p>
            <w:r>
              <w:rPr>
                <w:sz w:val="24"/>
              </w:rPr>
              <w:t>▲</w:t>
            </w:r>
            <w:r>
              <w:rPr/>
              <w:t>30.科学研究分析软件支持一般线性模型GLM分析；</w:t>
            </w:r>
          </w:p>
        </w:tc>
      </w:tr>
      <w:tr>
        <w:tc>
          <w:tcPr>
            <w:tcW w:type="dxa" w:w="2076"/>
          </w:tcPr>
          <w:p>
            <w:r>
              <w:rPr/>
              <w:t>▲</w:t>
            </w:r>
          </w:p>
        </w:tc>
        <w:tc>
          <w:tcPr>
            <w:tcW w:type="dxa" w:w="415"/>
          </w:tcPr>
          <w:p>
            <w:r>
              <w:rPr/>
              <w:t>31</w:t>
            </w:r>
          </w:p>
        </w:tc>
        <w:tc>
          <w:tcPr>
            <w:tcW w:type="dxa" w:w="5814"/>
          </w:tcPr>
          <w:p>
            <w:r>
              <w:rPr>
                <w:sz w:val="24"/>
              </w:rPr>
              <w:t>▲</w:t>
            </w:r>
            <w:r>
              <w:rPr/>
              <w:t>31.科学研究分析软件支持脑网络连接计算；</w:t>
            </w:r>
          </w:p>
        </w:tc>
      </w:tr>
      <w:tr>
        <w:tc>
          <w:tcPr>
            <w:tcW w:type="dxa" w:w="2076"/>
          </w:tcPr>
          <w:p/>
        </w:tc>
        <w:tc>
          <w:tcPr>
            <w:tcW w:type="dxa" w:w="415"/>
          </w:tcPr>
          <w:p>
            <w:r>
              <w:rPr/>
              <w:t>32</w:t>
            </w:r>
          </w:p>
        </w:tc>
        <w:tc>
          <w:tcPr>
            <w:tcW w:type="dxa" w:w="5814"/>
          </w:tcPr>
          <w:p>
            <w:r>
              <w:rPr/>
              <w:t>32.支持临床报告打印。</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1.采购代理机构：本项目是指广东海虹招标代理有限公司，负责整个采购活动的组织，依法负责编制和发布磋商文件，对磋商文件拥有最终的解释权，不以任何身份出任磋商小组成员。</w:t>
      </w:r>
    </w:p>
    <w:p>
      <w:pPr>
        <w:ind w:firstLine="480"/>
      </w:pPr>
      <w:r>
        <w:rPr/>
        <w:t>2.采购人：本项目是指</w:t>
      </w:r>
      <w:r>
        <w:rPr/>
        <w:t>佛山市南海区妇幼保健院</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r>
              <w:rPr/>
              <w:t>采购机构代理服务收费标准：参照国家计委颁布的《招标代理服务收费管理暂行办法》（计价格[2002]1980号）收费标准按货物类收取。</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0</w:t>
            </w:r>
            <w:r>
              <w:rPr/>
              <w:t>份。供应商保证该后备步骤。</w:t>
            </w:r>
          </w:p>
          <w:p>
            <w:r>
              <w:rPr/>
              <w:t>（3）纸质响应文件正本</w:t>
            </w:r>
            <w:r>
              <w:rPr/>
              <w:t>0</w:t>
            </w:r>
            <w:r>
              <w:rPr/>
              <w:t>份，纸质响应文件副本</w:t>
            </w:r>
            <w:r>
              <w:rPr/>
              <w:t>0</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p>
            <w:pPr>
              <w:jc w:val="left"/>
            </w:pPr>
          </w:p>
          <w:p>
            <w:r>
              <w:rPr/>
              <w:t>其他，（一）政府采购质押融资：根据《佛山市政务服务数据管理局佛山市财政局关于进一步促进公平竞争优化政府采购营商环境的通知》（佛政数函[2021]54号），参与政府采购的中小微企业可凭借中标(成交)通知书或政府采购合同，利用“省中小融”、“粤信融”、“中征应收账款融资服务平台”等平台向金融机构申请融资，获得无财产抵押贷款。 （二）合同签订时间补充说明，按照佛山市政务服务数据管理局 佛山市财政局关于进一步促进公平竞争优化政府采购营商环境的通知（佛政数函〔2021〕54号），采购人在中标（成交）通知书发出之日起原则上20日内与中标（成交）供应商签订政府采购合同。  （三）根据《佛山市南海区财政局关于印发&lt;佛山市南海区关于进一步深化政府采购改革的意见&gt;的通知》（南财采〔2020〕6号）的有关规定，采购代理机构将在佛山市公共资源交易中心南海分中心“交易信息”网页发布中标（成交）公告的同时一并公示成交供应商的响应文件内容，接受社会公众监督，供应商递交响应文件后视为已作出以下承诺： 1、承诺同意采购人或其委托的代理机构将响应文件中以下信息予以公开，公开内容包括：营业执照、资质证书、项目业绩、检验检测报告、履约验收报告及评价、社保证明、设备发票、职称、各种证件（身份证除外）、货物的规格型号及配置参数等。以下响应文件信息不属于公开范围：法定代表人证明书、响应文件签署授权委托书、项目实施方案、售后服务方案。 2、承诺保证上述应公示的内容的真实性，且确认不涉及任何个人隐私、商业秘密和其他不可公开的内容。  （四）由于系统格式固化无法修改的原因，本表序号6条款“报价要求”的内容及要求应为“各采购包报价不超过最高限价”。</w:t>
            </w:r>
          </w:p>
        </w:tc>
      </w:tr>
      <w:tr>
        <w:tc>
          <w:tcPr>
            <w:tcW w:type="dxa" w:w="1051"/>
          </w:tcPr>
          <w:p>
            <w:pPr>
              <w:jc w:val="center"/>
            </w:pPr>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采购包1：否</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5.5联合体各方均应满足磋商文件规定的资格要求。由同一资质条件的供应商组成的联合体，应当按照资质等级较低的供应商确定联合体资质等级。</w:t>
      </w:r>
    </w:p>
    <w:p>
      <w:pPr>
        <w:ind w:firstLine="480"/>
      </w:pPr>
      <w:r>
        <w:rPr/>
        <w:t>5.6联合体各方应当共同与采购人签订采购合同，就合同约定的事项对采购人承担连带责任。</w:t>
      </w:r>
    </w:p>
    <w:p>
      <w:pPr>
        <w:ind w:firstLine="480"/>
      </w:pPr>
      <w:r>
        <w:rPr/>
        <w:t>5.7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广东海虹招标代理有限公司</w:t>
      </w:r>
      <w:r>
        <w:rPr/>
        <w:t>代收。具体操作要求详见</w:t>
      </w:r>
      <w:r>
        <w:rPr/>
        <w:t>广东海虹招标代理有限公司</w:t>
      </w:r>
      <w:r>
        <w:rPr/>
        <w:t>有关指引，递交事宜请自行咨询</w:t>
      </w:r>
      <w:r>
        <w:rPr/>
        <w:t>广东海虹招标代理有限公司</w:t>
      </w:r>
      <w:r>
        <w:rPr/>
        <w:t>；请各供应商在响应文件递交截止时间前按须知前附表规定的金额递交至</w:t>
      </w:r>
      <w:r>
        <w:rPr/>
        <w:t>广东海虹招标代理有限公司</w:t>
      </w:r>
      <w:r>
        <w:rPr/>
        <w:t>，到账情况以开启时</w:t>
      </w:r>
      <w:r>
        <w:rPr/>
        <w:t>广东海虹招标代理有限公司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李先生</w:t>
      </w:r>
    </w:p>
    <w:p>
      <w:pPr>
        <w:ind w:firstLine="480"/>
      </w:pPr>
      <w:r>
        <w:rPr/>
        <w:t>电话：</w:t>
      </w:r>
      <w:r>
        <w:rPr/>
        <w:t>0757-82285519</w:t>
      </w:r>
    </w:p>
    <w:p>
      <w:pPr>
        <w:ind w:firstLine="480"/>
      </w:pPr>
      <w:r>
        <w:rPr/>
        <w:t>传真：</w:t>
      </w:r>
      <w:r>
        <w:rPr/>
        <w:t>0757-82285519</w:t>
      </w:r>
    </w:p>
    <w:p>
      <w:pPr>
        <w:ind w:firstLine="480"/>
      </w:pPr>
      <w:r>
        <w:rPr/>
        <w:t>邮箱：</w:t>
      </w:r>
      <w:r>
        <w:rPr/>
        <w:t>gdhh2022@126.com</w:t>
      </w:r>
    </w:p>
    <w:p>
      <w:pPr>
        <w:ind w:firstLine="480"/>
      </w:pPr>
      <w:r>
        <w:rPr/>
        <w:t>地址：</w:t>
      </w:r>
      <w:r>
        <w:rPr/>
        <w:t>广东省佛山市禅城区华远东路13号发展大厦12楼E号</w:t>
      </w:r>
    </w:p>
    <w:p>
      <w:pPr>
        <w:ind w:firstLine="480"/>
      </w:pPr>
      <w:r>
        <w:rPr/>
        <w:t>邮编：</w:t>
      </w:r>
      <w:r>
        <w:rPr/>
        <w:t>528000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政府采购监督管理机构名称：佛山市南海区财政局政府采购管理股</w:t>
      </w:r>
    </w:p>
    <w:p>
      <w:r>
        <w:rPr/>
        <w:t>地  址：佛山巿南海区桂城街道南新三路20号南海区财政局6楼</w:t>
      </w:r>
    </w:p>
    <w:p>
      <w:r>
        <w:rPr/>
        <w:t>电  话：0757-86282776</w:t>
      </w:r>
    </w:p>
    <w:p>
      <w:r>
        <w:rPr/>
        <w:t>邮  编：528200</w:t>
      </w:r>
    </w:p>
    <w:p>
      <w:r>
        <w:rPr/>
        <w:t>传  真：-</w:t>
      </w:r>
    </w:p>
    <w:p/>
    <w:p>
      <w:r>
        <w:rPr>
          <w:b/>
          <w:sz w:val="28"/>
        </w:rPr>
        <w:t>八、合同签订和履行</w:t>
      </w:r>
    </w:p>
    <w:p>
      <w:r>
        <w:rPr>
          <w:b/>
          <w:sz w:val="24"/>
        </w:rPr>
        <w:t>1.合同签订</w:t>
      </w:r>
    </w:p>
    <w:p>
      <w:pPr>
        <w:ind w:firstLine="480"/>
      </w:pPr>
      <w:r>
        <w:rPr/>
        <w:t>1.1采购人应当自《成交通知书》发出之日起三十日内（广州市规定自《成交通知书》发出之日起二十日内签订合同），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采购包1(近红外脑功能成像装置)：综合评分法,是指响应文件满足磋商文件全部实质性要求，且按照评审因素的量化指标评审得分最高的投标人为成交候选人的评标方法。（最低报价不是成交的唯一依据。）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广东海虹招标代理有限公司</w:t>
      </w:r>
      <w:r>
        <w:rPr/>
        <w:t>统一对外发布。</w:t>
      </w:r>
    </w:p>
    <w:p>
      <w:pPr>
        <w:ind w:firstLine="480"/>
      </w:pPr>
      <w:r>
        <w:rPr/>
        <w:t>（2）对</w:t>
      </w:r>
      <w:r>
        <w:rPr/>
        <w:t>广东海虹招标代理有限公司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 不同投标人的电子投标文件上传计算机的网卡MAC地址硬件信息相同的（开标现场上传电子投标文件的除外）。</w:t>
      </w:r>
    </w:p>
    <w:p>
      <w:pPr>
        <w:ind w:firstLine="480"/>
      </w:pPr>
      <w:r>
        <w:rPr/>
        <w:t>4.8供应商上传的电子响应文件使用该项目其他响应供应商的数字证书加密的或加盖该项目的其他响应供应商的电子印章的。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采购包1（近红外脑功能成像装置）：</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投标（响应）产品均由小微企业生产且使用该小微企业商号或者注册商标</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核实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系统抓取并记录到供应商与同项目（采购包）其他投标（响应）供应商电子投标文件上传计算机的网卡MAC地址硬件信息相同（开标现场上传电子投标文件的除外）的情形，评标委员会应认定其投标（响应）无效。</w:t>
      </w:r>
    </w:p>
    <w:p>
      <w:pPr>
        <w:ind w:firstLine="480"/>
      </w:pPr>
      <w:r>
        <w:rPr/>
        <w:t>表一资格性审查表：</w:t>
      </w:r>
    </w:p>
    <w:p>
      <w:pPr>
        <w:ind w:firstLine="480"/>
      </w:pPr>
    </w:p>
    <w:p/>
    <w:p>
      <w:r>
        <w:rPr/>
        <w:t>采购包1（近红外脑功能成像装置）：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供应商必须具有良好的商业信誉和健全的财务会计制度（提供2020或2021年度财务状况报告或基本开户行出具的资信证明）。</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供应商必须符合法律、行政法规规定的其他条件</w:t>
            </w:r>
          </w:p>
        </w:tc>
        <w:tc>
          <w:tcPr>
            <w:tcW w:type="dxa" w:w="4238"/>
          </w:tcPr>
          <w:p>
            <w:r>
              <w:rPr/>
              <w:t>供应商在近三年内（自响应截止时间之日起往前推三年）没有被政府采购监督管理部门禁止参加政府采购活动。</w:t>
            </w:r>
          </w:p>
        </w:tc>
      </w:tr>
      <w:tr>
        <w:tc>
          <w:tcPr>
            <w:tcW w:type="dxa" w:w="890"/>
          </w:tcPr>
          <w:p>
            <w:r>
              <w:rPr/>
              <w:t>9</w:t>
            </w:r>
          </w:p>
        </w:tc>
        <w:tc>
          <w:tcPr>
            <w:tcW w:type="dxa" w:w="3178"/>
          </w:tcPr>
          <w:p>
            <w:r>
              <w:rPr/>
              <w:t>供应商必须符合法律、行政法规规定的其他条件</w:t>
            </w:r>
          </w:p>
        </w:tc>
        <w:tc>
          <w:tcPr>
            <w:tcW w:type="dxa" w:w="4238"/>
          </w:tcPr>
          <w:p>
            <w:r>
              <w:rPr/>
              <w:t>所投产品属医疗器械管理的产品，须具有医疗器械注册证或第一类医疗器械备案凭证（含备案信息表）；</w:t>
            </w:r>
          </w:p>
        </w:tc>
      </w:tr>
      <w:tr>
        <w:tc>
          <w:tcPr>
            <w:tcW w:type="dxa" w:w="890"/>
          </w:tcPr>
          <w:p>
            <w:r>
              <w:rPr/>
              <w:t>10</w:t>
            </w:r>
          </w:p>
        </w:tc>
        <w:tc>
          <w:tcPr>
            <w:tcW w:type="dxa" w:w="3178"/>
          </w:tcPr>
          <w:p>
            <w:r>
              <w:rPr/>
              <w:t>供应商必须符合法律、行政法规规定的其他条件</w:t>
            </w:r>
          </w:p>
        </w:tc>
        <w:tc>
          <w:tcPr>
            <w:tcW w:type="dxa" w:w="4238"/>
          </w:tcPr>
          <w:p>
            <w:r>
              <w:rPr/>
              <w:t>供应商须具有涵盖所投产品范围的《医疗器械生产许可证》或《医疗器械经营许可证》或《医疗器械经营备案凭证》；</w:t>
            </w:r>
          </w:p>
        </w:tc>
      </w:tr>
      <w:tr>
        <w:tc>
          <w:tcPr>
            <w:tcW w:type="dxa" w:w="890"/>
          </w:tcPr>
          <w:p>
            <w:r>
              <w:rPr/>
              <w:t>11</w:t>
            </w:r>
          </w:p>
        </w:tc>
        <w:tc>
          <w:tcPr>
            <w:tcW w:type="dxa" w:w="3178"/>
          </w:tcPr>
          <w:p>
            <w:r>
              <w:rPr/>
              <w:t>供应商必须符合法律、行政法规规定的其他条件</w:t>
            </w:r>
          </w:p>
        </w:tc>
        <w:tc>
          <w:tcPr>
            <w:tcW w:type="dxa" w:w="4238"/>
          </w:tcPr>
          <w:p>
            <w:r>
              <w:rPr/>
              <w:t>本项目不允许进口产品参与报价。</w:t>
            </w:r>
          </w:p>
        </w:tc>
      </w:tr>
      <w:tr>
        <w:tc>
          <w:tcPr>
            <w:tcW w:type="dxa" w:w="890"/>
          </w:tcPr>
          <w:p>
            <w:r>
              <w:rPr/>
              <w:t>12</w:t>
            </w:r>
          </w:p>
        </w:tc>
        <w:tc>
          <w:tcPr>
            <w:tcW w:type="dxa" w:w="3178"/>
          </w:tcPr>
          <w:p>
            <w:r>
              <w:rPr/>
              <w:t>落实政府采购政策需满足的资格要求</w:t>
            </w:r>
          </w:p>
        </w:tc>
        <w:tc>
          <w:tcPr>
            <w:tcW w:type="dxa" w:w="4238"/>
          </w:tcPr>
          <w:p>
            <w:r>
              <w:rPr/>
              <w:t>本项目不属于专门面向中小企业采购项目。</w:t>
            </w:r>
          </w:p>
        </w:tc>
      </w:tr>
    </w:tbl>
    <w:p/>
    <w:p>
      <w:pPr>
        <w:ind w:firstLine="480"/>
      </w:pPr>
      <w:r>
        <w:rPr/>
        <w:t>表二符合性审查表：</w:t>
      </w:r>
    </w:p>
    <w:p>
      <w:pPr>
        <w:ind w:firstLine="480"/>
      </w:pPr>
    </w:p>
    <w:p/>
    <w:p>
      <w:r>
        <w:rPr/>
        <w:t>采购包1（近红外脑功能成像装置）：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★标的提供的地点</w:t>
            </w:r>
          </w:p>
        </w:tc>
        <w:tc>
          <w:tcPr>
            <w:tcW w:type="dxa" w:w="4238"/>
          </w:tcPr>
          <w:p>
            <w:r>
              <w:rPr/>
              <w:t>采购人（用户）所在地，地址为佛山市南海区妇幼保健院（院方指定地点）。</w:t>
            </w:r>
          </w:p>
        </w:tc>
      </w:tr>
      <w:tr>
        <w:tc>
          <w:tcPr>
            <w:tcW w:type="dxa" w:w="890"/>
          </w:tcPr>
          <w:p>
            <w:r>
              <w:rPr/>
              <w:t>2</w:t>
            </w:r>
          </w:p>
        </w:tc>
        <w:tc>
          <w:tcPr>
            <w:tcW w:type="dxa" w:w="3178"/>
          </w:tcPr>
          <w:p>
            <w:r>
              <w:rPr/>
              <w:t>★报价要求</w:t>
            </w:r>
          </w:p>
        </w:tc>
        <w:tc>
          <w:tcPr>
            <w:tcW w:type="dxa" w:w="4238"/>
          </w:tcPr>
          <w:p>
            <w:r>
              <w:rPr/>
              <w:t>1.1.报价方案是唯一确定且不高于本项目预算金额和最高限价，本项目最高限价：￥1530000.00元；1.2.报价方式为广东省佛山市目的地交付验收价，均涵盖报价要求之一切费用。报价中必须包含设备及零配件的购置和安装、运输、保险、装卸、培训辅导、质保期售后服务、全额含税发票、雇员费用、合同实施过程中的应预见或不可预见费用等。</w:t>
            </w:r>
          </w:p>
        </w:tc>
      </w:tr>
      <w:tr>
        <w:tc>
          <w:tcPr>
            <w:tcW w:type="dxa" w:w="890"/>
          </w:tcPr>
          <w:p>
            <w:r>
              <w:rPr/>
              <w:t>3</w:t>
            </w:r>
          </w:p>
        </w:tc>
        <w:tc>
          <w:tcPr>
            <w:tcW w:type="dxa" w:w="3178"/>
          </w:tcPr>
          <w:p>
            <w:r>
              <w:rPr/>
              <w:t>其他</w:t>
            </w:r>
          </w:p>
        </w:tc>
        <w:tc>
          <w:tcPr>
            <w:tcW w:type="dxa" w:w="4238"/>
          </w:tcPr>
          <w:p>
            <w:r>
              <w:rPr/>
              <w:t>没有磋商文件规定的其他无效响应的情形</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近红外脑功能成像装置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商务部分15.0分</w:t>
            </w:r>
          </w:p>
          <w:p>
            <w:r>
              <w:rPr/>
              <w:t>技术部分55.0分</w:t>
            </w:r>
          </w:p>
          <w:p>
            <w:r>
              <w:rPr/>
              <w:t>报价得分30.0分</w:t>
            </w:r>
          </w:p>
        </w:tc>
      </w:tr>
      <w:tr>
        <w:tc>
          <w:tcPr>
            <w:tcW w:type="dxa" w:w="922"/>
            <w:gridSpan w:val="2"/>
            <w:vMerge w:val="restart"/>
          </w:tcPr>
          <w:p>
            <w:pPr>
              <w:jc w:val="center"/>
            </w:pPr>
            <w:r>
              <w:rPr/>
              <w:t>技术部分</w:t>
            </w:r>
          </w:p>
        </w:tc>
        <w:tc>
          <w:tcPr>
            <w:tcW w:type="dxa" w:w="2307"/>
          </w:tcPr>
          <w:p>
            <w:pPr>
              <w:jc w:val="left"/>
            </w:pPr>
            <w:r>
              <w:rPr/>
              <w:t>技术符合性评价 (30.0分)</w:t>
            </w:r>
          </w:p>
        </w:tc>
        <w:tc>
          <w:tcPr>
            <w:tcW w:type="dxa" w:w="5076"/>
          </w:tcPr>
          <w:p>
            <w:pPr>
              <w:jc w:val="left"/>
            </w:pPr>
            <w:r>
              <w:rPr/>
              <w:t>根据《技术和服务要求响应表》响应情况，完全满足或优于技术性能要求的得满分；对未达到或未响应公开招标文件技术要求的，带“▲”号（重要技术要求）条款每一项扣除5分；不带“▲”号条款每一项扣除2分；扣完为止；超出要求的在此项不加分。</w:t>
            </w:r>
          </w:p>
        </w:tc>
      </w:tr>
      <w:tr>
        <w:tc>
          <w:tcPr>
            <w:tcW w:type="dxa" w:w="922"/>
            <w:gridSpan w:val="2"/>
            <w:vMerge/>
          </w:tcPr>
          <w:p/>
        </w:tc>
        <w:tc>
          <w:tcPr>
            <w:tcW w:type="dxa" w:w="2307"/>
          </w:tcPr>
          <w:p>
            <w:pPr>
              <w:jc w:val="left"/>
            </w:pPr>
            <w:r>
              <w:rPr/>
              <w:t>所投货物技术评价 (14.0分)</w:t>
            </w:r>
            <w:r>
              <w:rPr/>
              <w:t>，（等次分值选择：</w:t>
            </w:r>
            <w:r>
              <w:rPr/>
              <w:t>0.0;</w:t>
            </w:r>
            <w:r>
              <w:rPr/>
              <w:t>4.0;</w:t>
            </w:r>
            <w:r>
              <w:rPr/>
              <w:t>9.0;</w:t>
            </w:r>
            <w:r>
              <w:rPr/>
              <w:t>14.0;</w:t>
            </w:r>
            <w:r>
              <w:rPr/>
              <w:t>）</w:t>
            </w:r>
          </w:p>
        </w:tc>
        <w:tc>
          <w:tcPr>
            <w:tcW w:type="dxa" w:w="5076"/>
          </w:tcPr>
          <w:p>
            <w:pPr>
              <w:jc w:val="left"/>
            </w:pPr>
            <w:r>
              <w:rPr/>
              <w:t>根据供应商提交的技术方案及关于所投货物设计制造技术的资料进行评价： 1）所投货物选型配置方案合理完善、技术先进，得14分； 2）所投货物选型配置方案基本合理、技术水平一般，得9分； 3）所投货物选型配置方案不合理、技术落后，得4分； 4）不提供资料，得0分。</w:t>
            </w:r>
          </w:p>
        </w:tc>
      </w:tr>
      <w:tr>
        <w:tc>
          <w:tcPr>
            <w:tcW w:type="dxa" w:w="922"/>
            <w:gridSpan w:val="2"/>
            <w:vMerge/>
          </w:tcPr>
          <w:p/>
        </w:tc>
        <w:tc>
          <w:tcPr>
            <w:tcW w:type="dxa" w:w="2307"/>
          </w:tcPr>
          <w:p>
            <w:pPr>
              <w:jc w:val="left"/>
            </w:pPr>
            <w:r>
              <w:rPr/>
              <w:t>操作维护评价 (3.0分)</w:t>
            </w:r>
            <w:r>
              <w:rPr/>
              <w:t>，（等次分值选择：</w:t>
            </w:r>
            <w:r>
              <w:rPr/>
              <w:t>0.0;</w:t>
            </w:r>
            <w:r>
              <w:rPr/>
              <w:t>1.0;</w:t>
            </w:r>
            <w:r>
              <w:rPr/>
              <w:t>2.0;</w:t>
            </w:r>
            <w:r>
              <w:rPr/>
              <w:t>3.0;</w:t>
            </w:r>
            <w:r>
              <w:rPr/>
              <w:t>）</w:t>
            </w:r>
          </w:p>
        </w:tc>
        <w:tc>
          <w:tcPr>
            <w:tcW w:type="dxa" w:w="5076"/>
          </w:tcPr>
          <w:p>
            <w:pPr>
              <w:jc w:val="left"/>
            </w:pPr>
            <w:r>
              <w:rPr/>
              <w:t>根据供应商提交的技术方案及关于所投货物操作维护的资料进行评价： 1）所投货物操作维护高效便捷，得3分； 2）所投货物操作维护方便，得2分； 3）所投货物操作维护不方便，得1分； 4）不提供资料，得0分。</w:t>
            </w:r>
          </w:p>
        </w:tc>
      </w:tr>
      <w:tr>
        <w:tc>
          <w:tcPr>
            <w:tcW w:type="dxa" w:w="922"/>
            <w:gridSpan w:val="2"/>
            <w:vMerge/>
          </w:tcPr>
          <w:p/>
        </w:tc>
        <w:tc>
          <w:tcPr>
            <w:tcW w:type="dxa" w:w="2307"/>
          </w:tcPr>
          <w:p>
            <w:pPr>
              <w:jc w:val="left"/>
            </w:pPr>
            <w:r>
              <w:rPr/>
              <w:t>质量和效能评价 (3.0分)</w:t>
            </w:r>
            <w:r>
              <w:rPr/>
              <w:t>，（等次分值选择：</w:t>
            </w:r>
            <w:r>
              <w:rPr/>
              <w:t>0.0;</w:t>
            </w:r>
            <w:r>
              <w:rPr/>
              <w:t>1.0;</w:t>
            </w:r>
            <w:r>
              <w:rPr/>
              <w:t>2.0;</w:t>
            </w:r>
            <w:r>
              <w:rPr/>
              <w:t>3.0;</w:t>
            </w:r>
            <w:r>
              <w:rPr/>
              <w:t>）</w:t>
            </w:r>
          </w:p>
        </w:tc>
        <w:tc>
          <w:tcPr>
            <w:tcW w:type="dxa" w:w="5076"/>
          </w:tcPr>
          <w:p>
            <w:pPr>
              <w:jc w:val="left"/>
            </w:pPr>
            <w:r>
              <w:rPr/>
              <w:t>根据供应商提交的技术方案及关于所投货物质量和效能的资料进行评价： 1）所投货物材料优质、安全稳定、节能高效，得3分； 2）所投货物材料尚可、具有一定的可靠性，得2分； 3）所投货物用料不足、不稳定、耗能大，得1分； 4）不提供资料，得0分。</w:t>
            </w:r>
          </w:p>
        </w:tc>
      </w:tr>
      <w:tr>
        <w:tc>
          <w:tcPr>
            <w:tcW w:type="dxa" w:w="922"/>
            <w:gridSpan w:val="2"/>
            <w:vMerge/>
          </w:tcPr>
          <w:p/>
        </w:tc>
        <w:tc>
          <w:tcPr>
            <w:tcW w:type="dxa" w:w="2307"/>
          </w:tcPr>
          <w:p>
            <w:pPr>
              <w:jc w:val="left"/>
            </w:pPr>
            <w:r>
              <w:rPr/>
              <w:t>学术认可度 (5.0分)</w:t>
            </w:r>
            <w:r>
              <w:rPr/>
              <w:t>，（等次分值选择：</w:t>
            </w:r>
            <w:r>
              <w:rPr/>
              <w:t>0.0;</w:t>
            </w:r>
            <w:r>
              <w:rPr/>
              <w:t>1.0;</w:t>
            </w:r>
            <w:r>
              <w:rPr/>
              <w:t>2.0;</w:t>
            </w:r>
            <w:r>
              <w:rPr/>
              <w:t>3.0;</w:t>
            </w:r>
            <w:r>
              <w:rPr/>
              <w:t>4.0;</w:t>
            </w:r>
            <w:r>
              <w:rPr/>
              <w:t>5.0;</w:t>
            </w:r>
            <w:r>
              <w:rPr/>
              <w:t>）</w:t>
            </w:r>
          </w:p>
        </w:tc>
        <w:tc>
          <w:tcPr>
            <w:tcW w:type="dxa" w:w="5076"/>
          </w:tcPr>
          <w:p>
            <w:pPr>
              <w:jc w:val="left"/>
            </w:pPr>
            <w:r>
              <w:rPr/>
              <w:t>根据所投产品已支撑国内研究机构发表SCI论文数量进行评价： 1）40篇（含）以上，得5分； 2）30篇（含）～40篇（不含），得4分； 3）20篇（含）～30篇（不含），得3分； 4）10篇（含）～20篇（不含），得2分； 5）10篇（不含）以下，得1分。 提供论文首页与相应设备标注页作为证明材料，不提供不得分。</w:t>
            </w:r>
          </w:p>
        </w:tc>
      </w:tr>
      <w:tr>
        <w:tc>
          <w:tcPr>
            <w:tcW w:type="dxa" w:w="922"/>
            <w:gridSpan w:val="2"/>
            <w:vMerge w:val="restart"/>
          </w:tcPr>
          <w:p>
            <w:pPr>
              <w:jc w:val="center"/>
            </w:pPr>
            <w:r>
              <w:rPr/>
              <w:t>商务部分</w:t>
            </w:r>
          </w:p>
        </w:tc>
        <w:tc>
          <w:tcPr>
            <w:tcW w:type="dxa" w:w="2307"/>
          </w:tcPr>
          <w:p>
            <w:pPr>
              <w:jc w:val="left"/>
            </w:pPr>
            <w:r>
              <w:rPr/>
              <w:t>商务符合性评价 (5.0分)</w:t>
            </w:r>
          </w:p>
        </w:tc>
        <w:tc>
          <w:tcPr>
            <w:tcW w:type="dxa" w:w="5076"/>
          </w:tcPr>
          <w:p>
            <w:pPr>
              <w:jc w:val="left"/>
            </w:pPr>
            <w:r>
              <w:rPr/>
              <w:t>根据《商务条件响应表》响应情况，完全满足或优于商务要求的得满分；对未达到或未响应公开招标文件商务要求的，带“▲”号（重要商务要求）条款每一项扣除3分；不带“▲”号条款每一项扣除1分；扣完为止；超出要求的在此项不加分。</w:t>
            </w:r>
          </w:p>
        </w:tc>
      </w:tr>
      <w:tr>
        <w:tc>
          <w:tcPr>
            <w:tcW w:type="dxa" w:w="922"/>
            <w:gridSpan w:val="2"/>
            <w:vMerge/>
          </w:tcPr>
          <w:p/>
        </w:tc>
        <w:tc>
          <w:tcPr>
            <w:tcW w:type="dxa" w:w="2307"/>
          </w:tcPr>
          <w:p>
            <w:pPr>
              <w:jc w:val="left"/>
            </w:pPr>
            <w:r>
              <w:rPr/>
              <w:t>供应商或所投产品的认证情况 (5.0分)</w:t>
            </w:r>
          </w:p>
        </w:tc>
        <w:tc>
          <w:tcPr>
            <w:tcW w:type="dxa" w:w="5076"/>
          </w:tcPr>
          <w:p>
            <w:pPr>
              <w:jc w:val="left"/>
            </w:pPr>
            <w:r>
              <w:rPr/>
              <w:t>根据供应商或所投产品获得的相关认证证书进行评分，包括但不限于节能产品、环境标志产品、FDA、CE、CQC、ISO等认证，需提供有效认证证书复印件，每提供1项得2分，满分5分，不提供不得分。</w:t>
            </w:r>
          </w:p>
        </w:tc>
      </w:tr>
      <w:tr>
        <w:tc>
          <w:tcPr>
            <w:tcW w:type="dxa" w:w="922"/>
            <w:gridSpan w:val="2"/>
            <w:vMerge/>
          </w:tcPr>
          <w:p/>
        </w:tc>
        <w:tc>
          <w:tcPr>
            <w:tcW w:type="dxa" w:w="2307"/>
          </w:tcPr>
          <w:p>
            <w:pPr>
              <w:jc w:val="left"/>
            </w:pPr>
            <w:r>
              <w:rPr/>
              <w:t>售后服务评价 (5.0分)</w:t>
            </w:r>
            <w:r>
              <w:rPr/>
              <w:t>，（等次分值选择：</w:t>
            </w:r>
            <w:r>
              <w:rPr/>
              <w:t>0.0;</w:t>
            </w:r>
            <w:r>
              <w:rPr/>
              <w:t>1.0;</w:t>
            </w:r>
            <w:r>
              <w:rPr/>
              <w:t>3.0;</w:t>
            </w:r>
            <w:r>
              <w:rPr/>
              <w:t>5.0;</w:t>
            </w:r>
            <w:r>
              <w:rPr/>
              <w:t>）</w:t>
            </w:r>
          </w:p>
        </w:tc>
        <w:tc>
          <w:tcPr>
            <w:tcW w:type="dxa" w:w="5076"/>
          </w:tcPr>
          <w:p>
            <w:pPr>
              <w:jc w:val="left"/>
            </w:pPr>
            <w:r>
              <w:rPr/>
              <w:t>根据供应商提供的售后服务方案进行评价： 1）供应商售后服务方案完善，质保期优于项目需求，得5分； 2）供应商售后服务方案完善，得3分； 3）供应商售后服务方案不完善，得1分； 4）不提供售后服务方案，得0分。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磋商报价得分＝（评审基准价/磋商报价）×价格分值【注：满足磋商文件要求且磋商价格最低的磋商报价为评审基准价。】最低报价不是中标的唯一依据。因落实政府采购政策进行价格调整的，以调整后的价格计算评审基准价和磋商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color w:val="000000"/>
          <w:sz w:val="68"/>
        </w:rPr>
        <w:t>佛山市政府采购项目</w:t>
      </w:r>
    </w:p>
    <w:p>
      <w:pPr>
        <w:jc w:val="center"/>
      </w:pPr>
      <w:r>
        <w:rPr/>
        <w:t xml:space="preserve"> </w:t>
      </w:r>
    </w:p>
    <w:p>
      <w:pPr>
        <w:jc w:val="center"/>
      </w:pPr>
    </w:p>
    <w:p>
      <w:pPr>
        <w:jc w:val="center"/>
      </w:pPr>
      <w:r>
        <w:rPr>
          <w:b/>
          <w:color w:val="000000"/>
          <w:sz w:val="68"/>
        </w:rPr>
        <w:t>合 同 书</w:t>
      </w:r>
    </w:p>
    <w:p>
      <w:pPr>
        <w:jc w:val="center"/>
      </w:pPr>
    </w:p>
    <w:p>
      <w:pPr>
        <w:jc w:val="center"/>
      </w:pPr>
    </w:p>
    <w:p>
      <w:pPr>
        <w:jc w:val="center"/>
      </w:pPr>
    </w:p>
    <w:p>
      <w:pPr>
        <w:jc w:val="center"/>
      </w:pPr>
    </w:p>
    <w:p>
      <w:pPr>
        <w:ind w:firstLine="2409"/>
        <w:jc w:val="both"/>
      </w:pPr>
      <w:r>
        <w:rPr>
          <w:b/>
          <w:color w:val="000000"/>
          <w:sz w:val="30"/>
        </w:rPr>
        <w:t>项目编号：</w:t>
      </w:r>
      <w:r>
        <w:rPr>
          <w:b/>
          <w:color w:val="000000"/>
          <w:sz w:val="30"/>
          <w:u w:val="single"/>
        </w:rPr>
        <w:t xml:space="preserve">                  </w:t>
      </w:r>
    </w:p>
    <w:p>
      <w:pPr>
        <w:ind w:firstLine="2409"/>
        <w:jc w:val="both"/>
      </w:pPr>
      <w:r>
        <w:rPr>
          <w:b/>
          <w:color w:val="000000"/>
          <w:sz w:val="30"/>
        </w:rPr>
        <w:t>项目名称：</w:t>
      </w:r>
      <w:r>
        <w:rPr>
          <w:b/>
          <w:color w:val="000000"/>
          <w:sz w:val="30"/>
          <w:u w:val="single"/>
        </w:rPr>
        <w:t xml:space="preserve">                  </w:t>
      </w:r>
    </w:p>
    <w:p>
      <w:pPr>
        <w:ind w:firstLine="2409"/>
        <w:jc w:val="both"/>
      </w:pPr>
      <w:r>
        <w:rPr>
          <w:b/>
          <w:color w:val="000000"/>
          <w:sz w:val="30"/>
        </w:rPr>
        <w:t>合同编号：</w:t>
      </w:r>
      <w:r>
        <w:rPr>
          <w:b/>
          <w:color w:val="000000"/>
          <w:sz w:val="30"/>
          <w:u w:val="single"/>
        </w:rPr>
        <w:t xml:space="preserve">                  </w:t>
      </w:r>
    </w:p>
    <w:p>
      <w:pPr>
        <w:jc w:val="center"/>
      </w:pPr>
    </w:p>
    <w:p>
      <w:pPr>
        <w:jc w:val="center"/>
      </w:pPr>
    </w:p>
    <w:p>
      <w:pPr>
        <w:jc w:val="center"/>
      </w:pPr>
    </w:p>
    <w:p>
      <w:pPr>
        <w:jc w:val="center"/>
      </w:pPr>
    </w:p>
    <w:p>
      <w:pPr>
        <w:jc w:val="center"/>
      </w:pPr>
    </w:p>
    <w:p>
      <w:pPr>
        <w:jc w:val="center"/>
      </w:pPr>
    </w:p>
    <w:p>
      <w:pPr>
        <w:jc w:val="center"/>
      </w:pPr>
    </w:p>
    <w:tbl>
      <w:tblPr>
        <w:tblW w:w="0" w:type="auto"/>
        <w:tblBorders>
          <w:top w:val="single"/>
          <w:left w:val="single"/>
          <w:bottom w:val="single"/>
          <w:right w:val="single"/>
          <w:insideH w:val="single"/>
          <w:insideV w:val="single"/>
        </w:tblBorders>
      </w:tblPr>
      <w:tblGrid>
        <w:gridCol w:w="1620"/>
        <w:gridCol w:w="4275"/>
      </w:tblGrid>
      <w:tr>
        <w:tc>
          <w:tcPr>
            <w:tcW w:type="dxa" w:w="1620"/>
          </w:tcPr>
          <w:p>
            <w:pPr>
              <w:jc w:val="center"/>
            </w:pPr>
            <w:r>
              <w:rPr>
                <w:b/>
                <w:color w:val="000000"/>
                <w:sz w:val="28"/>
              </w:rPr>
              <w:t>甲    方：</w:t>
            </w:r>
          </w:p>
        </w:tc>
        <w:tc>
          <w:tcPr>
            <w:tcW w:type="dxa" w:w="4275"/>
          </w:tcPr>
          <w:p>
            <w:pPr>
              <w:jc w:val="left"/>
            </w:pPr>
            <w:r>
              <w:rPr>
                <w:b/>
                <w:sz w:val="21"/>
                <w:u w:val="single"/>
              </w:rPr>
              <w:t xml:space="preserve"> </w:t>
            </w:r>
            <w:r>
              <w:rPr>
                <w:b/>
                <w:sz w:val="21"/>
                <w:u w:val="single"/>
              </w:rPr>
              <w:t xml:space="preserve">     </w:t>
            </w:r>
            <w:r>
              <w:rPr>
                <w:b/>
                <w:color w:val="000000"/>
                <w:sz w:val="28"/>
                <w:u w:val="single"/>
              </w:rPr>
              <w:t>（</w:t>
            </w:r>
            <w:r>
              <w:rPr>
                <w:b/>
                <w:color w:val="000000"/>
                <w:sz w:val="28"/>
                <w:u w:val="single"/>
              </w:rPr>
              <w:t>采购人名称</w:t>
            </w:r>
            <w:r>
              <w:rPr>
                <w:b/>
                <w:color w:val="000000"/>
                <w:sz w:val="28"/>
                <w:u w:val="single"/>
              </w:rPr>
              <w:t xml:space="preserve">）     </w:t>
            </w:r>
            <w:r>
              <w:rPr>
                <w:b/>
                <w:color w:val="000000"/>
                <w:sz w:val="28"/>
                <w:u w:val="single"/>
              </w:rPr>
              <w:t xml:space="preserve">  </w:t>
            </w:r>
          </w:p>
        </w:tc>
      </w:tr>
      <w:tr>
        <w:tc>
          <w:tcPr>
            <w:tcW w:type="dxa" w:w="1620"/>
          </w:tcPr>
          <w:p>
            <w:pPr>
              <w:jc w:val="center"/>
            </w:pPr>
            <w:r>
              <w:rPr>
                <w:b/>
                <w:color w:val="000000"/>
                <w:sz w:val="28"/>
              </w:rPr>
              <w:t>乙    方：</w:t>
            </w:r>
          </w:p>
        </w:tc>
        <w:tc>
          <w:tcPr>
            <w:tcW w:type="dxa" w:w="4275"/>
          </w:tcPr>
          <w:p>
            <w:pPr>
              <w:jc w:val="left"/>
            </w:pPr>
            <w:r>
              <w:rPr>
                <w:b/>
                <w:sz w:val="21"/>
                <w:u w:val="single"/>
              </w:rPr>
              <w:t xml:space="preserve"> </w:t>
            </w:r>
            <w:r>
              <w:rPr>
                <w:b/>
                <w:color w:val="000000"/>
                <w:sz w:val="28"/>
                <w:u w:val="single"/>
              </w:rPr>
              <w:t xml:space="preserve">（中标/成交供应商名称）     </w:t>
            </w:r>
          </w:p>
        </w:tc>
      </w:tr>
      <w:tr>
        <w:tc>
          <w:tcPr>
            <w:tcW w:type="dxa" w:w="1620"/>
          </w:tcPr>
          <w:p>
            <w:pPr>
              <w:jc w:val="center"/>
            </w:pPr>
            <w:r>
              <w:rPr>
                <w:b/>
                <w:color w:val="000000"/>
                <w:sz w:val="28"/>
              </w:rPr>
              <w:t>签订日期：</w:t>
            </w:r>
          </w:p>
        </w:tc>
        <w:tc>
          <w:tcPr>
            <w:tcW w:type="dxa" w:w="4275"/>
          </w:tcPr>
          <w:p>
            <w:pPr>
              <w:jc w:val="left"/>
            </w:pPr>
            <w:r>
              <w:rPr>
                <w:b/>
                <w:sz w:val="21"/>
                <w:u w:val="single"/>
              </w:rPr>
              <w:t xml:space="preserve">      </w:t>
            </w:r>
            <w:r>
              <w:rPr>
                <w:b/>
                <w:color w:val="000000"/>
                <w:sz w:val="28"/>
                <w:u w:val="single"/>
              </w:rPr>
              <w:t xml:space="preserve">年    月    日       </w:t>
            </w:r>
          </w:p>
        </w:tc>
      </w:tr>
    </w:tbl>
    <w:p>
      <w:pPr>
        <w:jc w:val="center"/>
      </w:pPr>
    </w:p>
    <w:p>
      <w:pPr>
        <w:jc w:val="left"/>
      </w:pPr>
      <w:r>
        <w:rPr>
          <w:i/>
          <w:color w:val="FF0000"/>
          <w:sz w:val="21"/>
        </w:rPr>
        <w:t>注：本合同仅为合同的参考文本，可根据项目的具体要求进行修订。</w:t>
      </w:r>
    </w:p>
    <w:p>
      <w:pPr>
        <w:jc w:val="center"/>
      </w:pPr>
      <w:r>
        <w:rPr>
          <w:b/>
          <w:color w:val="000000"/>
          <w:sz w:val="44"/>
        </w:rPr>
        <w:t>佛山市政府采购项目合同书</w:t>
      </w:r>
    </w:p>
    <w:p>
      <w:pPr>
        <w:jc w:val="both"/>
      </w:pPr>
    </w:p>
    <w:tbl>
      <w:tblPr>
        <w:tblW w:w="0" w:type="auto"/>
        <w:tblBorders>
          <w:top w:val="single"/>
          <w:left w:val="single"/>
          <w:bottom w:val="single"/>
          <w:right w:val="single"/>
          <w:insideH w:val="single"/>
          <w:insideV w:val="single"/>
        </w:tblBorders>
      </w:tblPr>
      <w:tblGrid>
        <w:gridCol w:w="1455"/>
        <w:gridCol w:w="6825"/>
      </w:tblGrid>
      <w:tr>
        <w:tc>
          <w:tcPr>
            <w:tcW w:type="dxa" w:w="1455"/>
          </w:tcPr>
          <w:p>
            <w:pPr>
              <w:jc w:val="both"/>
            </w:pPr>
            <w:r>
              <w:rPr>
                <w:b/>
                <w:color w:val="000000"/>
                <w:sz w:val="24"/>
              </w:rPr>
              <w:t>项目名称：</w:t>
            </w:r>
          </w:p>
        </w:tc>
        <w:tc>
          <w:tcPr>
            <w:tcW w:type="dxa" w:w="6825"/>
          </w:tcPr>
          <w:p>
            <w:pPr>
              <w:jc w:val="left"/>
            </w:pPr>
            <w:r>
              <w:rPr>
                <w:sz w:val="21"/>
                <w:u w:val="single"/>
              </w:rPr>
              <w:t xml:space="preserve">                                                   </w:t>
            </w:r>
          </w:p>
        </w:tc>
      </w:tr>
      <w:tr>
        <w:tc>
          <w:tcPr>
            <w:tcW w:type="dxa" w:w="1455"/>
          </w:tcPr>
          <w:p>
            <w:pPr>
              <w:jc w:val="both"/>
            </w:pPr>
            <w:r>
              <w:rPr>
                <w:b/>
                <w:color w:val="000000"/>
                <w:sz w:val="24"/>
              </w:rPr>
              <w:t>项目编号：</w:t>
            </w:r>
          </w:p>
        </w:tc>
        <w:tc>
          <w:tcPr>
            <w:tcW w:type="dxa" w:w="6825"/>
          </w:tcPr>
          <w:p>
            <w:pPr>
              <w:jc w:val="both"/>
            </w:pPr>
            <w:r>
              <w:rPr>
                <w:sz w:val="21"/>
                <w:u w:val="single"/>
              </w:rPr>
              <w:t xml:space="preserve">                                                   </w:t>
            </w:r>
          </w:p>
        </w:tc>
      </w:tr>
      <w:tr>
        <w:tc>
          <w:tcPr>
            <w:tcW w:type="dxa" w:w="1455"/>
          </w:tcPr>
          <w:p>
            <w:pPr>
              <w:jc w:val="both"/>
            </w:pPr>
            <w:r>
              <w:rPr>
                <w:b/>
                <w:color w:val="000000"/>
                <w:sz w:val="24"/>
              </w:rPr>
              <w:t>甲    方：</w:t>
            </w:r>
          </w:p>
        </w:tc>
        <w:tc>
          <w:tcPr>
            <w:tcW w:type="dxa" w:w="6825"/>
          </w:tcPr>
          <w:p>
            <w:pPr>
              <w:jc w:val="both"/>
            </w:pPr>
            <w:r>
              <w:rPr>
                <w:sz w:val="21"/>
                <w:u w:val="single"/>
              </w:rPr>
              <w:t xml:space="preserve"> </w:t>
            </w:r>
            <w:r>
              <w:rPr>
                <w:color w:val="000000"/>
                <w:sz w:val="24"/>
                <w:u w:val="single"/>
              </w:rPr>
              <w:t xml:space="preserve">（采购人名称）                                   </w:t>
            </w:r>
          </w:p>
        </w:tc>
      </w:tr>
      <w:tr>
        <w:tc>
          <w:tcPr>
            <w:tcW w:type="dxa" w:w="1455"/>
          </w:tcPr>
          <w:p>
            <w:pPr>
              <w:jc w:val="both"/>
            </w:pPr>
            <w:r>
              <w:rPr>
                <w:b/>
                <w:color w:val="000000"/>
                <w:sz w:val="24"/>
              </w:rPr>
              <w:t>乙    方：</w:t>
            </w:r>
          </w:p>
        </w:tc>
        <w:tc>
          <w:tcPr>
            <w:tcW w:type="dxa" w:w="6825"/>
          </w:tcPr>
          <w:p>
            <w:pPr>
              <w:jc w:val="both"/>
            </w:pPr>
            <w:r>
              <w:rPr>
                <w:color w:val="000000"/>
                <w:sz w:val="24"/>
                <w:u w:val="single"/>
              </w:rPr>
              <w:t>（中标/成交供应商）</w:t>
            </w:r>
            <w:r>
              <w:rPr>
                <w:sz w:val="21"/>
                <w:u w:val="single"/>
              </w:rPr>
              <w:t xml:space="preserve">                                </w:t>
            </w:r>
          </w:p>
        </w:tc>
      </w:tr>
    </w:tbl>
    <w:p>
      <w:pPr>
        <w:ind w:firstLine="420"/>
        <w:jc w:val="both"/>
      </w:pPr>
    </w:p>
    <w:p>
      <w:pPr>
        <w:ind w:firstLine="480"/>
        <w:jc w:val="both"/>
      </w:pPr>
      <w:r>
        <w:rPr>
          <w:color w:val="000000"/>
          <w:sz w:val="24"/>
        </w:rPr>
        <w:t>根据《中华人民共和国政府采购法》《中华人民共和国民法典》和本项目采购文件的要求，</w:t>
      </w:r>
      <w:r>
        <w:rPr>
          <w:color w:val="000000"/>
          <w:sz w:val="24"/>
        </w:rPr>
        <w:t>经双方协商，</w:t>
      </w:r>
      <w:r>
        <w:rPr>
          <w:color w:val="000000"/>
          <w:sz w:val="24"/>
        </w:rPr>
        <w:t>本着平等互利和诚实信用的原则，</w:t>
      </w:r>
      <w:r>
        <w:rPr>
          <w:color w:val="000000"/>
          <w:sz w:val="24"/>
        </w:rPr>
        <w:t>一致同意签订本合同如下。</w:t>
      </w:r>
    </w:p>
    <w:p>
      <w:pPr>
        <w:jc w:val="both"/>
      </w:pPr>
      <w:r>
        <w:rPr>
          <w:b/>
          <w:color w:val="000000"/>
          <w:sz w:val="24"/>
        </w:rPr>
        <w:t>一、项目主要内容及实现功能目标：</w:t>
      </w:r>
      <w:r>
        <w:rPr>
          <w:color w:val="000000"/>
          <w:sz w:val="24"/>
        </w:rPr>
        <w:t>（按照采购文件和投标/响应文件执行）。</w:t>
      </w:r>
    </w:p>
    <w:p>
      <w:pPr>
        <w:jc w:val="both"/>
      </w:pPr>
      <w:r>
        <w:rPr>
          <w:b/>
          <w:color w:val="000000"/>
          <w:sz w:val="24"/>
        </w:rPr>
        <w:t>二、产品及服务供应清单：</w:t>
      </w:r>
      <w:r>
        <w:rPr>
          <w:color w:val="000000"/>
          <w:sz w:val="24"/>
        </w:rPr>
        <w:t>见附件1</w:t>
      </w:r>
      <w:r>
        <w:rPr>
          <w:color w:val="000000"/>
          <w:sz w:val="24"/>
        </w:rPr>
        <w:t>《报价清单明细表》。</w:t>
      </w:r>
    </w:p>
    <w:p>
      <w:pPr>
        <w:jc w:val="both"/>
      </w:pPr>
      <w:r>
        <w:rPr>
          <w:b/>
          <w:color w:val="000000"/>
          <w:sz w:val="24"/>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10"/>
        <w:gridCol w:w="1679"/>
        <w:gridCol w:w="6003"/>
      </w:tblGrid>
      <w:tr>
        <w:tc>
          <w:tcPr>
            <w:tcW w:type="dxa" w:w="610"/>
            <w:tcBorders>
              <w:top w:val="single" w:color="000000" w:sz="4"/>
              <w:left w:val="single" w:color="000000" w:sz="4"/>
              <w:bottom w:val="single" w:color="000000" w:sz="4"/>
              <w:right w:val="single" w:color="000000" w:sz="4"/>
            </w:tcBorders>
          </w:tcPr>
          <w:p>
            <w:pPr>
              <w:jc w:val="center"/>
            </w:pPr>
            <w:r>
              <w:rPr>
                <w:b/>
                <w:color w:val="000000"/>
                <w:sz w:val="24"/>
              </w:rPr>
              <w:t>序号</w:t>
            </w:r>
          </w:p>
        </w:tc>
        <w:tc>
          <w:tcPr>
            <w:tcW w:type="dxa" w:w="1679"/>
            <w:tcBorders>
              <w:top w:val="single" w:color="000000" w:sz="4"/>
              <w:left w:val="none" w:color="000000" w:sz="4"/>
              <w:bottom w:val="single" w:color="000000" w:sz="4"/>
              <w:right w:val="single" w:color="000000" w:sz="4"/>
            </w:tcBorders>
          </w:tcPr>
          <w:p>
            <w:pPr>
              <w:jc w:val="center"/>
            </w:pPr>
            <w:r>
              <w:rPr>
                <w:b/>
                <w:color w:val="000000"/>
                <w:sz w:val="24"/>
              </w:rPr>
              <w:t>合同条款</w:t>
            </w:r>
          </w:p>
        </w:tc>
        <w:tc>
          <w:tcPr>
            <w:tcW w:type="dxa" w:w="6003"/>
            <w:tcBorders>
              <w:top w:val="single" w:color="000000" w:sz="4"/>
              <w:left w:val="none" w:color="000000" w:sz="4"/>
              <w:bottom w:val="single" w:color="000000" w:sz="4"/>
              <w:right w:val="single" w:color="000000" w:sz="4"/>
            </w:tcBorders>
          </w:tcPr>
          <w:p>
            <w:pPr>
              <w:jc w:val="center"/>
            </w:pPr>
            <w:r>
              <w:rPr>
                <w:b/>
                <w:color w:val="000000"/>
                <w:sz w:val="24"/>
              </w:rPr>
              <w:t>内  容</w:t>
            </w:r>
          </w:p>
        </w:tc>
      </w:tr>
      <w:tr>
        <w:tc>
          <w:tcPr>
            <w:tcW w:type="dxa" w:w="610"/>
            <w:tcBorders>
              <w:top w:val="none" w:color="000000" w:sz="4"/>
              <w:left w:val="single" w:color="000000" w:sz="4"/>
              <w:bottom w:val="single" w:color="000000" w:sz="4"/>
              <w:right w:val="single" w:color="000000" w:sz="4"/>
            </w:tcBorders>
          </w:tcPr>
          <w:p>
            <w:pPr>
              <w:jc w:val="center"/>
            </w:pPr>
            <w:r>
              <w:rPr>
                <w:b/>
                <w:sz w:val="24"/>
              </w:rPr>
              <w:t>1</w:t>
            </w:r>
          </w:p>
        </w:tc>
        <w:tc>
          <w:tcPr>
            <w:tcW w:type="dxa" w:w="1679"/>
            <w:tcBorders>
              <w:top w:val="none" w:color="000000" w:sz="4"/>
              <w:left w:val="none" w:color="000000" w:sz="4"/>
              <w:bottom w:val="single" w:color="000000" w:sz="4"/>
              <w:right w:val="single" w:color="000000" w:sz="4"/>
            </w:tcBorders>
          </w:tcPr>
          <w:p>
            <w:pPr>
              <w:jc w:val="center"/>
            </w:pPr>
            <w:r>
              <w:rPr>
                <w:b/>
                <w:color w:val="000000"/>
                <w:sz w:val="24"/>
              </w:rPr>
              <w:t>合同总额</w:t>
            </w:r>
          </w:p>
        </w:tc>
        <w:tc>
          <w:tcPr>
            <w:tcW w:type="dxa" w:w="6003"/>
            <w:tcBorders>
              <w:top w:val="none" w:color="000000" w:sz="4"/>
              <w:left w:val="none" w:color="000000" w:sz="4"/>
              <w:bottom w:val="single" w:color="000000" w:sz="4"/>
              <w:right w:val="single" w:color="000000" w:sz="4"/>
            </w:tcBorders>
          </w:tcPr>
          <w:p>
            <w:pPr>
              <w:jc w:val="both"/>
            </w:pPr>
            <w:r>
              <w:rPr>
                <w:color w:val="000000"/>
                <w:sz w:val="24"/>
              </w:rPr>
              <w:t>小写：</w:t>
            </w:r>
            <w:r>
              <w:rPr>
                <w:color w:val="000000"/>
                <w:sz w:val="24"/>
              </w:rPr>
              <w:t>￥</w:t>
            </w:r>
            <w:r>
              <w:rPr>
                <w:sz w:val="21"/>
                <w:u w:val="single"/>
              </w:rPr>
              <w:t xml:space="preserve">            </w:t>
            </w:r>
            <w:r>
              <w:rPr>
                <w:color w:val="000000"/>
                <w:sz w:val="24"/>
              </w:rPr>
              <w:t>元；</w:t>
            </w:r>
          </w:p>
          <w:p>
            <w:pPr>
              <w:jc w:val="both"/>
            </w:pPr>
            <w:r>
              <w:rPr>
                <w:color w:val="000000"/>
                <w:sz w:val="24"/>
              </w:rPr>
              <w:t>大写：</w:t>
            </w:r>
            <w:r>
              <w:rPr>
                <w:color w:val="000000"/>
                <w:sz w:val="24"/>
                <w:u w:val="single"/>
              </w:rPr>
              <w:t xml:space="preserve">                   </w:t>
            </w:r>
            <w:r>
              <w:rPr>
                <w:color w:val="000000"/>
                <w:sz w:val="24"/>
              </w:rPr>
              <w:t>。</w:t>
            </w:r>
          </w:p>
        </w:tc>
      </w:tr>
      <w:tr>
        <w:tc>
          <w:tcPr>
            <w:tcW w:type="dxa" w:w="610"/>
            <w:tcBorders>
              <w:top w:val="none" w:color="000000" w:sz="4"/>
              <w:left w:val="single" w:color="000000" w:sz="4"/>
              <w:bottom w:val="single" w:color="000000" w:sz="4"/>
              <w:right w:val="single" w:color="000000" w:sz="4"/>
            </w:tcBorders>
          </w:tcPr>
          <w:p>
            <w:pPr>
              <w:jc w:val="center"/>
            </w:pPr>
            <w:r>
              <w:rPr>
                <w:b/>
                <w:sz w:val="24"/>
              </w:rPr>
              <w:t>2</w:t>
            </w:r>
          </w:p>
        </w:tc>
        <w:tc>
          <w:tcPr>
            <w:tcW w:type="dxa" w:w="1679"/>
            <w:tcBorders>
              <w:top w:val="none" w:color="000000" w:sz="4"/>
              <w:left w:val="none" w:color="000000" w:sz="4"/>
              <w:bottom w:val="single" w:color="000000" w:sz="4"/>
              <w:right w:val="single" w:color="000000" w:sz="4"/>
            </w:tcBorders>
          </w:tcPr>
          <w:p>
            <w:pPr>
              <w:jc w:val="center"/>
            </w:pPr>
            <w:r>
              <w:rPr>
                <w:b/>
                <w:color w:val="000000"/>
                <w:sz w:val="24"/>
              </w:rPr>
              <w:t>合同总额内容</w:t>
            </w:r>
          </w:p>
        </w:tc>
        <w:tc>
          <w:tcPr>
            <w:tcW w:type="dxa" w:w="6003"/>
            <w:tcBorders>
              <w:top w:val="none" w:color="000000" w:sz="4"/>
              <w:left w:val="none" w:color="000000" w:sz="4"/>
              <w:bottom w:val="single" w:color="000000" w:sz="4"/>
              <w:right w:val="single" w:color="000000" w:sz="4"/>
            </w:tcBorders>
          </w:tcPr>
          <w:p>
            <w:pPr>
              <w:jc w:val="both"/>
            </w:pPr>
            <w:r>
              <w:rPr>
                <w:color w:val="000000"/>
                <w:sz w:val="24"/>
              </w:rPr>
              <w:t>(1)</w:t>
            </w:r>
            <w:r>
              <w:rPr>
                <w:color w:val="000000"/>
                <w:sz w:val="24"/>
              </w:rPr>
              <w:t>合同总额包括设备及零配件的购置和安装、运输、保险、装卸、培训辅导、质保期售后服务、全额含税发票、雇员费用、合同实施过程中的应预见或不可预见费用等。</w:t>
            </w:r>
          </w:p>
          <w:p>
            <w:pPr>
              <w:jc w:val="both"/>
            </w:pPr>
            <w:r>
              <w:rPr>
                <w:color w:val="000000"/>
                <w:sz w:val="24"/>
              </w:rPr>
              <w:t>(2)</w:t>
            </w:r>
            <w:r>
              <w:rPr>
                <w:color w:val="000000"/>
                <w:sz w:val="24"/>
              </w:rPr>
              <w:t>价格为固定不变价，天数为公历日。</w:t>
            </w:r>
          </w:p>
        </w:tc>
      </w:tr>
      <w:tr>
        <w:tc>
          <w:tcPr>
            <w:tcW w:type="dxa" w:w="610"/>
            <w:tcBorders>
              <w:top w:val="none" w:color="000000" w:sz="4"/>
              <w:left w:val="single" w:color="000000" w:sz="4"/>
              <w:bottom w:val="single" w:color="000000" w:sz="4"/>
              <w:right w:val="single" w:color="000000" w:sz="4"/>
            </w:tcBorders>
          </w:tcPr>
          <w:p>
            <w:pPr>
              <w:jc w:val="center"/>
            </w:pPr>
            <w:r>
              <w:rPr>
                <w:b/>
                <w:sz w:val="24"/>
              </w:rPr>
              <w:t>3</w:t>
            </w:r>
          </w:p>
        </w:tc>
        <w:tc>
          <w:tcPr>
            <w:tcW w:type="dxa" w:w="1679"/>
            <w:tcBorders>
              <w:top w:val="none" w:color="000000" w:sz="4"/>
              <w:left w:val="none" w:color="000000" w:sz="4"/>
              <w:bottom w:val="single" w:color="000000" w:sz="4"/>
              <w:right w:val="single" w:color="000000" w:sz="4"/>
            </w:tcBorders>
          </w:tcPr>
          <w:p>
            <w:pPr>
              <w:jc w:val="center"/>
            </w:pPr>
            <w:r>
              <w:rPr>
                <w:b/>
                <w:color w:val="000000"/>
                <w:sz w:val="24"/>
              </w:rPr>
              <w:t>交货及安装地点</w:t>
            </w:r>
          </w:p>
        </w:tc>
        <w:tc>
          <w:tcPr>
            <w:tcW w:type="dxa" w:w="6003"/>
            <w:tcBorders>
              <w:top w:val="none" w:color="000000" w:sz="4"/>
              <w:left w:val="none" w:color="000000" w:sz="4"/>
              <w:bottom w:val="single" w:color="000000" w:sz="4"/>
              <w:right w:val="single" w:color="000000" w:sz="4"/>
            </w:tcBorders>
          </w:tcPr>
          <w:p>
            <w:pPr>
              <w:jc w:val="both"/>
            </w:pPr>
            <w:r>
              <w:rPr>
                <w:color w:val="000000"/>
                <w:sz w:val="24"/>
              </w:rPr>
              <w:t>甲方（用户）指定地点。详细地址为：</w:t>
            </w:r>
          </w:p>
        </w:tc>
      </w:tr>
      <w:tr>
        <w:tc>
          <w:tcPr>
            <w:tcW w:type="dxa" w:w="610"/>
            <w:tcBorders>
              <w:top w:val="none" w:color="000000" w:sz="4"/>
              <w:left w:val="single" w:color="000000" w:sz="4"/>
              <w:bottom w:val="single" w:color="000000" w:sz="4"/>
              <w:right w:val="single" w:color="000000" w:sz="4"/>
            </w:tcBorders>
          </w:tcPr>
          <w:p>
            <w:pPr>
              <w:jc w:val="center"/>
            </w:pPr>
            <w:r>
              <w:rPr>
                <w:b/>
                <w:sz w:val="24"/>
              </w:rPr>
              <w:t>4</w:t>
            </w:r>
          </w:p>
        </w:tc>
        <w:tc>
          <w:tcPr>
            <w:tcW w:type="dxa" w:w="1679"/>
            <w:tcBorders>
              <w:top w:val="none" w:color="000000" w:sz="4"/>
              <w:left w:val="none" w:color="000000" w:sz="4"/>
              <w:bottom w:val="single" w:color="000000" w:sz="4"/>
              <w:right w:val="single" w:color="000000" w:sz="4"/>
            </w:tcBorders>
          </w:tcPr>
          <w:p>
            <w:pPr>
              <w:jc w:val="center"/>
            </w:pPr>
            <w:r>
              <w:rPr>
                <w:b/>
                <w:color w:val="000000"/>
                <w:sz w:val="24"/>
              </w:rPr>
              <w:t>项目完工期</w:t>
            </w:r>
          </w:p>
        </w:tc>
        <w:tc>
          <w:tcPr>
            <w:tcW w:type="dxa" w:w="6003"/>
            <w:tcBorders>
              <w:top w:val="none" w:color="000000" w:sz="4"/>
              <w:left w:val="none" w:color="000000" w:sz="4"/>
              <w:bottom w:val="single" w:color="000000" w:sz="4"/>
              <w:right w:val="single" w:color="000000" w:sz="4"/>
            </w:tcBorders>
          </w:tcPr>
          <w:p>
            <w:pPr>
              <w:jc w:val="both"/>
            </w:pPr>
          </w:p>
        </w:tc>
      </w:tr>
      <w:tr>
        <w:tc>
          <w:tcPr>
            <w:tcW w:type="dxa" w:w="610"/>
            <w:tcBorders>
              <w:top w:val="none" w:color="000000" w:sz="4"/>
              <w:left w:val="single" w:color="000000" w:sz="4"/>
              <w:bottom w:val="single" w:color="000000" w:sz="4"/>
              <w:right w:val="single" w:color="000000" w:sz="4"/>
            </w:tcBorders>
          </w:tcPr>
          <w:p>
            <w:pPr>
              <w:jc w:val="center"/>
            </w:pPr>
            <w:r>
              <w:rPr>
                <w:b/>
                <w:sz w:val="24"/>
              </w:rPr>
              <w:t>5</w:t>
            </w:r>
          </w:p>
        </w:tc>
        <w:tc>
          <w:tcPr>
            <w:tcW w:type="dxa" w:w="1679"/>
            <w:tcBorders>
              <w:top w:val="none" w:color="000000" w:sz="4"/>
              <w:left w:val="none" w:color="000000" w:sz="4"/>
              <w:bottom w:val="single" w:color="000000" w:sz="4"/>
              <w:right w:val="single" w:color="000000" w:sz="4"/>
            </w:tcBorders>
          </w:tcPr>
          <w:p>
            <w:pPr>
              <w:jc w:val="center"/>
            </w:pPr>
            <w:r>
              <w:rPr>
                <w:b/>
                <w:color w:val="000000"/>
                <w:sz w:val="24"/>
              </w:rPr>
              <w:t>质量保证期</w:t>
            </w:r>
          </w:p>
        </w:tc>
        <w:tc>
          <w:tcPr>
            <w:tcW w:type="dxa" w:w="6003"/>
            <w:tcBorders>
              <w:top w:val="none" w:color="000000" w:sz="4"/>
              <w:left w:val="none" w:color="000000" w:sz="4"/>
              <w:bottom w:val="single" w:color="000000" w:sz="4"/>
              <w:right w:val="single" w:color="000000" w:sz="4"/>
            </w:tcBorders>
          </w:tcPr>
          <w:p>
            <w:pPr>
              <w:jc w:val="both"/>
            </w:pPr>
          </w:p>
        </w:tc>
      </w:tr>
      <w:tr>
        <w:tc>
          <w:tcPr>
            <w:tcW w:type="dxa" w:w="610"/>
            <w:tcBorders>
              <w:top w:val="none" w:color="000000" w:sz="4"/>
              <w:left w:val="single" w:color="000000" w:sz="4"/>
              <w:bottom w:val="single" w:color="000000" w:sz="4"/>
              <w:right w:val="single" w:color="000000" w:sz="4"/>
            </w:tcBorders>
          </w:tcPr>
          <w:p>
            <w:pPr>
              <w:jc w:val="center"/>
            </w:pPr>
            <w:r>
              <w:rPr>
                <w:b/>
                <w:sz w:val="24"/>
              </w:rPr>
              <w:t>6</w:t>
            </w:r>
          </w:p>
        </w:tc>
        <w:tc>
          <w:tcPr>
            <w:tcW w:type="dxa" w:w="1679"/>
            <w:tcBorders>
              <w:top w:val="none" w:color="000000" w:sz="4"/>
              <w:left w:val="none" w:color="000000" w:sz="4"/>
              <w:bottom w:val="single" w:color="000000" w:sz="4"/>
              <w:right w:val="single" w:color="000000" w:sz="4"/>
            </w:tcBorders>
          </w:tcPr>
          <w:p>
            <w:pPr>
              <w:jc w:val="center"/>
            </w:pPr>
            <w:r>
              <w:rPr>
                <w:b/>
                <w:color w:val="000000"/>
                <w:sz w:val="24"/>
              </w:rPr>
              <w:t>付款方式</w:t>
            </w:r>
          </w:p>
        </w:tc>
        <w:tc>
          <w:tcPr>
            <w:tcW w:type="dxa" w:w="6003"/>
            <w:tcBorders>
              <w:top w:val="none" w:color="000000" w:sz="4"/>
              <w:left w:val="none" w:color="000000" w:sz="4"/>
              <w:bottom w:val="single" w:color="000000" w:sz="4"/>
              <w:right w:val="single" w:color="000000" w:sz="4"/>
            </w:tcBorders>
          </w:tcPr>
          <w:p>
            <w:pPr>
              <w:jc w:val="both"/>
            </w:pPr>
            <w:r>
              <w:rPr>
                <w:color w:val="000000"/>
                <w:sz w:val="24"/>
              </w:rPr>
              <w:t>(1)</w:t>
            </w:r>
            <w:r>
              <w:rPr>
                <w:color w:val="000000"/>
                <w:sz w:val="24"/>
              </w:rPr>
              <w:t>签订合同后支付合同总价的50%</w:t>
            </w:r>
            <w:r>
              <w:rPr>
                <w:color w:val="000000"/>
                <w:sz w:val="24"/>
              </w:rPr>
              <w:t>，合计¥</w:t>
            </w:r>
            <w:r>
              <w:rPr>
                <w:color w:val="000000"/>
                <w:sz w:val="24"/>
                <w:u w:val="single"/>
              </w:rPr>
              <w:t xml:space="preserve">          </w:t>
            </w:r>
            <w:r>
              <w:rPr>
                <w:color w:val="000000"/>
                <w:sz w:val="24"/>
              </w:rPr>
              <w:t>元；</w:t>
            </w:r>
          </w:p>
          <w:p>
            <w:pPr>
              <w:jc w:val="both"/>
            </w:pPr>
            <w:r>
              <w:rPr>
                <w:color w:val="000000"/>
                <w:sz w:val="24"/>
              </w:rPr>
              <w:t>(2)</w:t>
            </w:r>
            <w:r>
              <w:rPr>
                <w:sz w:val="24"/>
              </w:rPr>
              <w:t>设备安装调试结束，提交全部报告材料，调试完成并验收合格后30天内，支付至合同总价的98%</w:t>
            </w:r>
            <w:r>
              <w:rPr>
                <w:color w:val="000000"/>
                <w:sz w:val="24"/>
              </w:rPr>
              <w:t>，合计¥</w:t>
            </w:r>
            <w:r>
              <w:rPr>
                <w:color w:val="000000"/>
                <w:sz w:val="24"/>
                <w:u w:val="single"/>
              </w:rPr>
              <w:t xml:space="preserve">          </w:t>
            </w:r>
            <w:r>
              <w:rPr>
                <w:color w:val="000000"/>
                <w:sz w:val="24"/>
              </w:rPr>
              <w:t>元；</w:t>
            </w:r>
          </w:p>
          <w:p>
            <w:r>
              <w:rPr>
                <w:color w:val="000000"/>
                <w:sz w:val="24"/>
              </w:rPr>
              <w:t>(3)</w:t>
            </w:r>
            <w:r>
              <w:rPr>
                <w:sz w:val="24"/>
              </w:rPr>
              <w:t>从验收合格之日起，正常使用12个月后30天内，支付合同总价的2%</w:t>
            </w:r>
            <w:r>
              <w:rPr>
                <w:color w:val="000000"/>
                <w:sz w:val="24"/>
              </w:rPr>
              <w:t>，合计¥</w:t>
            </w:r>
            <w:r>
              <w:rPr>
                <w:color w:val="000000"/>
                <w:sz w:val="24"/>
                <w:u w:val="single"/>
              </w:rPr>
              <w:t xml:space="preserve">          </w:t>
            </w:r>
            <w:r>
              <w:rPr>
                <w:color w:val="000000"/>
                <w:sz w:val="24"/>
              </w:rPr>
              <w:t>元</w:t>
            </w:r>
            <w:r>
              <w:rPr>
                <w:color w:val="000000"/>
                <w:sz w:val="24"/>
              </w:rPr>
              <w:t>。</w:t>
            </w:r>
          </w:p>
          <w:p>
            <w:r>
              <w:rPr>
                <w:color w:val="000000"/>
                <w:sz w:val="24"/>
              </w:rPr>
              <w:t>注：乙方凭以下有效文件与甲方结算：①合同；②乙方开具的正式发票；③验收调试报告；④成交通知书。</w:t>
            </w:r>
          </w:p>
        </w:tc>
      </w:tr>
      <w:tr>
        <w:tc>
          <w:tcPr>
            <w:tcW w:type="dxa" w:w="610"/>
            <w:tcBorders>
              <w:top w:val="none" w:color="000000" w:sz="4"/>
              <w:left w:val="single" w:color="000000" w:sz="4"/>
              <w:bottom w:val="single" w:color="000000" w:sz="4"/>
              <w:right w:val="single" w:color="000000" w:sz="4"/>
            </w:tcBorders>
          </w:tcPr>
          <w:p>
            <w:pPr>
              <w:jc w:val="center"/>
            </w:pPr>
            <w:r>
              <w:rPr>
                <w:b/>
                <w:sz w:val="24"/>
              </w:rPr>
              <w:t>7</w:t>
            </w:r>
          </w:p>
        </w:tc>
        <w:tc>
          <w:tcPr>
            <w:tcW w:type="dxa" w:w="1679"/>
            <w:tcBorders>
              <w:top w:val="none" w:color="000000" w:sz="4"/>
              <w:left w:val="none" w:color="000000" w:sz="4"/>
              <w:bottom w:val="single" w:color="000000" w:sz="4"/>
              <w:right w:val="single" w:color="000000" w:sz="4"/>
            </w:tcBorders>
          </w:tcPr>
          <w:p>
            <w:pPr>
              <w:jc w:val="center"/>
            </w:pPr>
            <w:r>
              <w:rPr>
                <w:b/>
                <w:color w:val="000000"/>
                <w:sz w:val="24"/>
              </w:rPr>
              <w:t>付款要求</w:t>
            </w:r>
          </w:p>
        </w:tc>
        <w:tc>
          <w:tcPr>
            <w:tcW w:type="dxa" w:w="6003"/>
            <w:tcBorders>
              <w:top w:val="none" w:color="000000" w:sz="4"/>
              <w:left w:val="none" w:color="000000" w:sz="4"/>
              <w:bottom w:val="single" w:color="000000" w:sz="4"/>
              <w:right w:val="single" w:color="000000" w:sz="4"/>
            </w:tcBorders>
          </w:tcPr>
          <w:p>
            <w:pPr>
              <w:jc w:val="both"/>
            </w:pPr>
            <w:r>
              <w:rPr>
                <w:color w:val="000000"/>
                <w:sz w:val="24"/>
              </w:rPr>
              <w:t>(1)</w:t>
            </w:r>
            <w:r>
              <w:rPr>
                <w:color w:val="000000"/>
                <w:sz w:val="24"/>
              </w:rPr>
              <w:t>乙方须向甲方提供依法纳税的发票。</w:t>
            </w:r>
          </w:p>
          <w:p>
            <w:pPr>
              <w:jc w:val="both"/>
            </w:pPr>
            <w:r>
              <w:rPr>
                <w:color w:val="000000"/>
                <w:sz w:val="24"/>
              </w:rPr>
              <w:t>(2)</w:t>
            </w:r>
            <w:r>
              <w:rPr>
                <w:color w:val="000000"/>
                <w:sz w:val="24"/>
              </w:rPr>
              <w:t>货款以转账方式转入乙方的银行账户。</w:t>
            </w:r>
          </w:p>
          <w:p>
            <w:pPr>
              <w:jc w:val="both"/>
            </w:pPr>
            <w:r>
              <w:rPr>
                <w:color w:val="000000"/>
                <w:sz w:val="24"/>
              </w:rPr>
              <w:t>(3)</w:t>
            </w:r>
            <w:r>
              <w:rPr>
                <w:color w:val="000000"/>
                <w:sz w:val="24"/>
              </w:rPr>
              <w:t>收款方、出具发票方、合同乙方均必须与中标（成交）供应商名称一致。</w:t>
            </w:r>
          </w:p>
        </w:tc>
      </w:tr>
    </w:tbl>
    <w:p>
      <w:pPr>
        <w:jc w:val="both"/>
      </w:pPr>
      <w:r>
        <w:rPr>
          <w:b/>
          <w:color w:val="000000"/>
          <w:sz w:val="24"/>
        </w:rPr>
        <w:t>四、安装与调试：</w:t>
      </w:r>
    </w:p>
    <w:p>
      <w:pPr>
        <w:ind w:firstLine="480"/>
        <w:jc w:val="both"/>
      </w:pPr>
      <w:r>
        <w:rPr>
          <w:color w:val="000000"/>
          <w:sz w:val="24"/>
        </w:rPr>
        <w:t>以符合采购文件要求和响应承诺的前提下，</w:t>
      </w:r>
      <w:r>
        <w:rPr>
          <w:color w:val="000000"/>
          <w:sz w:val="24"/>
        </w:rPr>
        <w:t>乙方</w:t>
      </w:r>
      <w:r>
        <w:rPr>
          <w:color w:val="000000"/>
          <w:sz w:val="24"/>
        </w:rPr>
        <w:t>将设备（系统）安装并调试至正常运行的最佳状态且双方均认为满意。</w:t>
      </w:r>
    </w:p>
    <w:p>
      <w:pPr>
        <w:jc w:val="both"/>
      </w:pPr>
      <w:r>
        <w:rPr>
          <w:b/>
          <w:color w:val="000000"/>
          <w:sz w:val="24"/>
        </w:rPr>
        <w:t>五、验收标准与要求：</w:t>
      </w:r>
    </w:p>
    <w:p>
      <w:pPr>
        <w:jc w:val="both"/>
      </w:pPr>
      <w:r>
        <w:rPr>
          <w:b/>
          <w:color w:val="000000"/>
          <w:sz w:val="24"/>
        </w:rPr>
        <w:t>1.</w:t>
      </w:r>
      <w:r>
        <w:rPr>
          <w:color w:val="000000"/>
          <w:sz w:val="24"/>
        </w:rPr>
        <w:t>交付验收：在设备安装调试完毕、工程初步验收合格后10个工作日内，乙方以甲方的名义作为终端客户，负责办理所有产品设备(包括保修卡)的一切保修注册备案手续，</w:t>
      </w:r>
      <w:r>
        <w:rPr>
          <w:sz w:val="24"/>
        </w:rPr>
        <w:t>乙方</w:t>
      </w:r>
      <w:r>
        <w:rPr>
          <w:sz w:val="24"/>
        </w:rPr>
        <w:t>/</w:t>
      </w:r>
      <w:r>
        <w:rPr>
          <w:sz w:val="24"/>
        </w:rPr>
        <w:t>厂家要保证在甲方现有的场地、配置等条件下，安装调试至甲方在实际工作中正常使用。</w:t>
      </w:r>
      <w:r>
        <w:rPr>
          <w:color w:val="000000"/>
          <w:sz w:val="24"/>
        </w:rPr>
        <w:t>然后由双方或法定专业质检部门共同验收并出具验收确认书，验收交付前的保管安全责任由乙方负责，甲方为此可无偿提供必要的临时仓储场所。</w:t>
      </w:r>
    </w:p>
    <w:p>
      <w:pPr>
        <w:jc w:val="both"/>
      </w:pPr>
      <w:r>
        <w:rPr>
          <w:sz w:val="21"/>
        </w:rPr>
        <w:t xml:space="preserve">   </w:t>
      </w:r>
      <w:r>
        <w:rPr>
          <w:color w:val="000000"/>
          <w:sz w:val="24"/>
        </w:rPr>
        <w:t>如果成交货物属于《计量法》规定的强检计量器具的或属于压力容器的，应在验收交付前提交当地法定专业检定部门出具的检定合格证书，检定费用由乙方负责。</w:t>
      </w:r>
    </w:p>
    <w:p>
      <w:pPr>
        <w:jc w:val="both"/>
      </w:pPr>
      <w:r>
        <w:rPr>
          <w:b/>
          <w:color w:val="000000"/>
          <w:sz w:val="24"/>
        </w:rPr>
        <w:t>2.</w:t>
      </w:r>
      <w:r>
        <w:rPr>
          <w:color w:val="000000"/>
          <w:sz w:val="24"/>
        </w:rPr>
        <w:t>项目验收依次序对照执行标准为：</w:t>
      </w:r>
      <w:r>
        <w:rPr>
          <w:color w:val="000000"/>
          <w:sz w:val="24"/>
        </w:rPr>
        <w:t>①</w:t>
      </w:r>
      <w:r>
        <w:rPr>
          <w:color w:val="000000"/>
          <w:sz w:val="24"/>
        </w:rPr>
        <w:t>符合中华人民共和国国家和履约地相关安全质量标准、行业技术规范标准、环保节能标准；</w:t>
      </w:r>
      <w:r>
        <w:rPr>
          <w:color w:val="000000"/>
          <w:sz w:val="24"/>
        </w:rPr>
        <w:t>②</w:t>
      </w:r>
      <w:r>
        <w:rPr>
          <w:color w:val="000000"/>
          <w:sz w:val="24"/>
        </w:rPr>
        <w:t>符合采购文件和响应承诺中各方共同认可的合理最佳配置、参数规格及各项要求；</w:t>
      </w:r>
      <w:r>
        <w:rPr>
          <w:color w:val="000000"/>
          <w:sz w:val="24"/>
        </w:rPr>
        <w:t>③</w:t>
      </w:r>
      <w:r>
        <w:rPr>
          <w:color w:val="000000"/>
          <w:sz w:val="24"/>
        </w:rPr>
        <w:t>符合产品来源国官方颁布的最新标准；</w:t>
      </w:r>
      <w:r>
        <w:rPr>
          <w:color w:val="000000"/>
          <w:sz w:val="24"/>
        </w:rPr>
        <w:t>④</w:t>
      </w:r>
      <w:r>
        <w:rPr>
          <w:color w:val="000000"/>
          <w:sz w:val="24"/>
        </w:rPr>
        <w:t>双方约定的其他验收标准。</w:t>
      </w:r>
    </w:p>
    <w:p>
      <w:pPr>
        <w:jc w:val="both"/>
      </w:pPr>
      <w:r>
        <w:rPr>
          <w:b/>
          <w:color w:val="000000"/>
          <w:sz w:val="24"/>
        </w:rPr>
        <w:t>3.</w:t>
      </w:r>
      <w:r>
        <w:rPr>
          <w:color w:val="000000"/>
          <w:sz w:val="24"/>
        </w:rPr>
        <w:t>货物须在《医疗器械注册证》有效期内生产，且为近</w:t>
      </w:r>
      <w:r>
        <w:rPr>
          <w:color w:val="000000"/>
          <w:sz w:val="24"/>
          <w:u w:val="single"/>
        </w:rPr>
        <w:t xml:space="preserve">   </w:t>
      </w:r>
      <w:r>
        <w:rPr>
          <w:color w:val="000000"/>
          <w:sz w:val="24"/>
        </w:rPr>
        <w:t>个月内原厂制造的全新合格产品，且有合法透明的来源渠道，整机无污染、无侵权行为、表面无划损、无任何缺陷隐患，可依常规合法安全使用。</w:t>
      </w:r>
    </w:p>
    <w:p>
      <w:pPr>
        <w:jc w:val="both"/>
      </w:pPr>
      <w:r>
        <w:rPr>
          <w:b/>
          <w:color w:val="000000"/>
          <w:sz w:val="24"/>
        </w:rPr>
        <w:t>4.</w:t>
      </w:r>
      <w:r>
        <w:rPr>
          <w:color w:val="000000"/>
          <w:sz w:val="24"/>
        </w:rPr>
        <w:t>包装标准为原厂制造商未启封全新包装，序列号、包装箱号与出厂批号一致，并可追索查阅。</w:t>
      </w:r>
    </w:p>
    <w:p>
      <w:pPr>
        <w:jc w:val="both"/>
      </w:pPr>
      <w:r>
        <w:rPr>
          <w:b/>
          <w:color w:val="000000"/>
          <w:sz w:val="24"/>
        </w:rPr>
        <w:t>六、质保期及售后服务要求</w:t>
      </w:r>
      <w:r>
        <w:rPr>
          <w:b/>
          <w:color w:val="000000"/>
          <w:sz w:val="24"/>
        </w:rPr>
        <w:t>：</w:t>
      </w:r>
    </w:p>
    <w:p>
      <w:pPr>
        <w:jc w:val="both"/>
      </w:pPr>
      <w:r>
        <w:rPr>
          <w:b/>
          <w:color w:val="000000"/>
          <w:sz w:val="24"/>
        </w:rPr>
        <w:t>1.</w:t>
      </w:r>
      <w:r>
        <w:rPr>
          <w:color w:val="000000"/>
          <w:sz w:val="24"/>
        </w:rPr>
        <w:t>质量保证期（简称“质保期”）内乙方对所供货物实行包修、包换、包退、包维护保养，期满后可同时提供终身</w:t>
      </w:r>
      <w:r>
        <w:rPr>
          <w:b/>
          <w:color w:val="000000"/>
          <w:sz w:val="24"/>
        </w:rPr>
        <w:t>（</w:t>
      </w:r>
      <w:r>
        <w:rPr>
          <w:b/>
          <w:sz w:val="24"/>
          <w:u w:val="single"/>
        </w:rPr>
        <w:t>免费 / 有偿</w:t>
      </w:r>
      <w:r>
        <w:rPr>
          <w:color w:val="000000"/>
          <w:sz w:val="24"/>
        </w:rPr>
        <w:t>）维修保养服务。质保期内甲方对乙方享有追索权。</w:t>
      </w:r>
    </w:p>
    <w:p>
      <w:pPr>
        <w:jc w:val="both"/>
      </w:pPr>
      <w:r>
        <w:rPr>
          <w:b/>
          <w:color w:val="000000"/>
          <w:sz w:val="24"/>
        </w:rPr>
        <w:t>2.</w:t>
      </w:r>
      <w:r>
        <w:rPr>
          <w:color w:val="000000"/>
          <w:sz w:val="24"/>
        </w:rPr>
        <w:t>质保期内，如设备或零部件非人为因素出现故障而造成短期停用时，则质保期和免费维修期相应顺延。如货物因自身故障致停用时间累计超过20天时，则质保期在状态恢复正常时归零重新计算或对故障设备予以重新更换。</w:t>
      </w:r>
    </w:p>
    <w:p>
      <w:pPr>
        <w:jc w:val="both"/>
      </w:pPr>
      <w:r>
        <w:rPr>
          <w:b/>
          <w:color w:val="000000"/>
          <w:sz w:val="24"/>
        </w:rPr>
        <w:t>3.</w:t>
      </w:r>
      <w:r>
        <w:rPr>
          <w:sz w:val="24"/>
        </w:rPr>
        <w:t>质保期内，每季度对设备免费提供定期保养维护，出具保养维护记录，保养维护内容包括但不限于：机器清洁，性能测试及校准，必要的机械或电气检查，以及非紧急性质的补救性维修</w:t>
      </w:r>
      <w:r>
        <w:rPr>
          <w:color w:val="000000"/>
          <w:sz w:val="24"/>
        </w:rPr>
        <w:t>。</w:t>
      </w:r>
    </w:p>
    <w:p>
      <w:pPr>
        <w:jc w:val="both"/>
      </w:pPr>
      <w:r>
        <w:rPr>
          <w:b/>
          <w:color w:val="000000"/>
          <w:sz w:val="24"/>
        </w:rPr>
        <w:t>4.</w:t>
      </w:r>
      <w:r>
        <w:rPr>
          <w:color w:val="000000"/>
          <w:sz w:val="24"/>
        </w:rPr>
        <w:t>乙方负责向甲方提供现场安全操作及必要的维护保养培训。</w:t>
      </w:r>
    </w:p>
    <w:p>
      <w:pPr>
        <w:jc w:val="both"/>
      </w:pPr>
      <w:r>
        <w:rPr>
          <w:b/>
          <w:color w:val="000000"/>
          <w:sz w:val="24"/>
        </w:rPr>
        <w:t>5.</w:t>
      </w:r>
      <w:r>
        <w:rPr>
          <w:color w:val="000000"/>
          <w:sz w:val="24"/>
        </w:rPr>
        <w:t>乙方设有长期稳定可靠的售后服务机构，并提供常设服务专线和长期的免费技术支持。</w:t>
      </w:r>
    </w:p>
    <w:p>
      <w:pPr>
        <w:jc w:val="both"/>
      </w:pPr>
      <w:r>
        <w:rPr>
          <w:b/>
          <w:color w:val="000000"/>
          <w:sz w:val="24"/>
        </w:rPr>
        <w:t>6.</w:t>
      </w:r>
      <w:r>
        <w:rPr>
          <w:color w:val="000000"/>
          <w:sz w:val="24"/>
        </w:rPr>
        <w:t>对甲方的售后服务通知，乙方接报后8小时内响应，12小时内到达现场，48小时内处理完毕。若48小时内仍未处理完毕，乙方必须免费</w:t>
      </w:r>
      <w:r>
        <w:rPr>
          <w:sz w:val="24"/>
        </w:rPr>
        <w:t>提供</w:t>
      </w:r>
      <w:r>
        <w:rPr>
          <w:sz w:val="24"/>
        </w:rPr>
        <w:t>相同型号的</w:t>
      </w:r>
      <w:r>
        <w:rPr>
          <w:sz w:val="24"/>
        </w:rPr>
        <w:t>备用设备</w:t>
      </w:r>
      <w:r>
        <w:rPr>
          <w:color w:val="000000"/>
          <w:sz w:val="24"/>
        </w:rPr>
        <w:t>予甲方临时使用或采取应急措施解决，不得影响甲方的正常工作业务。</w:t>
      </w:r>
    </w:p>
    <w:p>
      <w:pPr>
        <w:jc w:val="both"/>
      </w:pPr>
      <w:r>
        <w:rPr>
          <w:b/>
          <w:color w:val="000000"/>
          <w:sz w:val="24"/>
        </w:rPr>
        <w:t>7.</w:t>
      </w:r>
      <w:r>
        <w:rPr>
          <w:color w:val="000000"/>
          <w:sz w:val="24"/>
        </w:rPr>
        <w:t>提供完整的厂家维修手册、维修软件、开放维修密码；提供代理商及厂家售后服务机构联络方式；提供完整安装软件，用于日后系统重装；提供设备的运行、安装、使用环境要求；提供使用人员现场技术培训，保证使用人员正常操作设备的各种功能。</w:t>
      </w:r>
    </w:p>
    <w:p>
      <w:pPr>
        <w:jc w:val="both"/>
      </w:pPr>
      <w:r>
        <w:rPr>
          <w:b/>
          <w:color w:val="000000"/>
          <w:sz w:val="24"/>
        </w:rPr>
        <w:t>8.</w:t>
      </w:r>
      <w:r>
        <w:rPr>
          <w:color w:val="000000"/>
          <w:sz w:val="24"/>
        </w:rPr>
        <w:t>软件免费升级。</w:t>
      </w:r>
    </w:p>
    <w:p>
      <w:pPr>
        <w:jc w:val="both"/>
      </w:pPr>
      <w:r>
        <w:rPr>
          <w:b/>
          <w:color w:val="000000"/>
          <w:sz w:val="24"/>
        </w:rPr>
        <w:t>9.</w:t>
      </w:r>
      <w:r>
        <w:rPr>
          <w:color w:val="000000"/>
          <w:sz w:val="24"/>
        </w:rPr>
        <w:t>乙方售后服务机构名称及地址：</w:t>
      </w:r>
    </w:p>
    <w:p>
      <w:pPr>
        <w:jc w:val="both"/>
      </w:pPr>
      <w:r>
        <w:rPr>
          <w:b/>
          <w:color w:val="000000"/>
          <w:sz w:val="24"/>
        </w:rPr>
        <w:t>9.1.</w:t>
      </w:r>
      <w:r>
        <w:rPr>
          <w:color w:val="000000"/>
          <w:sz w:val="24"/>
        </w:rPr>
        <w:t>代理商售后服务机构名称：</w:t>
      </w:r>
      <w:r>
        <w:rPr>
          <w:color w:val="000000"/>
          <w:sz w:val="24"/>
          <w:u w:val="single"/>
        </w:rPr>
        <w:t xml:space="preserve">                               </w:t>
      </w:r>
      <w:r>
        <w:rPr>
          <w:color w:val="000000"/>
          <w:sz w:val="24"/>
        </w:rPr>
        <w:t>；</w:t>
      </w:r>
    </w:p>
    <w:p>
      <w:pPr>
        <w:jc w:val="both"/>
      </w:pPr>
      <w:r>
        <w:rPr>
          <w:color w:val="000000"/>
          <w:sz w:val="24"/>
        </w:rPr>
        <w:t>联系人：</w:t>
      </w:r>
      <w:r>
        <w:rPr>
          <w:color w:val="000000"/>
          <w:sz w:val="24"/>
          <w:u w:val="single"/>
        </w:rPr>
        <w:t xml:space="preserve">         </w:t>
      </w:r>
      <w:r>
        <w:rPr>
          <w:color w:val="000000"/>
          <w:sz w:val="24"/>
        </w:rPr>
        <w:t>，联系电话：</w:t>
      </w:r>
      <w:r>
        <w:rPr>
          <w:color w:val="000000"/>
          <w:sz w:val="24"/>
          <w:u w:val="single"/>
        </w:rPr>
        <w:t xml:space="preserve">           </w:t>
      </w:r>
      <w:r>
        <w:rPr>
          <w:color w:val="000000"/>
          <w:sz w:val="24"/>
        </w:rPr>
        <w:t>，手机：</w:t>
      </w:r>
      <w:r>
        <w:rPr>
          <w:color w:val="000000"/>
          <w:sz w:val="24"/>
          <w:u w:val="single"/>
        </w:rPr>
        <w:t xml:space="preserve">         </w:t>
      </w:r>
      <w:r>
        <w:rPr>
          <w:color w:val="000000"/>
          <w:sz w:val="24"/>
        </w:rPr>
        <w:t>。</w:t>
      </w:r>
    </w:p>
    <w:p>
      <w:pPr>
        <w:jc w:val="both"/>
      </w:pPr>
      <w:r>
        <w:rPr>
          <w:b/>
          <w:color w:val="000000"/>
          <w:sz w:val="24"/>
        </w:rPr>
        <w:t>9.2.</w:t>
      </w:r>
      <w:r>
        <w:rPr>
          <w:color w:val="000000"/>
          <w:sz w:val="24"/>
        </w:rPr>
        <w:t>厂家售后服务机构名称：</w:t>
      </w:r>
      <w:r>
        <w:rPr>
          <w:color w:val="000000"/>
          <w:sz w:val="24"/>
          <w:u w:val="single"/>
        </w:rPr>
        <w:t xml:space="preserve">                                 </w:t>
      </w:r>
      <w:r>
        <w:rPr>
          <w:color w:val="000000"/>
          <w:sz w:val="24"/>
        </w:rPr>
        <w:t>；</w:t>
      </w:r>
    </w:p>
    <w:p>
      <w:pPr>
        <w:jc w:val="both"/>
      </w:pPr>
      <w:r>
        <w:rPr>
          <w:color w:val="000000"/>
          <w:sz w:val="24"/>
        </w:rPr>
        <w:t>联系人：</w:t>
      </w:r>
      <w:r>
        <w:rPr>
          <w:color w:val="000000"/>
          <w:sz w:val="24"/>
          <w:u w:val="single"/>
        </w:rPr>
        <w:t xml:space="preserve">         </w:t>
      </w:r>
      <w:r>
        <w:rPr>
          <w:color w:val="000000"/>
          <w:sz w:val="24"/>
        </w:rPr>
        <w:t>，联系电话：</w:t>
      </w:r>
      <w:r>
        <w:rPr>
          <w:color w:val="000000"/>
          <w:sz w:val="24"/>
          <w:u w:val="single"/>
        </w:rPr>
        <w:t xml:space="preserve">           </w:t>
      </w:r>
      <w:r>
        <w:rPr>
          <w:color w:val="000000"/>
          <w:sz w:val="24"/>
        </w:rPr>
        <w:t>，手机：</w:t>
      </w:r>
      <w:r>
        <w:rPr>
          <w:color w:val="000000"/>
          <w:sz w:val="24"/>
          <w:u w:val="single"/>
        </w:rPr>
        <w:t xml:space="preserve">         </w:t>
      </w:r>
      <w:r>
        <w:rPr>
          <w:color w:val="000000"/>
          <w:sz w:val="24"/>
        </w:rPr>
        <w:t>。</w:t>
      </w:r>
    </w:p>
    <w:p>
      <w:pPr>
        <w:jc w:val="both"/>
      </w:pPr>
      <w:r>
        <w:rPr>
          <w:b/>
          <w:color w:val="000000"/>
          <w:sz w:val="24"/>
        </w:rPr>
        <w:t>七、知识产权和保密要求：</w:t>
      </w:r>
    </w:p>
    <w:p>
      <w:pPr>
        <w:jc w:val="both"/>
      </w:pPr>
      <w:r>
        <w:rPr>
          <w:b/>
          <w:color w:val="000000"/>
          <w:sz w:val="24"/>
        </w:rPr>
        <w:t>1.</w:t>
      </w:r>
      <w:r>
        <w:rPr>
          <w:color w:val="000000"/>
          <w:sz w:val="24"/>
        </w:rPr>
        <w:t>乙方必须保证甲方在中华人民共和国境内使用的所投货物、资料、技术、服务或其任何一部分时，享有不受限制的无偿使用权，不会产生因第三方提出侵犯其专利权、商标权或其它知识产权而引起的法律或经济纠纷，如有第三方向甲方提出侵犯其专利权、商标权或其它知识产权的主张，须由乙方自行承担对第三方的专利或版权的侵权责任并承担因此而发生的所有费用。</w:t>
      </w:r>
    </w:p>
    <w:p>
      <w:pPr>
        <w:jc w:val="both"/>
      </w:pPr>
      <w:r>
        <w:rPr>
          <w:b/>
          <w:color w:val="000000"/>
          <w:sz w:val="24"/>
        </w:rPr>
        <w:t>2.</w:t>
      </w:r>
      <w:r>
        <w:rPr>
          <w:color w:val="000000"/>
          <w:sz w:val="24"/>
        </w:rPr>
        <w:t>如乙方不拥有相应的知识产权，则在报价中必须包括合法获取该知识产权应向所有权人支付的专利权、商标权或其它知识产权的一切相关费用。</w:t>
      </w:r>
    </w:p>
    <w:p>
      <w:pPr>
        <w:jc w:val="both"/>
      </w:pPr>
      <w:r>
        <w:rPr>
          <w:b/>
          <w:color w:val="000000"/>
          <w:sz w:val="24"/>
        </w:rPr>
        <w:t>3.</w:t>
      </w:r>
      <w:r>
        <w:rPr>
          <w:color w:val="000000"/>
          <w:sz w:val="24"/>
        </w:rPr>
        <w:t>甲方有权在项目实施过程中使用成交方案中乙方享有合法权利的著作权、专利权等自主知识产权，对于成交方案中涉及的他人所有的知识产权，乙方有义务获得许可，否则甲方有权解除合同并要求退还已支付的费用，甲方因此受到损害的，有权要求乙方予以赔偿。</w:t>
      </w:r>
    </w:p>
    <w:p>
      <w:pPr>
        <w:jc w:val="both"/>
      </w:pPr>
      <w:r>
        <w:rPr>
          <w:b/>
          <w:color w:val="000000"/>
          <w:sz w:val="24"/>
        </w:rPr>
        <w:t>八、违约责任</w:t>
      </w:r>
      <w:r>
        <w:rPr>
          <w:b/>
          <w:color w:val="000000"/>
          <w:sz w:val="24"/>
        </w:rPr>
        <w:t>：</w:t>
      </w:r>
    </w:p>
    <w:p>
      <w:pPr>
        <w:jc w:val="both"/>
      </w:pPr>
      <w:r>
        <w:rPr>
          <w:b/>
          <w:color w:val="000000"/>
          <w:sz w:val="24"/>
        </w:rPr>
        <w:t>1.</w:t>
      </w:r>
      <w:r>
        <w:rPr>
          <w:color w:val="000000"/>
          <w:sz w:val="24"/>
        </w:rPr>
        <w:t>乙方未按要求履行合同义务时，须从违约之日起每日按合同总额的2‰比例向甲方支付违约金；逾期15日以上时，甲方有权终止合同，由此造成甲方的经济损失由乙方承担。违约金不足以弥补损失的，乙方应按全额赔偿。</w:t>
      </w:r>
    </w:p>
    <w:p>
      <w:pPr>
        <w:jc w:val="both"/>
      </w:pPr>
      <w:r>
        <w:rPr>
          <w:b/>
          <w:color w:val="000000"/>
          <w:sz w:val="24"/>
        </w:rPr>
        <w:t>2.</w:t>
      </w:r>
      <w:r>
        <w:rPr>
          <w:color w:val="000000"/>
          <w:sz w:val="24"/>
        </w:rPr>
        <w:t>甲方未按要求履行合同义务时，或无故拖延验收、付款时，甲方须向乙方支付滞纳金，标准为每日按逾期应付款总额的2‰累计。</w:t>
      </w:r>
    </w:p>
    <w:p>
      <w:pPr>
        <w:jc w:val="both"/>
      </w:pPr>
      <w:r>
        <w:rPr>
          <w:b/>
          <w:color w:val="000000"/>
          <w:sz w:val="24"/>
        </w:rPr>
        <w:t>3.</w:t>
      </w:r>
      <w:r>
        <w:rPr>
          <w:color w:val="000000"/>
          <w:sz w:val="24"/>
        </w:rPr>
        <w:t>其它违约责任按《中华人民共和国民法典》处理。</w:t>
      </w:r>
    </w:p>
    <w:p>
      <w:pPr>
        <w:jc w:val="both"/>
      </w:pPr>
      <w:r>
        <w:rPr>
          <w:b/>
          <w:color w:val="000000"/>
          <w:sz w:val="24"/>
        </w:rPr>
        <w:t>4.</w:t>
      </w:r>
      <w:r>
        <w:rPr>
          <w:color w:val="000000"/>
          <w:sz w:val="24"/>
        </w:rPr>
        <w:t>守约方为维护自身合法权益所产生的仲裁或诉讼费、律师费、保全费、担保费等，由违约方承担。</w:t>
      </w:r>
    </w:p>
    <w:p>
      <w:pPr>
        <w:jc w:val="both"/>
      </w:pPr>
      <w:r>
        <w:rPr>
          <w:b/>
          <w:color w:val="000000"/>
          <w:sz w:val="24"/>
        </w:rPr>
        <w:t>九、提出异议的时间</w:t>
      </w:r>
      <w:r>
        <w:rPr>
          <w:b/>
          <w:color w:val="000000"/>
          <w:sz w:val="24"/>
        </w:rPr>
        <w:t>和方法</w:t>
      </w:r>
      <w:r>
        <w:rPr>
          <w:b/>
          <w:color w:val="000000"/>
          <w:sz w:val="24"/>
        </w:rPr>
        <w:t>：</w:t>
      </w:r>
    </w:p>
    <w:p>
      <w:pPr>
        <w:jc w:val="both"/>
      </w:pPr>
      <w:r>
        <w:rPr>
          <w:b/>
          <w:color w:val="000000"/>
          <w:sz w:val="24"/>
        </w:rPr>
        <w:t>1.</w:t>
      </w:r>
      <w:r>
        <w:rPr>
          <w:color w:val="000000"/>
          <w:sz w:val="24"/>
        </w:rPr>
        <w:t>甲方在验收后60天内如对货物的型号、规格、质量有异议时，应在妥善保管货物的同时，即向乙方提出书面异议。</w:t>
      </w:r>
    </w:p>
    <w:p>
      <w:pPr>
        <w:jc w:val="both"/>
      </w:pPr>
      <w:r>
        <w:rPr>
          <w:b/>
          <w:color w:val="000000"/>
          <w:sz w:val="24"/>
        </w:rPr>
        <w:t>2.</w:t>
      </w:r>
      <w:r>
        <w:rPr>
          <w:color w:val="000000"/>
          <w:sz w:val="24"/>
        </w:rPr>
        <w:t>乙方在接到甲方书面异议后，应在3天内负责处理并函复甲方处理情况，否则，即视为默认甲方提出的异议和处理意见。</w:t>
      </w:r>
    </w:p>
    <w:p>
      <w:pPr>
        <w:jc w:val="both"/>
      </w:pPr>
      <w:r>
        <w:rPr>
          <w:b/>
          <w:color w:val="000000"/>
          <w:sz w:val="24"/>
        </w:rPr>
        <w:t>3.</w:t>
      </w:r>
      <w:r>
        <w:rPr>
          <w:color w:val="000000"/>
          <w:sz w:val="24"/>
        </w:rPr>
        <w:t>甲方因违章操作、保管、保养不善等人为造成货物损毁，所提出的异议乙方有权不予接受。</w:t>
      </w:r>
    </w:p>
    <w:p>
      <w:pPr>
        <w:jc w:val="both"/>
      </w:pPr>
      <w:r>
        <w:rPr>
          <w:b/>
          <w:color w:val="000000"/>
          <w:sz w:val="24"/>
        </w:rPr>
        <w:t>4.</w:t>
      </w:r>
      <w:r>
        <w:rPr>
          <w:color w:val="000000"/>
          <w:sz w:val="24"/>
        </w:rPr>
        <w:t>乙方利用专业技术和行业信息优势之便，以不道德的手段，故意隐瞒和掩盖自身缔约过失，违背投标（响应）承诺和未尽义务，损害了甲方的合法权益，甲方在任何时候均可追究乙方的违约责任并索取赔偿，且不受验收程序、质保期和合同时效的限制。</w:t>
      </w:r>
    </w:p>
    <w:p>
      <w:pPr>
        <w:jc w:val="both"/>
      </w:pPr>
      <w:r>
        <w:rPr>
          <w:b/>
          <w:color w:val="000000"/>
          <w:sz w:val="24"/>
        </w:rPr>
        <w:t>十、争议的解决</w:t>
      </w:r>
      <w:r>
        <w:rPr>
          <w:b/>
          <w:color w:val="000000"/>
          <w:sz w:val="24"/>
        </w:rPr>
        <w:t>：</w:t>
      </w:r>
    </w:p>
    <w:p>
      <w:pPr>
        <w:jc w:val="both"/>
      </w:pPr>
      <w:r>
        <w:rPr>
          <w:b/>
          <w:color w:val="000000"/>
          <w:sz w:val="24"/>
        </w:rPr>
        <w:t>1.</w:t>
      </w:r>
      <w:r>
        <w:rPr>
          <w:color w:val="000000"/>
          <w:sz w:val="24"/>
        </w:rPr>
        <w:t>合同履行过程中发生的任何争议，如双方未能通过友好协商解决，应向佛山市有管辖权的人民法院提起诉讼。对所交付标的物质量有争议的，统一由佛山市辖属的专业检测机构进行终局鉴定。鉴定结果符合质量技术标准时，鉴定费由委托方承担，否则鉴定费由乙方承担。</w:t>
      </w:r>
    </w:p>
    <w:p>
      <w:pPr>
        <w:jc w:val="both"/>
      </w:pPr>
      <w:r>
        <w:rPr>
          <w:b/>
          <w:color w:val="000000"/>
          <w:sz w:val="24"/>
        </w:rPr>
        <w:t>2.</w:t>
      </w:r>
      <w:r>
        <w:rPr>
          <w:color w:val="000000"/>
          <w:sz w:val="24"/>
        </w:rPr>
        <w:t>法院审理期间，除提交法院审理的事项外，其它无争议的事项和条款仍应继续履行。</w:t>
      </w:r>
    </w:p>
    <w:p>
      <w:pPr>
        <w:jc w:val="both"/>
      </w:pPr>
      <w:r>
        <w:rPr>
          <w:b/>
          <w:color w:val="000000"/>
          <w:sz w:val="24"/>
        </w:rPr>
        <w:t>十一、不可抗力</w:t>
      </w:r>
      <w:r>
        <w:rPr>
          <w:b/>
          <w:color w:val="000000"/>
          <w:sz w:val="24"/>
        </w:rPr>
        <w:t>：</w:t>
      </w:r>
    </w:p>
    <w:p>
      <w:pPr>
        <w:ind w:firstLine="480"/>
        <w:jc w:val="both"/>
      </w:pPr>
      <w:r>
        <w:rPr>
          <w:color w:val="000000"/>
          <w:sz w:val="24"/>
        </w:rPr>
        <w:t>任何一方由于不可抗力原因不能履行合同时，应在不可抗力事件结束后48小时内向对方通报，以减轻可能给对方造成的损失，在取得有关机构的不可抗力证明或双方谅解确认后，允许延期履行或修订合同，并根据情况可部分或全部免于承担违约责任。</w:t>
      </w:r>
    </w:p>
    <w:p>
      <w:pPr>
        <w:jc w:val="both"/>
      </w:pPr>
      <w:r>
        <w:rPr>
          <w:b/>
          <w:color w:val="000000"/>
          <w:sz w:val="24"/>
        </w:rPr>
        <w:t>十二、税费</w:t>
      </w:r>
      <w:r>
        <w:rPr>
          <w:b/>
          <w:color w:val="000000"/>
          <w:sz w:val="24"/>
        </w:rPr>
        <w:t>：</w:t>
      </w:r>
    </w:p>
    <w:p>
      <w:pPr>
        <w:jc w:val="both"/>
      </w:pPr>
      <w:r>
        <w:rPr>
          <w:b/>
          <w:color w:val="000000"/>
          <w:sz w:val="24"/>
        </w:rPr>
        <w:t>1.</w:t>
      </w:r>
      <w:r>
        <w:rPr>
          <w:color w:val="000000"/>
          <w:sz w:val="24"/>
        </w:rPr>
        <w:t>本合同实施过程中所发生的一切税费及不可预见费均由乙方承担。</w:t>
      </w:r>
    </w:p>
    <w:p>
      <w:pPr>
        <w:jc w:val="both"/>
      </w:pPr>
      <w:r>
        <w:rPr>
          <w:b/>
          <w:color w:val="000000"/>
          <w:sz w:val="24"/>
        </w:rPr>
        <w:t>2.</w:t>
      </w:r>
      <w:r>
        <w:rPr>
          <w:color w:val="000000"/>
          <w:sz w:val="24"/>
        </w:rPr>
        <w:t>乙方依照税务规章优先在合同履约地开具发票及纳税，咨询：0757-12366。</w:t>
      </w:r>
    </w:p>
    <w:p>
      <w:pPr>
        <w:jc w:val="both"/>
      </w:pPr>
      <w:r>
        <w:rPr>
          <w:b/>
          <w:color w:val="000000"/>
          <w:sz w:val="24"/>
        </w:rPr>
        <w:t>十三、合同生效</w:t>
      </w:r>
      <w:r>
        <w:rPr>
          <w:b/>
          <w:color w:val="000000"/>
          <w:sz w:val="24"/>
        </w:rPr>
        <w:t>与合同备案：</w:t>
      </w:r>
    </w:p>
    <w:p>
      <w:pPr>
        <w:jc w:val="both"/>
      </w:pPr>
      <w:r>
        <w:rPr>
          <w:b/>
          <w:color w:val="000000"/>
          <w:sz w:val="24"/>
        </w:rPr>
        <w:t>1.</w:t>
      </w:r>
      <w:r>
        <w:rPr>
          <w:color w:val="000000"/>
          <w:sz w:val="24"/>
        </w:rPr>
        <w:t>本合同在甲乙双方法人代表或其授权代表签字盖章后生效。</w:t>
      </w:r>
    </w:p>
    <w:p>
      <w:pPr>
        <w:jc w:val="both"/>
      </w:pPr>
      <w:r>
        <w:rPr>
          <w:b/>
          <w:color w:val="000000"/>
          <w:sz w:val="24"/>
        </w:rPr>
        <w:t>2.</w:t>
      </w:r>
      <w:r>
        <w:rPr>
          <w:color w:val="000000"/>
          <w:sz w:val="24"/>
        </w:rPr>
        <w:t>自采购合同签订之日起7个工作日内，由</w:t>
      </w:r>
      <w:r>
        <w:rPr>
          <w:color w:val="000000"/>
          <w:sz w:val="24"/>
        </w:rPr>
        <w:t>甲方</w:t>
      </w:r>
      <w:r>
        <w:rPr>
          <w:color w:val="000000"/>
          <w:sz w:val="24"/>
        </w:rPr>
        <w:t>按照有关规定将采购合同副本报同级人民政府财政部门（政府采购管理部门）备案。</w:t>
      </w:r>
    </w:p>
    <w:p>
      <w:pPr>
        <w:jc w:val="both"/>
      </w:pPr>
      <w:r>
        <w:rPr>
          <w:b/>
          <w:color w:val="000000"/>
          <w:sz w:val="24"/>
        </w:rPr>
        <w:t>十四、乙方应提供的资料内容：</w:t>
      </w:r>
    </w:p>
    <w:p>
      <w:pPr>
        <w:jc w:val="both"/>
      </w:pPr>
      <w:r>
        <w:rPr>
          <w:b/>
          <w:color w:val="000000"/>
          <w:sz w:val="24"/>
        </w:rPr>
        <w:t>1.</w:t>
      </w:r>
      <w:r>
        <w:rPr>
          <w:color w:val="000000"/>
          <w:sz w:val="24"/>
        </w:rPr>
        <w:t>乙方须向甲方提供公司营业执照、医疗器械经营许可证、所售设备的医疗器械注册证。</w:t>
      </w:r>
    </w:p>
    <w:p>
      <w:pPr>
        <w:jc w:val="both"/>
      </w:pPr>
      <w:r>
        <w:rPr>
          <w:b/>
          <w:color w:val="000000"/>
          <w:sz w:val="24"/>
        </w:rPr>
        <w:t>2.</w:t>
      </w:r>
      <w:r>
        <w:rPr>
          <w:color w:val="000000"/>
          <w:sz w:val="24"/>
        </w:rPr>
        <w:t>进口产品必须提供原产地证明和中国商检证明及合法进货渠道全套单证，否则视为乙方提供的设备不符合本合同要求，甲方可拒收，同时乙方应承担迟延交付的违约责任。</w:t>
      </w:r>
    </w:p>
    <w:p>
      <w:pPr>
        <w:jc w:val="both"/>
      </w:pPr>
      <w:r>
        <w:rPr>
          <w:b/>
          <w:color w:val="000000"/>
          <w:sz w:val="24"/>
        </w:rPr>
        <w:t>3.</w:t>
      </w:r>
      <w:r>
        <w:rPr>
          <w:color w:val="000000"/>
          <w:sz w:val="24"/>
        </w:rPr>
        <w:t>中国境内制造的产品必须提供出厂合格证，并提供甲方名下终端客户保修注册资料。</w:t>
      </w:r>
    </w:p>
    <w:p>
      <w:pPr>
        <w:jc w:val="both"/>
      </w:pPr>
      <w:r>
        <w:rPr>
          <w:b/>
          <w:color w:val="000000"/>
          <w:sz w:val="24"/>
        </w:rPr>
        <w:t>4.</w:t>
      </w:r>
      <w:r>
        <w:rPr>
          <w:color w:val="000000"/>
          <w:sz w:val="24"/>
        </w:rPr>
        <w:t>关键产品/主机设备的用户手册、保修手册、有关单证资料及配备件、随机工具等，使用操作及安全</w:t>
      </w:r>
      <w:r>
        <w:rPr>
          <w:color w:val="000000"/>
          <w:sz w:val="24"/>
        </w:rPr>
        <w:t>须知等重要资料应附有中文说明。</w:t>
      </w:r>
    </w:p>
    <w:p>
      <w:pPr>
        <w:jc w:val="both"/>
      </w:pPr>
      <w:r>
        <w:rPr>
          <w:b/>
          <w:color w:val="000000"/>
          <w:sz w:val="24"/>
        </w:rPr>
        <w:t>5.</w:t>
      </w:r>
      <w:r>
        <w:rPr>
          <w:color w:val="000000"/>
          <w:sz w:val="24"/>
        </w:rPr>
        <w:t>提供维护软件及密码开放。提供完整的安装软件，以便日后系统重装。</w:t>
      </w:r>
    </w:p>
    <w:p>
      <w:pPr>
        <w:jc w:val="both"/>
      </w:pPr>
      <w:r>
        <w:rPr>
          <w:b/>
          <w:sz w:val="24"/>
        </w:rPr>
        <w:t>十五、关于政府采购合同融资：</w:t>
      </w:r>
    </w:p>
    <w:p>
      <w:pPr>
        <w:jc w:val="both"/>
      </w:pPr>
      <w:r>
        <w:rPr>
          <w:b/>
          <w:sz w:val="24"/>
        </w:rPr>
        <w:t>1.</w:t>
      </w:r>
      <w:r>
        <w:rPr>
          <w:sz w:val="24"/>
        </w:rPr>
        <w:t>乙方是否已申请政府采购合同融资</w:t>
      </w:r>
      <w:r>
        <w:rPr>
          <w:sz w:val="24"/>
        </w:rPr>
        <w:t>（在□打√表示）：□是，□否；</w:t>
      </w:r>
    </w:p>
    <w:p>
      <w:pPr>
        <w:jc w:val="both"/>
      </w:pPr>
      <w:r>
        <w:rPr>
          <w:sz w:val="24"/>
        </w:rPr>
        <w:t>融资银行及联系方式：</w:t>
      </w:r>
      <w:r>
        <w:rPr>
          <w:sz w:val="24"/>
          <w:u w:val="single"/>
        </w:rPr>
        <w:t xml:space="preserve">                                           </w:t>
      </w:r>
      <w:r>
        <w:rPr>
          <w:sz w:val="24"/>
        </w:rPr>
        <w:t>。</w:t>
      </w:r>
    </w:p>
    <w:p>
      <w:pPr>
        <w:jc w:val="both"/>
      </w:pPr>
      <w:r>
        <w:rPr>
          <w:b/>
          <w:sz w:val="24"/>
        </w:rPr>
        <w:t>2.</w:t>
      </w:r>
      <w:r>
        <w:rPr>
          <w:sz w:val="24"/>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p>
    <w:p>
      <w:pPr>
        <w:jc w:val="both"/>
      </w:pPr>
      <w:r>
        <w:rPr>
          <w:b/>
          <w:color w:val="000000"/>
          <w:sz w:val="24"/>
        </w:rPr>
        <w:t>十六、其它</w:t>
      </w:r>
      <w:r>
        <w:rPr>
          <w:b/>
          <w:color w:val="000000"/>
          <w:sz w:val="24"/>
        </w:rPr>
        <w:t>：</w:t>
      </w:r>
    </w:p>
    <w:p>
      <w:pPr>
        <w:jc w:val="both"/>
      </w:pPr>
      <w:r>
        <w:rPr>
          <w:b/>
          <w:color w:val="000000"/>
          <w:sz w:val="24"/>
        </w:rPr>
        <w:t>1.</w:t>
      </w:r>
      <w:r>
        <w:rPr>
          <w:color w:val="000000"/>
          <w:sz w:val="24"/>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jc w:val="both"/>
      </w:pPr>
      <w:r>
        <w:rPr>
          <w:b/>
          <w:color w:val="000000"/>
          <w:sz w:val="24"/>
        </w:rPr>
        <w:t>2.</w:t>
      </w:r>
      <w:r>
        <w:rPr>
          <w:color w:val="000000"/>
          <w:sz w:val="24"/>
        </w:rPr>
        <w:t>如一方（包括联系人）地址、电话、传真号码有变更，应在变更后3个工作日内书面通知对方联系人或负责人，否则，因此造成的损失由未履行通知义务方承担相应责任。</w:t>
      </w:r>
    </w:p>
    <w:p>
      <w:pPr>
        <w:jc w:val="both"/>
      </w:pPr>
      <w:r>
        <w:rPr>
          <w:b/>
          <w:color w:val="000000"/>
          <w:sz w:val="24"/>
        </w:rPr>
        <w:t>3.</w:t>
      </w:r>
      <w:r>
        <w:rPr>
          <w:color w:val="000000"/>
          <w:sz w:val="24"/>
        </w:rPr>
        <w:t>未经甲方书面同意，乙方不得擅自向第三方转让其主体性和关键性合同义务。</w:t>
      </w:r>
    </w:p>
    <w:p>
      <w:pPr>
        <w:jc w:val="both"/>
      </w:pPr>
      <w:r>
        <w:rPr>
          <w:b/>
          <w:color w:val="000000"/>
          <w:sz w:val="24"/>
        </w:rPr>
        <w:t>4.</w:t>
      </w:r>
      <w:r>
        <w:rPr>
          <w:color w:val="000000"/>
          <w:sz w:val="24"/>
        </w:rPr>
        <w:t>本合同一式</w:t>
      </w:r>
      <w:r>
        <w:rPr>
          <w:sz w:val="21"/>
          <w:u w:val="single"/>
        </w:rPr>
        <w:t xml:space="preserve">    </w:t>
      </w:r>
      <w:r>
        <w:rPr>
          <w:color w:val="000000"/>
          <w:sz w:val="24"/>
        </w:rPr>
        <w:t>份，甲方执</w:t>
      </w:r>
      <w:r>
        <w:rPr>
          <w:color w:val="000000"/>
          <w:sz w:val="24"/>
        </w:rPr>
        <w:t>三</w:t>
      </w:r>
      <w:r>
        <w:rPr>
          <w:color w:val="000000"/>
          <w:sz w:val="24"/>
        </w:rPr>
        <w:t>份，乙方执</w:t>
      </w:r>
      <w:r>
        <w:rPr>
          <w:color w:val="000000"/>
          <w:sz w:val="24"/>
          <w:u w:val="single"/>
        </w:rPr>
        <w:t xml:space="preserve">    </w:t>
      </w:r>
      <w:r>
        <w:rPr>
          <w:color w:val="000000"/>
          <w:sz w:val="24"/>
        </w:rPr>
        <w:t>份，</w:t>
      </w:r>
      <w:r>
        <w:rPr>
          <w:color w:val="000000"/>
          <w:sz w:val="24"/>
        </w:rPr>
        <w:t>鉴证单位执二份</w:t>
      </w:r>
      <w:r>
        <w:rPr>
          <w:color w:val="000000"/>
          <w:sz w:val="24"/>
        </w:rPr>
        <w:t>。</w:t>
      </w:r>
    </w:p>
    <w:p>
      <w:pPr>
        <w:jc w:val="both"/>
      </w:pPr>
      <w:r>
        <w:rPr>
          <w:b/>
          <w:color w:val="000000"/>
          <w:sz w:val="24"/>
        </w:rPr>
        <w:t>5.</w:t>
      </w:r>
      <w:r>
        <w:rPr>
          <w:color w:val="000000"/>
          <w:sz w:val="24"/>
        </w:rPr>
        <w:t>本合同（含附件）共计</w:t>
      </w:r>
      <w:r>
        <w:rPr>
          <w:sz w:val="21"/>
          <w:u w:val="single"/>
        </w:rPr>
        <w:t xml:space="preserve">    </w:t>
      </w:r>
      <w:r>
        <w:rPr>
          <w:color w:val="000000"/>
          <w:sz w:val="24"/>
        </w:rPr>
        <w:t>页A4纸张，缺页之合同为无效合同。</w:t>
      </w:r>
    </w:p>
    <w:p>
      <w:pPr>
        <w:jc w:val="both"/>
      </w:pPr>
      <w:r>
        <w:rPr>
          <w:b/>
          <w:color w:val="000000"/>
          <w:sz w:val="24"/>
        </w:rPr>
        <w:t>6.</w:t>
      </w:r>
      <w:r>
        <w:rPr>
          <w:color w:val="000000"/>
          <w:sz w:val="24"/>
        </w:rPr>
        <w:t>本合同签约履约地点：广东省佛山市。</w:t>
      </w:r>
    </w:p>
    <w:p>
      <w:pPr>
        <w:jc w:val="both"/>
      </w:pPr>
      <w:r>
        <w:rPr>
          <w:b/>
          <w:color w:val="000000"/>
          <w:sz w:val="24"/>
        </w:rPr>
        <w:t>7.</w:t>
      </w:r>
      <w:r>
        <w:rPr>
          <w:color w:val="000000"/>
          <w:sz w:val="24"/>
        </w:rPr>
        <w:t>本合同所指“书面通知”包括但不限于短信、电子邮件等数据电文的通知形式，到达时间以民事诉讼法的规定为准，但进行书面通知前后，通知方均有义务电话确认通知事项。</w:t>
      </w:r>
    </w:p>
    <w:p>
      <w:pPr>
        <w:jc w:val="both"/>
      </w:pPr>
      <w:r>
        <w:rPr>
          <w:b/>
          <w:color w:val="000000"/>
          <w:sz w:val="24"/>
        </w:rPr>
        <w:t>8.</w:t>
      </w:r>
      <w:r>
        <w:rPr>
          <w:color w:val="000000"/>
          <w:sz w:val="24"/>
        </w:rPr>
        <w:t>双方在履约中如发生争执和分歧，应通过友好协商解决，若协商不能达成共识时，任何一方有权向甲方所在地人民法院提起诉讼。</w:t>
      </w:r>
    </w:p>
    <w:p>
      <w:pPr>
        <w:jc w:val="both"/>
      </w:pPr>
      <w:r>
        <w:rPr>
          <w:b/>
          <w:color w:val="000000"/>
          <w:sz w:val="24"/>
        </w:rPr>
        <w:t>9.</w:t>
      </w:r>
      <w:r>
        <w:rPr>
          <w:color w:val="000000"/>
          <w:sz w:val="24"/>
        </w:rPr>
        <w:t>双方均已对以</w:t>
      </w:r>
      <w:r>
        <w:rPr>
          <w:color w:val="000000"/>
          <w:sz w:val="24"/>
        </w:rPr>
        <w:t>上各条款及附件作充分了解，并明确理解由此而产生的相关权责。</w:t>
      </w:r>
    </w:p>
    <w:p>
      <w:pPr>
        <w:jc w:val="both"/>
      </w:pPr>
    </w:p>
    <w:tbl>
      <w:tblPr>
        <w:tblW w:w="0" w:type="auto"/>
        <w:tblBorders>
          <w:top w:val="single"/>
          <w:left w:val="single"/>
          <w:bottom w:val="single"/>
          <w:right w:val="single"/>
          <w:insideH w:val="single"/>
          <w:insideV w:val="single"/>
        </w:tblBorders>
      </w:tblPr>
      <w:tblGrid>
        <w:gridCol w:w="4245"/>
        <w:gridCol w:w="4060"/>
      </w:tblGrid>
      <w:tr>
        <w:tc>
          <w:tcPr>
            <w:tcW w:type="dxa" w:w="4245"/>
          </w:tcPr>
          <w:p>
            <w:pPr>
              <w:jc w:val="both"/>
            </w:pPr>
            <w:r>
              <w:rPr>
                <w:b/>
                <w:sz w:val="24"/>
              </w:rPr>
              <w:t>甲方（盖章）：</w:t>
            </w:r>
          </w:p>
        </w:tc>
        <w:tc>
          <w:tcPr>
            <w:tcW w:type="dxa" w:w="4060"/>
          </w:tcPr>
          <w:p>
            <w:pPr>
              <w:jc w:val="both"/>
            </w:pPr>
            <w:r>
              <w:rPr>
                <w:b/>
                <w:sz w:val="24"/>
              </w:rPr>
              <w:t>乙方（盖章）：</w:t>
            </w:r>
          </w:p>
        </w:tc>
      </w:tr>
      <w:tr>
        <w:tc>
          <w:tcPr>
            <w:tcW w:type="dxa" w:w="4245"/>
          </w:tcPr>
          <w:p>
            <w:pPr>
              <w:jc w:val="both"/>
            </w:pPr>
            <w:r>
              <w:rPr>
                <w:b/>
                <w:sz w:val="24"/>
              </w:rPr>
              <w:t>（采购人名称）</w:t>
            </w:r>
          </w:p>
        </w:tc>
        <w:tc>
          <w:tcPr>
            <w:tcW w:type="dxa" w:w="4060"/>
          </w:tcPr>
          <w:p>
            <w:pPr>
              <w:jc w:val="both"/>
            </w:pPr>
            <w:r>
              <w:rPr>
                <w:b/>
                <w:sz w:val="24"/>
              </w:rPr>
              <w:t>（中标/成交供应商）</w:t>
            </w:r>
          </w:p>
        </w:tc>
      </w:tr>
      <w:tr>
        <w:tc>
          <w:tcPr>
            <w:tcW w:type="dxa" w:w="4245"/>
          </w:tcPr>
          <w:p>
            <w:pPr>
              <w:jc w:val="both"/>
            </w:pPr>
            <w:r>
              <w:rPr>
                <w:sz w:val="24"/>
              </w:rPr>
              <w:t>法定代表人或授权代表（签字）：</w:t>
            </w:r>
          </w:p>
        </w:tc>
        <w:tc>
          <w:tcPr>
            <w:tcW w:type="dxa" w:w="4060"/>
          </w:tcPr>
          <w:p>
            <w:pPr>
              <w:jc w:val="both"/>
            </w:pPr>
            <w:r>
              <w:rPr>
                <w:sz w:val="24"/>
              </w:rPr>
              <w:t>法定代表人或授权代表（签字）：</w:t>
            </w:r>
          </w:p>
        </w:tc>
      </w:tr>
      <w:tr>
        <w:tc>
          <w:tcPr>
            <w:tcW w:type="dxa" w:w="4245"/>
          </w:tcPr>
          <w:p>
            <w:pPr>
              <w:jc w:val="both"/>
            </w:pPr>
          </w:p>
          <w:p>
            <w:pPr>
              <w:jc w:val="both"/>
            </w:pPr>
            <w:r>
              <w:rPr>
                <w:sz w:val="21"/>
                <w:u w:val="single"/>
              </w:rPr>
              <w:t xml:space="preserve">                             </w:t>
            </w:r>
          </w:p>
        </w:tc>
        <w:tc>
          <w:tcPr>
            <w:tcW w:type="dxa" w:w="4060"/>
          </w:tcPr>
          <w:p>
            <w:pPr>
              <w:jc w:val="both"/>
            </w:pPr>
          </w:p>
          <w:p>
            <w:pPr>
              <w:jc w:val="both"/>
            </w:pPr>
            <w:r>
              <w:rPr>
                <w:sz w:val="21"/>
                <w:u w:val="single"/>
              </w:rPr>
              <w:t xml:space="preserve">                          </w:t>
            </w:r>
            <w:r>
              <w:rPr>
                <w:sz w:val="21"/>
                <w:u w:val="single"/>
              </w:rPr>
              <w:t xml:space="preserve">    </w:t>
            </w:r>
          </w:p>
        </w:tc>
      </w:tr>
      <w:tr>
        <w:tc>
          <w:tcPr>
            <w:tcW w:type="dxa" w:w="4245"/>
          </w:tcPr>
          <w:p>
            <w:pPr>
              <w:jc w:val="both"/>
            </w:pPr>
            <w:r>
              <w:rPr>
                <w:sz w:val="24"/>
              </w:rPr>
              <w:t>地址：</w:t>
            </w:r>
          </w:p>
        </w:tc>
        <w:tc>
          <w:tcPr>
            <w:tcW w:type="dxa" w:w="4060"/>
          </w:tcPr>
          <w:p>
            <w:pPr>
              <w:jc w:val="both"/>
            </w:pPr>
            <w:r>
              <w:rPr>
                <w:sz w:val="24"/>
              </w:rPr>
              <w:t>地址：</w:t>
            </w:r>
          </w:p>
        </w:tc>
      </w:tr>
      <w:tr>
        <w:tc>
          <w:tcPr>
            <w:tcW w:type="dxa" w:w="4245"/>
          </w:tcPr>
          <w:p>
            <w:pPr>
              <w:jc w:val="both"/>
            </w:pPr>
            <w:r>
              <w:rPr>
                <w:sz w:val="24"/>
              </w:rPr>
              <w:t>电话：</w:t>
            </w:r>
          </w:p>
        </w:tc>
        <w:tc>
          <w:tcPr>
            <w:tcW w:type="dxa" w:w="4060"/>
          </w:tcPr>
          <w:p>
            <w:pPr>
              <w:jc w:val="both"/>
            </w:pPr>
            <w:r>
              <w:rPr>
                <w:sz w:val="24"/>
              </w:rPr>
              <w:t>电话：</w:t>
            </w:r>
          </w:p>
        </w:tc>
      </w:tr>
      <w:tr>
        <w:tc>
          <w:tcPr>
            <w:tcW w:type="dxa" w:w="4245"/>
          </w:tcPr>
          <w:p>
            <w:pPr>
              <w:jc w:val="both"/>
            </w:pPr>
            <w:r>
              <w:rPr>
                <w:sz w:val="24"/>
              </w:rPr>
              <w:t>传真：</w:t>
            </w:r>
          </w:p>
        </w:tc>
        <w:tc>
          <w:tcPr>
            <w:tcW w:type="dxa" w:w="4060"/>
          </w:tcPr>
          <w:p>
            <w:pPr>
              <w:jc w:val="both"/>
            </w:pPr>
            <w:r>
              <w:rPr>
                <w:sz w:val="24"/>
              </w:rPr>
              <w:t>传真：</w:t>
            </w:r>
          </w:p>
        </w:tc>
      </w:tr>
      <w:tr>
        <w:tc>
          <w:tcPr>
            <w:tcW w:type="dxa" w:w="4245"/>
          </w:tcPr>
          <w:p>
            <w:pPr>
              <w:jc w:val="both"/>
            </w:pPr>
            <w:r>
              <w:rPr>
                <w:sz w:val="24"/>
              </w:rPr>
              <w:t>日期：    年    月    日</w:t>
            </w:r>
          </w:p>
        </w:tc>
        <w:tc>
          <w:tcPr>
            <w:tcW w:type="dxa" w:w="4060"/>
          </w:tcPr>
          <w:p>
            <w:pPr>
              <w:jc w:val="both"/>
            </w:pPr>
            <w:r>
              <w:rPr>
                <w:sz w:val="24"/>
              </w:rPr>
              <w:t>日期：    年    月    日</w:t>
            </w:r>
          </w:p>
        </w:tc>
      </w:tr>
      <w:tr>
        <w:tc>
          <w:tcPr>
            <w:tcW w:type="dxa" w:w="4245"/>
          </w:tcPr>
          <w:p>
            <w:pPr>
              <w:jc w:val="both"/>
            </w:pPr>
          </w:p>
        </w:tc>
        <w:tc>
          <w:tcPr>
            <w:tcW w:type="dxa" w:w="4060"/>
          </w:tcPr>
          <w:p>
            <w:pPr>
              <w:jc w:val="both"/>
            </w:pPr>
          </w:p>
        </w:tc>
      </w:tr>
      <w:tr>
        <w:tc>
          <w:tcPr>
            <w:tcW w:type="dxa" w:w="4245"/>
          </w:tcPr>
          <w:p>
            <w:pPr>
              <w:jc w:val="both"/>
            </w:pPr>
          </w:p>
        </w:tc>
        <w:tc>
          <w:tcPr>
            <w:tcW w:type="dxa" w:w="4060"/>
          </w:tcPr>
          <w:p>
            <w:pPr>
              <w:jc w:val="both"/>
            </w:pPr>
            <w:r>
              <w:rPr>
                <w:b/>
                <w:sz w:val="24"/>
              </w:rPr>
              <w:t>收款方、开票方须与乙方一致，专户为：</w:t>
            </w:r>
          </w:p>
        </w:tc>
      </w:tr>
      <w:tr>
        <w:tc>
          <w:tcPr>
            <w:tcW w:type="dxa" w:w="4245"/>
          </w:tcPr>
          <w:p>
            <w:pPr>
              <w:jc w:val="both"/>
            </w:pPr>
          </w:p>
        </w:tc>
        <w:tc>
          <w:tcPr>
            <w:tcW w:type="dxa" w:w="4060"/>
          </w:tcPr>
          <w:p>
            <w:pPr>
              <w:jc w:val="both"/>
            </w:pPr>
            <w:r>
              <w:rPr>
                <w:sz w:val="24"/>
              </w:rPr>
              <w:t>开户名称：</w:t>
            </w:r>
          </w:p>
        </w:tc>
      </w:tr>
      <w:tr>
        <w:tc>
          <w:tcPr>
            <w:tcW w:type="dxa" w:w="4245"/>
          </w:tcPr>
          <w:p>
            <w:pPr>
              <w:jc w:val="both"/>
            </w:pPr>
          </w:p>
        </w:tc>
        <w:tc>
          <w:tcPr>
            <w:tcW w:type="dxa" w:w="4060"/>
          </w:tcPr>
          <w:p>
            <w:pPr>
              <w:jc w:val="both"/>
            </w:pPr>
            <w:r>
              <w:rPr>
                <w:sz w:val="24"/>
              </w:rPr>
              <w:t>银行账号：</w:t>
            </w:r>
          </w:p>
        </w:tc>
      </w:tr>
      <w:tr>
        <w:tc>
          <w:tcPr>
            <w:tcW w:type="dxa" w:w="4245"/>
          </w:tcPr>
          <w:p>
            <w:pPr>
              <w:jc w:val="both"/>
            </w:pPr>
          </w:p>
        </w:tc>
        <w:tc>
          <w:tcPr>
            <w:tcW w:type="dxa" w:w="4060"/>
          </w:tcPr>
          <w:p>
            <w:pPr>
              <w:jc w:val="both"/>
            </w:pPr>
            <w:r>
              <w:rPr>
                <w:sz w:val="24"/>
              </w:rPr>
              <w:t>开 户 行：</w:t>
            </w:r>
          </w:p>
        </w:tc>
      </w:tr>
      <w:tr>
        <w:tc>
          <w:tcPr>
            <w:tcW w:type="dxa" w:w="4245"/>
          </w:tcPr>
          <w:p>
            <w:pPr>
              <w:jc w:val="both"/>
            </w:pPr>
            <w:r>
              <w:rPr>
                <w:b/>
                <w:sz w:val="24"/>
              </w:rPr>
              <w:t>鉴证单位（盖章）：</w:t>
            </w:r>
          </w:p>
        </w:tc>
        <w:tc>
          <w:tcPr>
            <w:tcW w:type="dxa" w:w="4060"/>
          </w:tcPr>
          <w:p>
            <w:pPr>
              <w:jc w:val="both"/>
            </w:pPr>
          </w:p>
        </w:tc>
      </w:tr>
      <w:tr>
        <w:tc>
          <w:tcPr>
            <w:tcW w:type="dxa" w:w="4245"/>
          </w:tcPr>
          <w:p>
            <w:pPr>
              <w:jc w:val="both"/>
            </w:pPr>
            <w:r>
              <w:rPr>
                <w:sz w:val="24"/>
              </w:rPr>
              <w:t>鉴证人（签字）：</w:t>
            </w:r>
          </w:p>
        </w:tc>
        <w:tc>
          <w:tcPr>
            <w:tcW w:type="dxa" w:w="4060"/>
          </w:tcPr>
          <w:p>
            <w:pPr>
              <w:jc w:val="both"/>
            </w:pPr>
          </w:p>
        </w:tc>
      </w:tr>
      <w:tr>
        <w:tc>
          <w:tcPr>
            <w:tcW w:type="dxa" w:w="4245"/>
          </w:tcPr>
          <w:p>
            <w:pPr>
              <w:jc w:val="both"/>
            </w:pPr>
          </w:p>
          <w:p>
            <w:pPr>
              <w:jc w:val="both"/>
            </w:pPr>
            <w:r>
              <w:rPr>
                <w:sz w:val="21"/>
                <w:u w:val="single"/>
              </w:rPr>
              <w:t xml:space="preserve">                             </w:t>
            </w:r>
          </w:p>
        </w:tc>
        <w:tc>
          <w:tcPr>
            <w:tcW w:type="dxa" w:w="4060"/>
          </w:tcPr>
          <w:p>
            <w:pPr>
              <w:jc w:val="both"/>
            </w:pPr>
          </w:p>
        </w:tc>
      </w:tr>
      <w:tr>
        <w:tc>
          <w:tcPr>
            <w:tcW w:type="dxa" w:w="4245"/>
          </w:tcPr>
          <w:p>
            <w:pPr>
              <w:jc w:val="both"/>
            </w:pPr>
            <w:r>
              <w:rPr>
                <w:sz w:val="24"/>
              </w:rPr>
              <w:t>日期：    年    月    日</w:t>
            </w:r>
          </w:p>
        </w:tc>
        <w:tc>
          <w:tcPr>
            <w:tcW w:type="dxa" w:w="4060"/>
          </w:tcPr>
          <w:p>
            <w:pPr>
              <w:jc w:val="both"/>
            </w:pPr>
          </w:p>
        </w:tc>
      </w:tr>
    </w:tbl>
    <w:p>
      <w:pPr>
        <w:jc w:val="both"/>
      </w:pPr>
    </w:p>
    <w:p>
      <w:pPr>
        <w:jc w:val="both"/>
      </w:pPr>
      <w:r>
        <w:rPr>
          <w:b/>
          <w:color w:val="000000"/>
          <w:sz w:val="24"/>
        </w:rPr>
        <w:t>合同附件清单：</w:t>
      </w:r>
    </w:p>
    <w:p>
      <w:pPr>
        <w:jc w:val="left"/>
      </w:pPr>
      <w:r>
        <w:rPr>
          <w:color w:val="000000"/>
          <w:sz w:val="24"/>
        </w:rPr>
        <w:t>附件1：报价清单明细表</w:t>
      </w:r>
    </w:p>
    <w:p>
      <w:pPr>
        <w:jc w:val="both"/>
      </w:pP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440605-2022-06343</w:t>
      </w:r>
    </w:p>
    <w:p>
      <w:pPr>
        <w:jc w:val="center"/>
      </w:pPr>
      <w:r>
        <w:rPr>
          <w:b/>
          <w:sz w:val="24"/>
        </w:rPr>
        <w:t>采购项目编号：</w:t>
      </w:r>
      <w:r>
        <w:rPr>
          <w:b/>
          <w:sz w:val="24"/>
        </w:rPr>
        <w:t>JF2022(NH)WS0075</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十三、联合体共同响应协议书</w:t>
      </w:r>
    </w:p>
    <w:p>
      <w:pPr>
        <w:ind w:firstLine="480"/>
      </w:pPr>
      <w:r>
        <w:rPr/>
        <w:t>十四、供应商业绩情况表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二十一、询问函、质疑函、投诉书格式</w:t>
      </w:r>
    </w:p>
    <w:p>
      <w:pPr>
        <w:ind w:firstLine="480"/>
      </w:pPr>
      <w:r>
        <w:rPr/>
        <w:t>二十二、项目实施方案、质量保证及售后服务承诺等</w:t>
      </w:r>
    </w:p>
    <w:p>
      <w:pPr>
        <w:ind w:firstLine="480"/>
      </w:pPr>
      <w:r>
        <w:rPr/>
        <w:t>二十三、附件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广东海虹招标代理有限公司</w:t>
      </w:r>
    </w:p>
    <w:p>
      <w:pPr>
        <w:ind w:firstLine="480"/>
      </w:pPr>
      <w:r>
        <w:rPr/>
        <w:t>你方组织的</w:t>
      </w:r>
      <w:r>
        <w:rPr>
          <w:u w:val="single"/>
        </w:rPr>
        <w:t>近红外脑功能成像装置</w:t>
      </w:r>
      <w:r>
        <w:rPr/>
        <w:t>项目的竞争性磋商[采购项目编号为：</w:t>
      </w:r>
      <w:r>
        <w:rPr>
          <w:u w:val="single"/>
        </w:rPr>
        <w:t>JF2022(NH)WS0075</w:t>
      </w:r>
      <w:r>
        <w:rPr/>
        <w:t>]，我方愿参与响应。</w:t>
      </w:r>
    </w:p>
    <w:p>
      <w:pPr>
        <w:ind w:firstLine="480"/>
      </w:pPr>
      <w:r>
        <w:rPr/>
        <w:t>我方确认收到贵方提供的</w:t>
      </w:r>
      <w:r>
        <w:rPr>
          <w:u w:val="single"/>
        </w:rPr>
        <w:t>近红外脑功能成像装置</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现任我单位_____________职务_____________为法定代表人，特此证明。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广东海虹招标代理有限公司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近红外脑功能成像装置</w:t>
      </w:r>
      <w:r>
        <w:rPr/>
        <w:t>项目采购[采购项目编号为</w:t>
      </w:r>
      <w:r>
        <w:rPr/>
        <w:t>JF2022(NH)WS0075</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设备及专业技术能力情况表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设备名称或专业技术人员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格式十九：</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广东海虹招标代理有限公司</w:t>
      </w:r>
    </w:p>
    <w:p>
      <w:pPr>
        <w:ind w:firstLine="480"/>
      </w:pPr>
      <w:r>
        <w:rPr/>
        <w:t>我单位参加贵公司组织的</w:t>
      </w:r>
      <w:r>
        <w:rPr/>
        <w:t>近红外脑功能成像装置</w:t>
      </w:r>
      <w:r>
        <w:rPr/>
        <w:t>（采购项目编号：</w:t>
      </w:r>
      <w:r>
        <w:rPr/>
        <w:t>JF2022(NH)WS0075</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3、如我公司被选为成交供应商，在成交结果公示后3日内向采购代理机构指定帐户缴付代理服务费。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广东海虹招标代理有限公司</w:t>
      </w:r>
    </w:p>
    <w:p>
      <w:pPr>
        <w:ind w:firstLine="480"/>
      </w:pPr>
      <w:r>
        <w:rPr/>
        <w:t>我单位已登记并准备参与</w:t>
      </w:r>
      <w:r>
        <w:rPr/>
        <w:t>近红外脑功能成像装置</w:t>
      </w:r>
      <w:r>
        <w:rPr/>
        <w:t>项目（采购项目编号：</w:t>
      </w:r>
      <w:r>
        <w:rPr/>
        <w:t>JF2022(NH)WS0075</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格式二十二：</w:t>
      </w:r>
    </w:p>
    <w:p>
      <w:pPr>
        <w:ind w:firstLine="480"/>
      </w:pPr>
      <w:r>
        <w:rPr/>
        <w:t>项目实施方案、质量保证及售后服务承诺等内容和格式自拟。</w:t>
      </w:r>
    </w:p>
    <w:p>
      <w:pPr>
        <w:ind w:firstLine="480"/>
      </w:pPr>
    </w:p>
    <w:p>
      <w:r>
        <w:rPr/>
        <w:t xml:space="preserve"> </w:t>
      </w:r>
    </w:p>
    <w:p/>
    <w:p>
      <w:r>
        <w:rPr>
          <w:b/>
          <w:sz w:val="28"/>
        </w:rPr>
        <w:t>格式二十三：</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