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240" w:lineRule="auto"/>
      </w:pPr>
      <w:r>
        <w:rPr>
          <w:rFonts w:hint="eastAsia"/>
          <w:lang w:val="en-US" w:eastAsia="zh-CN"/>
        </w:rPr>
        <w:t>Working Paper Plus</w:t>
      </w:r>
      <w:r>
        <w:rPr>
          <w:rFonts w:hint="eastAsia"/>
        </w:rPr>
        <w:t>论文技术规范</w:t>
      </w:r>
    </w:p>
    <w:p/>
    <w:p>
      <w:pPr>
        <w:spacing w:line="360" w:lineRule="auto"/>
        <w:ind w:firstLine="420" w:firstLineChars="200"/>
        <w:rPr>
          <w:rFonts w:ascii="宋体" w:hAnsi="宋体"/>
        </w:rPr>
      </w:pPr>
      <w:r>
        <w:rPr>
          <w:rFonts w:hint="eastAsia"/>
          <w:lang w:val="en-US" w:eastAsia="zh-CN"/>
        </w:rPr>
        <w:t>Working Paper Plus</w:t>
      </w:r>
      <w:r>
        <w:rPr>
          <w:rFonts w:hint="eastAsia" w:ascii="宋体" w:hAnsi="宋体"/>
        </w:rPr>
        <w:t>是人文</w:t>
      </w:r>
      <w:r>
        <w:rPr>
          <w:rFonts w:hint="eastAsia" w:ascii="宋体" w:hAnsi="宋体"/>
          <w:lang w:val="en-US" w:eastAsia="zh-CN"/>
        </w:rPr>
        <w:t>社科</w:t>
      </w:r>
      <w:r>
        <w:rPr>
          <w:rFonts w:hint="eastAsia" w:ascii="宋体" w:hAnsi="宋体"/>
        </w:rPr>
        <w:t>领域的专业</w:t>
      </w:r>
      <w:r>
        <w:rPr>
          <w:rFonts w:hint="eastAsia" w:ascii="宋体" w:hAnsi="宋体"/>
          <w:lang w:val="en-US" w:eastAsia="zh-CN"/>
        </w:rPr>
        <w:t>平台</w:t>
      </w:r>
      <w:r>
        <w:rPr>
          <w:rFonts w:hint="eastAsia" w:ascii="宋体" w:hAnsi="宋体"/>
        </w:rPr>
        <w:t>，旨在交流、传播</w:t>
      </w:r>
      <w:r>
        <w:rPr>
          <w:rFonts w:hint="eastAsia" w:ascii="宋体" w:hAnsi="宋体"/>
          <w:lang w:val="en-US" w:eastAsia="zh-CN"/>
        </w:rPr>
        <w:t>青年</w:t>
      </w:r>
      <w:r>
        <w:rPr>
          <w:rFonts w:hint="eastAsia" w:ascii="宋体" w:hAnsi="宋体"/>
        </w:rPr>
        <w:t>人文</w:t>
      </w:r>
      <w:r>
        <w:rPr>
          <w:rFonts w:hint="eastAsia" w:ascii="宋体" w:hAnsi="宋体"/>
          <w:lang w:val="en-US" w:eastAsia="zh-CN"/>
        </w:rPr>
        <w:t>社科领域的学术思想和成果。</w:t>
      </w:r>
      <w:r>
        <w:rPr>
          <w:rFonts w:hint="eastAsia" w:ascii="宋体" w:hAnsi="宋体"/>
        </w:rPr>
        <w:t>为确保</w:t>
      </w:r>
      <w:r>
        <w:rPr>
          <w:rFonts w:hint="eastAsia" w:ascii="宋体" w:hAnsi="宋体"/>
          <w:lang w:val="en-US" w:eastAsia="zh-CN"/>
        </w:rPr>
        <w:t>平台</w:t>
      </w:r>
      <w:r>
        <w:rPr>
          <w:rFonts w:hint="eastAsia" w:ascii="宋体" w:hAnsi="宋体"/>
        </w:rPr>
        <w:t>的科学性、学术性，特对</w:t>
      </w:r>
      <w:r>
        <w:rPr>
          <w:rFonts w:hint="eastAsia" w:ascii="宋体" w:hAnsi="宋体"/>
          <w:lang w:val="en-US" w:eastAsia="zh-CN"/>
        </w:rPr>
        <w:t>投稿</w:t>
      </w:r>
      <w:r>
        <w:rPr>
          <w:rFonts w:hint="eastAsia" w:ascii="宋体" w:hAnsi="宋体"/>
        </w:rPr>
        <w:t>论文做以下详细技术规定。</w:t>
      </w:r>
    </w:p>
    <w:p>
      <w:pPr>
        <w:spacing w:line="360" w:lineRule="auto"/>
        <w:rPr>
          <w:rFonts w:ascii="宋体" w:hAnsi="宋体"/>
        </w:rPr>
      </w:pPr>
    </w:p>
    <w:p>
      <w:pPr>
        <w:pStyle w:val="16"/>
        <w:numPr>
          <w:ilvl w:val="0"/>
          <w:numId w:val="1"/>
        </w:numPr>
        <w:spacing w:line="360" w:lineRule="auto"/>
        <w:ind w:firstLineChars="0"/>
        <w:rPr>
          <w:rFonts w:ascii="宋体" w:hAnsi="宋体"/>
          <w:b/>
        </w:rPr>
      </w:pPr>
      <w:r>
        <w:rPr>
          <w:rFonts w:hint="eastAsia" w:ascii="宋体" w:hAnsi="宋体"/>
          <w:b/>
        </w:rPr>
        <w:t>标题</w:t>
      </w:r>
    </w:p>
    <w:p>
      <w:pPr>
        <w:pStyle w:val="16"/>
        <w:spacing w:line="360" w:lineRule="auto"/>
        <w:ind w:left="360"/>
        <w:rPr>
          <w:szCs w:val="21"/>
        </w:rPr>
      </w:pPr>
      <w:r>
        <w:rPr>
          <w:szCs w:val="21"/>
        </w:rPr>
        <w:t>标题应简明、具体、确切，能概括文章的特定内容，应避免使用非公知公用的缩略语、字符、代号和公式。</w:t>
      </w:r>
    </w:p>
    <w:p>
      <w:pPr>
        <w:pStyle w:val="16"/>
        <w:spacing w:line="360" w:lineRule="auto"/>
        <w:ind w:left="420" w:leftChars="200"/>
        <w:rPr>
          <w:rFonts w:ascii="宋体" w:hAnsi="宋体"/>
        </w:rPr>
      </w:pPr>
      <w:r>
        <w:rPr>
          <w:rFonts w:hint="eastAsia" w:ascii="宋体" w:hAnsi="宋体"/>
        </w:rPr>
        <w:t>英文标题应与中文标题一致。标题中所有实词的第一个字母大写，虚词的第一个字母小写，若标题第一个单词为虚词，也需大写。</w:t>
      </w:r>
    </w:p>
    <w:p>
      <w:pPr>
        <w:spacing w:line="360" w:lineRule="auto"/>
        <w:rPr>
          <w:rFonts w:ascii="宋体" w:hAnsi="宋体"/>
        </w:rPr>
      </w:pPr>
    </w:p>
    <w:p>
      <w:pPr>
        <w:pStyle w:val="16"/>
        <w:numPr>
          <w:ilvl w:val="0"/>
          <w:numId w:val="1"/>
        </w:numPr>
        <w:spacing w:line="360" w:lineRule="auto"/>
        <w:ind w:firstLineChars="0"/>
        <w:rPr>
          <w:rFonts w:ascii="宋体" w:hAnsi="宋体"/>
          <w:b/>
        </w:rPr>
      </w:pPr>
      <w:r>
        <w:rPr>
          <w:rFonts w:hint="eastAsia" w:ascii="宋体" w:hAnsi="宋体"/>
          <w:b/>
        </w:rPr>
        <w:t>署名</w:t>
      </w:r>
    </w:p>
    <w:p>
      <w:pPr>
        <w:pStyle w:val="16"/>
        <w:spacing w:line="360" w:lineRule="auto"/>
        <w:ind w:left="360"/>
        <w:rPr>
          <w:szCs w:val="21"/>
        </w:rPr>
      </w:pPr>
      <w:r>
        <w:rPr>
          <w:rFonts w:hint="eastAsia"/>
          <w:szCs w:val="21"/>
        </w:rPr>
        <w:t>作者署名位于标题下方，译文署名应作者在前（用方括号标明国籍）、译者在后。</w:t>
      </w:r>
    </w:p>
    <w:p>
      <w:pPr>
        <w:pStyle w:val="16"/>
        <w:spacing w:line="360" w:lineRule="auto"/>
        <w:ind w:left="360"/>
        <w:rPr>
          <w:szCs w:val="21"/>
        </w:rPr>
      </w:pPr>
      <w:r>
        <w:rPr>
          <w:rFonts w:hint="eastAsia" w:ascii="宋体" w:hAnsi="宋体"/>
        </w:rPr>
        <w:t>作者英文署名排序与中文一致。不需名、姓倒序，姓和名均首字母大写。</w:t>
      </w:r>
    </w:p>
    <w:p>
      <w:pPr>
        <w:pStyle w:val="16"/>
        <w:spacing w:line="360" w:lineRule="auto"/>
        <w:ind w:left="360"/>
        <w:rPr>
          <w:rFonts w:ascii="宋体" w:hAnsi="宋体"/>
        </w:rPr>
      </w:pPr>
    </w:p>
    <w:p>
      <w:pPr>
        <w:pStyle w:val="16"/>
        <w:numPr>
          <w:ilvl w:val="0"/>
          <w:numId w:val="1"/>
        </w:numPr>
        <w:spacing w:line="360" w:lineRule="auto"/>
        <w:ind w:firstLineChars="0"/>
        <w:rPr>
          <w:rFonts w:ascii="宋体" w:hAnsi="宋体"/>
          <w:b/>
        </w:rPr>
      </w:pPr>
      <w:r>
        <w:rPr>
          <w:rFonts w:hint="eastAsia" w:ascii="宋体" w:hAnsi="宋体"/>
          <w:b/>
        </w:rPr>
        <w:t>摘要</w:t>
      </w:r>
    </w:p>
    <w:p>
      <w:pPr>
        <w:pStyle w:val="16"/>
        <w:spacing w:line="360" w:lineRule="auto"/>
        <w:ind w:left="360"/>
        <w:rPr>
          <w:kern w:val="0"/>
        </w:rPr>
      </w:pPr>
      <w:r>
        <w:rPr>
          <w:rFonts w:hint="eastAsia" w:ascii="Times New Roman" w:hAnsi="Times New Roman" w:cs="Times New Roman"/>
          <w:kern w:val="0"/>
        </w:rPr>
        <w:t>中文摘要前以“</w:t>
      </w:r>
      <w:r>
        <w:rPr>
          <w:rFonts w:hint="eastAsia" w:ascii="黑体" w:hAnsi="黑体" w:eastAsia="黑体" w:cs="Times New Roman"/>
          <w:b/>
          <w:kern w:val="0"/>
        </w:rPr>
        <w:t>摘  要</w:t>
      </w:r>
      <w:r>
        <w:rPr>
          <w:rFonts w:hint="eastAsia" w:ascii="Times New Roman" w:hAnsi="Times New Roman" w:cs="Times New Roman"/>
          <w:kern w:val="0"/>
        </w:rPr>
        <w:t>”（黑体）为标识。</w:t>
      </w:r>
      <w:r>
        <w:rPr>
          <w:rFonts w:ascii="Times New Roman" w:hAnsi="Times New Roman" w:cs="Times New Roman"/>
          <w:kern w:val="0"/>
        </w:rPr>
        <w:t>100</w:t>
      </w:r>
      <w:r>
        <w:rPr>
          <w:rFonts w:hint="eastAsia"/>
          <w:kern w:val="0"/>
        </w:rPr>
        <w:t>～</w:t>
      </w:r>
      <w:r>
        <w:rPr>
          <w:rFonts w:ascii="Times New Roman" w:hAnsi="Times New Roman" w:cs="Times New Roman"/>
          <w:kern w:val="0"/>
        </w:rPr>
        <w:t>300</w:t>
      </w:r>
      <w:r>
        <w:rPr>
          <w:rFonts w:hint="eastAsia" w:ascii="Times New Roman" w:hAnsi="Times New Roman" w:cs="Times New Roman"/>
          <w:kern w:val="0"/>
        </w:rPr>
        <w:t>字。言</w:t>
      </w:r>
      <w:r>
        <w:rPr>
          <w:rFonts w:hint="eastAsia"/>
          <w:kern w:val="0"/>
        </w:rPr>
        <w:t>简意赅地揭示论文核心内容，具有独立性及自含性，</w:t>
      </w:r>
      <w:r>
        <w:rPr>
          <w:rFonts w:hint="eastAsia" w:ascii="Times New Roman" w:hAnsi="Times New Roman" w:cs="Times New Roman"/>
          <w:kern w:val="0"/>
        </w:rPr>
        <w:t>明确列述该文的创新点（新理论、新观点、新技术、新工具等），</w:t>
      </w:r>
      <w:r>
        <w:rPr>
          <w:rFonts w:hint="eastAsia"/>
          <w:kern w:val="0"/>
        </w:rPr>
        <w:t>切忌写成前言或提要，避免使用</w:t>
      </w:r>
      <w:r>
        <w:rPr>
          <w:kern w:val="0"/>
        </w:rPr>
        <w:t xml:space="preserve"> </w:t>
      </w:r>
      <w:r>
        <w:rPr>
          <w:rFonts w:hint="eastAsia"/>
          <w:kern w:val="0"/>
        </w:rPr>
        <w:t>“本文”“本研究”“文章”“论文”“本人”“笔者认为”等提法。可参考“目的</w:t>
      </w:r>
      <w:r>
        <w:rPr>
          <w:kern w:val="0"/>
        </w:rPr>
        <w:t>/</w:t>
      </w:r>
      <w:r>
        <w:rPr>
          <w:rFonts w:hint="eastAsia"/>
          <w:kern w:val="0"/>
        </w:rPr>
        <w:t>意义→方法</w:t>
      </w:r>
      <w:r>
        <w:rPr>
          <w:kern w:val="0"/>
        </w:rPr>
        <w:t>/</w:t>
      </w:r>
      <w:r>
        <w:rPr>
          <w:rFonts w:hint="eastAsia"/>
          <w:kern w:val="0"/>
        </w:rPr>
        <w:t>过程→结果</w:t>
      </w:r>
      <w:r>
        <w:rPr>
          <w:kern w:val="0"/>
        </w:rPr>
        <w:t>/</w:t>
      </w:r>
      <w:r>
        <w:rPr>
          <w:rFonts w:hint="eastAsia"/>
          <w:kern w:val="0"/>
        </w:rPr>
        <w:t>结论”撰写模式。</w:t>
      </w:r>
    </w:p>
    <w:p>
      <w:pPr>
        <w:pStyle w:val="16"/>
        <w:spacing w:line="360" w:lineRule="auto"/>
        <w:ind w:left="360"/>
        <w:rPr>
          <w:rFonts w:ascii="宋体" w:hAnsi="宋体"/>
        </w:rPr>
      </w:pPr>
      <w:r>
        <w:rPr>
          <w:rFonts w:hint="eastAsia" w:ascii="宋体" w:hAnsi="宋体"/>
        </w:rPr>
        <w:t>英文摘要以“</w:t>
      </w:r>
      <w:r>
        <w:rPr>
          <w:rFonts w:ascii="冬青黑体简体中文 W6" w:hAnsi="冬青黑体简体中文 W6"/>
          <w:szCs w:val="21"/>
        </w:rPr>
        <w:t>Keywords”</w:t>
      </w:r>
      <w:r>
        <w:rPr>
          <w:rFonts w:hint="eastAsia" w:ascii="冬青黑体简体中文 W6" w:hAnsi="冬青黑体简体中文 W6"/>
          <w:szCs w:val="21"/>
        </w:rPr>
        <w:t>为标识，</w:t>
      </w:r>
      <w:r>
        <w:rPr>
          <w:rFonts w:hint="eastAsia" w:ascii="宋体" w:hAnsi="宋体"/>
        </w:rPr>
        <w:t>内容须与中文一致。</w:t>
      </w:r>
    </w:p>
    <w:p>
      <w:pPr>
        <w:pStyle w:val="16"/>
        <w:spacing w:line="360" w:lineRule="auto"/>
        <w:ind w:left="360"/>
        <w:rPr>
          <w:rFonts w:ascii="宋体" w:hAnsi="宋体"/>
        </w:rPr>
      </w:pPr>
    </w:p>
    <w:p>
      <w:pPr>
        <w:pStyle w:val="16"/>
        <w:numPr>
          <w:ilvl w:val="0"/>
          <w:numId w:val="1"/>
        </w:numPr>
        <w:spacing w:line="360" w:lineRule="auto"/>
        <w:ind w:firstLineChars="0"/>
        <w:rPr>
          <w:rFonts w:ascii="宋体" w:hAnsi="宋体"/>
          <w:b/>
        </w:rPr>
      </w:pPr>
      <w:r>
        <w:rPr>
          <w:rFonts w:hint="eastAsia" w:ascii="宋体" w:hAnsi="宋体"/>
          <w:b/>
        </w:rPr>
        <w:t>关键词</w:t>
      </w:r>
    </w:p>
    <w:p>
      <w:pPr>
        <w:spacing w:line="360" w:lineRule="auto"/>
        <w:ind w:left="420" w:leftChars="200" w:firstLine="420" w:firstLineChars="200"/>
        <w:rPr>
          <w:rFonts w:ascii="Times New Roman" w:hAnsi="Times New Roman" w:cs="Times New Roman"/>
        </w:rPr>
      </w:pPr>
      <w:r>
        <w:rPr>
          <w:rFonts w:hint="eastAsia" w:ascii="冬青黑体简体中文 W6" w:hAnsi="冬青黑体简体中文 W6"/>
          <w:szCs w:val="21"/>
        </w:rPr>
        <w:t>中文关键词前以“</w:t>
      </w:r>
      <w:r>
        <w:rPr>
          <w:rFonts w:hint="eastAsia" w:ascii="黑体" w:hAnsi="黑体" w:eastAsia="黑体" w:cs="Times New Roman"/>
          <w:b/>
          <w:kern w:val="0"/>
        </w:rPr>
        <w:t>关键词</w:t>
      </w:r>
      <w:r>
        <w:rPr>
          <w:rFonts w:hint="eastAsia" w:ascii="冬青黑体简体中文 W6" w:hAnsi="冬青黑体简体中文 W6"/>
          <w:szCs w:val="21"/>
        </w:rPr>
        <w:t>”（黑体）为标识。</w:t>
      </w:r>
      <w:r>
        <w:rPr>
          <w:rFonts w:hint="eastAsia" w:ascii="宋体" w:hAnsi="宋体"/>
        </w:rPr>
        <w:t xml:space="preserve"> 3-</w:t>
      </w:r>
      <w:r>
        <w:rPr>
          <w:rFonts w:ascii="宋体" w:hAnsi="宋体"/>
        </w:rPr>
        <w:t>8</w:t>
      </w:r>
      <w:r>
        <w:rPr>
          <w:rFonts w:hint="eastAsia" w:ascii="宋体" w:hAnsi="宋体"/>
        </w:rPr>
        <w:t>个，以分号隔开。</w:t>
      </w:r>
      <w:r>
        <w:rPr>
          <w:rFonts w:hint="eastAsia" w:ascii="Times New Roman" w:hAnsi="Times New Roman" w:cs="Times New Roman"/>
        </w:rPr>
        <w:t>一般要求关键词要有专指性（定位精准，范围不能大，否则不具备检索价值）、专业性（忌用“性质”“研究”“分析”之类泛词）、全面性（尽量呈现论文要点）、整体性（适当组配单词）等。</w:t>
      </w:r>
    </w:p>
    <w:p>
      <w:pPr>
        <w:spacing w:line="360" w:lineRule="auto"/>
        <w:ind w:left="420" w:leftChars="200" w:firstLine="420" w:firstLineChars="200"/>
        <w:rPr>
          <w:rFonts w:ascii="宋体" w:hAnsi="宋体"/>
        </w:rPr>
      </w:pPr>
      <w:r>
        <w:rPr>
          <w:rFonts w:hint="eastAsia" w:ascii="宋体" w:hAnsi="宋体"/>
        </w:rPr>
        <w:t>英文关键词前以“</w:t>
      </w:r>
      <w:r>
        <w:rPr>
          <w:rFonts w:ascii="冬青黑体简体中文 W6" w:hAnsi="冬青黑体简体中文 W6"/>
          <w:szCs w:val="21"/>
        </w:rPr>
        <w:t>Abstract</w:t>
      </w:r>
      <w:r>
        <w:rPr>
          <w:rFonts w:hint="eastAsia" w:ascii="宋体" w:hAnsi="宋体"/>
        </w:rPr>
        <w:t>与中文关键词一致，用分号隔开，每项关键词第一个单词的首字母大写。</w:t>
      </w:r>
    </w:p>
    <w:p>
      <w:pPr>
        <w:spacing w:line="360" w:lineRule="auto"/>
        <w:ind w:left="420" w:leftChars="200" w:firstLine="420" w:firstLineChars="200"/>
        <w:rPr>
          <w:rFonts w:ascii="Times New Roman" w:hAnsi="Times New Roman" w:cs="Times New Roman"/>
        </w:rPr>
      </w:pPr>
    </w:p>
    <w:p>
      <w:pPr>
        <w:pStyle w:val="16"/>
        <w:numPr>
          <w:ilvl w:val="0"/>
          <w:numId w:val="1"/>
        </w:numPr>
        <w:spacing w:line="360" w:lineRule="auto"/>
        <w:ind w:firstLineChars="0"/>
        <w:rPr>
          <w:rFonts w:ascii="宋体" w:hAnsi="宋体"/>
          <w:b/>
        </w:rPr>
      </w:pPr>
      <w:r>
        <w:rPr>
          <w:rFonts w:hint="eastAsia" w:ascii="宋体" w:hAnsi="宋体"/>
          <w:b/>
        </w:rPr>
        <w:t>分类号</w:t>
      </w:r>
    </w:p>
    <w:p>
      <w:pPr>
        <w:pStyle w:val="16"/>
        <w:spacing w:line="360" w:lineRule="auto"/>
        <w:ind w:left="360" w:firstLine="0" w:firstLineChars="0"/>
        <w:rPr>
          <w:rFonts w:ascii="Times New Roman" w:hAnsi="Times New Roman" w:cs="Times New Roman"/>
        </w:rPr>
      </w:pPr>
      <w:r>
        <w:rPr>
          <w:rFonts w:hint="eastAsia" w:ascii="宋体" w:hAnsi="宋体"/>
        </w:rPr>
        <w:t>分类号前以“</w:t>
      </w:r>
      <w:r>
        <w:rPr>
          <w:rFonts w:hint="eastAsia" w:ascii="黑体" w:hAnsi="黑体" w:eastAsia="黑体" w:cs="Times New Roman"/>
          <w:b/>
          <w:kern w:val="0"/>
        </w:rPr>
        <w:t>分类号</w:t>
      </w:r>
      <w:r>
        <w:rPr>
          <w:rFonts w:hint="eastAsia" w:ascii="宋体" w:hAnsi="宋体"/>
        </w:rPr>
        <w:t>”（黑体）为标识。参考中国图书馆分类法中图分类号：</w:t>
      </w:r>
      <w:r>
        <w:fldChar w:fldCharType="begin"/>
      </w:r>
      <w:r>
        <w:instrText xml:space="preserve"> HYPERLINK "http://www.ztflh.com/" </w:instrText>
      </w:r>
      <w:r>
        <w:fldChar w:fldCharType="separate"/>
      </w:r>
      <w:r>
        <w:rPr>
          <w:rStyle w:val="12"/>
          <w:rFonts w:ascii="宋体" w:hAnsi="宋体"/>
        </w:rPr>
        <w:t>http://www.ztflh.com/</w:t>
      </w:r>
      <w:r>
        <w:rPr>
          <w:rStyle w:val="12"/>
          <w:rFonts w:ascii="宋体" w:hAnsi="宋体"/>
        </w:rPr>
        <w:fldChar w:fldCharType="end"/>
      </w:r>
      <w:r>
        <w:rPr>
          <w:rStyle w:val="12"/>
          <w:rFonts w:hint="eastAsia" w:ascii="宋体" w:hAnsi="宋体"/>
          <w:u w:val="none"/>
        </w:rPr>
        <w:t>。</w:t>
      </w:r>
    </w:p>
    <w:p>
      <w:pPr>
        <w:pStyle w:val="16"/>
        <w:spacing w:line="360" w:lineRule="auto"/>
        <w:ind w:firstLine="0" w:firstLineChars="0"/>
        <w:rPr>
          <w:rFonts w:ascii="宋体" w:hAnsi="宋体"/>
        </w:rPr>
      </w:pPr>
    </w:p>
    <w:p>
      <w:pPr>
        <w:pStyle w:val="16"/>
        <w:spacing w:line="360" w:lineRule="auto"/>
        <w:ind w:firstLine="0" w:firstLineChars="0"/>
        <w:rPr>
          <w:rFonts w:ascii="宋体" w:hAnsi="宋体"/>
          <w:b/>
        </w:rPr>
      </w:pPr>
      <w:r>
        <w:rPr>
          <w:rFonts w:hint="eastAsia" w:ascii="宋体" w:hAnsi="宋体"/>
          <w:b/>
        </w:rPr>
        <w:t>6.  作者简介</w:t>
      </w:r>
    </w:p>
    <w:p>
      <w:pPr>
        <w:pStyle w:val="16"/>
        <w:spacing w:line="360" w:lineRule="auto"/>
        <w:ind w:firstLineChars="0"/>
        <w:rPr>
          <w:rFonts w:ascii="宋体" w:hAnsi="宋体"/>
        </w:rPr>
      </w:pPr>
      <w:r>
        <w:rPr>
          <w:rFonts w:hint="eastAsia" w:ascii="宋体" w:hAnsi="宋体"/>
        </w:rPr>
        <w:t>以“</w:t>
      </w:r>
      <w:r>
        <w:rPr>
          <w:rFonts w:hint="eastAsia" w:ascii="黑体" w:hAnsi="黑体" w:eastAsia="黑体" w:cs="Times New Roman"/>
          <w:b/>
          <w:kern w:val="0"/>
        </w:rPr>
        <w:t>作者简介</w:t>
      </w:r>
      <w:r>
        <w:rPr>
          <w:rFonts w:hint="eastAsia" w:ascii="宋体" w:hAnsi="宋体"/>
        </w:rPr>
        <w:t>”（黑体）为标识，按照署名顺序，依次列出各位作者的姓名、单位、职称。如有通讯作者，在该作者姓名后以圆括号标注“通讯作者”，并列出Email。</w:t>
      </w:r>
    </w:p>
    <w:p>
      <w:pPr>
        <w:spacing w:line="360" w:lineRule="auto"/>
        <w:rPr>
          <w:rFonts w:ascii="宋体" w:hAnsi="宋体"/>
        </w:rPr>
      </w:pPr>
    </w:p>
    <w:p>
      <w:pPr>
        <w:spacing w:line="360" w:lineRule="auto"/>
        <w:rPr>
          <w:rFonts w:ascii="宋体" w:hAnsi="宋体"/>
          <w:b/>
        </w:rPr>
      </w:pPr>
      <w:r>
        <w:rPr>
          <w:rFonts w:hint="eastAsia" w:ascii="宋体" w:hAnsi="宋体"/>
          <w:b/>
        </w:rPr>
        <w:t>7.  基金项目</w:t>
      </w:r>
    </w:p>
    <w:p>
      <w:pPr>
        <w:spacing w:line="360" w:lineRule="auto"/>
        <w:ind w:firstLine="420" w:firstLineChars="200"/>
        <w:rPr>
          <w:rFonts w:ascii="宋体" w:hAnsi="宋体"/>
        </w:rPr>
      </w:pPr>
      <w:r>
        <w:rPr>
          <w:rFonts w:hint="eastAsia" w:ascii="宋体" w:hAnsi="宋体"/>
        </w:rPr>
        <w:t>获得基金资助产出的文章以“</w:t>
      </w:r>
      <w:r>
        <w:rPr>
          <w:rFonts w:hint="eastAsia" w:ascii="黑体" w:hAnsi="黑体" w:eastAsia="黑体" w:cs="Times New Roman"/>
          <w:b/>
          <w:kern w:val="0"/>
        </w:rPr>
        <w:t>基金项目</w:t>
      </w:r>
      <w:r>
        <w:rPr>
          <w:rFonts w:hint="eastAsia" w:ascii="宋体" w:hAnsi="宋体"/>
        </w:rPr>
        <w:t>”（黑体）为标识注明完整</w:t>
      </w:r>
      <w:r>
        <w:rPr>
          <w:rFonts w:ascii="宋体" w:hAnsi="宋体"/>
        </w:rPr>
        <w:t>基金项目名称。</w:t>
      </w:r>
      <w:r>
        <w:rPr>
          <w:rFonts w:hint="eastAsia" w:ascii="宋体" w:hAnsi="宋体"/>
        </w:rPr>
        <w:t>“国家社会科学基金”不可略写为“国家社科基金”；具体项目名称以引号标注，其后在</w:t>
      </w:r>
      <w:r>
        <w:rPr>
          <w:rFonts w:ascii="宋体" w:hAnsi="宋体"/>
        </w:rPr>
        <w:t>圆括号内注明项目编号。</w:t>
      </w:r>
    </w:p>
    <w:p>
      <w:pPr>
        <w:spacing w:line="360" w:lineRule="auto"/>
        <w:rPr>
          <w:rFonts w:ascii="宋体" w:hAnsi="宋体"/>
        </w:rPr>
      </w:pPr>
    </w:p>
    <w:p>
      <w:pPr>
        <w:spacing w:line="360" w:lineRule="auto"/>
        <w:rPr>
          <w:rFonts w:ascii="宋体" w:hAnsi="宋体"/>
          <w:b/>
        </w:rPr>
      </w:pPr>
      <w:r>
        <w:rPr>
          <w:rFonts w:hint="eastAsia" w:ascii="宋体" w:hAnsi="宋体"/>
          <w:b/>
        </w:rPr>
        <w:t>8.  标题层次</w:t>
      </w:r>
    </w:p>
    <w:p>
      <w:pPr>
        <w:pStyle w:val="24"/>
        <w:widowControl/>
        <w:spacing w:line="360" w:lineRule="auto"/>
        <w:ind w:right="84" w:firstLine="420" w:firstLineChars="200"/>
        <w:jc w:val="left"/>
        <w:rPr>
          <w:rFonts w:ascii="宋体" w:hAnsi="宋体" w:eastAsia="宋体" w:cstheme="minorBidi"/>
          <w:color w:val="auto"/>
          <w:szCs w:val="22"/>
        </w:rPr>
      </w:pPr>
      <w:r>
        <w:rPr>
          <w:rFonts w:hint="eastAsia" w:ascii="宋体" w:hAnsi="宋体" w:eastAsia="宋体" w:cstheme="minorBidi"/>
          <w:color w:val="auto"/>
          <w:szCs w:val="22"/>
        </w:rPr>
        <w:t>从0开始标注，采用1、1</w:t>
      </w:r>
      <w:r>
        <w:rPr>
          <w:rFonts w:ascii="宋体" w:hAnsi="宋体" w:eastAsia="宋体" w:cstheme="minorBidi"/>
          <w:color w:val="auto"/>
          <w:szCs w:val="22"/>
        </w:rPr>
        <w:t>.1</w:t>
      </w:r>
      <w:r>
        <w:rPr>
          <w:rFonts w:hint="eastAsia" w:ascii="宋体" w:hAnsi="宋体" w:eastAsia="宋体" w:cstheme="minorBidi"/>
          <w:color w:val="auto"/>
          <w:szCs w:val="22"/>
        </w:rPr>
        <w:t>、</w:t>
      </w:r>
      <w:r>
        <w:rPr>
          <w:rFonts w:ascii="宋体" w:hAnsi="宋体" w:eastAsia="宋体" w:cstheme="minorBidi"/>
          <w:color w:val="auto"/>
          <w:szCs w:val="22"/>
        </w:rPr>
        <w:t>1.1.1</w:t>
      </w:r>
      <w:r>
        <w:rPr>
          <w:rFonts w:hint="eastAsia" w:ascii="宋体" w:hAnsi="宋体" w:eastAsia="宋体" w:cstheme="minorBidi"/>
          <w:color w:val="auto"/>
          <w:szCs w:val="22"/>
        </w:rPr>
        <w:t>层级格式。单一自然段一般不列为章节，用（1）（2）（3）标识，其下一级用①②③标识。</w:t>
      </w:r>
    </w:p>
    <w:p>
      <w:pPr>
        <w:pStyle w:val="16"/>
        <w:spacing w:line="360" w:lineRule="auto"/>
        <w:ind w:firstLine="0" w:firstLineChars="0"/>
        <w:rPr>
          <w:rFonts w:ascii="宋体" w:hAnsi="宋体"/>
        </w:rPr>
      </w:pPr>
      <w:r>
        <w:rPr>
          <w:rFonts w:hint="eastAsia" w:ascii="宋体" w:hAnsi="宋体"/>
        </w:rPr>
        <w:t xml:space="preserve">   </w:t>
      </w:r>
    </w:p>
    <w:p>
      <w:pPr>
        <w:pStyle w:val="23"/>
        <w:spacing w:line="360" w:lineRule="auto"/>
        <w:rPr>
          <w:b/>
          <w:sz w:val="28"/>
          <w:szCs w:val="28"/>
        </w:rPr>
      </w:pPr>
      <w:r>
        <w:rPr>
          <w:rFonts w:hint="eastAsia" w:ascii="宋体" w:hAnsi="宋体"/>
          <w:b/>
        </w:rPr>
        <w:t>9</w:t>
      </w:r>
      <w:r>
        <w:rPr>
          <w:rFonts w:ascii="宋体" w:hAnsi="宋体"/>
          <w:b/>
        </w:rPr>
        <w:t>.</w:t>
      </w:r>
      <w:r>
        <w:rPr>
          <w:rFonts w:hint="eastAsia" w:ascii="宋体" w:hAnsi="宋体"/>
          <w:b/>
        </w:rPr>
        <w:t xml:space="preserve"> </w:t>
      </w:r>
      <w:r>
        <w:rPr>
          <w:rFonts w:ascii="宋体" w:hAnsi="宋体" w:eastAsia="宋体" w:cstheme="minorBidi"/>
          <w:b/>
          <w:color w:val="auto"/>
          <w:kern w:val="2"/>
          <w:sz w:val="21"/>
          <w:szCs w:val="22"/>
        </w:rPr>
        <w:t>数字用法</w:t>
      </w:r>
    </w:p>
    <w:p>
      <w:pPr>
        <w:spacing w:line="360" w:lineRule="auto"/>
        <w:ind w:firstLine="420" w:firstLineChars="200"/>
        <w:rPr>
          <w:rFonts w:ascii="宋体" w:hAnsi="宋体"/>
        </w:rPr>
      </w:pPr>
      <w:r>
        <w:rPr>
          <w:rFonts w:hint="eastAsia" w:ascii="宋体" w:hAnsi="宋体"/>
        </w:rPr>
        <w:t>（1） 公元纪年的世纪、年代、年、月、日使用阿拉伯数字，行文中的古代年代要加“公元”。如：</w:t>
      </w:r>
      <w:r>
        <w:rPr>
          <w:rFonts w:ascii="宋体" w:hAnsi="宋体"/>
        </w:rPr>
        <w:t>19</w:t>
      </w:r>
      <w:r>
        <w:rPr>
          <w:rFonts w:hint="eastAsia" w:ascii="宋体" w:hAnsi="宋体"/>
        </w:rPr>
        <w:t>世纪</w:t>
      </w:r>
      <w:r>
        <w:rPr>
          <w:rFonts w:ascii="宋体" w:hAnsi="宋体"/>
        </w:rPr>
        <w:t>60</w:t>
      </w:r>
      <w:r>
        <w:rPr>
          <w:rFonts w:hint="eastAsia" w:ascii="宋体" w:hAnsi="宋体"/>
        </w:rPr>
        <w:t>年代、</w:t>
      </w:r>
      <w:r>
        <w:rPr>
          <w:rFonts w:ascii="宋体" w:hAnsi="宋体"/>
        </w:rPr>
        <w:t>1922</w:t>
      </w:r>
      <w:r>
        <w:rPr>
          <w:rFonts w:hint="eastAsia" w:ascii="宋体" w:hAnsi="宋体"/>
        </w:rPr>
        <w:t>年</w:t>
      </w:r>
      <w:r>
        <w:rPr>
          <w:rFonts w:ascii="宋体" w:hAnsi="宋体"/>
        </w:rPr>
        <w:t>12</w:t>
      </w:r>
      <w:r>
        <w:rPr>
          <w:rFonts w:hint="eastAsia" w:ascii="宋体" w:hAnsi="宋体"/>
        </w:rPr>
        <w:t>月初、公元前</w:t>
      </w:r>
      <w:r>
        <w:rPr>
          <w:rFonts w:ascii="宋体" w:hAnsi="宋体"/>
        </w:rPr>
        <w:t>463—</w:t>
      </w:r>
      <w:r>
        <w:rPr>
          <w:rFonts w:hint="eastAsia" w:ascii="宋体" w:hAnsi="宋体"/>
        </w:rPr>
        <w:t>前</w:t>
      </w:r>
      <w:r>
        <w:rPr>
          <w:rFonts w:ascii="宋体" w:hAnsi="宋体"/>
        </w:rPr>
        <w:t>389</w:t>
      </w:r>
      <w:r>
        <w:rPr>
          <w:rFonts w:hint="eastAsia" w:ascii="宋体" w:hAnsi="宋体"/>
        </w:rPr>
        <w:t>年、公元</w:t>
      </w:r>
      <w:r>
        <w:rPr>
          <w:rFonts w:ascii="宋体" w:hAnsi="宋体"/>
        </w:rPr>
        <w:t>25</w:t>
      </w:r>
      <w:r>
        <w:rPr>
          <w:rFonts w:hint="eastAsia" w:ascii="宋体" w:hAnsi="宋体"/>
        </w:rPr>
        <w:t>年、公元</w:t>
      </w:r>
      <w:r>
        <w:rPr>
          <w:rFonts w:ascii="宋体" w:hAnsi="宋体"/>
        </w:rPr>
        <w:t>1628</w:t>
      </w:r>
      <w:r>
        <w:rPr>
          <w:rFonts w:hint="eastAsia" w:ascii="宋体" w:hAnsi="宋体"/>
        </w:rPr>
        <w:t>年。</w:t>
      </w:r>
      <w:r>
        <w:rPr>
          <w:rFonts w:ascii="宋体" w:hAnsi="宋体"/>
        </w:rPr>
        <w:t>“</w:t>
      </w:r>
      <w:r>
        <w:rPr>
          <w:rFonts w:hint="eastAsia" w:ascii="宋体" w:hAnsi="宋体"/>
        </w:rPr>
        <w:t>世纪</w:t>
      </w:r>
      <w:r>
        <w:rPr>
          <w:rFonts w:ascii="宋体" w:hAnsi="宋体"/>
        </w:rPr>
        <w:t>+</w:t>
      </w:r>
      <w:r>
        <w:rPr>
          <w:rFonts w:hint="eastAsia" w:ascii="宋体" w:hAnsi="宋体"/>
        </w:rPr>
        <w:t>年代</w:t>
      </w:r>
      <w:r>
        <w:rPr>
          <w:rFonts w:ascii="宋体" w:hAnsi="宋体"/>
        </w:rPr>
        <w:t>”</w:t>
      </w:r>
      <w:r>
        <w:rPr>
          <w:rFonts w:hint="eastAsia" w:ascii="宋体" w:hAnsi="宋体"/>
        </w:rPr>
        <w:t>表示概数时，概数部分应使用汉字，如： 20世纪二三十年代。年份不应简写，如</w:t>
      </w:r>
      <w:r>
        <w:rPr>
          <w:rFonts w:ascii="宋体" w:hAnsi="宋体"/>
        </w:rPr>
        <w:t>1950</w:t>
      </w:r>
      <w:r>
        <w:rPr>
          <w:rFonts w:hint="eastAsia" w:ascii="宋体" w:hAnsi="宋体"/>
        </w:rPr>
        <w:t>年不应写作</w:t>
      </w:r>
      <w:r>
        <w:rPr>
          <w:rFonts w:ascii="宋体" w:hAnsi="宋体"/>
        </w:rPr>
        <w:t>”50</w:t>
      </w:r>
      <w:r>
        <w:rPr>
          <w:rFonts w:hint="eastAsia" w:ascii="宋体" w:hAnsi="宋体"/>
        </w:rPr>
        <w:t>年</w:t>
      </w:r>
      <w:r>
        <w:rPr>
          <w:rFonts w:ascii="宋体" w:hAnsi="宋体"/>
        </w:rPr>
        <w:t>”</w:t>
      </w:r>
      <w:r>
        <w:rPr>
          <w:rFonts w:hint="eastAsia" w:ascii="宋体" w:hAnsi="宋体"/>
        </w:rPr>
        <w:t>或</w:t>
      </w:r>
      <w:r>
        <w:rPr>
          <w:rFonts w:ascii="宋体" w:hAnsi="宋体"/>
        </w:rPr>
        <w:t>“</w:t>
      </w:r>
      <w:r>
        <w:rPr>
          <w:rFonts w:hint="eastAsia" w:ascii="宋体" w:hAnsi="宋体"/>
        </w:rPr>
        <w:t>五〇年</w:t>
      </w:r>
      <w:r>
        <w:rPr>
          <w:rFonts w:ascii="宋体" w:hAnsi="宋体"/>
        </w:rPr>
        <w:t>”</w:t>
      </w:r>
      <w:r>
        <w:rPr>
          <w:rFonts w:hint="eastAsia" w:ascii="宋体" w:hAnsi="宋体"/>
        </w:rPr>
        <w:t>。</w:t>
      </w:r>
    </w:p>
    <w:p>
      <w:pPr>
        <w:spacing w:line="360" w:lineRule="auto"/>
        <w:ind w:firstLine="420" w:firstLineChars="200"/>
        <w:rPr>
          <w:rFonts w:ascii="宋体" w:hAnsi="宋体"/>
        </w:rPr>
      </w:pPr>
      <w:r>
        <w:rPr>
          <w:rFonts w:hint="eastAsia" w:ascii="宋体" w:hAnsi="宋体"/>
        </w:rPr>
        <w:t>（2）中华民国纪年只能使用到民国</w:t>
      </w:r>
      <w:r>
        <w:rPr>
          <w:rFonts w:ascii="宋体" w:hAnsi="宋体"/>
        </w:rPr>
        <w:t>37</w:t>
      </w:r>
      <w:r>
        <w:rPr>
          <w:rFonts w:hint="eastAsia" w:ascii="宋体" w:hAnsi="宋体"/>
        </w:rPr>
        <w:t>年（</w:t>
      </w:r>
      <w:r>
        <w:rPr>
          <w:rFonts w:ascii="宋体" w:hAnsi="宋体"/>
        </w:rPr>
        <w:t>1948</w:t>
      </w:r>
      <w:r>
        <w:rPr>
          <w:rFonts w:hint="eastAsia" w:ascii="宋体" w:hAnsi="宋体"/>
        </w:rPr>
        <w:t>年），并使用阿拉伯数字。1948年后台湾使用的民国纪年应改为公元纪年表达。</w:t>
      </w:r>
      <w:r>
        <w:rPr>
          <w:rFonts w:ascii="宋体" w:hAnsi="宋体"/>
        </w:rPr>
        <w:t xml:space="preserve"> </w:t>
      </w:r>
    </w:p>
    <w:p>
      <w:pPr>
        <w:spacing w:line="360" w:lineRule="auto"/>
        <w:ind w:firstLine="420" w:firstLineChars="200"/>
        <w:rPr>
          <w:rFonts w:ascii="宋体" w:hAnsi="宋体"/>
        </w:rPr>
      </w:pPr>
      <w:r>
        <w:rPr>
          <w:rFonts w:hint="eastAsia" w:ascii="宋体" w:hAnsi="宋体"/>
        </w:rPr>
        <w:t>（3）非公元纪年的年、月、日使用汉字数字，包括历史年号纪年、干支纪年、各民族其他纪年方式等，应保持原表达方式，并于文中第一次出现时以括号标注公元纪年于其后，如：秦厉公二十六年（前</w:t>
      </w:r>
      <w:r>
        <w:rPr>
          <w:rFonts w:ascii="宋体" w:hAnsi="宋体"/>
        </w:rPr>
        <w:t>451</w:t>
      </w:r>
      <w:r>
        <w:rPr>
          <w:rFonts w:hint="eastAsia" w:ascii="宋体" w:hAnsi="宋体"/>
        </w:rPr>
        <w:t>年）</w:t>
      </w:r>
      <w:r>
        <w:rPr>
          <w:rFonts w:ascii="宋体" w:hAnsi="宋体"/>
        </w:rPr>
        <w:t>，</w:t>
      </w:r>
      <w:r>
        <w:rPr>
          <w:rFonts w:hint="eastAsia" w:ascii="宋体" w:hAnsi="宋体"/>
        </w:rPr>
        <w:t>唐武宗会昌三年（</w:t>
      </w:r>
      <w:r>
        <w:rPr>
          <w:rFonts w:ascii="宋体" w:hAnsi="宋体"/>
        </w:rPr>
        <w:t>843</w:t>
      </w:r>
      <w:r>
        <w:rPr>
          <w:rFonts w:hint="eastAsia" w:ascii="宋体" w:hAnsi="宋体"/>
        </w:rPr>
        <w:t>年），宋徽宗崇宁年间（</w:t>
      </w:r>
      <w:r>
        <w:rPr>
          <w:rFonts w:ascii="宋体" w:hAnsi="宋体"/>
        </w:rPr>
        <w:t>1102—1106</w:t>
      </w:r>
      <w:r>
        <w:rPr>
          <w:rFonts w:hint="eastAsia" w:ascii="宋体" w:hAnsi="宋体"/>
        </w:rPr>
        <w:t>年）</w:t>
      </w:r>
      <w:r>
        <w:rPr>
          <w:rFonts w:ascii="宋体" w:hAnsi="宋体"/>
        </w:rPr>
        <w:t>。</w:t>
      </w:r>
    </w:p>
    <w:p>
      <w:pPr>
        <w:spacing w:line="360" w:lineRule="auto"/>
        <w:ind w:firstLine="420" w:firstLineChars="200"/>
        <w:rPr>
          <w:rFonts w:ascii="宋体" w:hAnsi="宋体"/>
        </w:rPr>
      </w:pPr>
      <w:r>
        <w:rPr>
          <w:rFonts w:hint="eastAsia" w:ascii="宋体" w:hAnsi="宋体"/>
        </w:rPr>
        <w:t>（4）图</w:t>
      </w:r>
      <w:r>
        <w:rPr>
          <w:rFonts w:ascii="宋体" w:hAnsi="宋体"/>
        </w:rPr>
        <w:t>表的顺序号、数据均用阿拉伯数字。</w:t>
      </w:r>
    </w:p>
    <w:p>
      <w:pPr>
        <w:spacing w:line="360" w:lineRule="auto"/>
        <w:ind w:firstLine="420" w:firstLineChars="200"/>
        <w:rPr>
          <w:rFonts w:ascii="宋体" w:hAnsi="宋体"/>
        </w:rPr>
      </w:pPr>
    </w:p>
    <w:p>
      <w:pPr>
        <w:spacing w:line="360" w:lineRule="auto"/>
        <w:rPr>
          <w:rFonts w:ascii="宋体" w:hAnsi="宋体"/>
          <w:b/>
        </w:rPr>
      </w:pPr>
      <w:r>
        <w:rPr>
          <w:rFonts w:hint="eastAsia" w:ascii="宋体" w:hAnsi="宋体"/>
          <w:b/>
        </w:rPr>
        <w:t>10. 数据</w:t>
      </w:r>
    </w:p>
    <w:p>
      <w:pPr>
        <w:spacing w:line="360" w:lineRule="auto"/>
        <w:ind w:firstLine="420" w:firstLineChars="200"/>
        <w:rPr>
          <w:rFonts w:ascii="宋体" w:hAnsi="宋体"/>
        </w:rPr>
      </w:pPr>
      <w:r>
        <w:rPr>
          <w:rFonts w:hint="eastAsia" w:ascii="宋体" w:hAnsi="宋体"/>
        </w:rPr>
        <w:t>（1）带有计量单位的数据通常使用阿拉伯数字，整数一至十，若不是出现在具有统计意义的一组数据中，则可以用汉字。</w:t>
      </w:r>
      <w:r>
        <w:rPr>
          <w:rFonts w:ascii="宋体" w:hAnsi="宋体"/>
        </w:rPr>
        <w:t xml:space="preserve"> </w:t>
      </w:r>
    </w:p>
    <w:p>
      <w:pPr>
        <w:spacing w:line="360" w:lineRule="auto"/>
        <w:ind w:firstLine="420" w:firstLineChars="200"/>
        <w:rPr>
          <w:rFonts w:ascii="楷体" w:hAnsi="楷体" w:eastAsia="楷体" w:cs="仿宋"/>
          <w:color w:val="000000"/>
          <w:kern w:val="0"/>
          <w:szCs w:val="21"/>
        </w:rPr>
      </w:pPr>
      <w:r>
        <w:rPr>
          <w:rFonts w:hint="eastAsia" w:ascii="宋体" w:hAnsi="宋体"/>
        </w:rPr>
        <w:t>（2）四位以上的较大数据应使用千分空分节，三位数字一组，组间空</w:t>
      </w:r>
      <w:r>
        <w:rPr>
          <w:rFonts w:ascii="宋体" w:hAnsi="宋体"/>
        </w:rPr>
        <w:t>1/4</w:t>
      </w:r>
      <w:r>
        <w:rPr>
          <w:rFonts w:hint="eastAsia" w:ascii="宋体" w:hAnsi="宋体"/>
        </w:rPr>
        <w:t>个汉字字符。五位以上的数据可以改写为以</w:t>
      </w:r>
      <w:r>
        <w:rPr>
          <w:rFonts w:ascii="宋体" w:hAnsi="宋体"/>
        </w:rPr>
        <w:t>“</w:t>
      </w:r>
      <w:r>
        <w:rPr>
          <w:rFonts w:hint="eastAsia" w:ascii="宋体" w:hAnsi="宋体"/>
        </w:rPr>
        <w:t>亿</w:t>
      </w:r>
      <w:r>
        <w:rPr>
          <w:rFonts w:ascii="宋体" w:hAnsi="宋体"/>
        </w:rPr>
        <w:t>”“</w:t>
      </w:r>
      <w:r>
        <w:rPr>
          <w:rFonts w:hint="eastAsia" w:ascii="宋体" w:hAnsi="宋体"/>
        </w:rPr>
        <w:t>万</w:t>
      </w:r>
      <w:r>
        <w:rPr>
          <w:rFonts w:ascii="宋体" w:hAnsi="宋体"/>
        </w:rPr>
        <w:t>”</w:t>
      </w:r>
      <w:r>
        <w:rPr>
          <w:rFonts w:hint="eastAsia" w:ascii="宋体" w:hAnsi="宋体"/>
        </w:rPr>
        <w:t>等较大单位的数据。如：</w:t>
      </w:r>
      <w:r>
        <w:rPr>
          <w:rFonts w:hint="eastAsia" w:ascii="楷体" w:hAnsi="楷体" w:eastAsia="楷体" w:cs="仿宋"/>
          <w:color w:val="000000"/>
          <w:kern w:val="0"/>
          <w:szCs w:val="21"/>
        </w:rPr>
        <w:t>7万或</w:t>
      </w:r>
      <w:r>
        <w:rPr>
          <w:rFonts w:ascii="楷体" w:hAnsi="楷体" w:eastAsia="楷体" w:cs="仿宋"/>
          <w:color w:val="000000"/>
          <w:kern w:val="0"/>
          <w:szCs w:val="21"/>
        </w:rPr>
        <w:t xml:space="preserve">70 000 </w:t>
      </w:r>
      <w:r>
        <w:rPr>
          <w:rFonts w:hint="eastAsia" w:ascii="楷体" w:hAnsi="楷体" w:eastAsia="楷体" w:cs="仿宋"/>
          <w:color w:val="000000"/>
          <w:kern w:val="0"/>
          <w:szCs w:val="21"/>
        </w:rPr>
        <w:t>（不应写作</w:t>
      </w:r>
      <w:r>
        <w:rPr>
          <w:rFonts w:ascii="楷体" w:hAnsi="楷体" w:eastAsia="楷体" w:cs="仿宋"/>
          <w:color w:val="000000"/>
          <w:kern w:val="0"/>
          <w:szCs w:val="21"/>
        </w:rPr>
        <w:t>5</w:t>
      </w:r>
      <w:r>
        <w:rPr>
          <w:rFonts w:hint="eastAsia" w:ascii="楷体" w:hAnsi="楷体" w:eastAsia="楷体" w:cs="仿宋"/>
          <w:color w:val="000000"/>
          <w:kern w:val="0"/>
          <w:szCs w:val="21"/>
        </w:rPr>
        <w:t>万，若有单位则可写为</w:t>
      </w:r>
      <w:r>
        <w:rPr>
          <w:rFonts w:ascii="楷体" w:hAnsi="楷体" w:eastAsia="楷体" w:cs="仿宋"/>
          <w:color w:val="000000"/>
          <w:kern w:val="0"/>
          <w:szCs w:val="21"/>
        </w:rPr>
        <w:t>“5</w:t>
      </w:r>
      <w:r>
        <w:rPr>
          <w:rFonts w:hint="eastAsia" w:ascii="楷体" w:hAnsi="楷体" w:eastAsia="楷体" w:cs="仿宋"/>
          <w:color w:val="000000"/>
          <w:kern w:val="0"/>
          <w:szCs w:val="21"/>
        </w:rPr>
        <w:t>万元</w:t>
      </w:r>
      <w:r>
        <w:rPr>
          <w:rFonts w:ascii="楷体" w:hAnsi="楷体" w:eastAsia="楷体" w:cs="仿宋"/>
          <w:color w:val="000000"/>
          <w:kern w:val="0"/>
          <w:szCs w:val="21"/>
        </w:rPr>
        <w:t>”</w:t>
      </w:r>
      <w:r>
        <w:rPr>
          <w:rFonts w:hint="eastAsia" w:ascii="楷体" w:hAnsi="楷体" w:eastAsia="楷体" w:cs="仿宋"/>
          <w:color w:val="000000"/>
          <w:kern w:val="0"/>
          <w:szCs w:val="21"/>
        </w:rPr>
        <w:t>）</w:t>
      </w:r>
      <w:r>
        <w:rPr>
          <w:rFonts w:ascii="楷体" w:hAnsi="楷体" w:eastAsia="楷体" w:cs="仿宋"/>
          <w:color w:val="000000"/>
          <w:kern w:val="0"/>
          <w:szCs w:val="21"/>
        </w:rPr>
        <w:t>。</w:t>
      </w:r>
    </w:p>
    <w:p>
      <w:pPr>
        <w:spacing w:line="360" w:lineRule="auto"/>
        <w:ind w:firstLine="420" w:firstLineChars="200"/>
        <w:rPr>
          <w:rFonts w:ascii="楷体" w:hAnsi="楷体" w:eastAsia="楷体" w:cs="仿宋"/>
          <w:color w:val="000000"/>
          <w:kern w:val="0"/>
          <w:szCs w:val="21"/>
        </w:rPr>
      </w:pPr>
    </w:p>
    <w:p>
      <w:pPr>
        <w:spacing w:line="360" w:lineRule="auto"/>
        <w:rPr>
          <w:rFonts w:ascii="宋体" w:hAnsi="宋体"/>
          <w:b/>
        </w:rPr>
      </w:pPr>
      <w:r>
        <w:rPr>
          <w:rFonts w:hint="eastAsia" w:ascii="宋体" w:hAnsi="宋体"/>
          <w:b/>
        </w:rPr>
        <w:t>11.  外文人名、书名、机构名、专业术语等</w:t>
      </w:r>
    </w:p>
    <w:p>
      <w:pPr>
        <w:spacing w:line="360" w:lineRule="auto"/>
        <w:ind w:firstLine="420" w:firstLineChars="200"/>
        <w:rPr>
          <w:rFonts w:ascii="宋体" w:hAnsi="宋体"/>
        </w:rPr>
      </w:pPr>
      <w:r>
        <w:rPr>
          <w:rFonts w:ascii="宋体" w:hAnsi="宋体"/>
        </w:rPr>
        <w:t>（1）</w:t>
      </w:r>
      <w:r>
        <w:rPr>
          <w:rFonts w:hint="eastAsia" w:ascii="宋体" w:hAnsi="宋体"/>
        </w:rPr>
        <w:t xml:space="preserve"> 外文人名必须翻译，文章中第一次出现时在译名后用括号标出外文原名，如大卫</w:t>
      </w:r>
      <w:r>
        <w:rPr>
          <w:rFonts w:ascii="宋体" w:hAnsi="宋体"/>
        </w:rPr>
        <w:t>·</w:t>
      </w:r>
      <w:r>
        <w:rPr>
          <w:rFonts w:hint="eastAsia" w:ascii="宋体" w:hAnsi="宋体"/>
        </w:rPr>
        <w:t>戈伦比亚（</w:t>
      </w:r>
      <w:r>
        <w:rPr>
          <w:rFonts w:ascii="宋体" w:hAnsi="宋体"/>
        </w:rPr>
        <w:t>David Golumbia</w:t>
      </w:r>
      <w:r>
        <w:rPr>
          <w:rFonts w:hint="eastAsia" w:ascii="宋体" w:hAnsi="宋体"/>
        </w:rPr>
        <w:t>）</w:t>
      </w:r>
    </w:p>
    <w:p>
      <w:pPr>
        <w:spacing w:line="360" w:lineRule="auto"/>
        <w:ind w:firstLine="420" w:firstLineChars="200"/>
        <w:rPr>
          <w:rFonts w:ascii="宋体" w:hAnsi="宋体"/>
        </w:rPr>
      </w:pPr>
      <w:r>
        <w:rPr>
          <w:rFonts w:hint="eastAsia" w:ascii="宋体" w:hAnsi="宋体"/>
        </w:rPr>
        <w:t>（</w:t>
      </w:r>
      <w:r>
        <w:rPr>
          <w:rFonts w:ascii="宋体" w:hAnsi="宋体"/>
        </w:rPr>
        <w:t xml:space="preserve">2） </w:t>
      </w:r>
      <w:r>
        <w:rPr>
          <w:rFonts w:hint="eastAsia" w:ascii="宋体" w:hAnsi="宋体"/>
        </w:rPr>
        <w:t>书名、文章名、文件（标准、规范</w:t>
      </w:r>
      <w:r>
        <w:rPr>
          <w:rFonts w:ascii="宋体" w:hAnsi="宋体"/>
        </w:rPr>
        <w:t>）</w:t>
      </w:r>
      <w:r>
        <w:rPr>
          <w:rFonts w:hint="eastAsia" w:ascii="宋体" w:hAnsi="宋体"/>
        </w:rPr>
        <w:t>名、数据库名等必须翻译，文章中第一次出现时在译名后用括号标出外文原名</w:t>
      </w:r>
      <w:r>
        <w:rPr>
          <w:rFonts w:ascii="宋体" w:hAnsi="宋体"/>
        </w:rPr>
        <w:t>，</w:t>
      </w:r>
      <w:r>
        <w:rPr>
          <w:rFonts w:hint="eastAsia" w:ascii="宋体" w:hAnsi="宋体"/>
        </w:rPr>
        <w:t>如“《数字人文中的辩论》（</w:t>
      </w:r>
      <w:r>
        <w:rPr>
          <w:rFonts w:ascii="宋体" w:hAnsi="宋体"/>
          <w:i/>
          <w:iCs/>
        </w:rPr>
        <w:t>Debates in the Digital Humanties</w:t>
      </w:r>
      <w:r>
        <w:rPr>
          <w:rFonts w:hint="eastAsia" w:ascii="宋体" w:hAnsi="宋体"/>
        </w:rPr>
        <w:t>）”，外文用斜体。如果该书、文章、文件等已经有公开出版的中文译本，尽量使用该中文译本的名称。某些文件、数据库、平台有通用的外文略称，则第一次出现时在括号内可仅标出外文略称，之后再次出现时可使用略称, 如“《文本编码规范》（TEM</w:t>
      </w:r>
      <w:r>
        <w:rPr>
          <w:rFonts w:ascii="宋体" w:hAnsi="宋体"/>
        </w:rPr>
        <w:t>）”，</w:t>
      </w:r>
      <w:r>
        <w:rPr>
          <w:rFonts w:hint="eastAsia" w:ascii="宋体" w:hAnsi="宋体"/>
        </w:rPr>
        <w:t>则该规范在文中再次提及时可以直接使用</w:t>
      </w:r>
      <w:r>
        <w:rPr>
          <w:rFonts w:ascii="宋体" w:hAnsi="宋体"/>
        </w:rPr>
        <w:t>“</w:t>
      </w:r>
      <w:r>
        <w:rPr>
          <w:rFonts w:hint="eastAsia" w:ascii="宋体" w:hAnsi="宋体"/>
        </w:rPr>
        <w:t>TEM</w:t>
      </w:r>
      <w:r>
        <w:rPr>
          <w:rFonts w:ascii="宋体" w:hAnsi="宋体"/>
        </w:rPr>
        <w:t>”</w:t>
      </w:r>
      <w:r>
        <w:rPr>
          <w:rFonts w:hint="eastAsia" w:ascii="宋体" w:hAnsi="宋体"/>
        </w:rPr>
        <w:t>指代。外文略称无需用斜体。</w:t>
      </w:r>
    </w:p>
    <w:p>
      <w:pPr>
        <w:spacing w:line="360" w:lineRule="auto"/>
        <w:ind w:firstLine="420" w:firstLineChars="200"/>
        <w:rPr>
          <w:rFonts w:ascii="宋体" w:hAnsi="宋体"/>
        </w:rPr>
      </w:pPr>
      <w:r>
        <w:rPr>
          <w:rFonts w:hint="eastAsia" w:ascii="宋体" w:hAnsi="宋体"/>
        </w:rPr>
        <w:t>（</w:t>
      </w:r>
      <w:r>
        <w:rPr>
          <w:rFonts w:ascii="宋体" w:hAnsi="宋体"/>
        </w:rPr>
        <w:t xml:space="preserve">3） </w:t>
      </w:r>
      <w:r>
        <w:rPr>
          <w:rFonts w:hint="eastAsia" w:ascii="宋体" w:hAnsi="宋体"/>
        </w:rPr>
        <w:t>机构名、项目名、平台名必须翻译，文章中第一次出现时在译名后用括号标出外文原名或外文略称或两者皆具，如</w:t>
      </w:r>
      <w:r>
        <w:rPr>
          <w:rFonts w:ascii="宋体" w:hAnsi="宋体"/>
        </w:rPr>
        <w:t>“现代艺术博物馆（Museum of Modern Art）” “现代艺术博物馆（MoMA）” “现代艺术博物馆（Museum of Modern Art，MoMA）”，</w:t>
      </w:r>
      <w:r>
        <w:rPr>
          <w:rFonts w:hint="eastAsia" w:ascii="宋体" w:hAnsi="宋体"/>
        </w:rPr>
        <w:t>后两种情况下，该机构在文中再次提及时可直接使用“</w:t>
      </w:r>
      <w:r>
        <w:rPr>
          <w:rFonts w:ascii="宋体" w:hAnsi="宋体"/>
        </w:rPr>
        <w:t>MoMA”</w:t>
      </w:r>
      <w:r>
        <w:rPr>
          <w:rFonts w:hint="eastAsia" w:ascii="宋体" w:hAnsi="宋体"/>
        </w:rPr>
        <w:t>指代。</w:t>
      </w:r>
    </w:p>
    <w:p>
      <w:pPr>
        <w:spacing w:line="360" w:lineRule="auto"/>
        <w:ind w:firstLine="420" w:firstLineChars="200"/>
        <w:rPr>
          <w:rFonts w:ascii="宋体" w:hAnsi="宋体"/>
        </w:rPr>
      </w:pPr>
      <w:r>
        <w:rPr>
          <w:rFonts w:ascii="宋体" w:hAnsi="宋体"/>
        </w:rPr>
        <w:t>（4）</w:t>
      </w:r>
      <w:r>
        <w:rPr>
          <w:rFonts w:hint="eastAsia" w:ascii="宋体" w:hAnsi="宋体"/>
        </w:rPr>
        <w:t>专业术语必须翻译，文章中第一次出现时在译名后用括号标出外文原名或外文略称或两者皆具，如“潜在狄利克雷分配</w:t>
      </w:r>
      <w:r>
        <w:rPr>
          <w:rFonts w:ascii="宋体" w:hAnsi="宋体"/>
        </w:rPr>
        <w:t>（</w:t>
      </w:r>
      <w:r>
        <w:rPr>
          <w:rFonts w:hint="eastAsia" w:ascii="宋体" w:hAnsi="宋体"/>
        </w:rPr>
        <w:t>L</w:t>
      </w:r>
      <w:r>
        <w:rPr>
          <w:rFonts w:ascii="宋体" w:hAnsi="宋体"/>
        </w:rPr>
        <w:t>atent</w:t>
      </w:r>
      <w:r>
        <w:rPr>
          <w:rFonts w:hint="eastAsia" w:ascii="宋体" w:hAnsi="宋体"/>
        </w:rPr>
        <w:t xml:space="preserve"> </w:t>
      </w:r>
      <w:r>
        <w:rPr>
          <w:rFonts w:ascii="宋体" w:hAnsi="宋体"/>
        </w:rPr>
        <w:t>Dirichlet allocation）”</w:t>
      </w:r>
      <w:r>
        <w:rPr>
          <w:rFonts w:hint="eastAsia" w:ascii="宋体" w:hAnsi="宋体"/>
        </w:rPr>
        <w:t>“潜在狄利克雷分配</w:t>
      </w:r>
      <w:r>
        <w:rPr>
          <w:rFonts w:ascii="宋体" w:hAnsi="宋体"/>
        </w:rPr>
        <w:t>（LDA）”</w:t>
      </w:r>
      <w:r>
        <w:rPr>
          <w:rFonts w:hint="eastAsia" w:ascii="宋体" w:hAnsi="宋体"/>
        </w:rPr>
        <w:t>“潜在狄利克雷分配</w:t>
      </w:r>
      <w:r>
        <w:rPr>
          <w:rFonts w:ascii="宋体" w:hAnsi="宋体"/>
        </w:rPr>
        <w:t>（</w:t>
      </w:r>
      <w:r>
        <w:rPr>
          <w:rFonts w:hint="eastAsia" w:ascii="宋体" w:hAnsi="宋体"/>
        </w:rPr>
        <w:t>L</w:t>
      </w:r>
      <w:r>
        <w:rPr>
          <w:rFonts w:ascii="宋体" w:hAnsi="宋体"/>
        </w:rPr>
        <w:t>atent</w:t>
      </w:r>
      <w:r>
        <w:rPr>
          <w:rFonts w:hint="eastAsia" w:ascii="宋体" w:hAnsi="宋体"/>
        </w:rPr>
        <w:t xml:space="preserve"> </w:t>
      </w:r>
      <w:r>
        <w:rPr>
          <w:rFonts w:ascii="宋体" w:hAnsi="宋体"/>
        </w:rPr>
        <w:t>Dirichlet allocation，LDA）”</w:t>
      </w:r>
      <w:r>
        <w:rPr>
          <w:rFonts w:hint="eastAsia" w:ascii="宋体" w:hAnsi="宋体"/>
        </w:rPr>
        <w:t xml:space="preserve"> ,后两种情况下，该模型在文中再次提及时可直接使用“</w:t>
      </w:r>
      <w:r>
        <w:rPr>
          <w:rFonts w:ascii="宋体" w:hAnsi="宋体"/>
        </w:rPr>
        <w:t>LDA”</w:t>
      </w:r>
      <w:r>
        <w:rPr>
          <w:rFonts w:hint="eastAsia" w:ascii="宋体" w:hAnsi="宋体"/>
        </w:rPr>
        <w:t>指代。</w:t>
      </w:r>
    </w:p>
    <w:p>
      <w:pPr>
        <w:spacing w:line="360" w:lineRule="auto"/>
        <w:ind w:firstLine="420" w:firstLineChars="200"/>
        <w:rPr>
          <w:rFonts w:ascii="宋体" w:hAnsi="宋体"/>
        </w:rPr>
      </w:pPr>
      <w:r>
        <w:rPr>
          <w:rFonts w:ascii="宋体" w:hAnsi="宋体"/>
        </w:rPr>
        <w:t>（5）</w:t>
      </w:r>
      <w:r>
        <w:rPr>
          <w:rFonts w:hint="eastAsia" w:ascii="宋体" w:hAnsi="宋体"/>
        </w:rPr>
        <w:t>软件名、数字人文工具名等可不翻译。</w:t>
      </w:r>
    </w:p>
    <w:p>
      <w:pPr>
        <w:spacing w:line="360" w:lineRule="auto"/>
        <w:rPr>
          <w:rFonts w:ascii="宋体" w:hAnsi="宋体"/>
        </w:rPr>
      </w:pPr>
    </w:p>
    <w:p>
      <w:pPr>
        <w:spacing w:line="360" w:lineRule="auto"/>
        <w:rPr>
          <w:rFonts w:ascii="宋体" w:hAnsi="宋体"/>
          <w:b/>
        </w:rPr>
      </w:pPr>
      <w:r>
        <w:rPr>
          <w:rFonts w:hint="eastAsia" w:ascii="宋体" w:hAnsi="宋体"/>
          <w:b/>
        </w:rPr>
        <w:t>12  地图</w:t>
      </w:r>
    </w:p>
    <w:p>
      <w:pPr>
        <w:spacing w:line="360" w:lineRule="auto"/>
        <w:ind w:firstLine="420"/>
        <w:rPr>
          <w:rFonts w:ascii="宋体" w:hAnsi="宋体"/>
        </w:rPr>
      </w:pPr>
      <w:r>
        <w:rPr>
          <w:rFonts w:ascii="宋体" w:hAnsi="宋体"/>
        </w:rPr>
        <w:t>《地图管理条例》（2015年11月26日国务院令第664号公布）第十五条：“国家实行地图审核制度。”需要注意的主要有：全国地图，主要表现地为两个以上省、自治区、直辖市行政区域的地图；香港特别行政区地图、澳门特别行政区地图、台湾地区地图；世界地图以及主要表现地为国外的地图，历史地图。</w:t>
      </w:r>
      <w:r>
        <w:rPr>
          <w:rFonts w:hint="eastAsia" w:ascii="宋体" w:hAnsi="宋体"/>
        </w:rPr>
        <w:t>故非必要情况下，不建议使用地图。</w:t>
      </w:r>
    </w:p>
    <w:p>
      <w:pPr>
        <w:autoSpaceDE w:val="0"/>
        <w:autoSpaceDN w:val="0"/>
        <w:adjustRightInd w:val="0"/>
        <w:spacing w:line="360" w:lineRule="auto"/>
        <w:ind w:firstLine="420" w:firstLineChars="200"/>
        <w:jc w:val="left"/>
        <w:rPr>
          <w:rFonts w:ascii="宋体" w:hAnsi="宋体"/>
        </w:rPr>
      </w:pPr>
      <w:r>
        <w:rPr>
          <w:rFonts w:ascii="宋体" w:hAnsi="宋体"/>
        </w:rPr>
        <w:t>地图作图应使用带有审图号的地图或国家发布的标准地图，可在标准地图服务网站http://bzdt.ch.mnr.gov.cn/下载和制作。</w:t>
      </w:r>
      <w:r>
        <w:rPr>
          <w:rFonts w:hint="eastAsia" w:ascii="宋体" w:hAnsi="宋体"/>
        </w:rPr>
        <w:t>凡涉国界图件（国内部分地区、全国、世界部分地区、全球），所用须为最新标准底图，底图边界须完全无修改（包括南海诸岛位置）。为适应排版时图的缩放，比例尺一律用线段比例尺，而不用数字比例尺。并注明“注：该图基于自然资源部标准地图服务网站下载的审图号为GS(2016)xxxx号的标准地图制作，底图无修改。”</w:t>
      </w:r>
    </w:p>
    <w:p>
      <w:pPr>
        <w:autoSpaceDE w:val="0"/>
        <w:autoSpaceDN w:val="0"/>
        <w:adjustRightInd w:val="0"/>
        <w:spacing w:line="360" w:lineRule="auto"/>
        <w:ind w:firstLine="420" w:firstLineChars="200"/>
        <w:jc w:val="left"/>
        <w:rPr>
          <w:rFonts w:ascii="宋体" w:hAnsi="宋体"/>
        </w:rPr>
      </w:pPr>
      <w:r>
        <w:rPr>
          <w:rFonts w:ascii="宋体" w:hAnsi="宋体"/>
        </w:rPr>
        <w:t>地图清晰度不低于400dpi。</w:t>
      </w:r>
      <w:r>
        <w:rPr>
          <w:rFonts w:hint="eastAsia" w:ascii="宋体" w:hAnsi="宋体"/>
        </w:rPr>
        <w:t>投稿时须以附件形式提供原始图片。</w:t>
      </w:r>
    </w:p>
    <w:p>
      <w:pPr>
        <w:pStyle w:val="23"/>
        <w:spacing w:line="360" w:lineRule="auto"/>
        <w:ind w:firstLine="420"/>
        <w:rPr>
          <w:rFonts w:ascii="宋体" w:hAnsi="宋体" w:eastAsia="宋体" w:cstheme="minorBidi"/>
          <w:color w:val="auto"/>
          <w:kern w:val="2"/>
          <w:sz w:val="21"/>
          <w:szCs w:val="22"/>
        </w:rPr>
      </w:pPr>
    </w:p>
    <w:p>
      <w:pPr>
        <w:autoSpaceDE w:val="0"/>
        <w:autoSpaceDN w:val="0"/>
        <w:adjustRightInd w:val="0"/>
        <w:spacing w:line="360" w:lineRule="auto"/>
        <w:ind w:firstLine="420" w:firstLineChars="200"/>
        <w:jc w:val="left"/>
        <w:rPr>
          <w:rFonts w:ascii="宋体" w:hAnsi="宋体"/>
        </w:rPr>
      </w:pPr>
      <w:r>
        <w:rPr>
          <w:rFonts w:ascii="宋体" w:hAnsi="宋体"/>
        </w:rPr>
        <w:t>具体作图注意点：</w:t>
      </w:r>
    </w:p>
    <w:p>
      <w:pPr>
        <w:spacing w:line="360" w:lineRule="auto"/>
        <w:ind w:firstLine="422" w:firstLineChars="200"/>
        <w:rPr>
          <w:rFonts w:ascii="宋体" w:hAnsi="宋体"/>
          <w:b/>
        </w:rPr>
      </w:pPr>
      <w:r>
        <w:rPr>
          <w:rFonts w:hint="eastAsia" w:ascii="宋体" w:hAnsi="宋体"/>
          <w:b/>
        </w:rPr>
        <w:t>（1）</w:t>
      </w:r>
      <w:r>
        <w:rPr>
          <w:rFonts w:ascii="宋体" w:hAnsi="宋体"/>
          <w:b/>
        </w:rPr>
        <w:t>中国全图四至范围</w:t>
      </w:r>
    </w:p>
    <w:p>
      <w:pPr>
        <w:spacing w:line="360" w:lineRule="auto"/>
        <w:ind w:firstLine="420" w:firstLineChars="200"/>
        <w:rPr>
          <w:rFonts w:ascii="宋体" w:hAnsi="宋体" w:cs="宋体"/>
          <w:szCs w:val="21"/>
        </w:rPr>
      </w:pPr>
      <w:r>
        <w:rPr>
          <w:rFonts w:ascii="宋体" w:hAnsi="宋体" w:cs="宋体"/>
          <w:szCs w:val="21"/>
        </w:rPr>
        <w:t>中国全图必须准确反映中国领土范围。《公开地图内容表示若干规定》第三章第六条对中国全图的图幅范围规定如下：东边绘出黑龙江与乌苏里江交汇处，西边绘出喷赤河南北流向的河段，北边绘出黑龙江最北江段，南边绘出曾母暗沙（汉朝以前的历史地图除外）。</w:t>
      </w:r>
    </w:p>
    <w:p>
      <w:pPr>
        <w:spacing w:line="360" w:lineRule="auto"/>
        <w:ind w:firstLine="420" w:firstLineChars="200"/>
        <w:rPr>
          <w:rFonts w:ascii="楷体" w:hAnsi="楷体" w:eastAsia="楷体" w:cs="仿宋"/>
          <w:color w:val="000000"/>
          <w:kern w:val="0"/>
          <w:szCs w:val="21"/>
        </w:rPr>
      </w:pPr>
      <w:r>
        <w:rPr>
          <w:rFonts w:hint="eastAsia" w:ascii="宋体" w:hAnsi="宋体"/>
        </w:rPr>
        <w:drawing>
          <wp:anchor distT="0" distB="0" distL="114300" distR="114300" simplePos="0" relativeHeight="251659264" behindDoc="0" locked="0" layoutInCell="1" allowOverlap="1">
            <wp:simplePos x="0" y="0"/>
            <wp:positionH relativeFrom="column">
              <wp:posOffset>927735</wp:posOffset>
            </wp:positionH>
            <wp:positionV relativeFrom="paragraph">
              <wp:posOffset>177800</wp:posOffset>
            </wp:positionV>
            <wp:extent cx="4355465" cy="4290060"/>
            <wp:effectExtent l="0" t="0" r="3175"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355465" cy="4290060"/>
                    </a:xfrm>
                    <a:prstGeom prst="rect">
                      <a:avLst/>
                    </a:prstGeom>
                    <a:noFill/>
                    <a:ln>
                      <a:noFill/>
                    </a:ln>
                  </pic:spPr>
                </pic:pic>
              </a:graphicData>
            </a:graphic>
          </wp:anchor>
        </w:drawing>
      </w: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b/>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rPr>
          <w:szCs w:val="21"/>
        </w:rPr>
      </w:pPr>
    </w:p>
    <w:p>
      <w:pPr>
        <w:pStyle w:val="16"/>
        <w:spacing w:line="360" w:lineRule="auto"/>
        <w:rPr>
          <w:szCs w:val="21"/>
        </w:rPr>
      </w:pPr>
    </w:p>
    <w:p>
      <w:pPr>
        <w:pStyle w:val="16"/>
        <w:spacing w:line="360" w:lineRule="auto"/>
        <w:rPr>
          <w:szCs w:val="21"/>
        </w:rPr>
      </w:pPr>
    </w:p>
    <w:p>
      <w:pPr>
        <w:pStyle w:val="16"/>
        <w:spacing w:line="360" w:lineRule="auto"/>
        <w:rPr>
          <w:szCs w:val="21"/>
        </w:rPr>
      </w:pPr>
    </w:p>
    <w:p>
      <w:pPr>
        <w:pStyle w:val="16"/>
        <w:spacing w:line="360" w:lineRule="auto"/>
        <w:rPr>
          <w:rFonts w:ascii="宋体" w:hAnsi="宋体"/>
        </w:rPr>
      </w:pPr>
      <w:r>
        <w:rPr>
          <w:szCs w:val="21"/>
        </w:rPr>
        <w:t>南海诸岛可作为附图表示，正图重复出现时，附图也要重复出现。《公开地图内容表示若干规定》第四章第十二条对</w:t>
      </w:r>
      <w:r>
        <w:rPr>
          <w:b/>
          <w:szCs w:val="21"/>
        </w:rPr>
        <w:t>南海诸岛附图的四至范围</w:t>
      </w:r>
      <w:r>
        <w:rPr>
          <w:szCs w:val="21"/>
        </w:rPr>
        <w:t>规定如下：北面绘出中国大陆和部分台湾岛，东面绘出马尼拉，南面绘出加里曼丹岛上印度尼西亚和马来西亚间的全部界线（对于不表示邻国间界线的专题图，南面绘出</w:t>
      </w:r>
      <w:r>
        <w:rPr>
          <w:rFonts w:hint="eastAsia" w:ascii="宋体" w:hAnsi="宋体"/>
        </w:rPr>
        <w:drawing>
          <wp:anchor distT="0" distB="0" distL="114300" distR="114300" simplePos="0" relativeHeight="251660288" behindDoc="0" locked="0" layoutInCell="1" allowOverlap="1">
            <wp:simplePos x="0" y="0"/>
            <wp:positionH relativeFrom="column">
              <wp:posOffset>1035050</wp:posOffset>
            </wp:positionH>
            <wp:positionV relativeFrom="paragraph">
              <wp:posOffset>292100</wp:posOffset>
            </wp:positionV>
            <wp:extent cx="3463290" cy="2352040"/>
            <wp:effectExtent l="0" t="0" r="381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463290" cy="2352040"/>
                    </a:xfrm>
                    <a:prstGeom prst="rect">
                      <a:avLst/>
                    </a:prstGeom>
                    <a:noFill/>
                    <a:ln>
                      <a:noFill/>
                    </a:ln>
                  </pic:spPr>
                </pic:pic>
              </a:graphicData>
            </a:graphic>
          </wp:anchor>
        </w:drawing>
      </w:r>
      <w:r>
        <w:rPr>
          <w:szCs w:val="21"/>
        </w:rPr>
        <w:t>曾母暗沙和马来西亚的海岸线），西面绘出河内。</w:t>
      </w: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16"/>
        <w:spacing w:line="360" w:lineRule="auto"/>
        <w:ind w:firstLine="0" w:firstLineChars="0"/>
        <w:rPr>
          <w:rFonts w:ascii="宋体" w:hAnsi="宋体"/>
        </w:rPr>
      </w:pPr>
    </w:p>
    <w:p>
      <w:pPr>
        <w:pStyle w:val="23"/>
        <w:spacing w:line="360" w:lineRule="auto"/>
        <w:ind w:firstLine="422" w:firstLineChars="200"/>
        <w:rPr>
          <w:rFonts w:ascii="宋体" w:hAnsi="宋体" w:eastAsia="宋体" w:cstheme="minorBidi"/>
          <w:b/>
          <w:color w:val="auto"/>
          <w:kern w:val="2"/>
          <w:sz w:val="21"/>
          <w:szCs w:val="21"/>
        </w:rPr>
      </w:pPr>
      <w:r>
        <w:rPr>
          <w:rFonts w:ascii="宋体" w:hAnsi="宋体" w:eastAsia="宋体" w:cstheme="minorBidi"/>
          <w:b/>
          <w:color w:val="auto"/>
          <w:kern w:val="2"/>
          <w:sz w:val="21"/>
          <w:szCs w:val="21"/>
        </w:rPr>
        <w:t>（2）重要岛屿丢失错误</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我国重要岛屿包括海南岛、台湾岛、黄岩岛、东沙群岛、西沙群岛、中沙群岛、南沙群岛、曾母暗沙及界河中岛屿。在地图中经常出现以下几种岛屿丢失错误。</w:t>
      </w:r>
      <w:r>
        <w:rPr>
          <w:rFonts w:eastAsia="宋体" w:asciiTheme="minorHAnsi" w:hAnsiTheme="minorHAnsi" w:cstheme="minorBidi"/>
          <w:color w:val="auto"/>
          <w:kern w:val="2"/>
          <w:sz w:val="21"/>
          <w:szCs w:val="21"/>
        </w:rPr>
        <w:t xml:space="preserve"> </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一是在表示中国全图时，漏绘我国全部或部分重要岛屿。</w:t>
      </w:r>
      <w:r>
        <w:rPr>
          <w:rFonts w:eastAsia="宋体" w:asciiTheme="minorHAnsi" w:hAnsiTheme="minorHAnsi" w:cstheme="minorBidi"/>
          <w:color w:val="auto"/>
          <w:kern w:val="2"/>
          <w:sz w:val="21"/>
          <w:szCs w:val="21"/>
        </w:rPr>
        <w:t xml:space="preserve"> </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二是在表示广东省地图时，漏绘我国东沙群岛。</w:t>
      </w:r>
      <w:r>
        <w:rPr>
          <w:rFonts w:eastAsia="宋体" w:asciiTheme="minorHAnsi" w:hAnsiTheme="minorHAnsi" w:cstheme="minorBidi"/>
          <w:color w:val="auto"/>
          <w:kern w:val="2"/>
          <w:sz w:val="21"/>
          <w:szCs w:val="21"/>
        </w:rPr>
        <w:t xml:space="preserve"> </w:t>
      </w:r>
    </w:p>
    <w:p>
      <w:pPr>
        <w:pStyle w:val="16"/>
        <w:spacing w:line="360" w:lineRule="auto"/>
        <w:rPr>
          <w:szCs w:val="21"/>
        </w:rPr>
      </w:pPr>
      <w:r>
        <w:rPr>
          <w:rFonts w:hint="eastAsia"/>
          <w:szCs w:val="21"/>
        </w:rPr>
        <w:t>三是在海南岛全部表示在地图中时，漏绘南海诸岛（包括黄岩岛、东沙群岛、西沙群岛、中沙群岛、南沙群岛、曾母暗沙等）。</w:t>
      </w:r>
    </w:p>
    <w:p>
      <w:pPr>
        <w:pStyle w:val="16"/>
        <w:spacing w:line="360" w:lineRule="auto"/>
        <w:rPr>
          <w:szCs w:val="21"/>
        </w:rPr>
      </w:pPr>
    </w:p>
    <w:p>
      <w:pPr>
        <w:pStyle w:val="23"/>
        <w:spacing w:line="360" w:lineRule="auto"/>
        <w:ind w:firstLine="422" w:firstLineChars="200"/>
        <w:rPr>
          <w:rFonts w:eastAsia="宋体" w:asciiTheme="minorHAnsi" w:hAnsiTheme="minorHAnsi" w:cstheme="minorBidi"/>
          <w:b/>
          <w:color w:val="auto"/>
          <w:kern w:val="2"/>
          <w:sz w:val="21"/>
          <w:szCs w:val="21"/>
        </w:rPr>
      </w:pPr>
      <w:r>
        <w:rPr>
          <w:rFonts w:hint="eastAsia" w:eastAsia="宋体" w:asciiTheme="minorHAnsi" w:hAnsiTheme="minorHAnsi" w:cstheme="minorBidi"/>
          <w:b/>
          <w:color w:val="auto"/>
          <w:kern w:val="2"/>
          <w:sz w:val="21"/>
          <w:szCs w:val="21"/>
        </w:rPr>
        <w:t>（3）</w:t>
      </w:r>
      <w:r>
        <w:rPr>
          <w:rFonts w:eastAsia="宋体" w:asciiTheme="minorHAnsi" w:hAnsiTheme="minorHAnsi" w:cstheme="minorBidi"/>
          <w:b/>
          <w:color w:val="auto"/>
          <w:kern w:val="2"/>
          <w:sz w:val="21"/>
          <w:szCs w:val="21"/>
        </w:rPr>
        <w:t>历史地图改绘（示意图）</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地图需要有外部框线，图例、比例尺、指北针应置于框线内。正确使用界限符号和聚落点符号层级；古今地名、水系、路线、网络等需用颜色清晰区分；凡涉及国界线的图件，依据最新标准底图。</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应确保图例完整，且图例上的标注、字体格式与图中的完全一致。在“注”中注明底图来源和绘图依据。汉字使用简体字。</w:t>
      </w:r>
    </w:p>
    <w:p>
      <w:pPr>
        <w:pStyle w:val="23"/>
        <w:spacing w:line="360" w:lineRule="auto"/>
        <w:ind w:firstLine="422" w:firstLineChars="200"/>
        <w:rPr>
          <w:rFonts w:eastAsia="宋体" w:asciiTheme="minorHAnsi" w:hAnsiTheme="minorHAnsi" w:cstheme="minorBidi"/>
          <w:b/>
          <w:color w:val="auto"/>
          <w:kern w:val="2"/>
          <w:sz w:val="21"/>
          <w:szCs w:val="21"/>
        </w:rPr>
      </w:pPr>
    </w:p>
    <w:p>
      <w:pPr>
        <w:pStyle w:val="23"/>
        <w:spacing w:line="360" w:lineRule="auto"/>
        <w:ind w:firstLine="422" w:firstLineChars="200"/>
        <w:rPr>
          <w:rFonts w:eastAsia="宋体" w:asciiTheme="minorHAnsi" w:hAnsiTheme="minorHAnsi" w:cstheme="minorBidi"/>
          <w:b/>
          <w:color w:val="auto"/>
          <w:kern w:val="2"/>
          <w:sz w:val="21"/>
          <w:szCs w:val="21"/>
        </w:rPr>
      </w:pPr>
      <w:r>
        <w:rPr>
          <w:rFonts w:eastAsia="宋体" w:asciiTheme="minorHAnsi" w:hAnsiTheme="minorHAnsi" w:cstheme="minorBidi"/>
          <w:b/>
          <w:color w:val="auto"/>
          <w:kern w:val="2"/>
          <w:sz w:val="21"/>
          <w:szCs w:val="21"/>
        </w:rPr>
        <w:t>（4）直接引用古地图</w:t>
      </w:r>
    </w:p>
    <w:p>
      <w:pPr>
        <w:pStyle w:val="23"/>
        <w:spacing w:line="360" w:lineRule="auto"/>
        <w:ind w:firstLine="420" w:firstLineChars="200"/>
        <w:rPr>
          <w:rFonts w:eastAsia="宋体" w:asciiTheme="minorHAnsi" w:hAnsiTheme="minorHAnsi" w:cstheme="minorBidi"/>
          <w:color w:val="auto"/>
          <w:kern w:val="2"/>
          <w:sz w:val="21"/>
          <w:szCs w:val="21"/>
        </w:rPr>
      </w:pPr>
      <w:r>
        <w:rPr>
          <w:rFonts w:hint="eastAsia" w:eastAsia="宋体" w:asciiTheme="minorHAnsi" w:hAnsiTheme="minorHAnsi" w:cstheme="minorBidi"/>
          <w:color w:val="auto"/>
          <w:kern w:val="2"/>
          <w:sz w:val="21"/>
          <w:szCs w:val="21"/>
        </w:rPr>
        <w:t>古地图应保证清晰度，规整剪裁后附于文中，四周应有明显框线。资料来源中直接注明出处。</w:t>
      </w:r>
    </w:p>
    <w:p>
      <w:pPr>
        <w:pStyle w:val="23"/>
        <w:spacing w:line="360" w:lineRule="auto"/>
        <w:ind w:firstLine="420" w:firstLineChars="200"/>
        <w:rPr>
          <w:rFonts w:eastAsia="宋体" w:asciiTheme="minorHAnsi" w:hAnsiTheme="minorHAnsi" w:cstheme="minorBidi"/>
          <w:color w:val="auto"/>
          <w:kern w:val="2"/>
          <w:sz w:val="21"/>
          <w:szCs w:val="21"/>
        </w:rPr>
      </w:pPr>
    </w:p>
    <w:p>
      <w:pPr>
        <w:spacing w:line="360" w:lineRule="auto"/>
        <w:rPr>
          <w:rFonts w:ascii="宋体" w:hAnsi="宋体"/>
          <w:b/>
        </w:rPr>
      </w:pPr>
      <w:r>
        <w:rPr>
          <w:rFonts w:hint="eastAsia" w:ascii="宋体" w:hAnsi="宋体"/>
          <w:b/>
        </w:rPr>
        <w:t>13． 插图</w:t>
      </w:r>
    </w:p>
    <w:p>
      <w:pPr>
        <w:autoSpaceDE w:val="0"/>
        <w:autoSpaceDN w:val="0"/>
        <w:adjustRightInd w:val="0"/>
        <w:spacing w:line="360" w:lineRule="auto"/>
        <w:ind w:firstLine="420" w:firstLineChars="200"/>
        <w:jc w:val="left"/>
        <w:rPr>
          <w:rFonts w:ascii="宋体" w:hAnsi="宋体"/>
        </w:rPr>
      </w:pPr>
      <w:r>
        <w:rPr>
          <w:rFonts w:hint="eastAsia"/>
          <w:szCs w:val="21"/>
        </w:rPr>
        <w:t>文章需要插图时，应保证图片的清晰度和四边的规整性，图片居中，方向需与正文一致。图名下另起一行注明资料来源，与文献引用规范保持一致。图片清晰度均不低于</w:t>
      </w:r>
      <w:r>
        <w:rPr>
          <w:szCs w:val="21"/>
        </w:rPr>
        <w:t>400dpi</w:t>
      </w:r>
      <w:r>
        <w:rPr>
          <w:rFonts w:hint="eastAsia"/>
          <w:szCs w:val="21"/>
        </w:rPr>
        <w:t>。</w:t>
      </w:r>
      <w:r>
        <w:rPr>
          <w:rFonts w:hint="eastAsia" w:ascii="宋体" w:hAnsi="宋体"/>
        </w:rPr>
        <w:t>投稿时须以附件形式提供原始图片。</w:t>
      </w:r>
    </w:p>
    <w:p>
      <w:pPr>
        <w:pStyle w:val="23"/>
        <w:spacing w:line="360" w:lineRule="auto"/>
        <w:ind w:firstLine="420" w:firstLineChars="200"/>
        <w:rPr>
          <w:rFonts w:eastAsia="宋体" w:asciiTheme="minorHAnsi" w:hAnsiTheme="minorHAnsi" w:cstheme="minorBidi"/>
          <w:color w:val="auto"/>
          <w:kern w:val="2"/>
          <w:sz w:val="21"/>
          <w:szCs w:val="21"/>
        </w:rPr>
      </w:pPr>
    </w:p>
    <w:p>
      <w:pPr>
        <w:spacing w:line="360" w:lineRule="auto"/>
        <w:rPr>
          <w:rFonts w:ascii="宋体" w:hAnsi="宋体"/>
          <w:b/>
        </w:rPr>
      </w:pPr>
      <w:r>
        <w:rPr>
          <w:rFonts w:hint="eastAsia" w:ascii="宋体" w:hAnsi="宋体"/>
          <w:b/>
        </w:rPr>
        <w:t>14． 统计图</w:t>
      </w:r>
    </w:p>
    <w:p>
      <w:pPr>
        <w:pStyle w:val="16"/>
        <w:spacing w:line="360" w:lineRule="auto"/>
        <w:ind w:firstLineChars="0"/>
        <w:rPr>
          <w:szCs w:val="21"/>
        </w:rPr>
      </w:pPr>
      <w:r>
        <w:rPr>
          <w:rFonts w:hint="eastAsia"/>
          <w:szCs w:val="21"/>
        </w:rPr>
        <w:t>文章需要插入统计图时，应保证图片的清晰度和四边的规整性，图片居中，方向需与正文一致。请尽量使用黑白图形，不同的内容之间以形状样式区分。图注位于图题之上；图题下另起一行注明资料来源，与文献引用规范保持一致。图表可编辑版本需另附。</w:t>
      </w:r>
    </w:p>
    <w:p>
      <w:pPr>
        <w:pStyle w:val="24"/>
        <w:widowControl/>
        <w:spacing w:line="360" w:lineRule="auto"/>
        <w:ind w:right="84" w:firstLine="420" w:firstLineChars="200"/>
        <w:jc w:val="left"/>
        <w:rPr>
          <w:rFonts w:eastAsia="宋体" w:asciiTheme="minorHAnsi" w:hAnsiTheme="minorHAnsi" w:cstheme="minorBidi"/>
          <w:color w:val="auto"/>
        </w:rPr>
      </w:pPr>
      <w:r>
        <w:rPr>
          <w:rFonts w:hint="eastAsia" w:eastAsia="宋体" w:asciiTheme="minorHAnsi" w:hAnsiTheme="minorHAnsi" w:cstheme="minorBidi"/>
          <w:color w:val="auto"/>
        </w:rPr>
        <w:t>量和单位标示为</w:t>
      </w:r>
      <w:r>
        <w:rPr>
          <w:rFonts w:eastAsia="宋体" w:asciiTheme="minorHAnsi" w:hAnsiTheme="minorHAnsi" w:cstheme="minorBidi"/>
          <w:color w:val="auto"/>
        </w:rPr>
        <w:t>“</w:t>
      </w:r>
      <w:r>
        <w:rPr>
          <w:rFonts w:hint="eastAsia" w:eastAsia="宋体" w:asciiTheme="minorHAnsi" w:hAnsiTheme="minorHAnsi" w:cstheme="minorBidi"/>
          <w:color w:val="auto"/>
        </w:rPr>
        <w:t>量的名称或符号/单位符号”，如“直径/mm”“d/mm”，勿要在数值后直接加单位。纵轴的标注文字方向为逆时针旋转90°。图身文字字号应比图题字号小一号上。</w:t>
      </w:r>
    </w:p>
    <w:p>
      <w:pPr>
        <w:pStyle w:val="24"/>
        <w:widowControl/>
        <w:spacing w:line="360" w:lineRule="auto"/>
        <w:ind w:right="84" w:firstLine="420" w:firstLineChars="200"/>
        <w:jc w:val="left"/>
        <w:rPr>
          <w:rFonts w:eastAsia="宋体" w:asciiTheme="minorHAnsi" w:hAnsiTheme="minorHAnsi" w:cstheme="minorBidi"/>
          <w:color w:val="auto"/>
        </w:rPr>
      </w:pPr>
      <w:r>
        <w:rPr>
          <w:rFonts w:hint="eastAsia" w:ascii="冬青黑体简体中文 W3" w:hAnsi="冬青黑体简体中文 W3" w:cs="冬青黑体简体中文 W3" w:eastAsiaTheme="minorEastAsia"/>
          <w:kern w:val="0"/>
        </w:rPr>
        <w:drawing>
          <wp:anchor distT="0" distB="0" distL="114300" distR="114300" simplePos="0" relativeHeight="251661312" behindDoc="0" locked="0" layoutInCell="1" allowOverlap="1">
            <wp:simplePos x="0" y="0"/>
            <wp:positionH relativeFrom="column">
              <wp:posOffset>1135380</wp:posOffset>
            </wp:positionH>
            <wp:positionV relativeFrom="paragraph">
              <wp:posOffset>271145</wp:posOffset>
            </wp:positionV>
            <wp:extent cx="3696970" cy="1922145"/>
            <wp:effectExtent l="0" t="0" r="0" b="190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696970" cy="1922145"/>
                    </a:xfrm>
                    <a:prstGeom prst="rect">
                      <a:avLst/>
                    </a:prstGeom>
                  </pic:spPr>
                </pic:pic>
              </a:graphicData>
            </a:graphic>
          </wp:anchor>
        </w:drawing>
      </w:r>
      <w:r>
        <w:rPr>
          <w:rFonts w:hint="eastAsia" w:eastAsia="宋体" w:asciiTheme="minorHAnsi" w:hAnsiTheme="minorHAnsi" w:cstheme="minorBidi"/>
          <w:color w:val="auto"/>
        </w:rPr>
        <w:t>引用的外文图需要翻译成中文。</w:t>
      </w:r>
    </w:p>
    <w:p>
      <w:pPr>
        <w:pStyle w:val="16"/>
        <w:spacing w:line="360" w:lineRule="auto"/>
        <w:ind w:firstLine="1050" w:firstLineChars="500"/>
        <w:rPr>
          <w:rFonts w:ascii="宋体" w:hAnsi="宋体"/>
        </w:rPr>
      </w:pPr>
      <w:r>
        <w:rPr>
          <w:rFonts w:hint="eastAsia" w:ascii="宋体" w:hAnsi="宋体"/>
        </w:rPr>
        <w:t>例：</w:t>
      </w:r>
    </w:p>
    <w:p>
      <w:pPr>
        <w:pStyle w:val="16"/>
        <w:spacing w:line="360" w:lineRule="auto"/>
        <w:ind w:firstLineChars="0"/>
        <w:rPr>
          <w:rFonts w:ascii="宋体" w:hAnsi="宋体"/>
        </w:rPr>
      </w:pPr>
    </w:p>
    <w:p>
      <w:pPr>
        <w:pStyle w:val="16"/>
        <w:spacing w:line="360" w:lineRule="auto"/>
        <w:ind w:firstLineChars="0"/>
        <w:rPr>
          <w:rFonts w:ascii="宋体" w:hAnsi="宋体"/>
        </w:rPr>
      </w:pPr>
    </w:p>
    <w:p>
      <w:pPr>
        <w:pStyle w:val="16"/>
        <w:spacing w:line="360" w:lineRule="auto"/>
        <w:ind w:firstLineChars="0"/>
        <w:rPr>
          <w:rFonts w:ascii="宋体" w:hAnsi="宋体"/>
        </w:rPr>
      </w:pPr>
    </w:p>
    <w:p>
      <w:pPr>
        <w:pStyle w:val="16"/>
        <w:spacing w:line="360" w:lineRule="auto"/>
        <w:ind w:firstLineChars="0"/>
        <w:rPr>
          <w:rFonts w:ascii="宋体" w:hAnsi="宋体"/>
        </w:rPr>
      </w:pPr>
    </w:p>
    <w:p>
      <w:pPr>
        <w:pStyle w:val="16"/>
        <w:spacing w:line="360" w:lineRule="auto"/>
        <w:ind w:left="0" w:leftChars="0" w:firstLine="0" w:firstLineChars="0"/>
        <w:rPr>
          <w:rFonts w:ascii="宋体" w:hAnsi="宋体"/>
        </w:rPr>
      </w:pPr>
    </w:p>
    <w:p>
      <w:pPr>
        <w:pStyle w:val="16"/>
        <w:spacing w:line="360" w:lineRule="auto"/>
        <w:ind w:firstLineChars="0"/>
        <w:rPr>
          <w:rFonts w:ascii="宋体" w:hAnsi="宋体"/>
        </w:rPr>
      </w:pPr>
    </w:p>
    <w:p>
      <w:pPr>
        <w:pStyle w:val="16"/>
        <w:numPr>
          <w:ilvl w:val="0"/>
          <w:numId w:val="2"/>
        </w:numPr>
        <w:spacing w:line="360" w:lineRule="auto"/>
        <w:ind w:firstLineChars="0"/>
        <w:rPr>
          <w:rFonts w:ascii="宋体" w:hAnsi="宋体"/>
          <w:b/>
        </w:rPr>
      </w:pPr>
      <w:r>
        <w:rPr>
          <w:rFonts w:hint="eastAsia" w:ascii="宋体" w:hAnsi="宋体"/>
          <w:b/>
        </w:rPr>
        <w:t xml:space="preserve">  表格</w:t>
      </w:r>
    </w:p>
    <w:p>
      <w:pPr>
        <w:pStyle w:val="16"/>
        <w:numPr>
          <w:ilvl w:val="0"/>
          <w:numId w:val="3"/>
        </w:numPr>
        <w:spacing w:line="360" w:lineRule="auto"/>
        <w:ind w:firstLineChars="0"/>
        <w:rPr>
          <w:szCs w:val="21"/>
        </w:rPr>
      </w:pPr>
      <w:r>
        <w:rPr>
          <w:rFonts w:hint="eastAsia"/>
          <w:szCs w:val="21"/>
        </w:rPr>
        <w:t>表题、资料来源、表注格式及位置参考示例图。表注末应用句号。</w:t>
      </w:r>
    </w:p>
    <w:p>
      <w:pPr>
        <w:pStyle w:val="16"/>
        <w:numPr>
          <w:ilvl w:val="0"/>
          <w:numId w:val="3"/>
        </w:numPr>
        <w:spacing w:line="360" w:lineRule="auto"/>
        <w:ind w:firstLineChars="0"/>
        <w:rPr>
          <w:szCs w:val="21"/>
        </w:rPr>
      </w:pPr>
      <w:r>
        <w:rPr>
          <w:rFonts w:hint="eastAsia"/>
          <w:szCs w:val="21"/>
        </w:rPr>
        <w:t>表框线用粗线，其余线用细线。</w:t>
      </w:r>
    </w:p>
    <w:p>
      <w:pPr>
        <w:pStyle w:val="16"/>
        <w:numPr>
          <w:ilvl w:val="0"/>
          <w:numId w:val="3"/>
        </w:numPr>
        <w:spacing w:line="360" w:lineRule="auto"/>
        <w:ind w:firstLineChars="0"/>
        <w:rPr>
          <w:szCs w:val="21"/>
        </w:rPr>
      </w:pPr>
      <w:r>
        <w:rPr>
          <w:rFonts w:hint="eastAsia"/>
          <w:szCs w:val="21"/>
        </w:rPr>
        <w:t>表头不可用斜线。</w:t>
      </w:r>
    </w:p>
    <w:p>
      <w:pPr>
        <w:pStyle w:val="16"/>
        <w:numPr>
          <w:ilvl w:val="0"/>
          <w:numId w:val="3"/>
        </w:numPr>
        <w:spacing w:line="360" w:lineRule="auto"/>
        <w:ind w:firstLineChars="0"/>
        <w:rPr>
          <w:szCs w:val="21"/>
        </w:rPr>
      </w:pPr>
      <w:r>
        <w:rPr>
          <w:rFonts w:hint="eastAsia"/>
          <w:szCs w:val="21"/>
        </w:rPr>
        <w:t>全表单位全部相同时，应将单位标注于表的右上方，如</w:t>
      </w:r>
      <w:r>
        <w:rPr>
          <w:szCs w:val="21"/>
        </w:rPr>
        <w:t>“</w:t>
      </w:r>
      <w:r>
        <w:rPr>
          <w:rFonts w:hint="eastAsia"/>
          <w:szCs w:val="21"/>
        </w:rPr>
        <w:t>单位：%”。</w:t>
      </w:r>
    </w:p>
    <w:p>
      <w:pPr>
        <w:pStyle w:val="16"/>
        <w:numPr>
          <w:ilvl w:val="0"/>
          <w:numId w:val="3"/>
        </w:numPr>
        <w:spacing w:line="360" w:lineRule="auto"/>
        <w:ind w:firstLineChars="0"/>
        <w:rPr>
          <w:szCs w:val="21"/>
        </w:rPr>
      </w:pPr>
      <w:r>
        <w:rPr>
          <w:rFonts w:hint="eastAsia"/>
          <w:szCs w:val="21"/>
        </w:rPr>
        <w:t>如表内各栏单位不统一，则在各栏表头分别标注单位，表身单元格内不宜带单位。</w:t>
      </w:r>
    </w:p>
    <w:p>
      <w:pPr>
        <w:pStyle w:val="16"/>
        <w:numPr>
          <w:ilvl w:val="0"/>
          <w:numId w:val="3"/>
        </w:numPr>
        <w:spacing w:line="360" w:lineRule="auto"/>
        <w:ind w:firstLineChars="0"/>
        <w:rPr>
          <w:szCs w:val="21"/>
        </w:rPr>
      </w:pPr>
      <w:r>
        <w:rPr>
          <w:rFonts w:hint="eastAsia"/>
          <w:szCs w:val="21"/>
        </w:rPr>
        <w:t>引用的外文表格需要翻译成中文。</w:t>
      </w: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bookmarkStart w:id="2" w:name="_GoBack"/>
      <w:r>
        <w:rPr>
          <w:rFonts w:hint="eastAsia" w:ascii="冬青黑体简体中文 W3" w:hAnsi="冬青黑体简体中文 W3" w:cs="冬青黑体简体中文 W3" w:eastAsiaTheme="minorEastAsia"/>
          <w:kern w:val="0"/>
        </w:rPr>
        <w:drawing>
          <wp:anchor distT="0" distB="0" distL="114300" distR="114300" simplePos="0" relativeHeight="251662336" behindDoc="0" locked="0" layoutInCell="1" allowOverlap="1">
            <wp:simplePos x="0" y="0"/>
            <wp:positionH relativeFrom="column">
              <wp:posOffset>971550</wp:posOffset>
            </wp:positionH>
            <wp:positionV relativeFrom="paragraph">
              <wp:posOffset>139700</wp:posOffset>
            </wp:positionV>
            <wp:extent cx="3281680" cy="1786255"/>
            <wp:effectExtent l="0" t="0" r="0" b="444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81363" cy="1786384"/>
                    </a:xfrm>
                    <a:prstGeom prst="rect">
                      <a:avLst/>
                    </a:prstGeom>
                  </pic:spPr>
                </pic:pic>
              </a:graphicData>
            </a:graphic>
          </wp:anchor>
        </w:drawing>
      </w:r>
      <w:bookmarkEnd w:id="2"/>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firstLine="426"/>
        <w:jc w:val="left"/>
        <w:rPr>
          <w:rFonts w:hint="eastAsia" w:ascii="冬青黑体简体中文 W3" w:hAnsi="冬青黑体简体中文 W3" w:cs="冬青黑体简体中文 W3" w:eastAsiaTheme="minorEastAsia"/>
          <w:kern w:val="0"/>
        </w:rPr>
      </w:pPr>
    </w:p>
    <w:p>
      <w:pPr>
        <w:pStyle w:val="24"/>
        <w:widowControl/>
        <w:spacing w:line="320" w:lineRule="exact"/>
        <w:ind w:right="84"/>
        <w:jc w:val="left"/>
        <w:rPr>
          <w:rFonts w:hint="eastAsia" w:ascii="冬青黑体简体中文 W3" w:hAnsi="冬青黑体简体中文 W3" w:cs="冬青黑体简体中文 W3" w:eastAsiaTheme="minorEastAsia"/>
          <w:kern w:val="0"/>
        </w:rPr>
      </w:pPr>
    </w:p>
    <w:p>
      <w:pPr>
        <w:spacing w:line="360" w:lineRule="auto"/>
        <w:rPr>
          <w:rFonts w:ascii="宋体" w:hAnsi="宋体"/>
        </w:rPr>
      </w:pPr>
    </w:p>
    <w:p>
      <w:pPr>
        <w:spacing w:line="360" w:lineRule="auto"/>
        <w:rPr>
          <w:rFonts w:ascii="宋体" w:hAnsi="宋体"/>
          <w:b/>
        </w:rPr>
      </w:pPr>
      <w:r>
        <w:rPr>
          <w:rFonts w:hint="eastAsia" w:ascii="宋体" w:hAnsi="宋体"/>
          <w:b/>
        </w:rPr>
        <w:t>16.  注释</w:t>
      </w:r>
    </w:p>
    <w:p>
      <w:pPr>
        <w:spacing w:line="360" w:lineRule="auto"/>
        <w:ind w:firstLine="420" w:firstLineChars="200"/>
        <w:rPr>
          <w:szCs w:val="21"/>
        </w:rPr>
      </w:pPr>
      <w:r>
        <w:rPr>
          <w:rFonts w:hint="eastAsia"/>
          <w:szCs w:val="21"/>
        </w:rPr>
        <w:t>需要对特定概念、表述、项目等做具体说明，或引用非常规类型参考文献（GB/T 7714—2005未列类型）时，以脚注形式（①②③）在当页顺序标注。</w:t>
      </w:r>
    </w:p>
    <w:p>
      <w:pPr>
        <w:spacing w:line="360" w:lineRule="auto"/>
        <w:ind w:firstLine="420" w:firstLineChars="200"/>
        <w:rPr>
          <w:szCs w:val="21"/>
        </w:rPr>
      </w:pPr>
    </w:p>
    <w:p>
      <w:pPr>
        <w:spacing w:line="360" w:lineRule="auto"/>
        <w:rPr>
          <w:rFonts w:ascii="宋体" w:hAnsi="宋体"/>
          <w:b/>
        </w:rPr>
      </w:pPr>
      <w:r>
        <w:rPr>
          <w:rFonts w:ascii="宋体" w:hAnsi="宋体"/>
          <w:b/>
          <w:highlight w:val="lightGray"/>
        </w:rPr>
        <w:t>17</w:t>
      </w:r>
      <w:r>
        <w:rPr>
          <w:rFonts w:hint="eastAsia" w:ascii="宋体" w:hAnsi="宋体"/>
          <w:b/>
          <w:highlight w:val="lightGray"/>
        </w:rPr>
        <w:t>．</w:t>
      </w:r>
      <w:r>
        <w:rPr>
          <w:rFonts w:hint="eastAsia" w:ascii="宋体" w:hAnsi="宋体"/>
          <w:b/>
        </w:rPr>
        <w:t xml:space="preserve"> 引文标注方法</w:t>
      </w:r>
    </w:p>
    <w:p>
      <w:pPr>
        <w:rPr>
          <w:rFonts w:ascii="宋体" w:hAnsi="宋体" w:cs="Arial"/>
          <w:color w:val="333333"/>
          <w:kern w:val="0"/>
          <w:szCs w:val="21"/>
        </w:rPr>
      </w:pPr>
      <w:r>
        <w:rPr>
          <w:rFonts w:hint="eastAsia" w:ascii="宋体" w:hAnsi="宋体" w:cs="Arial"/>
          <w:color w:val="333333"/>
          <w:kern w:val="0"/>
          <w:szCs w:val="21"/>
        </w:rPr>
        <w:t>（1）引用文献，须在文中标注，并按照文中标注顺序列于文末参考文献。例：…… 德国学者N.克罗斯研究了瑞士巴塞尔市附近侏罗山中老第三纪断裂对第三系褶皱的控制</w:t>
      </w:r>
      <w:r>
        <w:rPr>
          <w:rFonts w:hint="eastAsia" w:ascii="宋体" w:hAnsi="宋体" w:cs="Arial"/>
          <w:color w:val="333333"/>
          <w:kern w:val="0"/>
          <w:szCs w:val="21"/>
          <w:vertAlign w:val="superscript"/>
        </w:rPr>
        <w:t>[1]</w:t>
      </w:r>
      <w:r>
        <w:rPr>
          <w:rFonts w:hint="eastAsia" w:ascii="宋体" w:hAnsi="宋体" w:cs="Arial"/>
          <w:color w:val="333333"/>
          <w:kern w:val="0"/>
          <w:szCs w:val="21"/>
        </w:rPr>
        <w:t>；之后，他又描述了西里西亚第三条大型的近南北向构造带，并提出地槽是在不均一的块体的基底上发展的思想</w:t>
      </w:r>
      <w:r>
        <w:rPr>
          <w:rFonts w:hint="eastAsia" w:ascii="宋体" w:hAnsi="宋体" w:cs="Arial"/>
          <w:color w:val="333333"/>
          <w:kern w:val="0"/>
          <w:szCs w:val="21"/>
          <w:vertAlign w:val="superscript"/>
        </w:rPr>
        <w:t>[2]</w:t>
      </w:r>
      <w:r>
        <w:rPr>
          <w:rFonts w:hint="eastAsia" w:ascii="宋体" w:hAnsi="宋体" w:cs="Arial"/>
          <w:color w:val="333333"/>
          <w:kern w:val="0"/>
          <w:szCs w:val="21"/>
        </w:rPr>
        <w:t>。……</w:t>
      </w:r>
    </w:p>
    <w:p>
      <w:pPr>
        <w:rPr>
          <w:rFonts w:ascii="宋体" w:hAnsi="宋体" w:cs="Arial"/>
          <w:color w:val="333333"/>
          <w:kern w:val="0"/>
          <w:szCs w:val="21"/>
        </w:rPr>
      </w:pPr>
      <w:r>
        <w:rPr>
          <w:rFonts w:hint="eastAsia" w:ascii="宋体" w:hAnsi="宋体" w:cs="Arial"/>
          <w:color w:val="333333"/>
          <w:kern w:val="0"/>
          <w:szCs w:val="21"/>
        </w:rPr>
        <w:t>（2）同一处引用多篇文献时，需将各篇文献序号在方括号内全部列出，各序号间用逗号分隔。如遇连续序号，可标注起讫序号。例: 裴伟</w:t>
      </w:r>
      <w:r>
        <w:rPr>
          <w:rFonts w:hint="eastAsia" w:ascii="宋体" w:hAnsi="宋体" w:cs="Arial"/>
          <w:color w:val="333333"/>
          <w:kern w:val="0"/>
          <w:szCs w:val="21"/>
          <w:vertAlign w:val="superscript"/>
        </w:rPr>
        <w:t>[1,5]</w:t>
      </w:r>
      <w:r>
        <w:rPr>
          <w:rFonts w:hint="eastAsia" w:ascii="宋体" w:hAnsi="宋体" w:cs="Arial"/>
          <w:color w:val="333333"/>
          <w:kern w:val="0"/>
          <w:szCs w:val="21"/>
        </w:rPr>
        <w:t>提出……；莫拉德对稳定区的节理格式的研究</w:t>
      </w:r>
      <w:r>
        <w:rPr>
          <w:rFonts w:hint="eastAsia" w:ascii="宋体" w:hAnsi="宋体" w:cs="Arial"/>
          <w:color w:val="333333"/>
          <w:kern w:val="0"/>
          <w:szCs w:val="21"/>
          <w:vertAlign w:val="superscript"/>
        </w:rPr>
        <w:t>[1-3]</w:t>
      </w:r>
      <w:r>
        <w:rPr>
          <w:rFonts w:hint="eastAsia" w:ascii="宋体" w:hAnsi="宋体" w:cs="Arial"/>
          <w:color w:val="333333"/>
          <w:kern w:val="0"/>
          <w:szCs w:val="21"/>
        </w:rPr>
        <w:t>……</w:t>
      </w:r>
    </w:p>
    <w:p>
      <w:pPr>
        <w:rPr>
          <w:rFonts w:ascii="宋体" w:hAnsi="宋体" w:cs="Arial"/>
          <w:color w:val="333333"/>
          <w:kern w:val="0"/>
          <w:szCs w:val="21"/>
        </w:rPr>
      </w:pPr>
      <w:r>
        <w:rPr>
          <w:rFonts w:hint="eastAsia" w:ascii="宋体" w:hAnsi="宋体" w:cs="Arial"/>
          <w:color w:val="333333"/>
          <w:kern w:val="0"/>
          <w:szCs w:val="21"/>
        </w:rPr>
        <w:t>（3）多次引用同一文献时，需使用同一文献序号。参考文献中不得出现“同参考文献[]”字样。例：我国图书馆社会责任（Library social responsibility,以下简称LSR）研究刚刚开始，整体上对LSR认知不很清晰，争论很多</w:t>
      </w:r>
      <w:r>
        <w:rPr>
          <w:rFonts w:hint="eastAsia" w:ascii="宋体" w:hAnsi="宋体" w:cs="Arial"/>
          <w:color w:val="333333"/>
          <w:kern w:val="0"/>
          <w:szCs w:val="21"/>
          <w:vertAlign w:val="superscript"/>
        </w:rPr>
        <w:t>[1]</w:t>
      </w:r>
      <w:r>
        <w:rPr>
          <w:rFonts w:hint="eastAsia" w:ascii="宋体" w:hAnsi="宋体" w:cs="Arial"/>
          <w:color w:val="333333"/>
          <w:kern w:val="0"/>
          <w:szCs w:val="21"/>
        </w:rPr>
        <w:t>。……XX认为，它主要指一些传统图书馆服务之外的“分外之事”</w:t>
      </w:r>
      <w:r>
        <w:rPr>
          <w:rFonts w:hint="eastAsia" w:ascii="宋体" w:hAnsi="宋体" w:cs="Arial"/>
          <w:color w:val="333333"/>
          <w:kern w:val="0"/>
          <w:szCs w:val="21"/>
          <w:vertAlign w:val="superscript"/>
        </w:rPr>
        <w:t>[2]</w:t>
      </w:r>
      <w:r>
        <w:rPr>
          <w:rFonts w:hint="eastAsia" w:ascii="宋体" w:hAnsi="宋体" w:cs="Arial"/>
          <w:color w:val="333333"/>
          <w:kern w:val="0"/>
          <w:szCs w:val="21"/>
        </w:rPr>
        <w:t>。……作为社会组成部分的图书馆在社会中需要承担的有助于解决关乎人类未来可持续发展的一系列“非图书馆问题”</w:t>
      </w:r>
      <w:r>
        <w:rPr>
          <w:rFonts w:hint="eastAsia" w:ascii="宋体" w:hAnsi="宋体" w:cs="Arial"/>
          <w:color w:val="333333"/>
          <w:kern w:val="0"/>
          <w:szCs w:val="21"/>
          <w:vertAlign w:val="superscript"/>
        </w:rPr>
        <w:t>[1]</w:t>
      </w:r>
      <w:r>
        <w:rPr>
          <w:rFonts w:hint="eastAsia" w:ascii="宋体" w:hAnsi="宋体" w:cs="Arial"/>
          <w:color w:val="333333"/>
          <w:kern w:val="0"/>
          <w:szCs w:val="21"/>
        </w:rPr>
        <w:t>。</w:t>
      </w:r>
    </w:p>
    <w:p>
      <w:pPr>
        <w:rPr>
          <w:rFonts w:ascii="宋体" w:hAnsi="宋体" w:cs="Arial"/>
          <w:color w:val="333333"/>
          <w:kern w:val="0"/>
          <w:szCs w:val="21"/>
        </w:rPr>
      </w:pPr>
      <w:r>
        <w:rPr>
          <w:rFonts w:hint="eastAsia" w:ascii="宋体" w:hAnsi="宋体" w:cs="Arial"/>
          <w:color w:val="333333"/>
          <w:kern w:val="0"/>
          <w:szCs w:val="21"/>
        </w:rPr>
        <w:t>（4）引用专著时，需在序号的“[]”外著录引文页码。例： ……由于“思想”的内涵是“客观存在反映在人的意识中经过思维活动而产生的结果”</w:t>
      </w:r>
      <w:r>
        <w:rPr>
          <w:rFonts w:hint="eastAsia" w:ascii="宋体" w:hAnsi="宋体" w:cs="Arial"/>
          <w:color w:val="333333"/>
          <w:kern w:val="0"/>
          <w:szCs w:val="21"/>
          <w:vertAlign w:val="superscript"/>
        </w:rPr>
        <w:t>[2]11-13</w:t>
      </w:r>
      <w:r>
        <w:rPr>
          <w:rFonts w:hint="eastAsia" w:ascii="宋体" w:hAnsi="宋体" w:cs="Arial"/>
          <w:color w:val="333333"/>
          <w:kern w:val="0"/>
          <w:szCs w:val="21"/>
        </w:rPr>
        <w:t>，所以“编辑思想”的内涵就是编辑实践反映在编辑工作者的意识中，“经过思维活动而产生的结果”。……《中国青年》杂志创办人追求的高格调——理性的成熟与热点的凝聚</w:t>
      </w:r>
      <w:r>
        <w:rPr>
          <w:rFonts w:hint="eastAsia" w:ascii="宋体" w:hAnsi="宋体" w:cs="Arial"/>
          <w:color w:val="333333"/>
          <w:kern w:val="0"/>
          <w:szCs w:val="21"/>
          <w:vertAlign w:val="superscript"/>
        </w:rPr>
        <w:t>[3]</w:t>
      </w:r>
      <w:r>
        <w:rPr>
          <w:rFonts w:hint="eastAsia" w:ascii="宋体" w:hAnsi="宋体" w:cs="Arial"/>
          <w:color w:val="333333"/>
          <w:kern w:val="0"/>
          <w:szCs w:val="21"/>
        </w:rPr>
        <w:t>，表明其读者群的文化品位的高层次……“方针”指“引导事业前进的方向和目标</w:t>
      </w:r>
      <w:r>
        <w:rPr>
          <w:rFonts w:hint="eastAsia" w:ascii="宋体" w:hAnsi="宋体" w:cs="Arial"/>
          <w:color w:val="333333"/>
          <w:kern w:val="0"/>
          <w:szCs w:val="21"/>
          <w:vertAlign w:val="superscript"/>
        </w:rPr>
        <w:t>[2]200</w:t>
      </w:r>
      <w:r>
        <w:rPr>
          <w:rFonts w:hint="eastAsia" w:ascii="宋体" w:hAnsi="宋体" w:cs="Arial"/>
          <w:color w:val="333333"/>
          <w:kern w:val="0"/>
          <w:szCs w:val="21"/>
        </w:rPr>
        <w:t>……</w:t>
      </w:r>
    </w:p>
    <w:p>
      <w:pPr>
        <w:rPr>
          <w:rFonts w:ascii="宋体" w:hAnsi="宋体" w:cs="Arial"/>
          <w:color w:val="333333"/>
          <w:kern w:val="0"/>
          <w:szCs w:val="21"/>
        </w:rPr>
      </w:pPr>
    </w:p>
    <w:p>
      <w:pPr>
        <w:spacing w:line="360" w:lineRule="auto"/>
        <w:rPr>
          <w:rFonts w:ascii="宋体" w:hAnsi="宋体"/>
          <w:b/>
        </w:rPr>
      </w:pPr>
      <w:r>
        <w:rPr>
          <w:rFonts w:ascii="宋体" w:hAnsi="宋体"/>
          <w:b/>
          <w:highlight w:val="lightGray"/>
        </w:rPr>
        <w:t>18</w:t>
      </w:r>
      <w:r>
        <w:rPr>
          <w:rFonts w:hint="eastAsia" w:ascii="宋体" w:hAnsi="宋体"/>
          <w:b/>
        </w:rPr>
        <w:t xml:space="preserve">  参考文献著录方法</w:t>
      </w:r>
    </w:p>
    <w:p>
      <w:pPr>
        <w:spacing w:line="360" w:lineRule="auto"/>
        <w:rPr>
          <w:rFonts w:ascii="宋体" w:hAnsi="宋体"/>
          <w:b/>
        </w:rPr>
      </w:pPr>
      <w:r>
        <w:rPr>
          <w:rFonts w:hint="eastAsia" w:ascii="宋体" w:hAnsi="宋体"/>
          <w:b/>
        </w:rPr>
        <w:t>18.1</w:t>
      </w:r>
      <w:r>
        <w:rPr>
          <w:rFonts w:ascii="宋体" w:hAnsi="宋体"/>
          <w:b/>
        </w:rPr>
        <w:t xml:space="preserve"> </w:t>
      </w:r>
      <w:r>
        <w:rPr>
          <w:rFonts w:hint="eastAsia" w:ascii="宋体" w:hAnsi="宋体"/>
          <w:b/>
        </w:rPr>
        <w:t>基本著录要求</w:t>
      </w:r>
    </w:p>
    <w:p>
      <w:pPr>
        <w:rPr>
          <w:rFonts w:ascii="宋体" w:hAnsi="宋体"/>
          <w:szCs w:val="21"/>
        </w:rPr>
      </w:pPr>
      <w:r>
        <w:rPr>
          <w:rFonts w:hint="eastAsia" w:ascii="宋体" w:hAnsi="宋体"/>
          <w:szCs w:val="21"/>
        </w:rPr>
        <w:t>（1）本刊参考文献著录格式参照执行国家标准GB/T 7714—2005。</w:t>
      </w:r>
    </w:p>
    <w:p>
      <w:pPr>
        <w:rPr>
          <w:rFonts w:ascii="宋体" w:hAnsi="宋体"/>
          <w:szCs w:val="21"/>
        </w:rPr>
      </w:pPr>
      <w:r>
        <w:rPr>
          <w:rFonts w:hint="eastAsia" w:ascii="宋体" w:hAnsi="宋体"/>
          <w:szCs w:val="21"/>
        </w:rPr>
        <w:t>（2）未发表的成果及个人交流通信不列入参考文献，以脚注形式在当页注释说明。</w:t>
      </w:r>
    </w:p>
    <w:p>
      <w:pPr>
        <w:rPr>
          <w:rFonts w:ascii="宋体" w:hAnsi="宋体"/>
          <w:szCs w:val="21"/>
        </w:rPr>
      </w:pPr>
      <w:r>
        <w:rPr>
          <w:rFonts w:hint="eastAsia" w:ascii="宋体" w:hAnsi="宋体"/>
          <w:szCs w:val="21"/>
        </w:rPr>
        <w:t>（3）参考文献出处的准确性由作者负责。</w:t>
      </w:r>
    </w:p>
    <w:p>
      <w:pPr>
        <w:spacing w:line="360" w:lineRule="auto"/>
        <w:rPr>
          <w:rFonts w:ascii="宋体" w:hAnsi="宋体"/>
          <w:b/>
        </w:rPr>
      </w:pPr>
      <w:r>
        <w:rPr>
          <w:rFonts w:hint="eastAsia" w:ascii="宋体" w:hAnsi="宋体"/>
          <w:b/>
        </w:rPr>
        <w:t>18.2</w:t>
      </w:r>
      <w:r>
        <w:rPr>
          <w:rFonts w:ascii="宋体" w:hAnsi="宋体"/>
          <w:b/>
        </w:rPr>
        <w:t xml:space="preserve"> </w:t>
      </w:r>
      <w:r>
        <w:rPr>
          <w:rFonts w:hint="eastAsia" w:ascii="宋体" w:hAnsi="宋体"/>
          <w:b/>
        </w:rPr>
        <w:t>期刊论文</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作者.题名[文献类型标志].刊物名称,出版年,卷（期）:起止页码.</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[1]</w:t>
      </w:r>
      <w:r>
        <w:rPr>
          <w:rFonts w:ascii="宋体" w:hAnsi="宋体"/>
          <w:szCs w:val="21"/>
        </w:rPr>
        <w:t xml:space="preserve"> </w:t>
      </w:r>
      <w:r>
        <w:rPr>
          <w:rFonts w:hint="eastAsia" w:ascii="宋体" w:hAnsi="宋体"/>
          <w:szCs w:val="21"/>
        </w:rPr>
        <w:t>吴建中.创新型社会中图书馆的责任[J].</w:t>
      </w:r>
      <w:r>
        <w:rPr>
          <w:rFonts w:ascii="宋体" w:hAnsi="宋体"/>
          <w:szCs w:val="21"/>
        </w:rPr>
        <w:t xml:space="preserve"> </w:t>
      </w:r>
      <w:r>
        <w:rPr>
          <w:rFonts w:hint="eastAsia" w:ascii="宋体" w:hAnsi="宋体"/>
          <w:szCs w:val="21"/>
        </w:rPr>
        <w:t>中国图书馆学报,2010(6):9-12.</w:t>
      </w:r>
    </w:p>
    <w:p>
      <w:pPr>
        <w:rPr>
          <w:rFonts w:ascii="宋体" w:hAnsi="宋体"/>
          <w:szCs w:val="21"/>
        </w:rPr>
      </w:pPr>
      <w:r>
        <w:rPr>
          <w:rFonts w:hint="eastAsia" w:ascii="宋体" w:hAnsi="宋体"/>
          <w:szCs w:val="21"/>
        </w:rPr>
        <w:t>[2] HWITT J A.</w:t>
      </w:r>
      <w:r>
        <w:rPr>
          <w:rFonts w:ascii="宋体" w:hAnsi="宋体"/>
          <w:szCs w:val="21"/>
        </w:rPr>
        <w:t xml:space="preserve"> </w:t>
      </w:r>
      <w:r>
        <w:rPr>
          <w:rFonts w:hint="eastAsia" w:ascii="宋体" w:hAnsi="宋体"/>
          <w:szCs w:val="21"/>
        </w:rPr>
        <w:t>Technical services in 1983[J]. Library Resource Services, 1984,28(3):205-218.</w:t>
      </w:r>
    </w:p>
    <w:p>
      <w:pPr>
        <w:spacing w:line="360" w:lineRule="auto"/>
        <w:rPr>
          <w:rFonts w:ascii="宋体" w:hAnsi="宋体"/>
          <w:b/>
        </w:rPr>
      </w:pPr>
      <w:r>
        <w:rPr>
          <w:rFonts w:hint="eastAsia" w:ascii="宋体" w:hAnsi="宋体"/>
          <w:b/>
        </w:rPr>
        <w:t>18.3</w:t>
      </w:r>
      <w:r>
        <w:rPr>
          <w:rFonts w:ascii="宋体" w:hAnsi="宋体"/>
          <w:b/>
        </w:rPr>
        <w:t xml:space="preserve"> </w:t>
      </w:r>
      <w:r>
        <w:rPr>
          <w:rFonts w:hint="eastAsia" w:ascii="宋体" w:hAnsi="宋体"/>
          <w:b/>
        </w:rPr>
        <w:t>专著（图书）</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作者.书名[文献类型标志].其他责任者.版本项.出版地:出版社,出版年:起止页码.</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[3]</w:t>
      </w:r>
      <w:r>
        <w:rPr>
          <w:rFonts w:ascii="宋体" w:hAnsi="宋体"/>
          <w:szCs w:val="21"/>
        </w:rPr>
        <w:t xml:space="preserve"> </w:t>
      </w:r>
      <w:r>
        <w:rPr>
          <w:rFonts w:hint="eastAsia" w:ascii="宋体" w:hAnsi="宋体"/>
          <w:szCs w:val="21"/>
        </w:rPr>
        <w:t>蒋有绪，郭泉水，马娟，等.中国森林群落分类及其群落学特征[M].北京:科学出版社，1998:2-5.</w:t>
      </w:r>
    </w:p>
    <w:p>
      <w:pPr>
        <w:rPr>
          <w:rFonts w:ascii="宋体" w:hAnsi="宋体"/>
          <w:szCs w:val="21"/>
        </w:rPr>
      </w:pPr>
      <w:r>
        <w:rPr>
          <w:rFonts w:hint="eastAsia" w:ascii="宋体" w:hAnsi="宋体"/>
          <w:szCs w:val="21"/>
        </w:rPr>
        <w:t>[4]</w:t>
      </w:r>
      <w:r>
        <w:rPr>
          <w:rFonts w:ascii="宋体" w:hAnsi="宋体"/>
          <w:szCs w:val="21"/>
        </w:rPr>
        <w:t xml:space="preserve"> </w:t>
      </w:r>
      <w:r>
        <w:rPr>
          <w:rFonts w:hint="eastAsia" w:ascii="宋体" w:hAnsi="宋体"/>
          <w:szCs w:val="21"/>
        </w:rPr>
        <w:t>昂温G，昂温PS.外国出版史[M].陈生铮，译.北京:中国书籍出版社，1988:1-5.</w:t>
      </w:r>
    </w:p>
    <w:p>
      <w:pPr>
        <w:rPr>
          <w:rFonts w:ascii="宋体" w:hAnsi="宋体"/>
          <w:szCs w:val="21"/>
        </w:rPr>
      </w:pPr>
      <w:r>
        <w:rPr>
          <w:rFonts w:hint="eastAsia" w:ascii="宋体" w:hAnsi="宋体"/>
          <w:szCs w:val="21"/>
        </w:rPr>
        <w:t>[5]</w:t>
      </w:r>
      <w:r>
        <w:rPr>
          <w:rFonts w:ascii="宋体" w:hAnsi="宋体"/>
          <w:szCs w:val="21"/>
        </w:rPr>
        <w:t xml:space="preserve"> </w:t>
      </w:r>
      <w:r>
        <w:rPr>
          <w:rFonts w:hint="eastAsia" w:ascii="宋体" w:hAnsi="宋体"/>
          <w:szCs w:val="21"/>
        </w:rPr>
        <w:t>TENNAN R.</w:t>
      </w:r>
      <w:bookmarkStart w:id="0" w:name="OLE_LINK2"/>
      <w:bookmarkEnd w:id="0"/>
      <w:bookmarkStart w:id="1" w:name="OLE_LINK1"/>
      <w:r>
        <w:rPr>
          <w:rFonts w:ascii="宋体" w:hAnsi="宋体"/>
          <w:szCs w:val="21"/>
        </w:rPr>
        <w:t xml:space="preserve"> </w:t>
      </w:r>
      <w:r>
        <w:rPr>
          <w:rFonts w:hint="eastAsia" w:ascii="宋体" w:hAnsi="宋体"/>
          <w:szCs w:val="21"/>
        </w:rPr>
        <w:t>Managing</w:t>
      </w:r>
      <w:bookmarkEnd w:id="1"/>
      <w:r>
        <w:rPr>
          <w:rFonts w:ascii="宋体" w:hAnsi="宋体"/>
          <w:szCs w:val="21"/>
        </w:rPr>
        <w:t xml:space="preserve"> </w:t>
      </w:r>
      <w:r>
        <w:rPr>
          <w:rFonts w:hint="eastAsia" w:ascii="宋体" w:hAnsi="宋体"/>
          <w:szCs w:val="21"/>
        </w:rPr>
        <w:t>the Digital Library[M]. New York: Reed Press,2004:150-153.</w:t>
      </w:r>
    </w:p>
    <w:p>
      <w:pPr>
        <w:spacing w:line="360" w:lineRule="auto"/>
        <w:rPr>
          <w:rFonts w:ascii="宋体" w:hAnsi="宋体"/>
          <w:b/>
        </w:rPr>
      </w:pPr>
      <w:r>
        <w:rPr>
          <w:rFonts w:hint="eastAsia" w:ascii="宋体" w:hAnsi="宋体"/>
          <w:b/>
        </w:rPr>
        <w:t>18.4</w:t>
      </w:r>
      <w:r>
        <w:rPr>
          <w:rFonts w:ascii="宋体" w:hAnsi="宋体"/>
          <w:b/>
        </w:rPr>
        <w:t xml:space="preserve"> </w:t>
      </w:r>
      <w:r>
        <w:rPr>
          <w:rFonts w:hint="eastAsia" w:ascii="宋体" w:hAnsi="宋体"/>
          <w:b/>
        </w:rPr>
        <w:t>专著(会议论文集、汇编集等)析出文献</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作者.题名[文献类型标志]//编者.文集名:其他题名信息.版本项.出版地:出版者,出版年:起止页码.</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[6]</w:t>
      </w:r>
      <w:r>
        <w:rPr>
          <w:rFonts w:ascii="宋体" w:hAnsi="宋体"/>
          <w:szCs w:val="21"/>
        </w:rPr>
        <w:t xml:space="preserve"> </w:t>
      </w:r>
      <w:r>
        <w:rPr>
          <w:rFonts w:hint="eastAsia" w:ascii="宋体" w:hAnsi="宋体"/>
          <w:szCs w:val="21"/>
        </w:rPr>
        <w:t>韩吉人.论职工教育的特点[G]//中国职工教育研究会.职工教育研究论文集.北京:人民教育出版社，1985: 90-99.</w:t>
      </w:r>
    </w:p>
    <w:p>
      <w:pPr>
        <w:rPr>
          <w:rFonts w:ascii="宋体" w:hAnsi="宋体"/>
          <w:szCs w:val="21"/>
        </w:rPr>
      </w:pPr>
      <w:r>
        <w:rPr>
          <w:rFonts w:hint="eastAsia" w:ascii="宋体" w:hAnsi="宋体"/>
          <w:szCs w:val="21"/>
        </w:rPr>
        <w:t>[7]</w:t>
      </w:r>
      <w:r>
        <w:rPr>
          <w:rFonts w:ascii="宋体" w:hAnsi="宋体"/>
          <w:szCs w:val="21"/>
        </w:rPr>
        <w:t xml:space="preserve"> </w:t>
      </w:r>
      <w:r>
        <w:rPr>
          <w:rFonts w:hint="eastAsia" w:ascii="宋体" w:hAnsi="宋体"/>
          <w:szCs w:val="21"/>
        </w:rPr>
        <w:t>WEINSTEIN L,SWERTZ M N. Pathogenic properties of invading microorganism[M]//SODEMAN W A,Jr.,SODEMAN W A. Pathologic physiology: mechanisms of disease. Philadelphia: Saunders,1974: 745-772.</w:t>
      </w:r>
    </w:p>
    <w:p>
      <w:pPr>
        <w:spacing w:line="360" w:lineRule="auto"/>
        <w:rPr>
          <w:rFonts w:ascii="宋体" w:hAnsi="宋体"/>
          <w:b/>
        </w:rPr>
      </w:pPr>
      <w:r>
        <w:rPr>
          <w:rFonts w:hint="eastAsia" w:ascii="宋体" w:hAnsi="宋体"/>
          <w:b/>
        </w:rPr>
        <w:t>18.5</w:t>
      </w:r>
      <w:r>
        <w:rPr>
          <w:rFonts w:ascii="宋体" w:hAnsi="宋体"/>
          <w:b/>
        </w:rPr>
        <w:t xml:space="preserve"> </w:t>
      </w:r>
      <w:r>
        <w:rPr>
          <w:rFonts w:hint="eastAsia" w:ascii="宋体" w:hAnsi="宋体"/>
          <w:b/>
        </w:rPr>
        <w:t>报纸</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作者.题名[文献类型标志].报纸名,年-月-日（版次）.</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[8] 张田勤.罪犯DNA库与生命伦理学计划[N].大众科技报，2000-11-12(7).</w:t>
      </w:r>
    </w:p>
    <w:p>
      <w:pPr>
        <w:spacing w:line="360" w:lineRule="auto"/>
        <w:rPr>
          <w:rFonts w:ascii="宋体" w:hAnsi="宋体"/>
          <w:b/>
        </w:rPr>
      </w:pPr>
      <w:r>
        <w:rPr>
          <w:rFonts w:hint="eastAsia" w:ascii="宋体" w:hAnsi="宋体"/>
          <w:b/>
        </w:rPr>
        <w:t>18.6</w:t>
      </w:r>
      <w:r>
        <w:rPr>
          <w:rFonts w:ascii="宋体" w:hAnsi="宋体"/>
          <w:b/>
        </w:rPr>
        <w:t xml:space="preserve"> </w:t>
      </w:r>
      <w:r>
        <w:rPr>
          <w:rFonts w:hint="eastAsia" w:ascii="宋体" w:hAnsi="宋体"/>
          <w:b/>
        </w:rPr>
        <w:t>学位论文</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作者.题名[文献类型标志].保存地:保存者,年份.</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[9]</w:t>
      </w:r>
      <w:r>
        <w:rPr>
          <w:rFonts w:ascii="宋体" w:hAnsi="宋体"/>
          <w:szCs w:val="21"/>
        </w:rPr>
        <w:t xml:space="preserve"> </w:t>
      </w:r>
      <w:r>
        <w:rPr>
          <w:rFonts w:hint="eastAsia" w:ascii="宋体" w:hAnsi="宋体"/>
          <w:szCs w:val="21"/>
        </w:rPr>
        <w:t>张志祥.间断动力系统的随机扰动及其在守恒律方程中的应用[D].北京:北京大学数学学院，1998.</w:t>
      </w:r>
    </w:p>
    <w:p>
      <w:pPr>
        <w:spacing w:line="360" w:lineRule="auto"/>
        <w:rPr>
          <w:rFonts w:ascii="宋体" w:hAnsi="宋体"/>
          <w:b/>
        </w:rPr>
      </w:pPr>
      <w:r>
        <w:rPr>
          <w:rFonts w:hint="eastAsia" w:ascii="宋体" w:hAnsi="宋体"/>
          <w:b/>
        </w:rPr>
        <w:t>18.7</w:t>
      </w:r>
      <w:r>
        <w:rPr>
          <w:rFonts w:ascii="宋体" w:hAnsi="宋体"/>
          <w:b/>
        </w:rPr>
        <w:t xml:space="preserve"> </w:t>
      </w:r>
      <w:r>
        <w:rPr>
          <w:rFonts w:hint="eastAsia" w:ascii="宋体" w:hAnsi="宋体"/>
          <w:b/>
        </w:rPr>
        <w:t>电子文献</w:t>
      </w:r>
    </w:p>
    <w:p>
      <w:pPr>
        <w:rPr>
          <w:rFonts w:ascii="宋体" w:hAnsi="宋体"/>
          <w:b/>
          <w:szCs w:val="21"/>
        </w:rPr>
      </w:pPr>
      <w:r>
        <w:rPr>
          <w:rFonts w:hint="eastAsia" w:ascii="宋体" w:hAnsi="宋体"/>
          <w:b/>
          <w:szCs w:val="21"/>
        </w:rPr>
        <w:t>（1）一般网上文献</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作者.标题.[检索日期].网址.</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[10]</w:t>
      </w:r>
      <w:r>
        <w:rPr>
          <w:rFonts w:ascii="宋体" w:hAnsi="宋体"/>
          <w:szCs w:val="21"/>
        </w:rPr>
        <w:t xml:space="preserve"> </w:t>
      </w:r>
      <w:r>
        <w:rPr>
          <w:rFonts w:hint="eastAsia" w:ascii="宋体" w:hAnsi="宋体"/>
          <w:szCs w:val="21"/>
        </w:rPr>
        <w:t>SUBER P.Open Access in 2007[OL].[2008-03-07].http://www.earlham.edu/peters/ fos/newsletter/01-02-08.htm#2007.</w:t>
      </w:r>
    </w:p>
    <w:p>
      <w:pPr>
        <w:rPr>
          <w:rFonts w:ascii="宋体" w:hAnsi="宋体"/>
          <w:b/>
          <w:szCs w:val="21"/>
        </w:rPr>
      </w:pPr>
      <w:r>
        <w:rPr>
          <w:rFonts w:hint="eastAsia" w:ascii="宋体" w:hAnsi="宋体"/>
          <w:b/>
          <w:szCs w:val="21"/>
        </w:rPr>
        <w:t>（2）传统文献电子版</w:t>
      </w:r>
    </w:p>
    <w:p>
      <w:pPr>
        <w:rPr>
          <w:rFonts w:ascii="宋体" w:hAnsi="宋体"/>
          <w:szCs w:val="21"/>
        </w:rPr>
      </w:pPr>
      <w:r>
        <w:rPr>
          <w:rFonts w:hint="eastAsia" w:ascii="宋体" w:hAnsi="宋体"/>
          <w:szCs w:val="21"/>
        </w:rPr>
        <w:t>①</w:t>
      </w:r>
      <w:r>
        <w:rPr>
          <w:rFonts w:ascii="宋体" w:hAnsi="宋体"/>
          <w:szCs w:val="21"/>
        </w:rPr>
        <w:t xml:space="preserve"> </w:t>
      </w:r>
      <w:r>
        <w:rPr>
          <w:rFonts w:hint="eastAsia" w:ascii="宋体" w:hAnsi="宋体"/>
          <w:szCs w:val="21"/>
        </w:rPr>
        <w:t>期刊论文电子版</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作者.题名[文献类型标志/文献载体标志].刊物名称,年,卷(期):页码[引用日期].获取和访问路径.</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[11]</w:t>
      </w:r>
      <w:r>
        <w:rPr>
          <w:rFonts w:ascii="宋体" w:hAnsi="宋体"/>
          <w:szCs w:val="21"/>
        </w:rPr>
        <w:t xml:space="preserve"> </w:t>
      </w:r>
      <w:r>
        <w:rPr>
          <w:rFonts w:hint="eastAsia" w:ascii="宋体" w:hAnsi="宋体"/>
          <w:szCs w:val="21"/>
        </w:rPr>
        <w:t>江向东.互联网环境下的信息处理与图书管理系统解决方案[J/OL].情报学报，1999,18(2)4[2000-01-18].http://www.chinainfo.gov.cn/periodical/gbxb/gbxb99/gbxb990203.</w:t>
      </w:r>
    </w:p>
    <w:p>
      <w:pPr>
        <w:rPr>
          <w:rFonts w:ascii="宋体" w:hAnsi="宋体"/>
          <w:szCs w:val="21"/>
        </w:rPr>
      </w:pPr>
      <w:r>
        <w:rPr>
          <w:rFonts w:hint="eastAsia" w:ascii="宋体" w:hAnsi="宋体"/>
          <w:szCs w:val="21"/>
        </w:rPr>
        <w:t>②</w:t>
      </w:r>
      <w:r>
        <w:rPr>
          <w:rFonts w:ascii="宋体" w:hAnsi="宋体"/>
          <w:szCs w:val="21"/>
        </w:rPr>
        <w:t xml:space="preserve"> </w:t>
      </w:r>
      <w:r>
        <w:rPr>
          <w:rFonts w:hint="eastAsia" w:ascii="宋体" w:hAnsi="宋体"/>
          <w:szCs w:val="21"/>
        </w:rPr>
        <w:t>报纸电子版</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作者.题名[文献类型标志/文献载体标志].报纸名,年-月-日(版次)[引用日期].获取和访问路径.</w:t>
      </w:r>
    </w:p>
    <w:p>
      <w:pPr>
        <w:rPr>
          <w:rFonts w:ascii="宋体" w:hAnsi="宋体"/>
          <w:szCs w:val="21"/>
        </w:rPr>
      </w:pPr>
      <w:r>
        <w:rPr>
          <w:rFonts w:hint="eastAsia" w:ascii="宋体" w:hAnsi="宋体"/>
          <w:szCs w:val="21"/>
        </w:rPr>
        <w:t>例：</w:t>
      </w:r>
    </w:p>
    <w:p>
      <w:pPr>
        <w:jc w:val="left"/>
        <w:rPr>
          <w:rFonts w:ascii="宋体" w:hAnsi="宋体"/>
          <w:szCs w:val="21"/>
        </w:rPr>
      </w:pPr>
      <w:r>
        <w:rPr>
          <w:rFonts w:hint="eastAsia" w:ascii="宋体" w:hAnsi="宋体"/>
          <w:szCs w:val="21"/>
        </w:rPr>
        <w:t>[12]傅刚,赵承,李佳路.大风沙过后的思考[N/OL].北京青年报,2000-04-12(14)[2005-07-12].http://www.bjyouth.com.cn/Bqb/20000412/GB/4216^D0412B1401.htm.</w:t>
      </w:r>
    </w:p>
    <w:p>
      <w:pPr>
        <w:rPr>
          <w:rFonts w:ascii="宋体" w:hAnsi="宋体"/>
          <w:szCs w:val="21"/>
        </w:rPr>
      </w:pPr>
      <w:r>
        <w:rPr>
          <w:rFonts w:hint="eastAsia" w:ascii="宋体" w:hAnsi="宋体"/>
          <w:szCs w:val="21"/>
        </w:rPr>
        <w:t>③</w:t>
      </w:r>
      <w:r>
        <w:rPr>
          <w:rFonts w:ascii="宋体" w:hAnsi="宋体"/>
          <w:szCs w:val="21"/>
        </w:rPr>
        <w:t xml:space="preserve"> </w:t>
      </w:r>
      <w:r>
        <w:rPr>
          <w:rFonts w:hint="eastAsia" w:ascii="宋体" w:hAnsi="宋体"/>
          <w:szCs w:val="21"/>
        </w:rPr>
        <w:t>专著(图书)电子版</w:t>
      </w:r>
    </w:p>
    <w:p>
      <w:pPr>
        <w:rPr>
          <w:rFonts w:ascii="宋体" w:hAnsi="宋体"/>
          <w:szCs w:val="21"/>
        </w:rPr>
      </w:pPr>
      <w:r>
        <w:rPr>
          <w:rFonts w:hint="eastAsia" w:ascii="宋体" w:hAnsi="宋体"/>
          <w:szCs w:val="21"/>
        </w:rPr>
        <w:t>[序号]</w:t>
      </w:r>
      <w:r>
        <w:rPr>
          <w:rFonts w:ascii="宋体" w:hAnsi="宋体"/>
          <w:szCs w:val="21"/>
        </w:rPr>
        <w:t xml:space="preserve"> </w:t>
      </w:r>
      <w:r>
        <w:rPr>
          <w:rFonts w:hint="eastAsia" w:ascii="宋体" w:hAnsi="宋体"/>
          <w:szCs w:val="21"/>
        </w:rPr>
        <w:t>作者.题名[文献类型标志/文献载体标志].其他责任者.版本项.出版地:出版者,出版年:页码[引用日期].获取和访问路径.</w:t>
      </w:r>
    </w:p>
    <w:p>
      <w:pPr>
        <w:rPr>
          <w:rFonts w:ascii="宋体" w:hAnsi="宋体"/>
          <w:szCs w:val="21"/>
        </w:rPr>
      </w:pPr>
      <w:r>
        <w:rPr>
          <w:rFonts w:hint="eastAsia" w:ascii="宋体" w:hAnsi="宋体"/>
          <w:szCs w:val="21"/>
        </w:rPr>
        <w:t>例：</w:t>
      </w:r>
    </w:p>
    <w:p>
      <w:pPr>
        <w:rPr>
          <w:rFonts w:ascii="宋体" w:hAnsi="宋体"/>
          <w:szCs w:val="21"/>
        </w:rPr>
      </w:pPr>
      <w:r>
        <w:rPr>
          <w:rFonts w:hint="eastAsia" w:ascii="宋体" w:hAnsi="宋体"/>
          <w:szCs w:val="21"/>
        </w:rPr>
        <w:t>[13]</w:t>
      </w:r>
      <w:r>
        <w:rPr>
          <w:rFonts w:ascii="宋体" w:hAnsi="宋体"/>
          <w:szCs w:val="21"/>
        </w:rPr>
        <w:t xml:space="preserve"> </w:t>
      </w:r>
      <w:r>
        <w:rPr>
          <w:rFonts w:hint="eastAsia" w:ascii="宋体" w:hAnsi="宋体"/>
          <w:szCs w:val="21"/>
        </w:rPr>
        <w:t>TURCOTTE D L. Fractals and chaos in geology</w:t>
      </w:r>
      <w:r>
        <w:rPr>
          <w:rFonts w:ascii="宋体" w:hAnsi="宋体"/>
          <w:szCs w:val="21"/>
        </w:rPr>
        <w:t xml:space="preserve"> </w:t>
      </w:r>
      <w:r>
        <w:rPr>
          <w:rFonts w:hint="eastAsia" w:ascii="宋体" w:hAnsi="宋体"/>
          <w:szCs w:val="21"/>
        </w:rPr>
        <w:t>and geophysics[M/OL].New York:Cambridge UniversityPress,1992[1998-09-23].http://www.seg.org/reviews/mccorm30.html.</w:t>
      </w:r>
    </w:p>
    <w:sectPr>
      <w:headerReference r:id="rId5" w:type="default"/>
      <w:footerReference r:id="rId7" w:type="default"/>
      <w:headerReference r:id="rId6" w:type="even"/>
      <w:pgSz w:w="11906" w:h="16838"/>
      <w:pgMar w:top="1440" w:right="1134" w:bottom="1440" w:left="1134" w:header="680"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swiss"/>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冬青黑体简体中文 W6">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swiss"/>
    <w:pitch w:val="default"/>
    <w:sig w:usb0="800002BF" w:usb1="38CF7CFA" w:usb2="00000016" w:usb3="00000000" w:csb0="00040001" w:csb1="00000000"/>
  </w:font>
  <w:font w:name="冬青黑体简体中文 W3">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3253"/>
        <w:tab w:val="clear" w:pos="4153"/>
      </w:tabs>
      <w:rPr>
        <w:rFonts w:hint="eastAsia" w:eastAsia="宋体"/>
        <w:lang w:eastAsia="zh-CN"/>
      </w:rPr>
    </w:pPr>
    <w:r>
      <w:rPr>
        <w:rFonts w:hint="eastAsia" w:eastAsia="宋体"/>
        <w:lang w:eastAsia="zh-CN"/>
      </w:rPr>
      <w:drawing>
        <wp:anchor distT="0" distB="0" distL="114300" distR="114300" simplePos="0" relativeHeight="251662336" behindDoc="0" locked="0" layoutInCell="1" allowOverlap="1">
          <wp:simplePos x="0" y="0"/>
          <wp:positionH relativeFrom="column">
            <wp:posOffset>-198120</wp:posOffset>
          </wp:positionH>
          <wp:positionV relativeFrom="paragraph">
            <wp:posOffset>-151130</wp:posOffset>
          </wp:positionV>
          <wp:extent cx="6563995" cy="295275"/>
          <wp:effectExtent l="0" t="0" r="4445" b="12065"/>
          <wp:wrapNone/>
          <wp:docPr id="5" name="图片 5"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页脚"/>
                  <pic:cNvPicPr>
                    <a:picLocks noChangeAspect="1"/>
                  </pic:cNvPicPr>
                </pic:nvPicPr>
                <pic:blipFill>
                  <a:blip r:embed="rId1"/>
                  <a:srcRect b="22501"/>
                  <a:stretch>
                    <a:fillRect/>
                  </a:stretch>
                </pic:blipFill>
                <pic:spPr>
                  <a:xfrm>
                    <a:off x="0" y="0"/>
                    <a:ext cx="6563995" cy="295275"/>
                  </a:xfrm>
                  <a:prstGeom prst="rect">
                    <a:avLst/>
                  </a:prstGeom>
                  <a:noFill/>
                  <a:ln>
                    <a:noFill/>
                  </a:ln>
                </pic:spPr>
              </pic:pic>
            </a:graphicData>
          </a:graphic>
        </wp:anchor>
      </w:drawing>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r>
      <w:rPr>
        <w:rFonts w:hint="eastAsia" w:eastAsia="宋体"/>
        <w:lang w:eastAsia="zh-CN"/>
      </w:rPr>
      <w:drawing>
        <wp:anchor distT="0" distB="0" distL="114300" distR="114300" simplePos="0" relativeHeight="251660288" behindDoc="0" locked="0" layoutInCell="1" allowOverlap="1">
          <wp:simplePos x="0" y="0"/>
          <wp:positionH relativeFrom="column">
            <wp:posOffset>-172085</wp:posOffset>
          </wp:positionH>
          <wp:positionV relativeFrom="paragraph">
            <wp:posOffset>2540</wp:posOffset>
          </wp:positionV>
          <wp:extent cx="6534150" cy="371475"/>
          <wp:effectExtent l="0" t="0" r="3810" b="9525"/>
          <wp:wrapNone/>
          <wp:docPr id="4" name="图片 4" descr="页眉 -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页眉 - 2"/>
                  <pic:cNvPicPr>
                    <a:picLocks noChangeAspect="1"/>
                  </pic:cNvPicPr>
                </pic:nvPicPr>
                <pic:blipFill>
                  <a:blip r:embed="rId1"/>
                  <a:stretch>
                    <a:fillRect/>
                  </a:stretch>
                </pic:blipFill>
                <pic:spPr>
                  <a:xfrm>
                    <a:off x="0" y="0"/>
                    <a:ext cx="6534150" cy="37147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80EEA"/>
    <w:multiLevelType w:val="multilevel"/>
    <w:tmpl w:val="0A080EEA"/>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7A0069E"/>
    <w:multiLevelType w:val="multilevel"/>
    <w:tmpl w:val="17A0069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C8046C8"/>
    <w:multiLevelType w:val="multilevel"/>
    <w:tmpl w:val="6C8046C8"/>
    <w:lvl w:ilvl="0" w:tentative="0">
      <w:start w:val="15"/>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autoHyphenation/>
  <w:hyphenationZone w:val="357"/>
  <w:doNotHyphenateCaps/>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4ZDllN2ExNmUxOTU4ZWIyZTg3NTdjODA1YmFjMzkifQ=="/>
  </w:docVars>
  <w:rsids>
    <w:rsidRoot w:val="00FB5F35"/>
    <w:rsid w:val="00045349"/>
    <w:rsid w:val="000C418E"/>
    <w:rsid w:val="000C7411"/>
    <w:rsid w:val="000D2015"/>
    <w:rsid w:val="001043EE"/>
    <w:rsid w:val="00117062"/>
    <w:rsid w:val="00151C9E"/>
    <w:rsid w:val="001B589F"/>
    <w:rsid w:val="00202BB1"/>
    <w:rsid w:val="002170EF"/>
    <w:rsid w:val="00224992"/>
    <w:rsid w:val="00282B8B"/>
    <w:rsid w:val="002A65D5"/>
    <w:rsid w:val="002B0F1C"/>
    <w:rsid w:val="002C1386"/>
    <w:rsid w:val="0031258A"/>
    <w:rsid w:val="00356D45"/>
    <w:rsid w:val="00370E51"/>
    <w:rsid w:val="00371CD3"/>
    <w:rsid w:val="003A07E6"/>
    <w:rsid w:val="003A1085"/>
    <w:rsid w:val="003D179B"/>
    <w:rsid w:val="003D3588"/>
    <w:rsid w:val="003E52A8"/>
    <w:rsid w:val="0041767C"/>
    <w:rsid w:val="00435AC1"/>
    <w:rsid w:val="00437303"/>
    <w:rsid w:val="00490FC2"/>
    <w:rsid w:val="004F5C73"/>
    <w:rsid w:val="004F5F70"/>
    <w:rsid w:val="0050360F"/>
    <w:rsid w:val="00515CC6"/>
    <w:rsid w:val="005272AE"/>
    <w:rsid w:val="0053343E"/>
    <w:rsid w:val="0055563E"/>
    <w:rsid w:val="005A4B06"/>
    <w:rsid w:val="0067351D"/>
    <w:rsid w:val="006C0B36"/>
    <w:rsid w:val="006C22D2"/>
    <w:rsid w:val="00757A72"/>
    <w:rsid w:val="00771B6C"/>
    <w:rsid w:val="00790C82"/>
    <w:rsid w:val="00791CDE"/>
    <w:rsid w:val="007B03EE"/>
    <w:rsid w:val="007B0CAC"/>
    <w:rsid w:val="007B2F7C"/>
    <w:rsid w:val="007B6193"/>
    <w:rsid w:val="007C28BC"/>
    <w:rsid w:val="007C4A7A"/>
    <w:rsid w:val="00810D87"/>
    <w:rsid w:val="00826F2A"/>
    <w:rsid w:val="0085316D"/>
    <w:rsid w:val="00872598"/>
    <w:rsid w:val="008749BF"/>
    <w:rsid w:val="0089296D"/>
    <w:rsid w:val="008B40E7"/>
    <w:rsid w:val="008C786C"/>
    <w:rsid w:val="008E2AE4"/>
    <w:rsid w:val="008E68BA"/>
    <w:rsid w:val="008F315E"/>
    <w:rsid w:val="00913197"/>
    <w:rsid w:val="00950699"/>
    <w:rsid w:val="00983E80"/>
    <w:rsid w:val="009C00F1"/>
    <w:rsid w:val="009C1B57"/>
    <w:rsid w:val="009D37F0"/>
    <w:rsid w:val="009E768A"/>
    <w:rsid w:val="00A11BAC"/>
    <w:rsid w:val="00A2446F"/>
    <w:rsid w:val="00A24D4A"/>
    <w:rsid w:val="00A317CF"/>
    <w:rsid w:val="00A521D1"/>
    <w:rsid w:val="00A73A06"/>
    <w:rsid w:val="00A86ED2"/>
    <w:rsid w:val="00AA0E69"/>
    <w:rsid w:val="00AB62A8"/>
    <w:rsid w:val="00B5327C"/>
    <w:rsid w:val="00B77036"/>
    <w:rsid w:val="00BA7757"/>
    <w:rsid w:val="00BF0425"/>
    <w:rsid w:val="00BF0DE1"/>
    <w:rsid w:val="00BF7A0C"/>
    <w:rsid w:val="00C51394"/>
    <w:rsid w:val="00C52CA7"/>
    <w:rsid w:val="00C52F29"/>
    <w:rsid w:val="00C91BC7"/>
    <w:rsid w:val="00CC6E18"/>
    <w:rsid w:val="00CD47FD"/>
    <w:rsid w:val="00CD5781"/>
    <w:rsid w:val="00D325E2"/>
    <w:rsid w:val="00D641F6"/>
    <w:rsid w:val="00D723F3"/>
    <w:rsid w:val="00D857F6"/>
    <w:rsid w:val="00D9221B"/>
    <w:rsid w:val="00DF6C62"/>
    <w:rsid w:val="00E011B1"/>
    <w:rsid w:val="00E40C95"/>
    <w:rsid w:val="00E6274D"/>
    <w:rsid w:val="00EA734B"/>
    <w:rsid w:val="00EC5F6C"/>
    <w:rsid w:val="00EE5CF2"/>
    <w:rsid w:val="00F14826"/>
    <w:rsid w:val="00F21F8D"/>
    <w:rsid w:val="00F817C5"/>
    <w:rsid w:val="00F93A6F"/>
    <w:rsid w:val="00FA34A3"/>
    <w:rsid w:val="00FB4477"/>
    <w:rsid w:val="00FB5F35"/>
    <w:rsid w:val="05EE7326"/>
    <w:rsid w:val="39306AC0"/>
    <w:rsid w:val="43077C3A"/>
    <w:rsid w:val="47E112CE"/>
    <w:rsid w:val="64932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14"/>
    <w:qFormat/>
    <w:uiPriority w:val="9"/>
    <w:pPr>
      <w:keepNext/>
      <w:keepLines/>
      <w:spacing w:before="240" w:after="240"/>
      <w:outlineLvl w:val="0"/>
    </w:pPr>
    <w:rPr>
      <w:rFonts w:ascii="Times New Roman" w:hAnsi="Times New Roman" w:cs="Times New Roman"/>
      <w:b/>
      <w:bCs/>
      <w:kern w:val="44"/>
      <w:sz w:val="24"/>
      <w:szCs w:val="44"/>
    </w:rPr>
  </w:style>
  <w:style w:type="paragraph" w:styleId="3">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unhideWhenUsed/>
    <w:qFormat/>
    <w:uiPriority w:val="9"/>
    <w:pPr>
      <w:keepNext/>
      <w:keepLines/>
      <w:spacing w:before="260" w:after="260" w:line="416" w:lineRule="atLeast"/>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5"/>
    <w:semiHidden/>
    <w:unhideWhenUsed/>
    <w:qFormat/>
    <w:uiPriority w:val="99"/>
    <w:pPr>
      <w:spacing w:line="240" w:lineRule="auto"/>
    </w:pPr>
    <w:rPr>
      <w:sz w:val="18"/>
      <w:szCs w:val="18"/>
    </w:rPr>
  </w:style>
  <w:style w:type="paragraph" w:styleId="6">
    <w:name w:val="footer"/>
    <w:basedOn w:val="1"/>
    <w:link w:val="21"/>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footnote text"/>
    <w:basedOn w:val="1"/>
    <w:link w:val="22"/>
    <w:semiHidden/>
    <w:unhideWhenUsed/>
    <w:qFormat/>
    <w:uiPriority w:val="99"/>
    <w:pPr>
      <w:snapToGrid w:val="0"/>
      <w:jc w:val="left"/>
    </w:pPr>
    <w:rPr>
      <w:sz w:val="18"/>
      <w:szCs w:val="18"/>
    </w:rPr>
  </w:style>
  <w:style w:type="paragraph" w:styleId="9">
    <w:name w:val="Title"/>
    <w:basedOn w:val="1"/>
    <w:next w:val="1"/>
    <w:link w:val="15"/>
    <w:qFormat/>
    <w:uiPriority w:val="10"/>
    <w:pPr>
      <w:spacing w:before="240" w:after="240"/>
      <w:jc w:val="center"/>
      <w:outlineLvl w:val="0"/>
    </w:pPr>
    <w:rPr>
      <w:rFonts w:asciiTheme="majorHAnsi" w:hAnsiTheme="majorHAnsi" w:cstheme="majorBidi"/>
      <w:b/>
      <w:bCs/>
      <w:sz w:val="32"/>
      <w:szCs w:val="32"/>
    </w:rPr>
  </w:style>
  <w:style w:type="character" w:styleId="12">
    <w:name w:val="Hyperlink"/>
    <w:basedOn w:val="11"/>
    <w:unhideWhenUsed/>
    <w:qFormat/>
    <w:uiPriority w:val="99"/>
    <w:rPr>
      <w:color w:val="0000FF"/>
      <w:u w:val="single"/>
    </w:rPr>
  </w:style>
  <w:style w:type="character" w:styleId="13">
    <w:name w:val="footnote reference"/>
    <w:basedOn w:val="11"/>
    <w:semiHidden/>
    <w:unhideWhenUsed/>
    <w:qFormat/>
    <w:uiPriority w:val="99"/>
    <w:rPr>
      <w:vertAlign w:val="superscript"/>
    </w:rPr>
  </w:style>
  <w:style w:type="character" w:customStyle="1" w:styleId="14">
    <w:name w:val="标题 1 Char"/>
    <w:basedOn w:val="11"/>
    <w:link w:val="2"/>
    <w:qFormat/>
    <w:uiPriority w:val="9"/>
    <w:rPr>
      <w:rFonts w:ascii="Times New Roman" w:hAnsi="Times New Roman" w:eastAsia="宋体" w:cs="Times New Roman"/>
      <w:b/>
      <w:bCs/>
      <w:kern w:val="44"/>
      <w:sz w:val="24"/>
      <w:szCs w:val="44"/>
    </w:rPr>
  </w:style>
  <w:style w:type="character" w:customStyle="1" w:styleId="15">
    <w:name w:val="标题 Char"/>
    <w:basedOn w:val="11"/>
    <w:link w:val="9"/>
    <w:qFormat/>
    <w:uiPriority w:val="10"/>
    <w:rPr>
      <w:rFonts w:eastAsia="宋体" w:asciiTheme="majorHAnsi" w:hAnsiTheme="majorHAnsi" w:cstheme="majorBidi"/>
      <w:b/>
      <w:bCs/>
      <w:sz w:val="32"/>
      <w:szCs w:val="32"/>
    </w:rPr>
  </w:style>
  <w:style w:type="paragraph" w:styleId="16">
    <w:name w:val="List Paragraph"/>
    <w:basedOn w:val="1"/>
    <w:qFormat/>
    <w:uiPriority w:val="34"/>
    <w:pPr>
      <w:ind w:firstLine="420" w:firstLineChars="200"/>
    </w:pPr>
  </w:style>
  <w:style w:type="character" w:customStyle="1" w:styleId="17">
    <w:name w:val="标题 2 Char"/>
    <w:basedOn w:val="11"/>
    <w:link w:val="3"/>
    <w:qFormat/>
    <w:uiPriority w:val="9"/>
    <w:rPr>
      <w:rFonts w:asciiTheme="majorHAnsi" w:hAnsiTheme="majorHAnsi" w:eastAsiaTheme="majorEastAsia" w:cstheme="majorBidi"/>
      <w:b/>
      <w:bCs/>
      <w:sz w:val="32"/>
      <w:szCs w:val="32"/>
    </w:rPr>
  </w:style>
  <w:style w:type="character" w:customStyle="1" w:styleId="18">
    <w:name w:val="标题 3 Char"/>
    <w:basedOn w:val="11"/>
    <w:link w:val="4"/>
    <w:qFormat/>
    <w:uiPriority w:val="9"/>
    <w:rPr>
      <w:rFonts w:eastAsia="宋体"/>
      <w:b/>
      <w:bCs/>
      <w:sz w:val="32"/>
      <w:szCs w:val="32"/>
    </w:rPr>
  </w:style>
  <w:style w:type="character" w:customStyle="1" w:styleId="19">
    <w:name w:val="未处理的提及1"/>
    <w:basedOn w:val="11"/>
    <w:semiHidden/>
    <w:unhideWhenUsed/>
    <w:qFormat/>
    <w:uiPriority w:val="99"/>
    <w:rPr>
      <w:color w:val="605E5C"/>
      <w:shd w:val="clear" w:color="auto" w:fill="E1DFDD"/>
    </w:rPr>
  </w:style>
  <w:style w:type="character" w:customStyle="1" w:styleId="20">
    <w:name w:val="页眉 Char"/>
    <w:basedOn w:val="11"/>
    <w:link w:val="7"/>
    <w:qFormat/>
    <w:uiPriority w:val="99"/>
    <w:rPr>
      <w:rFonts w:eastAsia="宋体"/>
      <w:sz w:val="18"/>
      <w:szCs w:val="18"/>
    </w:rPr>
  </w:style>
  <w:style w:type="character" w:customStyle="1" w:styleId="21">
    <w:name w:val="页脚 Char"/>
    <w:basedOn w:val="11"/>
    <w:link w:val="6"/>
    <w:qFormat/>
    <w:uiPriority w:val="99"/>
    <w:rPr>
      <w:rFonts w:eastAsia="宋体"/>
      <w:sz w:val="18"/>
      <w:szCs w:val="18"/>
    </w:rPr>
  </w:style>
  <w:style w:type="character" w:customStyle="1" w:styleId="22">
    <w:name w:val="脚注文本 Char"/>
    <w:basedOn w:val="11"/>
    <w:link w:val="8"/>
    <w:semiHidden/>
    <w:qFormat/>
    <w:uiPriority w:val="99"/>
    <w:rPr>
      <w:rFonts w:eastAsia="宋体"/>
      <w:sz w:val="18"/>
      <w:szCs w:val="18"/>
    </w:rPr>
  </w:style>
  <w:style w:type="paragraph" w:customStyle="1" w:styleId="23">
    <w:name w:val="Default"/>
    <w:qFormat/>
    <w:uiPriority w:val="0"/>
    <w:pPr>
      <w:widowControl w:val="0"/>
      <w:autoSpaceDE w:val="0"/>
      <w:autoSpaceDN w:val="0"/>
      <w:adjustRightInd w:val="0"/>
    </w:pPr>
    <w:rPr>
      <w:rFonts w:ascii="楷体" w:hAnsi="楷体" w:cs="楷体" w:eastAsiaTheme="minorEastAsia"/>
      <w:color w:val="000000"/>
      <w:kern w:val="0"/>
      <w:sz w:val="24"/>
      <w:szCs w:val="24"/>
      <w:lang w:val="en-US" w:eastAsia="zh-CN" w:bidi="ar-SA"/>
    </w:rPr>
  </w:style>
  <w:style w:type="paragraph" w:customStyle="1" w:styleId="24">
    <w:name w:val="正文 A"/>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25">
    <w:name w:val="批注框文本 Char"/>
    <w:basedOn w:val="11"/>
    <w:link w:val="5"/>
    <w:semiHidden/>
    <w:qFormat/>
    <w:uiPriority w:val="99"/>
    <w:rPr>
      <w:rFonts w:eastAsia="宋体"/>
      <w:sz w:val="18"/>
      <w:szCs w:val="18"/>
    </w:rPr>
  </w:style>
  <w:style w:type="character" w:customStyle="1" w:styleId="26">
    <w:name w:val="斜体"/>
    <w:qFormat/>
    <w:uiPriority w:val="0"/>
    <w:rPr>
      <w:i/>
      <w:iCs/>
      <w:lang w:val="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emf"/><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90185-2E2F-468A-B186-983CD87A2162}">
  <ds:schemaRefs/>
</ds:datastoreItem>
</file>

<file path=docProps/app.xml><?xml version="1.0" encoding="utf-8"?>
<Properties xmlns="http://schemas.openxmlformats.org/officeDocument/2006/extended-properties" xmlns:vt="http://schemas.openxmlformats.org/officeDocument/2006/docPropsVTypes">
  <Template>Normal</Template>
  <Pages>10</Pages>
  <Words>2941</Words>
  <Characters>3648</Characters>
  <Lines>165</Lines>
  <Paragraphs>129</Paragraphs>
  <TotalTime>1</TotalTime>
  <ScaleCrop>false</ScaleCrop>
  <LinksUpToDate>false</LinksUpToDate>
  <CharactersWithSpaces>6460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2020-10-02T02:02:00Z</dcterms:created>
  <dc:creator>祁天娇</dc:creator>
  <cp:lastModifiedBy>高思</cp:lastModifiedBy>
  <dcterms:modified xsi:type="dcterms:W3CDTF">2023-11-21T09:54:39Z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4B33A074086F498D82EA7E93A56A2878_13</vt:lpwstr>
  </property>
</Properties>
</file>