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both"/>
        <w:rPr>
          <w:rFonts w:hint="eastAsia" w:asciiTheme="majorEastAsia" w:hAnsiTheme="majorEastAsia" w:eastAsiaTheme="majorEastAsia" w:cstheme="majorEastAsia"/>
          <w:i w:val="0"/>
          <w:iCs w:val="0"/>
          <w:caps w:val="0"/>
          <w:color w:val="212529"/>
          <w:spacing w:val="0"/>
          <w:shd w:val="clear" w:fill="FFFFFF"/>
          <w:lang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default" w:asciiTheme="majorEastAsia" w:hAnsiTheme="majorEastAsia" w:eastAsiaTheme="majorEastAsia" w:cstheme="majorEastAsia"/>
          <w:lang w:val="en-US"/>
        </w:rPr>
      </w:pPr>
      <w:r>
        <w:rPr>
          <w:rFonts w:hint="eastAsia" w:asciiTheme="majorEastAsia" w:hAnsiTheme="majorEastAsia" w:eastAsiaTheme="majorEastAsia" w:cstheme="majorEastAsia"/>
          <w:i w:val="0"/>
          <w:iCs w:val="0"/>
          <w:caps w:val="0"/>
          <w:color w:val="212529"/>
          <w:spacing w:val="0"/>
          <w:shd w:val="clear" w:fill="FFFFFF"/>
          <w:lang w:val="en-US" w:eastAsia="zh-CN"/>
        </w:rPr>
        <w:t>LoRaWAN Gateway Product Specification Document</w:t>
      </w:r>
      <w:bookmarkStart w:id="0" w:name="_GoBack"/>
      <w:bookmarkEnd w:id="0"/>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400" w:beforeAutospacing="0" w:after="157" w:afterLines="50" w:afterAutospacing="0" w:line="480" w:lineRule="atLeast"/>
        <w:ind w:left="0" w:right="0" w:firstLine="0"/>
        <w:jc w:val="left"/>
        <w:textAlignment w:val="auto"/>
        <w:rPr>
          <w:rFonts w:hint="eastAsia" w:ascii="仿宋" w:hAnsi="仿宋" w:eastAsia="仿宋" w:cs="仿宋"/>
          <w:b w:val="0"/>
          <w:bCs w:val="0"/>
          <w:sz w:val="24"/>
          <w:szCs w:val="24"/>
          <w:lang w:val="en-US" w:eastAsia="zh-CN"/>
        </w:rPr>
      </w:pPr>
      <w:r>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t xml:space="preserve"> Product Introduction</w:t>
      </w:r>
    </w:p>
    <w:p>
      <w:pPr>
        <w:numPr>
          <w:ilvl w:val="0"/>
          <w:numId w:val="0"/>
        </w:numPr>
        <w:tabs>
          <w:tab w:val="left" w:pos="1020"/>
        </w:tabs>
        <w:spacing w:line="360" w:lineRule="auto"/>
        <w:ind w:firstLine="480" w:firstLineChars="200"/>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The LoRaWAN gateway is an outdoor LoRaWAN communication gateway, serving as a standard IoT relay device. It acts as an information converter in the LoRaWAN communication system, responsible for connecting the network server and end devices, enabling protocol conversion and forwarding of message communication between end devices and servers. It supports the LoRaWAN communication protocol, implements LoRa physical layer functions, operates in the CN 470-510MHz frequency band, supports simultaneous reception on 8 wireless channels, utilizes frequency hopping anti-interference technology within the frequency band, can connect to a large number of LoRa nodes, supports 4G and Ethernet uplink communication networks to servers, enables Wi-Fi for nearby wireless configuration management, supports high-precision clock synchronization, can be powered by mains electricity, pole-mounted, or wall-mounted, offers an IP67 protection level, meets wide temperature ranges from -40°C to 70°C, and is an outdoor industrial-grade device resistant to harsh environments.</w:t>
      </w:r>
    </w:p>
    <w:p>
      <w:pPr>
        <w:spacing w:line="360" w:lineRule="auto"/>
        <w:ind w:firstLine="420" w:firstLineChars="200"/>
        <w:jc w:val="center"/>
      </w:pPr>
    </w:p>
    <w:p>
      <w:pPr>
        <w:spacing w:line="360" w:lineRule="auto"/>
        <w:ind w:firstLine="420" w:firstLineChars="200"/>
        <w:jc w:val="center"/>
      </w:pPr>
    </w:p>
    <w:p>
      <w:pPr>
        <w:spacing w:line="360" w:lineRule="auto"/>
        <w:jc w:val="left"/>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r>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t>Product Topology</w:t>
      </w:r>
    </w:p>
    <w:p>
      <w:pPr>
        <w:spacing w:line="360" w:lineRule="auto"/>
        <w:jc w:val="left"/>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0" w:afterAutospacing="0" w:line="360" w:lineRule="auto"/>
        <w:ind w:left="420" w:leftChars="200" w:right="0" w:firstLine="0"/>
        <w:jc w:val="left"/>
        <w:textAlignment w:val="auto"/>
        <w:rPr>
          <w:rFonts w:hint="default" w:ascii="Arial" w:hAnsi="Arial" w:eastAsia="宋体" w:cs="Arial"/>
          <w:b/>
          <w:bCs/>
          <w:i w:val="0"/>
          <w:iCs w:val="0"/>
          <w:caps w:val="0"/>
          <w:color w:val="212529"/>
          <w:spacing w:val="0"/>
          <w:kern w:val="0"/>
          <w:sz w:val="24"/>
          <w:szCs w:val="24"/>
          <w:shd w:val="clear" w:fill="FFFFFF"/>
          <w:lang w:val="en-US" w:eastAsia="zh-CN" w:bidi="ar"/>
        </w:rPr>
      </w:pPr>
      <w:r>
        <w:drawing>
          <wp:inline distT="0" distB="0" distL="114300" distR="114300">
            <wp:extent cx="4918710" cy="2552065"/>
            <wp:effectExtent l="0" t="0" r="15240" b="63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6"/>
                    <a:stretch>
                      <a:fillRect/>
                    </a:stretch>
                  </pic:blipFill>
                  <pic:spPr>
                    <a:xfrm>
                      <a:off x="0" y="0"/>
                      <a:ext cx="4918710" cy="2552065"/>
                    </a:xfrm>
                    <a:prstGeom prst="rect">
                      <a:avLst/>
                    </a:prstGeom>
                    <a:noFill/>
                    <a:ln>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157" w:afterLines="50" w:afterAutospacing="0" w:line="480" w:lineRule="atLeast"/>
        <w:ind w:left="0" w:right="0" w:firstLine="0"/>
        <w:jc w:val="left"/>
        <w:textAlignment w:val="auto"/>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157" w:afterLines="50" w:afterAutospacing="0" w:line="480" w:lineRule="atLeast"/>
        <w:ind w:left="0" w:right="0" w:firstLine="0"/>
        <w:jc w:val="left"/>
        <w:textAlignment w:val="auto"/>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157" w:afterLines="50" w:afterAutospacing="0" w:line="480" w:lineRule="atLeast"/>
        <w:ind w:left="0" w:right="0" w:firstLine="0"/>
        <w:jc w:val="left"/>
        <w:textAlignment w:val="auto"/>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r>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t>Product Specifications</w:t>
      </w:r>
    </w:p>
    <w:p>
      <w:pPr>
        <w:pStyle w:val="5"/>
        <w:rPr>
          <w:rFonts w:hint="eastAsia"/>
          <w:lang w:val="en-US" w:eastAsia="zh-CN"/>
        </w:rPr>
      </w:pPr>
    </w:p>
    <w:tbl>
      <w:tblPr>
        <w:tblStyle w:val="10"/>
        <w:tblW w:w="859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07"/>
        <w:gridCol w:w="1454"/>
        <w:gridCol w:w="2279"/>
        <w:gridCol w:w="36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207" w:type="dxa"/>
            <w:tcBorders>
              <w:top w:val="single" w:color="000000" w:sz="4" w:space="0"/>
              <w:left w:val="single" w:color="000000" w:sz="4" w:space="0"/>
              <w:bottom w:val="single" w:color="000000" w:sz="4" w:space="0"/>
              <w:right w:val="single" w:color="000000" w:sz="4" w:space="0"/>
            </w:tcBorders>
            <w:shd w:val="clear" w:color="auto" w:fill="C8C8C8" w:themeFill="accent3" w:themeFillTint="99"/>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highlight w:val="none"/>
                <w:u w:val="none"/>
              </w:rPr>
            </w:pPr>
            <w:r>
              <w:rPr>
                <w:rFonts w:hint="eastAsia" w:ascii="仿宋" w:hAnsi="仿宋" w:eastAsia="仿宋" w:cs="仿宋"/>
                <w:b/>
                <w:bCs/>
                <w:i w:val="0"/>
                <w:iCs w:val="0"/>
                <w:color w:val="000000"/>
                <w:kern w:val="0"/>
                <w:sz w:val="22"/>
                <w:szCs w:val="22"/>
                <w:highlight w:val="none"/>
                <w:u w:val="none"/>
                <w:lang w:val="en-US" w:eastAsia="zh-CN" w:bidi="ar"/>
              </w:rPr>
              <w:t>product Name</w:t>
            </w:r>
          </w:p>
        </w:tc>
        <w:tc>
          <w:tcPr>
            <w:tcW w:w="1454" w:type="dxa"/>
            <w:tcBorders>
              <w:top w:val="single" w:color="000000" w:sz="4" w:space="0"/>
              <w:left w:val="single" w:color="000000" w:sz="4" w:space="0"/>
              <w:bottom w:val="single" w:color="000000" w:sz="4" w:space="0"/>
              <w:right w:val="single" w:color="000000" w:sz="4" w:space="0"/>
            </w:tcBorders>
            <w:shd w:val="clear" w:color="auto" w:fill="C8C8C8" w:themeFill="accent3" w:themeFillTint="99"/>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highlight w:val="none"/>
                <w:u w:val="none"/>
                <w:lang w:val="en-US" w:eastAsia="zh-CN"/>
              </w:rPr>
            </w:pPr>
            <w:r>
              <w:rPr>
                <w:rFonts w:hint="eastAsia" w:ascii="仿宋" w:hAnsi="仿宋" w:eastAsia="仿宋" w:cs="仿宋"/>
                <w:b/>
                <w:bCs/>
                <w:i w:val="0"/>
                <w:iCs w:val="0"/>
                <w:color w:val="000000"/>
                <w:sz w:val="22"/>
                <w:szCs w:val="22"/>
                <w:highlight w:val="none"/>
                <w:u w:val="none"/>
                <w:lang w:val="en-US" w:eastAsia="zh-CN"/>
              </w:rPr>
              <w:t>Smart Ear Tag</w:t>
            </w:r>
          </w:p>
        </w:tc>
        <w:tc>
          <w:tcPr>
            <w:tcW w:w="2279" w:type="dxa"/>
            <w:tcBorders>
              <w:top w:val="single" w:color="000000" w:sz="4" w:space="0"/>
              <w:left w:val="single" w:color="000000" w:sz="4" w:space="0"/>
              <w:bottom w:val="single" w:color="000000" w:sz="4" w:space="0"/>
              <w:right w:val="single" w:color="000000" w:sz="4" w:space="0"/>
            </w:tcBorders>
            <w:shd w:val="clear" w:color="auto" w:fill="C8C8C8" w:themeFill="accent3" w:themeFillTint="99"/>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highlight w:val="none"/>
                <w:u w:val="none"/>
              </w:rPr>
            </w:pPr>
            <w:r>
              <w:rPr>
                <w:rFonts w:hint="eastAsia" w:ascii="仿宋" w:hAnsi="仿宋" w:eastAsia="仿宋" w:cs="仿宋"/>
                <w:b/>
                <w:bCs/>
                <w:i w:val="0"/>
                <w:iCs w:val="0"/>
                <w:color w:val="000000"/>
                <w:kern w:val="0"/>
                <w:sz w:val="22"/>
                <w:szCs w:val="22"/>
                <w:highlight w:val="none"/>
                <w:u w:val="none"/>
                <w:lang w:val="en-US" w:eastAsia="zh-CN" w:bidi="ar"/>
              </w:rPr>
              <w:t>Product Model</w:t>
            </w:r>
          </w:p>
        </w:tc>
        <w:tc>
          <w:tcPr>
            <w:tcW w:w="3657" w:type="dxa"/>
            <w:tcBorders>
              <w:top w:val="single" w:color="000000" w:sz="4" w:space="0"/>
              <w:left w:val="single" w:color="000000" w:sz="4" w:space="0"/>
              <w:bottom w:val="single" w:color="000000" w:sz="4" w:space="0"/>
              <w:right w:val="single" w:color="000000" w:sz="4" w:space="0"/>
            </w:tcBorders>
            <w:shd w:val="clear" w:color="auto" w:fill="C8C8C8" w:themeFill="accent3" w:themeFillTint="99"/>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2"/>
                <w:szCs w:val="22"/>
                <w:highlight w:val="none"/>
                <w:u w:val="none"/>
                <w:lang w:val="en-US"/>
              </w:rPr>
            </w:pPr>
            <w:r>
              <w:rPr>
                <w:rFonts w:hint="eastAsia" w:ascii="仿宋" w:hAnsi="仿宋" w:eastAsia="仿宋" w:cs="仿宋"/>
                <w:b/>
                <w:bCs/>
                <w:i w:val="0"/>
                <w:iCs w:val="0"/>
                <w:caps w:val="0"/>
                <w:color w:val="212529"/>
                <w:spacing w:val="0"/>
                <w:shd w:val="clear" w:fill="FFFFFF"/>
                <w:lang w:val="en-US" w:eastAsia="zh-CN"/>
              </w:rPr>
              <w:t>ZNWG-S-L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859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仿宋" w:hAnsi="仿宋" w:eastAsia="仿宋" w:cs="仿宋"/>
                <w:b/>
                <w:bCs/>
                <w:i w:val="0"/>
                <w:iCs w:val="0"/>
                <w:color w:val="000000"/>
                <w:kern w:val="0"/>
                <w:sz w:val="22"/>
                <w:szCs w:val="22"/>
                <w:highlight w:val="none"/>
                <w:u w:val="none"/>
                <w:lang w:val="en-US" w:eastAsia="zh-CN" w:bidi="ar"/>
              </w:rPr>
              <w:t>Product Appearance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4" w:hRule="atLeast"/>
        </w:trPr>
        <w:tc>
          <w:tcPr>
            <w:tcW w:w="859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drawing>
                <wp:inline distT="0" distB="0" distL="114300" distR="114300">
                  <wp:extent cx="1431290" cy="1312545"/>
                  <wp:effectExtent l="0" t="0" r="16510" b="1905"/>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7"/>
                          <a:srcRect l="6555" r="5753" b="8905"/>
                          <a:stretch>
                            <a:fillRect/>
                          </a:stretch>
                        </pic:blipFill>
                        <pic:spPr>
                          <a:xfrm>
                            <a:off x="0" y="0"/>
                            <a:ext cx="1431290" cy="131254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1207" w:type="dxa"/>
            <w:tcBorders>
              <w:top w:val="single" w:color="000000" w:sz="4" w:space="0"/>
              <w:left w:val="single" w:color="000000" w:sz="4" w:space="0"/>
              <w:bottom w:val="single" w:color="000000" w:sz="4" w:space="0"/>
              <w:right w:val="single" w:color="000000" w:sz="4" w:space="0"/>
            </w:tcBorders>
            <w:shd w:val="clear" w:color="auto" w:fill="C8C8C8" w:themeFill="accent3" w:themeFillTint="99"/>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2"/>
                <w:szCs w:val="22"/>
                <w:u w:val="none"/>
                <w:lang w:val="en-US"/>
              </w:rPr>
            </w:pPr>
            <w:r>
              <w:rPr>
                <w:rFonts w:hint="eastAsia" w:ascii="仿宋" w:hAnsi="仿宋" w:eastAsia="仿宋" w:cs="仿宋"/>
                <w:b/>
                <w:bCs/>
                <w:i w:val="0"/>
                <w:iCs w:val="0"/>
                <w:color w:val="000000"/>
                <w:kern w:val="0"/>
                <w:sz w:val="22"/>
                <w:szCs w:val="22"/>
                <w:u w:val="none"/>
                <w:lang w:val="en-US" w:eastAsia="zh-CN" w:bidi="ar"/>
              </w:rPr>
              <w:t>No.</w:t>
            </w:r>
          </w:p>
        </w:tc>
        <w:tc>
          <w:tcPr>
            <w:tcW w:w="1454" w:type="dxa"/>
            <w:tcBorders>
              <w:top w:val="single" w:color="000000" w:sz="4" w:space="0"/>
              <w:left w:val="single" w:color="000000" w:sz="4" w:space="0"/>
              <w:bottom w:val="single" w:color="000000" w:sz="4" w:space="0"/>
              <w:right w:val="single" w:color="000000" w:sz="4" w:space="0"/>
            </w:tcBorders>
            <w:shd w:val="clear" w:color="auto" w:fill="C8C8C8" w:themeFill="accent3" w:themeFillTint="99"/>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Category</w:t>
            </w:r>
          </w:p>
        </w:tc>
        <w:tc>
          <w:tcPr>
            <w:tcW w:w="2279" w:type="dxa"/>
            <w:tcBorders>
              <w:top w:val="single" w:color="000000" w:sz="4" w:space="0"/>
              <w:left w:val="single" w:color="000000" w:sz="4" w:space="0"/>
              <w:bottom w:val="single" w:color="000000" w:sz="4" w:space="0"/>
              <w:right w:val="single" w:color="000000" w:sz="4" w:space="0"/>
            </w:tcBorders>
            <w:shd w:val="clear" w:color="auto" w:fill="C8C8C8" w:themeFill="accent3" w:themeFillTint="99"/>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Item</w:t>
            </w:r>
          </w:p>
        </w:tc>
        <w:tc>
          <w:tcPr>
            <w:tcW w:w="3657" w:type="dxa"/>
            <w:tcBorders>
              <w:top w:val="single" w:color="000000" w:sz="4" w:space="0"/>
              <w:left w:val="single" w:color="000000" w:sz="4" w:space="0"/>
              <w:bottom w:val="single" w:color="000000" w:sz="4" w:space="0"/>
              <w:right w:val="single" w:color="000000" w:sz="4" w:space="0"/>
            </w:tcBorders>
            <w:shd w:val="clear" w:color="auto" w:fill="C8C8C8" w:themeFill="accent3" w:themeFillTint="99"/>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Product Parameter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1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1</w:t>
            </w:r>
          </w:p>
        </w:tc>
        <w:tc>
          <w:tcPr>
            <w:tcW w:w="145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Basic Parameters</w:t>
            </w:r>
          </w:p>
        </w:tc>
        <w:tc>
          <w:tcPr>
            <w:tcW w:w="2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Communication Method</w:t>
            </w:r>
          </w:p>
        </w:tc>
        <w:tc>
          <w:tcPr>
            <w:tcW w:w="3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Lorawan to 4G/Ethernet/WiFi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1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2</w:t>
            </w: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2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Operating Frequency Band</w:t>
            </w:r>
          </w:p>
        </w:tc>
        <w:tc>
          <w:tcPr>
            <w:tcW w:w="3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CN 470-510MHz</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6" w:hRule="atLeast"/>
        </w:trPr>
        <w:tc>
          <w:tcPr>
            <w:tcW w:w="1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3</w:t>
            </w: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2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0"/>
                <w:szCs w:val="20"/>
                <w:u w:val="none"/>
                <w:lang w:val="en-US" w:eastAsia="zh-CN" w:bidi="ar"/>
              </w:rPr>
            </w:pPr>
            <w:r>
              <w:rPr>
                <w:rFonts w:hint="default" w:ascii="仿宋" w:hAnsi="仿宋" w:eastAsia="仿宋" w:cs="仿宋"/>
                <w:i w:val="0"/>
                <w:iCs w:val="0"/>
                <w:color w:val="000000"/>
                <w:kern w:val="0"/>
                <w:sz w:val="20"/>
                <w:szCs w:val="20"/>
                <w:u w:val="none"/>
                <w:lang w:val="en-US" w:eastAsia="zh-CN" w:bidi="ar"/>
              </w:rPr>
              <w:t>Coverage Range</w:t>
            </w:r>
          </w:p>
        </w:tc>
        <w:tc>
          <w:tcPr>
            <w:tcW w:w="3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Up to 5KM stable at 3KM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1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4</w:t>
            </w: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2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Operating Temperature</w:t>
            </w:r>
          </w:p>
        </w:tc>
        <w:tc>
          <w:tcPr>
            <w:tcW w:w="3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－40℃～70℃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1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5</w:t>
            </w: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2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Relative Humidity</w:t>
            </w:r>
          </w:p>
        </w:tc>
        <w:tc>
          <w:tcPr>
            <w:tcW w:w="3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1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6</w:t>
            </w: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2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Power Supply</w:t>
            </w:r>
          </w:p>
        </w:tc>
        <w:tc>
          <w:tcPr>
            <w:tcW w:w="3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AC 220V ±20%/Solar powered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1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7</w:t>
            </w: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2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Power Consumption</w:t>
            </w:r>
          </w:p>
        </w:tc>
        <w:tc>
          <w:tcPr>
            <w:tcW w:w="3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≤5W</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1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8</w:t>
            </w: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2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Dimensions</w:t>
            </w:r>
          </w:p>
        </w:tc>
        <w:tc>
          <w:tcPr>
            <w:tcW w:w="3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260mm×220mm×100mm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6" w:hRule="atLeast"/>
        </w:trPr>
        <w:tc>
          <w:tcPr>
            <w:tcW w:w="1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9</w:t>
            </w: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2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 xml:space="preserve">Protection Level </w:t>
            </w:r>
          </w:p>
        </w:tc>
        <w:tc>
          <w:tcPr>
            <w:tcW w:w="3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IP65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1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黑体" w:hAnsi="宋体" w:eastAsia="黑体" w:cs="黑体"/>
                <w:i w:val="0"/>
                <w:iCs w:val="0"/>
                <w:color w:val="000000"/>
                <w:sz w:val="22"/>
                <w:szCs w:val="22"/>
                <w:u w:val="none"/>
                <w:lang w:val="en-US"/>
              </w:rPr>
            </w:pPr>
            <w:r>
              <w:rPr>
                <w:rFonts w:hint="eastAsia" w:ascii="黑体" w:hAnsi="宋体" w:eastAsia="黑体" w:cs="黑体"/>
                <w:i w:val="0"/>
                <w:iCs w:val="0"/>
                <w:color w:val="000000"/>
                <w:kern w:val="0"/>
                <w:sz w:val="22"/>
                <w:szCs w:val="22"/>
                <w:u w:val="none"/>
                <w:lang w:val="en-US" w:eastAsia="zh-CN" w:bidi="ar"/>
              </w:rPr>
              <w:t>10</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Product Function</w:t>
            </w:r>
          </w:p>
        </w:tc>
        <w:tc>
          <w:tcPr>
            <w:tcW w:w="5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Data relay for lorawan ear tag and collar</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0" w:afterAutospacing="0" w:line="480" w:lineRule="atLeast"/>
        <w:ind w:left="0" w:right="0" w:firstLine="0"/>
        <w:jc w:val="left"/>
        <w:rPr>
          <w:rFonts w:hint="default" w:ascii="Arial" w:hAnsi="Arial" w:eastAsia="宋体" w:cs="Arial"/>
          <w:i w:val="0"/>
          <w:iCs w:val="0"/>
          <w:caps w:val="0"/>
          <w:color w:val="212529"/>
          <w:spacing w:val="0"/>
          <w:kern w:val="0"/>
          <w:sz w:val="24"/>
          <w:szCs w:val="24"/>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60" w:beforeAutospacing="0" w:after="157" w:afterLines="50" w:afterAutospacing="0" w:line="480" w:lineRule="atLeast"/>
        <w:ind w:left="0" w:right="0" w:firstLine="0"/>
        <w:jc w:val="left"/>
        <w:textAlignment w:val="auto"/>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r>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t>Function Features</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hanging="420"/>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Realize message communication protocol conversion and forwarding between terminal devices and servers;</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hanging="420"/>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Downlink LoRa message sending data and methods are specified by the server;</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hanging="420"/>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Using LoRa modulation technology, following LoRaWAN wireless transmission protocol;</w:t>
      </w:r>
    </w:p>
    <w:p>
      <w:pPr>
        <w:pStyle w:val="13"/>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hanging="420" w:firstLineChars="0"/>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Up to 8 wireless uplink channels, 1 downlink channel, full-duplex communication;</w:t>
      </w:r>
    </w:p>
    <w:p>
      <w:pPr>
        <w:pStyle w:val="13"/>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hanging="420" w:firstLineChars="0"/>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Has functions for power-on and power-off detection reporting;</w:t>
      </w:r>
    </w:p>
    <w:p>
      <w:pPr>
        <w:pStyle w:val="13"/>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hanging="420" w:firstLineChars="0"/>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Has local debugging and maintenance functions such as WiFi;</w:t>
      </w:r>
    </w:p>
    <w:p>
      <w:pPr>
        <w:pStyle w:val="13"/>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hanging="420" w:firstLineChars="0"/>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Has debugging and maintenance functions such as remote server firmware upgrades;</w:t>
      </w:r>
    </w:p>
    <w:p>
      <w:pPr>
        <w:pStyle w:val="13"/>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hanging="420" w:firstLineChars="0"/>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Has status indicators for power, working status, communication status, and other states.</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60" w:beforeAutospacing="0" w:after="157" w:afterLines="50" w:afterAutospacing="0" w:line="480" w:lineRule="atLeast"/>
        <w:ind w:left="0" w:right="0" w:firstLine="0"/>
        <w:jc w:val="left"/>
        <w:textAlignment w:val="auto"/>
        <w:rPr>
          <w:rFonts w:hint="default"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r>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t>Service 0verview and Architecture</w:t>
      </w:r>
    </w:p>
    <w:p>
      <w:pPr>
        <w:numPr>
          <w:ilvl w:val="0"/>
          <w:numId w:val="0"/>
        </w:numPr>
        <w:tabs>
          <w:tab w:val="left" w:pos="1020"/>
        </w:tabs>
        <w:spacing w:line="360" w:lineRule="auto"/>
        <w:ind w:firstLine="480" w:firstLineChars="200"/>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The core of managing IoT services for intelligent terminals lies in the intelligent centralized network management platform used for centralized remote device management. Based on the Browser/Server (B/S) architecture, users can remotely monitor, configure, and manage devices through a web browser, making it user-friendly and significantly reducing device management costs.</w:t>
      </w:r>
    </w:p>
    <w:p>
      <w:pPr>
        <w:keepNext w:val="0"/>
        <w:keepLines w:val="0"/>
        <w:pageBreakBefore w:val="0"/>
        <w:widowControl w:val="0"/>
        <w:numPr>
          <w:ilvl w:val="0"/>
          <w:numId w:val="0"/>
        </w:numPr>
        <w:tabs>
          <w:tab w:val="left" w:pos="1020"/>
        </w:tabs>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The core of managing IoT services for intelligent terminals includes:</w:t>
      </w:r>
    </w:p>
    <w:p>
      <w:pPr>
        <w:keepNext w:val="0"/>
        <w:keepLines w:val="0"/>
        <w:pageBreakBefore w:val="0"/>
        <w:widowControl w:val="0"/>
        <w:numPr>
          <w:ilvl w:val="0"/>
          <w:numId w:val="0"/>
        </w:numPr>
        <w:tabs>
          <w:tab w:val="left" w:pos="1020"/>
        </w:tabs>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Hardware Devices: Intelligent terminals, LoRaWAN gateways.</w:t>
      </w:r>
    </w:p>
    <w:p>
      <w:pPr>
        <w:keepNext w:val="0"/>
        <w:keepLines w:val="0"/>
        <w:pageBreakBefore w:val="0"/>
        <w:widowControl w:val="0"/>
        <w:numPr>
          <w:ilvl w:val="0"/>
          <w:numId w:val="0"/>
        </w:numPr>
        <w:tabs>
          <w:tab w:val="left" w:pos="1020"/>
        </w:tabs>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System Software: Management system web interface, APP, etc.</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0" w:afterAutospacing="0" w:line="480" w:lineRule="atLeast"/>
        <w:ind w:left="0" w:right="0" w:firstLine="0"/>
        <w:jc w:val="left"/>
        <w:rPr>
          <w:rFonts w:hint="eastAsia" w:ascii="Arial" w:hAnsi="Arial" w:eastAsia="宋体" w:cs="Arial"/>
          <w:i w:val="0"/>
          <w:iCs w:val="0"/>
          <w:caps w:val="0"/>
          <w:color w:val="212529"/>
          <w:spacing w:val="0"/>
          <w:kern w:val="0"/>
          <w:sz w:val="24"/>
          <w:szCs w:val="24"/>
          <w:shd w:val="clear" w:fill="FFFFFF"/>
          <w:lang w:val="en-US" w:eastAsia="zh-CN" w:bidi="ar"/>
        </w:rPr>
      </w:pPr>
      <w:r>
        <w:rPr>
          <w:rFonts w:hint="eastAsia" w:ascii="Arial" w:hAnsi="Arial" w:eastAsia="宋体" w:cs="Arial"/>
          <w:i w:val="0"/>
          <w:iCs w:val="0"/>
          <w:caps w:val="0"/>
          <w:color w:val="212529"/>
          <w:spacing w:val="0"/>
          <w:kern w:val="0"/>
          <w:sz w:val="24"/>
          <w:szCs w:val="24"/>
          <w:shd w:val="clear" w:fill="FFFFFF"/>
          <w:lang w:val="en-US" w:eastAsia="zh-CN" w:bidi="ar"/>
        </w:rPr>
        <w:drawing>
          <wp:inline distT="0" distB="0" distL="114300" distR="114300">
            <wp:extent cx="5730240" cy="2540635"/>
            <wp:effectExtent l="0" t="0" r="3810" b="12065"/>
            <wp:docPr id="3" name="图片 3" descr="501d111d8149790675037530ab048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01d111d8149790675037530ab048ce"/>
                    <pic:cNvPicPr>
                      <a:picLocks noChangeAspect="1"/>
                    </pic:cNvPicPr>
                  </pic:nvPicPr>
                  <pic:blipFill>
                    <a:blip r:embed="rId8"/>
                    <a:stretch>
                      <a:fillRect/>
                    </a:stretch>
                  </pic:blipFill>
                  <pic:spPr>
                    <a:xfrm>
                      <a:off x="0" y="0"/>
                      <a:ext cx="5730240" cy="2540635"/>
                    </a:xfrm>
                    <a:prstGeom prst="rect">
                      <a:avLst/>
                    </a:prstGeom>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60" w:beforeAutospacing="0" w:after="157" w:afterLines="50" w:afterAutospacing="0" w:line="480" w:lineRule="atLeast"/>
        <w:ind w:left="0" w:right="0" w:firstLine="0"/>
        <w:jc w:val="left"/>
        <w:textAlignment w:val="auto"/>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r>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t>Data Integration</w:t>
      </w:r>
    </w:p>
    <w:p>
      <w:pPr>
        <w:numPr>
          <w:ilvl w:val="0"/>
          <w:numId w:val="0"/>
        </w:numPr>
        <w:tabs>
          <w:tab w:val="left" w:pos="1020"/>
        </w:tabs>
        <w:spacing w:line="360" w:lineRule="auto"/>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We provide three data integration methods to meet the integration needs of different customers.</w:t>
      </w:r>
    </w:p>
    <w:p>
      <w:pPr>
        <w:numPr>
          <w:ilvl w:val="0"/>
          <w:numId w:val="0"/>
        </w:numPr>
        <w:tabs>
          <w:tab w:val="left" w:pos="1020"/>
        </w:tabs>
        <w:spacing w:line="360" w:lineRule="auto"/>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Method 1: Subscribe to MQTT.</w:t>
      </w:r>
    </w:p>
    <w:p>
      <w:pPr>
        <w:numPr>
          <w:ilvl w:val="0"/>
          <w:numId w:val="0"/>
        </w:numPr>
        <w:tabs>
          <w:tab w:val="left" w:pos="1020"/>
        </w:tabs>
        <w:spacing w:line="360" w:lineRule="auto"/>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Method 2: WEBHOOK.</w:t>
      </w:r>
    </w:p>
    <w:p>
      <w:pPr>
        <w:numPr>
          <w:ilvl w:val="0"/>
          <w:numId w:val="0"/>
        </w:numPr>
        <w:tabs>
          <w:tab w:val="left" w:pos="1020"/>
        </w:tabs>
        <w:spacing w:line="360" w:lineRule="auto"/>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Method 3: Integration via platform interfaces.</w:t>
      </w:r>
    </w:p>
    <w:p>
      <w:pPr>
        <w:numPr>
          <w:ilvl w:val="0"/>
          <w:numId w:val="0"/>
        </w:numPr>
        <w:tabs>
          <w:tab w:val="left" w:pos="1020"/>
        </w:tabs>
        <w:spacing w:line="360" w:lineRule="auto"/>
        <w:jc w:val="left"/>
        <w:rPr>
          <w:b/>
          <w:bCs/>
          <w:sz w:val="27"/>
          <w:szCs w:val="27"/>
        </w:rPr>
      </w:pPr>
      <w:r>
        <w:rPr>
          <w:rFonts w:hint="eastAsia" w:ascii="仿宋" w:hAnsi="仿宋" w:eastAsia="仿宋" w:cs="仿宋"/>
          <w:b/>
          <w:bCs/>
          <w:sz w:val="24"/>
          <w:szCs w:val="24"/>
          <w:lang w:val="en-US" w:eastAsia="zh-CN"/>
        </w:rPr>
        <w:t>For detailed integration methods, please refer to the "Intelligent Terminal Integration Document".</w: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DD52238-6219-461B-8252-4F8A7873C2FE}"/>
  </w:font>
  <w:font w:name="黑体">
    <w:panose1 w:val="02010609060101010101"/>
    <w:charset w:val="86"/>
    <w:family w:val="auto"/>
    <w:pitch w:val="default"/>
    <w:sig w:usb0="800002BF" w:usb1="38CF7CFA" w:usb2="00000016" w:usb3="00000000" w:csb0="00040001" w:csb1="00000000"/>
    <w:embedRegular r:id="rId2" w:fontKey="{4C30E6F9-7719-449C-B8E0-3C683C9EF4E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3" w:fontKey="{855F3098-3D41-45F7-B2E5-16BA416AE93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w:pict>
        <v:shape id="_x0000_s4097" o:spid="_x0000_s4097"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 / 4</w:t>
                </w:r>
                <w:r>
                  <w:fldChar w:fldCharType="end"/>
                </w:r>
                <w:r>
                  <w:fldChar w:fldCharType="begin"/>
                </w:r>
                <w:r>
                  <w:instrText xml:space="preserve"> NUMPAGES  \* MERGEFORMAT </w:instrText>
                </w:r>
                <w:r>
                  <w:fldChar w:fldCharType="separate"/>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61"/>
        <w:tab w:val="right" w:pos="8426"/>
      </w:tabs>
      <w:jc w:val="left"/>
      <w:rPr>
        <w:rFonts w:hint="eastAsia" w:eastAsiaTheme="minorEastAsia"/>
        <w:lang w:eastAsia="zh-CN"/>
      </w:rPr>
    </w:pPr>
    <w:r>
      <w:rPr>
        <w:rFonts w:hint="eastAsia"/>
        <w:lang w:eastAsia="zh-CN"/>
      </w:rPr>
      <w:tab/>
    </w:r>
    <w:r>
      <w:rPr>
        <w:rFonts w:hint="eastAsia"/>
        <w:lang w:eastAsia="zh-CN"/>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9F6931"/>
    <w:multiLevelType w:val="multilevel"/>
    <w:tmpl w:val="599F693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c1OWFhNjBmMzg4Mjk1NTgxZjIxZmJhNThjODJjZDUifQ=="/>
  </w:docVars>
  <w:rsids>
    <w:rsidRoot w:val="00000000"/>
    <w:rsid w:val="04172027"/>
    <w:rsid w:val="07E529CC"/>
    <w:rsid w:val="1041184B"/>
    <w:rsid w:val="134D6018"/>
    <w:rsid w:val="147C10A3"/>
    <w:rsid w:val="15013364"/>
    <w:rsid w:val="176302F9"/>
    <w:rsid w:val="1D772E64"/>
    <w:rsid w:val="1E14059F"/>
    <w:rsid w:val="20190051"/>
    <w:rsid w:val="214B7BE2"/>
    <w:rsid w:val="24080F3F"/>
    <w:rsid w:val="244D65B8"/>
    <w:rsid w:val="24E27D8A"/>
    <w:rsid w:val="24EA0231"/>
    <w:rsid w:val="258424AE"/>
    <w:rsid w:val="25CE0F26"/>
    <w:rsid w:val="26381E7C"/>
    <w:rsid w:val="27E45486"/>
    <w:rsid w:val="28630B7F"/>
    <w:rsid w:val="29746395"/>
    <w:rsid w:val="2B1C7287"/>
    <w:rsid w:val="2B7D7783"/>
    <w:rsid w:val="2BAA26FD"/>
    <w:rsid w:val="2C3D154D"/>
    <w:rsid w:val="2D8D7366"/>
    <w:rsid w:val="2FB2471F"/>
    <w:rsid w:val="2FD97127"/>
    <w:rsid w:val="30F7354D"/>
    <w:rsid w:val="35764484"/>
    <w:rsid w:val="36A212CD"/>
    <w:rsid w:val="37AB3644"/>
    <w:rsid w:val="38C70D81"/>
    <w:rsid w:val="38CE4D1F"/>
    <w:rsid w:val="3BD05B8B"/>
    <w:rsid w:val="3BE8423E"/>
    <w:rsid w:val="3F0C48C0"/>
    <w:rsid w:val="40D479EE"/>
    <w:rsid w:val="45D14C98"/>
    <w:rsid w:val="45FE72BB"/>
    <w:rsid w:val="460D0F18"/>
    <w:rsid w:val="471536AB"/>
    <w:rsid w:val="48A464AC"/>
    <w:rsid w:val="4B5C0D0B"/>
    <w:rsid w:val="4B971990"/>
    <w:rsid w:val="4C4518BA"/>
    <w:rsid w:val="4C6A7458"/>
    <w:rsid w:val="4F377912"/>
    <w:rsid w:val="4F7F0768"/>
    <w:rsid w:val="51FD35E2"/>
    <w:rsid w:val="54165B70"/>
    <w:rsid w:val="54ED50CA"/>
    <w:rsid w:val="5503044A"/>
    <w:rsid w:val="5A011A11"/>
    <w:rsid w:val="5BA84DD1"/>
    <w:rsid w:val="5D980609"/>
    <w:rsid w:val="62BE291A"/>
    <w:rsid w:val="630C2BBF"/>
    <w:rsid w:val="643E4FD2"/>
    <w:rsid w:val="656D6462"/>
    <w:rsid w:val="66084459"/>
    <w:rsid w:val="69656232"/>
    <w:rsid w:val="709E265B"/>
    <w:rsid w:val="732D2E0A"/>
    <w:rsid w:val="73E94D89"/>
    <w:rsid w:val="74764F3C"/>
    <w:rsid w:val="762878B8"/>
    <w:rsid w:val="77BC650A"/>
    <w:rsid w:val="77C47D28"/>
    <w:rsid w:val="79921C19"/>
    <w:rsid w:val="7DCD67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5">
    <w:name w:val="Body Text"/>
    <w:basedOn w:val="1"/>
    <w:next w:val="6"/>
    <w:autoRedefine/>
    <w:qFormat/>
    <w:uiPriority w:val="1"/>
    <w:rPr>
      <w:sz w:val="21"/>
      <w:szCs w:val="21"/>
    </w:rPr>
  </w:style>
  <w:style w:type="paragraph" w:styleId="6">
    <w:name w:val="Body Text 2"/>
    <w:basedOn w:val="1"/>
    <w:autoRedefine/>
    <w:qFormat/>
    <w:uiPriority w:val="0"/>
    <w:pPr>
      <w:spacing w:after="120" w:afterLines="0" w:line="480" w:lineRule="auto"/>
      <w:ind w:firstLine="0" w:firstLineChars="0"/>
    </w:pPr>
    <w:rPr>
      <w:szCs w:val="24"/>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12">
    <w:name w:val="Strong"/>
    <w:basedOn w:val="11"/>
    <w:autoRedefine/>
    <w:qFormat/>
    <w:uiPriority w:val="0"/>
    <w:rPr>
      <w:b/>
    </w:rPr>
  </w:style>
  <w:style w:type="paragraph" w:styleId="13">
    <w:name w:val="List Paragraph"/>
    <w:basedOn w:val="1"/>
    <w:autoRedefine/>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454</Words>
  <Characters>2786</Characters>
  <Lines>0</Lines>
  <Paragraphs>0</Paragraphs>
  <TotalTime>7</TotalTime>
  <ScaleCrop>false</ScaleCrop>
  <LinksUpToDate>false</LinksUpToDate>
  <CharactersWithSpaces>3158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2023-05-18T09:46:00Z</dcterms:created>
  <dc:creator>Administrator</dc:creator>
  <cp:lastModifiedBy>动脉智能</cp:lastModifiedBy>
  <dcterms:modified xsi:type="dcterms:W3CDTF">2024-06-13T07:25:43Z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0C08187BCEE24F00AA9DA4FB2D398221_13</vt:lpwstr>
  </property>
</Properties>
</file>