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E799B7">
      <w:pPr>
        <w:widowControl/>
        <w:jc w:val="center"/>
        <w:rPr>
          <w:rFonts w:ascii="宋体" w:hAnsi="宋体" w:eastAsia="宋体" w:cs="宋体"/>
          <w:b/>
          <w:bCs/>
          <w:kern w:val="0"/>
          <w:sz w:val="44"/>
          <w:szCs w:val="44"/>
        </w:rPr>
      </w:pPr>
      <w:bookmarkStart w:id="0" w:name="_GoBack"/>
      <w:bookmarkEnd w:id="0"/>
      <w:r>
        <w:rPr>
          <w:rFonts w:hint="eastAsia" w:ascii="宋体" w:hAnsi="宋体" w:eastAsia="宋体" w:cs="宋体"/>
          <w:b/>
          <w:bCs/>
          <w:sz w:val="44"/>
          <w:szCs w:val="44"/>
          <w:lang w:bidi="ar"/>
        </w:rPr>
        <w:t>桃花潭景区创作素材参考资料</w:t>
      </w:r>
    </w:p>
    <w:p w14:paraId="357A45EC">
      <w:pPr>
        <w:spacing w:line="560" w:lineRule="exact"/>
        <w:ind w:firstLine="640" w:firstLineChars="200"/>
        <w:rPr>
          <w:rFonts w:ascii="黑体" w:hAnsi="黑体" w:eastAsia="黑体"/>
          <w:bCs/>
          <w:sz w:val="32"/>
          <w:szCs w:val="32"/>
          <w:lang w:eastAsia="zh"/>
        </w:rPr>
      </w:pPr>
    </w:p>
    <w:p w14:paraId="0D0762E4">
      <w:pPr>
        <w:spacing w:line="560" w:lineRule="exact"/>
        <w:ind w:firstLine="640" w:firstLineChars="200"/>
        <w:rPr>
          <w:rFonts w:ascii="黑体" w:hAnsi="黑体" w:eastAsia="黑体"/>
          <w:bCs/>
          <w:sz w:val="32"/>
          <w:szCs w:val="32"/>
        </w:rPr>
      </w:pPr>
      <w:r>
        <w:rPr>
          <w:rFonts w:hint="eastAsia" w:ascii="黑体" w:hAnsi="黑体" w:eastAsia="黑体"/>
          <w:bCs/>
          <w:sz w:val="32"/>
          <w:szCs w:val="32"/>
          <w:lang w:eastAsia="zh"/>
        </w:rPr>
        <w:t>一、</w:t>
      </w:r>
      <w:r>
        <w:rPr>
          <w:rFonts w:hint="eastAsia" w:ascii="黑体" w:hAnsi="黑体" w:eastAsia="黑体"/>
          <w:bCs/>
          <w:sz w:val="32"/>
          <w:szCs w:val="32"/>
        </w:rPr>
        <w:t>桃花潭</w:t>
      </w:r>
      <w:r>
        <w:rPr>
          <w:rFonts w:hint="eastAsia" w:ascii="黑体" w:hAnsi="黑体" w:eastAsia="黑体"/>
          <w:bCs/>
          <w:sz w:val="32"/>
          <w:szCs w:val="32"/>
          <w:lang w:eastAsia="zh"/>
        </w:rPr>
        <w:t>景区</w:t>
      </w:r>
      <w:r>
        <w:rPr>
          <w:rFonts w:ascii="黑体" w:hAnsi="黑体" w:eastAsia="黑体"/>
          <w:bCs/>
          <w:sz w:val="32"/>
          <w:szCs w:val="32"/>
        </w:rPr>
        <w:t>简介</w:t>
      </w:r>
    </w:p>
    <w:p w14:paraId="29451979">
      <w:pPr>
        <w:spacing w:line="560" w:lineRule="exact"/>
        <w:ind w:firstLine="640" w:firstLineChars="200"/>
        <w:rPr>
          <w:rFonts w:ascii="仿宋" w:hAnsi="仿宋" w:eastAsia="仿宋" w:cs="仿宋"/>
          <w:sz w:val="32"/>
          <w:szCs w:val="32"/>
        </w:rPr>
      </w:pPr>
      <w:r>
        <w:rPr>
          <w:rFonts w:ascii="仿宋" w:hAnsi="仿宋" w:eastAsia="仿宋"/>
          <w:bCs/>
          <w:sz w:val="32"/>
          <w:szCs w:val="32"/>
        </w:rPr>
        <w:t>位</w:t>
      </w:r>
      <w:r>
        <w:rPr>
          <w:rFonts w:ascii="仿宋" w:hAnsi="仿宋" w:eastAsia="仿宋"/>
          <w:sz w:val="32"/>
          <w:szCs w:val="32"/>
        </w:rPr>
        <w:t>于安徽省泾县以西40公里处，南临黄山、西接九华山，与太平湖紧紧相连。</w:t>
      </w:r>
      <w:r>
        <w:rPr>
          <w:rFonts w:hint="eastAsia" w:ascii="仿宋" w:hAnsi="仿宋" w:eastAsia="仿宋"/>
          <w:bCs/>
          <w:sz w:val="32"/>
          <w:szCs w:val="32"/>
        </w:rPr>
        <w:t>景区面积约12平方公里，</w:t>
      </w:r>
      <w:r>
        <w:rPr>
          <w:rFonts w:ascii="仿宋" w:hAnsi="仿宋" w:eastAsia="仿宋"/>
          <w:sz w:val="32"/>
          <w:szCs w:val="32"/>
        </w:rPr>
        <w:t>景区内自然景观和人文景观融为一体，既有清新秀丽、苍峦叠翠的皖南风光，又有保存完整、风格独特的古代建筑。</w:t>
      </w:r>
      <w:r>
        <w:rPr>
          <w:rFonts w:hint="eastAsia" w:ascii="仿宋" w:hAnsi="仿宋" w:eastAsia="仿宋"/>
          <w:sz w:val="32"/>
          <w:szCs w:val="32"/>
        </w:rPr>
        <w:t>唐天宝年间，诗仙李白应当地名士汪伦之邀，畅游此地数月，天宝十四载（</w:t>
      </w:r>
      <w:r>
        <w:rPr>
          <w:rFonts w:ascii="仿宋" w:hAnsi="仿宋" w:eastAsia="仿宋"/>
          <w:sz w:val="32"/>
          <w:szCs w:val="32"/>
        </w:rPr>
        <w:t>755 年）</w:t>
      </w:r>
      <w:r>
        <w:rPr>
          <w:rFonts w:hint="eastAsia" w:ascii="仿宋" w:hAnsi="仿宋" w:eastAsia="仿宋"/>
          <w:sz w:val="32"/>
          <w:szCs w:val="32"/>
        </w:rPr>
        <w:t>吟出</w:t>
      </w:r>
      <w:r>
        <w:rPr>
          <w:rFonts w:ascii="仿宋" w:hAnsi="仿宋" w:eastAsia="仿宋"/>
          <w:sz w:val="32"/>
          <w:szCs w:val="32"/>
        </w:rPr>
        <w:t>“</w:t>
      </w:r>
      <w:r>
        <w:rPr>
          <w:rFonts w:hint="eastAsia" w:ascii="仿宋" w:hAnsi="仿宋" w:eastAsia="仿宋"/>
          <w:sz w:val="32"/>
          <w:szCs w:val="32"/>
        </w:rPr>
        <w:t>李白乘舟将欲行，忽闻岸上踏歌声。桃花潭水深千尺，不及汪伦送我情</w:t>
      </w:r>
      <w:r>
        <w:rPr>
          <w:rFonts w:ascii="仿宋" w:hAnsi="仿宋" w:eastAsia="仿宋"/>
          <w:sz w:val="32"/>
          <w:szCs w:val="32"/>
        </w:rPr>
        <w:t>”</w:t>
      </w:r>
      <w:r>
        <w:rPr>
          <w:rFonts w:hint="eastAsia" w:ascii="仿宋" w:hAnsi="仿宋" w:eastAsia="仿宋"/>
          <w:sz w:val="32"/>
          <w:szCs w:val="32"/>
        </w:rPr>
        <w:t>之千古绝唱，从此桃花潭名闻天下。景区在1989年5月被安徽省政府列为省级历史文化保护区，2006年被安徽省政府列为省级风景名胜区，2008年被国家旅游局评为国家AAAA级旅游景区，同年评为国家级水利风景区，景区地处的桃花潭镇也是中国历史文化名镇之一。景区连续8年被泾县文明委评为县级“文明单位”，先后荣获宣城市旅游行业“巾帼文明岗”称号、荣获泾县团县委授予的2018-2019年度“青年文明号”称号、被安徽省教育厅授予“省级研学</w:t>
      </w:r>
      <w:r>
        <w:rPr>
          <w:rFonts w:hint="eastAsia" w:ascii="仿宋" w:hAnsi="仿宋" w:eastAsia="仿宋" w:cs="仿宋"/>
          <w:spacing w:val="7"/>
          <w:sz w:val="32"/>
          <w:szCs w:val="32"/>
          <w:shd w:val="clear" w:color="auto" w:fill="FFFFFF"/>
        </w:rPr>
        <w:t>实践教育</w:t>
      </w:r>
      <w:r>
        <w:rPr>
          <w:rFonts w:hint="eastAsia" w:ascii="仿宋" w:hAnsi="仿宋" w:eastAsia="仿宋"/>
          <w:sz w:val="32"/>
          <w:szCs w:val="32"/>
        </w:rPr>
        <w:t>基地”等荣誉称号。2021年，</w:t>
      </w:r>
      <w:r>
        <w:rPr>
          <w:rFonts w:hint="eastAsia" w:ascii="仿宋" w:hAnsi="仿宋" w:eastAsia="仿宋" w:cs="仿宋"/>
          <w:bCs/>
          <w:color w:val="000000"/>
          <w:sz w:val="32"/>
          <w:szCs w:val="32"/>
        </w:rPr>
        <w:t>中国互联网新闻中心（中国网）授予桃花潭景区10℃恒温漂流“2021年度中国最美网红打卡地”；</w:t>
      </w:r>
      <w:r>
        <w:rPr>
          <w:rFonts w:hint="eastAsia" w:ascii="仿宋" w:hAnsi="仿宋" w:eastAsia="仿宋" w:cs="仿宋"/>
          <w:color w:val="000000"/>
          <w:spacing w:val="7"/>
          <w:sz w:val="32"/>
          <w:szCs w:val="32"/>
          <w:shd w:val="clear" w:color="auto" w:fill="FFFFFF"/>
        </w:rPr>
        <w:t>2022年，分别在MBI大数据监测中荣获“国家</w:t>
      </w:r>
      <w:r>
        <w:rPr>
          <w:rFonts w:hint="eastAsia" w:ascii="仿宋" w:hAnsi="仿宋" w:eastAsia="仿宋" w:cs="仿宋"/>
          <w:sz w:val="32"/>
          <w:szCs w:val="32"/>
        </w:rPr>
        <w:t>AAAA级景区品牌影响力100强</w:t>
      </w:r>
      <w:r>
        <w:rPr>
          <w:rFonts w:hint="eastAsia" w:ascii="仿宋" w:hAnsi="仿宋" w:eastAsia="仿宋" w:cs="仿宋"/>
          <w:color w:val="000000"/>
          <w:spacing w:val="7"/>
          <w:sz w:val="32"/>
          <w:szCs w:val="32"/>
          <w:shd w:val="clear" w:color="auto" w:fill="FFFFFF"/>
        </w:rPr>
        <w:t>”称号、荣获</w:t>
      </w:r>
      <w:r>
        <w:rPr>
          <w:rFonts w:hint="eastAsia" w:ascii="仿宋" w:hAnsi="仿宋" w:eastAsia="仿宋" w:cs="仿宋"/>
          <w:sz w:val="32"/>
          <w:szCs w:val="32"/>
        </w:rPr>
        <w:t>全国首届数字纪念票大赛“优秀奖”、泾县第七届文明单位称号；2023年，分别荣获安徽省国资委省属企业“青年文明号”、“长三角十佳慢生活网红打卡景区”、</w:t>
      </w:r>
      <w:r>
        <w:rPr>
          <w:rFonts w:hint="eastAsia" w:ascii="仿宋" w:hAnsi="仿宋" w:eastAsia="仿宋"/>
          <w:sz w:val="32"/>
          <w:szCs w:val="32"/>
        </w:rPr>
        <w:t>“安徽省电视剧拍摄取景地”等</w:t>
      </w:r>
      <w:r>
        <w:rPr>
          <w:rFonts w:hint="eastAsia" w:ascii="仿宋" w:hAnsi="仿宋" w:eastAsia="仿宋" w:cs="仿宋"/>
          <w:sz w:val="32"/>
          <w:szCs w:val="32"/>
        </w:rPr>
        <w:t>称号；2024年，</w:t>
      </w:r>
      <w:r>
        <w:rPr>
          <w:rFonts w:hint="eastAsia" w:ascii="仿宋" w:hAnsi="仿宋" w:eastAsia="仿宋" w:cs="仿宋"/>
          <w:color w:val="000000" w:themeColor="text1"/>
          <w:sz w:val="32"/>
          <w:szCs w:val="32"/>
          <w14:textFill>
            <w14:solidFill>
              <w14:schemeClr w14:val="tx1"/>
            </w14:solidFill>
          </w14:textFill>
        </w:rPr>
        <w:t>荣获</w:t>
      </w:r>
      <w:r>
        <w:rPr>
          <w:rFonts w:hint="eastAsia" w:ascii="仿宋" w:hAnsi="仿宋" w:eastAsia="仿宋" w:cs="仿宋"/>
          <w:color w:val="000000" w:themeColor="text1"/>
          <w:sz w:val="32"/>
          <w:szCs w:val="32"/>
          <w:shd w:val="clear" w:color="auto" w:fill="FFFFFF"/>
          <w14:textFill>
            <w14:solidFill>
              <w14:schemeClr w14:val="tx1"/>
            </w14:solidFill>
          </w14:textFill>
        </w:rPr>
        <w:t>MBI</w:t>
      </w:r>
      <w:r>
        <w:rPr>
          <w:rFonts w:hint="eastAsia" w:ascii="仿宋" w:hAnsi="仿宋" w:eastAsia="仿宋" w:cs="仿宋"/>
          <w:color w:val="000000" w:themeColor="text1"/>
          <w:sz w:val="32"/>
          <w:szCs w:val="32"/>
          <w14:textFill>
            <w14:solidFill>
              <w14:schemeClr w14:val="tx1"/>
            </w14:solidFill>
          </w14:textFill>
        </w:rPr>
        <w:t>“2024年度中国安徽省4A级旅游景区10强”称号和</w:t>
      </w:r>
      <w:r>
        <w:rPr>
          <w:rFonts w:hint="eastAsia" w:ascii="仿宋_GB2312" w:hAnsi="仿宋_GB2312" w:eastAsia="仿宋_GB2312" w:cs="仿宋_GB2312"/>
          <w:sz w:val="32"/>
          <w:szCs w:val="32"/>
        </w:rPr>
        <w:t>携程全球峰会“2024行业标杆奖”；2025年，桃花潭景区</w:t>
      </w:r>
      <w:r>
        <w:rPr>
          <w:rFonts w:hint="eastAsia" w:ascii="仿宋" w:hAnsi="仿宋" w:eastAsia="仿宋" w:cs="仿宋"/>
          <w:sz w:val="32"/>
          <w:szCs w:val="32"/>
        </w:rPr>
        <w:t>入选首批“安徽省银发研学旅游资源单位”，其“龙舟竞渡”入选长三角地区体育消费创新场景优秀案例；</w:t>
      </w:r>
      <w:r>
        <w:rPr>
          <w:rFonts w:hint="eastAsia" w:ascii="仿宋_GB2312" w:hAnsi="仿宋_GB2312" w:eastAsia="仿宋_GB2312" w:cs="仿宋_GB2312"/>
          <w:sz w:val="32"/>
          <w:szCs w:val="32"/>
        </w:rPr>
        <w:t>2026年3月，桃花潭游客服务中心荣获安徽省"巾帼文明岗</w:t>
      </w:r>
      <w:r>
        <w:rPr>
          <w:rFonts w:hint="eastAsia" w:ascii="仿宋" w:hAnsi="仿宋" w:eastAsia="仿宋" w:cs="仿宋"/>
          <w:sz w:val="32"/>
          <w:szCs w:val="32"/>
        </w:rPr>
        <w:t>"称号。</w:t>
      </w:r>
    </w:p>
    <w:p w14:paraId="584F044D">
      <w:pPr>
        <w:spacing w:line="560" w:lineRule="exact"/>
        <w:ind w:firstLine="640" w:firstLineChars="200"/>
        <w:rPr>
          <w:rFonts w:ascii="黑体" w:hAnsi="黑体" w:eastAsia="黑体"/>
          <w:bCs/>
          <w:sz w:val="32"/>
          <w:szCs w:val="32"/>
          <w:lang w:eastAsia="zh"/>
        </w:rPr>
      </w:pPr>
      <w:r>
        <w:rPr>
          <w:rFonts w:hint="eastAsia" w:ascii="黑体" w:hAnsi="黑体" w:eastAsia="黑体"/>
          <w:bCs/>
          <w:sz w:val="32"/>
          <w:szCs w:val="32"/>
          <w:lang w:eastAsia="zh"/>
        </w:rPr>
        <w:t>二、核心资源介绍</w:t>
      </w:r>
    </w:p>
    <w:p w14:paraId="7ABB53B5">
      <w:pPr>
        <w:spacing w:line="560" w:lineRule="exact"/>
        <w:ind w:firstLine="643" w:firstLineChars="200"/>
        <w:rPr>
          <w:rFonts w:ascii="楷体" w:hAnsi="楷体" w:eastAsia="楷体" w:cs="楷体"/>
          <w:b/>
          <w:bCs/>
          <w:sz w:val="32"/>
          <w:szCs w:val="32"/>
          <w:lang w:eastAsia="zh"/>
        </w:rPr>
      </w:pPr>
      <w:r>
        <w:rPr>
          <w:rFonts w:hint="eastAsia" w:ascii="楷体" w:hAnsi="楷体" w:eastAsia="楷体" w:cs="楷体"/>
          <w:b/>
          <w:bCs/>
          <w:sz w:val="32"/>
          <w:szCs w:val="32"/>
          <w:lang w:eastAsia="zh"/>
        </w:rPr>
        <w:t>（一）自然生态类</w:t>
      </w:r>
    </w:p>
    <w:p w14:paraId="4AB4C36E">
      <w:pPr>
        <w:pStyle w:val="6"/>
        <w:spacing w:line="560" w:lineRule="exact"/>
        <w:ind w:firstLine="643" w:firstLineChars="200"/>
        <w:rPr>
          <w:rFonts w:ascii="仿宋_GB2312" w:hAnsi="仿宋_GB2312" w:eastAsia="仿宋_GB2312" w:cs="仿宋"/>
          <w:sz w:val="32"/>
          <w:szCs w:val="32"/>
          <w:lang w:bidi="ar"/>
        </w:rPr>
      </w:pPr>
      <w:r>
        <w:rPr>
          <w:rFonts w:hint="eastAsia" w:ascii="仿宋_GB2312" w:hAnsi="仿宋_GB2312" w:eastAsia="仿宋_GB2312" w:cs="仿宋"/>
          <w:b/>
          <w:bCs/>
          <w:sz w:val="32"/>
          <w:szCs w:val="32"/>
          <w:lang w:eastAsia="zh" w:bidi="ar"/>
        </w:rPr>
        <w:t>1.</w:t>
      </w:r>
      <w:r>
        <w:rPr>
          <w:rFonts w:hint="eastAsia" w:ascii="仿宋_GB2312" w:hAnsi="仿宋_GB2312" w:eastAsia="仿宋_GB2312" w:cs="仿宋"/>
          <w:b/>
          <w:bCs/>
          <w:sz w:val="32"/>
          <w:szCs w:val="32"/>
          <w:lang w:bidi="ar"/>
        </w:rPr>
        <w:t>桃花潭</w:t>
      </w:r>
    </w:p>
    <w:p w14:paraId="2ADFEA08">
      <w:pPr>
        <w:spacing w:line="560" w:lineRule="exact"/>
        <w:ind w:firstLine="640" w:firstLineChars="200"/>
        <w:rPr>
          <w:rFonts w:ascii="仿宋_GB2312" w:hAnsi="仿宋_GB2312" w:eastAsia="仿宋_GB2312" w:cs="仿宋"/>
          <w:sz w:val="32"/>
          <w:szCs w:val="32"/>
          <w:lang w:eastAsia="zh" w:bidi="ar"/>
        </w:rPr>
      </w:pPr>
      <w:r>
        <w:rPr>
          <w:rFonts w:hint="eastAsia" w:ascii="仿宋_GB2312" w:hAnsi="仿宋_GB2312" w:eastAsia="仿宋_GB2312" w:cs="仿宋"/>
          <w:sz w:val="32"/>
          <w:szCs w:val="32"/>
          <w:lang w:eastAsia="zh" w:bidi="ar"/>
        </w:rPr>
        <w:t>桃花潭是青弋江上游的一段，由于水流在此改变方向，回水淘沙长年累月所形成的深潭，从这里往上游三公里便是太平湖，俗话说“山水无绿不成景，风景无文没有情”</w:t>
      </w:r>
      <w:r>
        <w:rPr>
          <w:rFonts w:hint="eastAsia" w:ascii="仿宋_GB2312" w:hAnsi="仿宋_GB2312" w:eastAsia="仿宋_GB2312" w:cs="仿宋"/>
          <w:sz w:val="32"/>
          <w:szCs w:val="32"/>
          <w:lang w:bidi="ar"/>
        </w:rPr>
        <w:t>，</w:t>
      </w:r>
      <w:r>
        <w:rPr>
          <w:rFonts w:hint="eastAsia" w:ascii="仿宋_GB2312" w:hAnsi="仿宋_GB2312" w:eastAsia="仿宋_GB2312" w:cs="仿宋"/>
          <w:sz w:val="32"/>
          <w:szCs w:val="32"/>
          <w:lang w:eastAsia="zh" w:bidi="ar"/>
        </w:rPr>
        <w:t>而桃花潭融“山、水、文、情”于一体，历代许多文人墨客均来过桃花潭，风日晴和时水平如镜，鸟飞鱼跃,宁静宜人,微风吹过,波光粼粼</w:t>
      </w:r>
      <w:r>
        <w:rPr>
          <w:rFonts w:hint="eastAsia" w:ascii="仿宋_GB2312" w:hAnsi="仿宋_GB2312" w:eastAsia="仿宋_GB2312" w:cs="仿宋"/>
          <w:sz w:val="32"/>
          <w:szCs w:val="32"/>
          <w:lang w:bidi="ar"/>
        </w:rPr>
        <w:t>，</w:t>
      </w:r>
      <w:r>
        <w:rPr>
          <w:rFonts w:hint="eastAsia" w:ascii="仿宋_GB2312" w:hAnsi="仿宋_GB2312" w:eastAsia="仿宋_GB2312" w:cs="仿宋"/>
          <w:sz w:val="32"/>
          <w:szCs w:val="32"/>
          <w:lang w:eastAsia="zh" w:bidi="ar"/>
        </w:rPr>
        <w:t>西岸怪石耸峙,竹树参差，秀丽多姿。东岸白沙平野，连接飞檐翘角的建筑物,古意盎然,李白“桃花潭水深千尺”诗句</w:t>
      </w:r>
      <w:r>
        <w:rPr>
          <w:rFonts w:hint="eastAsia" w:ascii="仿宋_GB2312" w:hAnsi="仿宋_GB2312" w:eastAsia="仿宋_GB2312" w:cs="仿宋"/>
          <w:sz w:val="32"/>
          <w:szCs w:val="32"/>
          <w:lang w:bidi="ar"/>
        </w:rPr>
        <w:t>中</w:t>
      </w:r>
      <w:r>
        <w:rPr>
          <w:rFonts w:hint="eastAsia" w:ascii="仿宋_GB2312" w:hAnsi="仿宋_GB2312" w:eastAsia="仿宋_GB2312" w:cs="仿宋"/>
          <w:sz w:val="32"/>
          <w:szCs w:val="32"/>
          <w:lang w:eastAsia="zh" w:bidi="ar"/>
        </w:rPr>
        <w:t>别具风韵的桃花潭</w:t>
      </w:r>
      <w:r>
        <w:rPr>
          <w:rFonts w:hint="eastAsia" w:ascii="仿宋_GB2312" w:hAnsi="仿宋_GB2312" w:eastAsia="仿宋_GB2312" w:cs="仿宋"/>
          <w:sz w:val="32"/>
          <w:szCs w:val="32"/>
          <w:lang w:bidi="ar"/>
        </w:rPr>
        <w:t>，</w:t>
      </w:r>
      <w:r>
        <w:rPr>
          <w:rFonts w:hint="eastAsia" w:ascii="仿宋_GB2312" w:hAnsi="仿宋_GB2312" w:eastAsia="仿宋_GB2312" w:cs="仿宋"/>
          <w:sz w:val="32"/>
          <w:szCs w:val="32"/>
          <w:lang w:eastAsia="zh" w:bidi="ar"/>
        </w:rPr>
        <w:t>其潭水本身也</w:t>
      </w:r>
      <w:r>
        <w:rPr>
          <w:rFonts w:hint="eastAsia" w:ascii="仿宋_GB2312" w:hAnsi="仿宋_GB2312" w:eastAsia="仿宋_GB2312" w:cs="仿宋"/>
          <w:sz w:val="32"/>
          <w:szCs w:val="32"/>
          <w:lang w:bidi="ar"/>
        </w:rPr>
        <w:t>因</w:t>
      </w:r>
      <w:r>
        <w:rPr>
          <w:rFonts w:hint="eastAsia" w:ascii="仿宋_GB2312" w:hAnsi="仿宋_GB2312" w:eastAsia="仿宋_GB2312" w:cs="仿宋"/>
          <w:sz w:val="32"/>
          <w:szCs w:val="32"/>
          <w:lang w:eastAsia="zh" w:bidi="ar"/>
        </w:rPr>
        <w:t>独特的水文特征</w:t>
      </w:r>
      <w:r>
        <w:rPr>
          <w:rFonts w:hint="eastAsia" w:ascii="仿宋_GB2312" w:hAnsi="仿宋_GB2312" w:eastAsia="仿宋_GB2312" w:cs="仿宋"/>
          <w:sz w:val="32"/>
          <w:szCs w:val="32"/>
          <w:lang w:bidi="ar"/>
        </w:rPr>
        <w:t>形成</w:t>
      </w:r>
      <w:r>
        <w:rPr>
          <w:rFonts w:hint="eastAsia" w:ascii="仿宋_GB2312" w:hAnsi="仿宋_GB2312" w:eastAsia="仿宋_GB2312" w:cs="仿宋"/>
          <w:sz w:val="32"/>
          <w:szCs w:val="32"/>
          <w:lang w:eastAsia="zh" w:bidi="ar"/>
        </w:rPr>
        <w:t>自然奇观。</w:t>
      </w:r>
    </w:p>
    <w:p w14:paraId="12E66DF3">
      <w:pPr>
        <w:rPr>
          <w:rFonts w:ascii="楷体" w:hAnsi="楷体" w:eastAsia="楷体" w:cs="楷体"/>
          <w:b/>
          <w:bCs/>
          <w:sz w:val="32"/>
          <w:szCs w:val="32"/>
        </w:rPr>
      </w:pPr>
      <w:r>
        <w:rPr>
          <w:rFonts w:hint="eastAsia" w:ascii="楷体" w:hAnsi="楷体" w:eastAsia="楷体" w:cs="楷体"/>
          <w:b/>
          <w:bCs/>
          <w:sz w:val="32"/>
          <w:szCs w:val="32"/>
        </w:rPr>
        <w:drawing>
          <wp:inline distT="0" distB="0" distL="114300" distR="114300">
            <wp:extent cx="5266690" cy="3511550"/>
            <wp:effectExtent l="0" t="0" r="10160" b="12700"/>
            <wp:docPr id="1" name="图片 1" descr="桃花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桃花潭"/>
                    <pic:cNvPicPr>
                      <a:picLocks noChangeAspect="1"/>
                    </pic:cNvPicPr>
                  </pic:nvPicPr>
                  <pic:blipFill>
                    <a:blip r:embed="rId5"/>
                    <a:stretch>
                      <a:fillRect/>
                    </a:stretch>
                  </pic:blipFill>
                  <pic:spPr>
                    <a:xfrm>
                      <a:off x="0" y="0"/>
                      <a:ext cx="5266690" cy="3511550"/>
                    </a:xfrm>
                    <a:prstGeom prst="rect">
                      <a:avLst/>
                    </a:prstGeom>
                  </pic:spPr>
                </pic:pic>
              </a:graphicData>
            </a:graphic>
          </wp:inline>
        </w:drawing>
      </w:r>
    </w:p>
    <w:p w14:paraId="0018470A">
      <w:pPr>
        <w:spacing w:line="56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2.万家酒店遗址</w:t>
      </w:r>
    </w:p>
    <w:p w14:paraId="3F2082C0">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位于桃花潭西岸</w:t>
      </w:r>
      <w:r>
        <w:rPr>
          <w:rFonts w:hint="eastAsia" w:ascii="仿宋" w:hAnsi="仿宋" w:eastAsia="仿宋" w:cs="宋体"/>
          <w:kern w:val="0"/>
          <w:sz w:val="32"/>
          <w:szCs w:val="32"/>
        </w:rPr>
        <w:t>万村老街,建于唐代，万村老街明清时期极为繁华，因为靠近水路码头，作为徽商运输的主要通道，街两边商铺林立，繁华异常，汪伦邀李白信中所说的万家酒店就在这条街上。街两边的房子多是明朝中晚期的老宅,由于年代太久它已不复存在，如今仅存一段被踩凹的门槛，由此便证明万家酒店当时的兴旺。万氏家族祖籍陕西省扶风县，始祖万修因辅助东汉光武帝刘秀讨伐王莽平定河北有功，被封扶风郡槐里侯，因此万氏有“扶风世家”之称。</w:t>
      </w:r>
    </w:p>
    <w:p w14:paraId="2C877C84">
      <w:pPr>
        <w:rPr>
          <w:rFonts w:ascii="仿宋" w:hAnsi="仿宋" w:eastAsia="仿宋" w:cs="仿宋"/>
          <w:sz w:val="32"/>
          <w:szCs w:val="32"/>
        </w:rPr>
      </w:pPr>
      <w:r>
        <w:rPr>
          <w:rFonts w:hint="eastAsia" w:ascii="仿宋" w:hAnsi="仿宋" w:eastAsia="仿宋" w:cs="仿宋"/>
          <w:sz w:val="32"/>
          <w:szCs w:val="32"/>
        </w:rPr>
        <w:drawing>
          <wp:inline distT="0" distB="0" distL="114300" distR="114300">
            <wp:extent cx="5266690" cy="3743325"/>
            <wp:effectExtent l="0" t="0" r="10160" b="9525"/>
            <wp:docPr id="19" name="图片 19" descr="mmexport1778492823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mmexport1778492823510"/>
                    <pic:cNvPicPr>
                      <a:picLocks noChangeAspect="1"/>
                    </pic:cNvPicPr>
                  </pic:nvPicPr>
                  <pic:blipFill>
                    <a:blip r:embed="rId6"/>
                    <a:stretch>
                      <a:fillRect/>
                    </a:stretch>
                  </pic:blipFill>
                  <pic:spPr>
                    <a:xfrm>
                      <a:off x="0" y="0"/>
                      <a:ext cx="5266690" cy="3743325"/>
                    </a:xfrm>
                    <a:prstGeom prst="rect">
                      <a:avLst/>
                    </a:prstGeom>
                  </pic:spPr>
                </pic:pic>
              </a:graphicData>
            </a:graphic>
          </wp:inline>
        </w:drawing>
      </w:r>
    </w:p>
    <w:p w14:paraId="51D3213E">
      <w:pPr>
        <w:spacing w:line="56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3.书版石</w:t>
      </w:r>
    </w:p>
    <w:p w14:paraId="49007DB1">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位于桃花潭边的垒玉墩右下有一处页岩，一层层整齐的岩石像是许多书籍叠在一起，风吹浪打，岿然不动，貌似人写的鸿篇巨著,遗留在潭边成为一景。好像一排排神秘的天书，由此而得名。</w:t>
      </w:r>
    </w:p>
    <w:p w14:paraId="4B372189">
      <w:pPr>
        <w:spacing w:line="560" w:lineRule="exact"/>
        <w:ind w:firstLine="640" w:firstLineChars="200"/>
        <w:rPr>
          <w:rFonts w:ascii="仿宋" w:hAnsi="仿宋" w:eastAsia="仿宋" w:cs="仿宋"/>
          <w:sz w:val="32"/>
          <w:szCs w:val="32"/>
        </w:rPr>
      </w:pPr>
    </w:p>
    <w:p w14:paraId="7B18E43D">
      <w:pPr>
        <w:spacing w:line="560" w:lineRule="exact"/>
        <w:ind w:firstLine="640" w:firstLineChars="200"/>
        <w:rPr>
          <w:rFonts w:ascii="仿宋" w:hAnsi="仿宋" w:eastAsia="仿宋" w:cs="仿宋"/>
          <w:sz w:val="32"/>
          <w:szCs w:val="32"/>
        </w:rPr>
      </w:pPr>
    </w:p>
    <w:p w14:paraId="2815722A">
      <w:pPr>
        <w:spacing w:line="560" w:lineRule="exact"/>
        <w:ind w:firstLine="640" w:firstLineChars="200"/>
        <w:rPr>
          <w:rFonts w:ascii="仿宋" w:hAnsi="仿宋" w:eastAsia="仿宋" w:cs="仿宋"/>
          <w:sz w:val="32"/>
          <w:szCs w:val="32"/>
        </w:rPr>
      </w:pPr>
    </w:p>
    <w:p w14:paraId="2EF90264">
      <w:pPr>
        <w:spacing w:line="560" w:lineRule="exact"/>
        <w:ind w:firstLine="640" w:firstLineChars="200"/>
        <w:rPr>
          <w:rFonts w:hint="eastAsia" w:ascii="仿宋" w:hAnsi="仿宋" w:eastAsia="仿宋" w:cs="仿宋"/>
          <w:sz w:val="32"/>
          <w:szCs w:val="32"/>
        </w:rPr>
      </w:pPr>
    </w:p>
    <w:p w14:paraId="32344622">
      <w:pPr>
        <w:spacing w:line="560" w:lineRule="exact"/>
        <w:ind w:firstLine="640" w:firstLineChars="200"/>
        <w:rPr>
          <w:rFonts w:ascii="仿宋" w:hAnsi="仿宋" w:eastAsia="仿宋" w:cs="仿宋"/>
          <w:sz w:val="32"/>
          <w:szCs w:val="32"/>
        </w:rPr>
      </w:pPr>
    </w:p>
    <w:p w14:paraId="40F7A18F">
      <w:pPr>
        <w:spacing w:line="560" w:lineRule="exact"/>
        <w:ind w:firstLine="640" w:firstLineChars="200"/>
        <w:rPr>
          <w:rFonts w:ascii="仿宋" w:hAnsi="仿宋" w:eastAsia="仿宋" w:cs="仿宋"/>
          <w:sz w:val="32"/>
          <w:szCs w:val="32"/>
        </w:rPr>
      </w:pPr>
    </w:p>
    <w:p w14:paraId="097FDEAA">
      <w:pPr>
        <w:spacing w:line="560" w:lineRule="exact"/>
        <w:ind w:firstLine="640" w:firstLineChars="200"/>
        <w:rPr>
          <w:rFonts w:ascii="仿宋" w:hAnsi="仿宋" w:eastAsia="仿宋" w:cs="仿宋"/>
          <w:sz w:val="32"/>
          <w:szCs w:val="32"/>
        </w:rPr>
      </w:pPr>
    </w:p>
    <w:p w14:paraId="3A73464E">
      <w:pPr>
        <w:spacing w:line="560" w:lineRule="exact"/>
        <w:ind w:firstLine="640" w:firstLineChars="200"/>
        <w:rPr>
          <w:rFonts w:ascii="仿宋" w:hAnsi="仿宋" w:eastAsia="仿宋" w:cs="仿宋"/>
          <w:sz w:val="32"/>
          <w:szCs w:val="32"/>
        </w:rPr>
      </w:pPr>
    </w:p>
    <w:p w14:paraId="4FD04490">
      <w:pPr>
        <w:spacing w:line="560" w:lineRule="exact"/>
        <w:ind w:firstLine="640" w:firstLineChars="200"/>
        <w:rPr>
          <w:rFonts w:ascii="仿宋" w:hAnsi="仿宋" w:eastAsia="仿宋" w:cs="仿宋"/>
          <w:sz w:val="32"/>
          <w:szCs w:val="32"/>
        </w:rPr>
      </w:pPr>
    </w:p>
    <w:p w14:paraId="167B1423">
      <w:pPr>
        <w:spacing w:line="560" w:lineRule="exact"/>
        <w:ind w:firstLine="640" w:firstLineChars="200"/>
        <w:rPr>
          <w:rFonts w:ascii="仿宋" w:hAnsi="仿宋" w:eastAsia="仿宋" w:cs="仿宋"/>
          <w:sz w:val="32"/>
          <w:szCs w:val="32"/>
        </w:rPr>
      </w:pPr>
    </w:p>
    <w:p w14:paraId="479061FC">
      <w:pPr>
        <w:spacing w:line="560" w:lineRule="exact"/>
        <w:ind w:firstLine="640" w:firstLineChars="200"/>
        <w:rPr>
          <w:rFonts w:ascii="仿宋" w:hAnsi="仿宋" w:eastAsia="仿宋" w:cs="仿宋"/>
          <w:sz w:val="32"/>
          <w:szCs w:val="32"/>
        </w:rPr>
      </w:pPr>
    </w:p>
    <w:p w14:paraId="41853074">
      <w:pPr>
        <w:spacing w:line="560" w:lineRule="exact"/>
        <w:ind w:firstLine="640" w:firstLineChars="200"/>
        <w:rPr>
          <w:rFonts w:ascii="仿宋" w:hAnsi="仿宋" w:eastAsia="仿宋" w:cs="仿宋"/>
          <w:sz w:val="32"/>
          <w:szCs w:val="32"/>
        </w:rPr>
      </w:pPr>
    </w:p>
    <w:p w14:paraId="0A8FB502">
      <w:pPr>
        <w:spacing w:line="560" w:lineRule="exact"/>
        <w:ind w:firstLine="640" w:firstLineChars="200"/>
        <w:rPr>
          <w:rFonts w:ascii="仿宋" w:hAnsi="仿宋" w:eastAsia="仿宋" w:cs="仿宋"/>
          <w:sz w:val="32"/>
          <w:szCs w:val="32"/>
        </w:rPr>
      </w:pPr>
    </w:p>
    <w:p w14:paraId="56635DBA">
      <w:pPr>
        <w:spacing w:line="560" w:lineRule="exact"/>
        <w:ind w:firstLine="640" w:firstLineChars="200"/>
        <w:rPr>
          <w:rFonts w:hint="eastAsia" w:ascii="仿宋" w:hAnsi="仿宋" w:eastAsia="仿宋" w:cs="仿宋"/>
          <w:sz w:val="32"/>
          <w:szCs w:val="32"/>
        </w:rPr>
      </w:pPr>
    </w:p>
    <w:p w14:paraId="3F78DBA8">
      <w:pPr>
        <w:spacing w:line="560" w:lineRule="exact"/>
        <w:ind w:firstLine="640" w:firstLineChars="200"/>
        <w:rPr>
          <w:rFonts w:ascii="仿宋" w:hAnsi="仿宋" w:eastAsia="仿宋" w:cs="仿宋"/>
          <w:sz w:val="32"/>
          <w:szCs w:val="32"/>
        </w:rPr>
      </w:pPr>
    </w:p>
    <w:p w14:paraId="391B1349">
      <w:pPr>
        <w:spacing w:line="560" w:lineRule="exact"/>
        <w:ind w:firstLine="640" w:firstLineChars="200"/>
        <w:rPr>
          <w:rFonts w:ascii="仿宋" w:hAnsi="仿宋" w:eastAsia="仿宋" w:cs="仿宋"/>
          <w:sz w:val="32"/>
          <w:szCs w:val="32"/>
        </w:rPr>
      </w:pPr>
    </w:p>
    <w:p w14:paraId="44B69C83">
      <w:pPr>
        <w:spacing w:line="560" w:lineRule="exact"/>
        <w:ind w:firstLine="640" w:firstLineChars="200"/>
        <w:rPr>
          <w:rFonts w:ascii="仿宋" w:hAnsi="仿宋" w:eastAsia="仿宋" w:cs="仿宋"/>
          <w:sz w:val="32"/>
          <w:szCs w:val="32"/>
        </w:rPr>
      </w:pPr>
    </w:p>
    <w:p w14:paraId="02300AAA">
      <w:pPr>
        <w:spacing w:line="560" w:lineRule="exact"/>
        <w:ind w:firstLine="640" w:firstLineChars="200"/>
        <w:rPr>
          <w:rFonts w:hint="eastAsia" w:ascii="仿宋" w:hAnsi="仿宋" w:eastAsia="仿宋" w:cs="仿宋"/>
          <w:sz w:val="32"/>
          <w:szCs w:val="32"/>
        </w:rPr>
      </w:pPr>
    </w:p>
    <w:p w14:paraId="7F51375B">
      <w:pPr>
        <w:spacing w:line="560" w:lineRule="exact"/>
        <w:rPr>
          <w:rFonts w:hint="eastAsia" w:ascii="仿宋" w:hAnsi="仿宋" w:eastAsia="仿宋" w:cs="仿宋"/>
          <w:sz w:val="32"/>
          <w:szCs w:val="32"/>
        </w:rPr>
      </w:pPr>
      <w:r>
        <w:rPr>
          <w:rFonts w:hint="eastAsia" w:ascii="仿宋" w:hAnsi="仿宋" w:eastAsia="仿宋" w:cs="仿宋"/>
          <w:sz w:val="32"/>
          <w:szCs w:val="32"/>
        </w:rPr>
        <w:drawing>
          <wp:anchor distT="0" distB="0" distL="114300" distR="114300" simplePos="0" relativeHeight="251662336" behindDoc="0" locked="0" layoutInCell="1" allowOverlap="1">
            <wp:simplePos x="0" y="0"/>
            <wp:positionH relativeFrom="column">
              <wp:posOffset>5080</wp:posOffset>
            </wp:positionH>
            <wp:positionV relativeFrom="paragraph">
              <wp:posOffset>-3678555</wp:posOffset>
            </wp:positionV>
            <wp:extent cx="5266690" cy="3950335"/>
            <wp:effectExtent l="0" t="0" r="0" b="0"/>
            <wp:wrapNone/>
            <wp:docPr id="12" name="图片 12" descr="mmexport177865716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mmexport1778657161929"/>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266690" cy="3950335"/>
                    </a:xfrm>
                    <a:prstGeom prst="rect">
                      <a:avLst/>
                    </a:prstGeom>
                  </pic:spPr>
                </pic:pic>
              </a:graphicData>
            </a:graphic>
          </wp:anchor>
        </w:drawing>
      </w:r>
    </w:p>
    <w:p w14:paraId="3F70794A">
      <w:pPr>
        <w:spacing w:line="560" w:lineRule="exact"/>
        <w:ind w:firstLine="643" w:firstLineChars="200"/>
        <w:rPr>
          <w:rFonts w:ascii="楷体" w:hAnsi="楷体" w:eastAsia="楷体" w:cs="楷体"/>
          <w:b/>
          <w:bCs/>
          <w:sz w:val="32"/>
          <w:szCs w:val="32"/>
        </w:rPr>
      </w:pPr>
      <w:r>
        <w:rPr>
          <w:rFonts w:ascii="仿宋" w:hAnsi="仿宋" w:eastAsia="仿宋" w:cs="仿宋"/>
          <w:b/>
          <w:bCs/>
          <w:sz w:val="32"/>
          <w:szCs w:val="32"/>
        </w:rPr>
        <w:t>4</w:t>
      </w:r>
      <w:r>
        <w:rPr>
          <w:rFonts w:hint="eastAsia" w:ascii="仿宋" w:hAnsi="仿宋" w:eastAsia="仿宋" w:cs="仿宋"/>
          <w:b/>
          <w:bCs/>
          <w:sz w:val="32"/>
          <w:szCs w:val="32"/>
        </w:rPr>
        <w:t>.采虹桥</w:t>
      </w:r>
    </w:p>
    <w:p w14:paraId="576005F9">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位于桃花潭西岸，该景点主要是一座由青石条所建的三孔平板石桥，由于在此处桥上经常能在雨后看见彩虹，所以得名“采虹桥”。桥宽1.84米，长17.5米，桥下溪水潺潺，溪岸岩石生苔，古树浓荫，加上左近的民居，让人有“小桥流水人家，古道微风云霞”的自然意境。两个桥墩靠上游的尖角处各有三个渐下的石阶，作为舞龙灯时二龙吸水处，靠下游一侧的桥身正中刻有“采虹桥”三字。</w:t>
      </w:r>
    </w:p>
    <w:p w14:paraId="0F9DCE4C">
      <w:pPr>
        <w:rPr>
          <w:rFonts w:ascii="仿宋" w:hAnsi="仿宋" w:eastAsia="仿宋" w:cs="仿宋"/>
          <w:sz w:val="32"/>
          <w:szCs w:val="32"/>
        </w:rPr>
      </w:pPr>
      <w:r>
        <w:rPr>
          <w:rFonts w:hint="eastAsia" w:ascii="仿宋" w:hAnsi="仿宋" w:eastAsia="仿宋" w:cs="仿宋"/>
          <w:sz w:val="32"/>
          <w:szCs w:val="32"/>
        </w:rPr>
        <w:drawing>
          <wp:inline distT="0" distB="0" distL="114300" distR="114300">
            <wp:extent cx="5124450" cy="3747135"/>
            <wp:effectExtent l="0" t="0" r="0" b="5715"/>
            <wp:docPr id="11" name="图片 11" descr="桃花潭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桃花潭2"/>
                    <pic:cNvPicPr>
                      <a:picLocks noChangeAspect="1"/>
                    </pic:cNvPicPr>
                  </pic:nvPicPr>
                  <pic:blipFill>
                    <a:blip r:embed="rId8"/>
                    <a:stretch>
                      <a:fillRect/>
                    </a:stretch>
                  </pic:blipFill>
                  <pic:spPr>
                    <a:xfrm>
                      <a:off x="0" y="0"/>
                      <a:ext cx="5124450" cy="3747135"/>
                    </a:xfrm>
                    <a:prstGeom prst="rect">
                      <a:avLst/>
                    </a:prstGeom>
                  </pic:spPr>
                </pic:pic>
              </a:graphicData>
            </a:graphic>
          </wp:inline>
        </w:drawing>
      </w:r>
    </w:p>
    <w:p w14:paraId="3DC0443C">
      <w:pPr>
        <w:spacing w:line="560" w:lineRule="exact"/>
        <w:ind w:firstLine="640" w:firstLineChars="200"/>
        <w:rPr>
          <w:rFonts w:ascii="仿宋" w:hAnsi="仿宋" w:eastAsia="仿宋" w:cs="仿宋"/>
          <w:sz w:val="32"/>
          <w:szCs w:val="32"/>
        </w:rPr>
      </w:pPr>
    </w:p>
    <w:p w14:paraId="14E79EE1">
      <w:pPr>
        <w:spacing w:line="560" w:lineRule="exact"/>
        <w:ind w:firstLine="643" w:firstLineChars="200"/>
        <w:rPr>
          <w:rFonts w:ascii="楷体" w:hAnsi="楷体" w:eastAsia="楷体" w:cs="楷体"/>
          <w:b/>
          <w:bCs/>
          <w:sz w:val="32"/>
          <w:szCs w:val="32"/>
          <w:lang w:eastAsia="zh"/>
        </w:rPr>
      </w:pPr>
      <w:r>
        <w:rPr>
          <w:rFonts w:hint="eastAsia" w:ascii="楷体" w:hAnsi="楷体" w:eastAsia="楷体" w:cs="楷体"/>
          <w:b/>
          <w:bCs/>
          <w:sz w:val="32"/>
          <w:szCs w:val="32"/>
          <w:lang w:eastAsia="zh"/>
        </w:rPr>
        <w:t>（二）文化底蕴类</w:t>
      </w:r>
    </w:p>
    <w:p w14:paraId="66D07F93">
      <w:pPr>
        <w:spacing w:line="56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1.翟氏宗祠（中华第一祠）</w:t>
      </w:r>
    </w:p>
    <w:p w14:paraId="21FA090A">
      <w:pPr>
        <w:ind w:firstLine="640" w:firstLineChars="200"/>
        <w:rPr>
          <w:rFonts w:ascii="仿宋" w:hAnsi="仿宋" w:eastAsia="仿宋" w:cs="仿宋"/>
          <w:sz w:val="32"/>
          <w:szCs w:val="32"/>
        </w:rPr>
      </w:pPr>
      <w:r>
        <w:rPr>
          <w:rFonts w:hint="eastAsia" w:ascii="仿宋" w:hAnsi="仿宋" w:eastAsia="仿宋" w:cs="仿宋"/>
          <w:sz w:val="32"/>
          <w:szCs w:val="32"/>
        </w:rPr>
        <w:t>中华第一祠建于明嘉靖年间，坐北朝南，五楹三进，仿皇家祠堂兴建，规模宏大，由嘉靖己末进士翟震川首事创建，是安徽省内现存规模最大、建筑年代最久的祠堂，其建筑面积约3524平方米（含偏房总建筑面积6700平方米）。祠前有石柱、抱鼓石和石狮，祠内有前厅、天井、享堂和寝楼。地基为花岗石铺成，建筑采用银杏木、红木、楠木等名贵木材，上下木石结构件均有精美的雕刻。祠中曾藏有历代帝王将相、地方官吏所赐名匾108块，宗祠左右有10多间偏房供议事、看管使用。大门上有“江南名族”横匾，享堂中悬“忠孝堂”三字红底金字木匾。1997年，国家文物局副局长罗哲文先生来泾县考察时，赞叹翟氏宗祠为“中华第一祠”，并欣然题写了匾额。翟氏宗祠曾多次被中央及省级电视台播放，安徽省人民政府于1998年5月将其公布为省级文物保护单位。</w:t>
      </w:r>
    </w:p>
    <w:p w14:paraId="45EFF2E3">
      <w:pPr>
        <w:rPr>
          <w:rFonts w:ascii="仿宋" w:hAnsi="仿宋" w:eastAsia="仿宋" w:cs="仿宋"/>
          <w:sz w:val="32"/>
          <w:szCs w:val="32"/>
        </w:rPr>
      </w:pPr>
      <w:r>
        <w:drawing>
          <wp:inline distT="0" distB="0" distL="114300" distR="114300">
            <wp:extent cx="5186045" cy="3889375"/>
            <wp:effectExtent l="0" t="0" r="14605" b="15875"/>
            <wp:docPr id="25604" name="图片 25603" descr="DSC00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4" name="图片 25603" descr="DSC00141"/>
                    <pic:cNvPicPr>
                      <a:picLocks noChangeAspect="1"/>
                    </pic:cNvPicPr>
                  </pic:nvPicPr>
                  <pic:blipFill>
                    <a:blip r:embed="rId9"/>
                    <a:stretch>
                      <a:fillRect/>
                    </a:stretch>
                  </pic:blipFill>
                  <pic:spPr>
                    <a:xfrm>
                      <a:off x="0" y="0"/>
                      <a:ext cx="5186045" cy="3889375"/>
                    </a:xfrm>
                    <a:prstGeom prst="rect">
                      <a:avLst/>
                    </a:prstGeom>
                    <a:noFill/>
                    <a:ln w="9525">
                      <a:noFill/>
                    </a:ln>
                  </pic:spPr>
                </pic:pic>
              </a:graphicData>
            </a:graphic>
          </wp:inline>
        </w:drawing>
      </w:r>
    </w:p>
    <w:p w14:paraId="5F06CA26">
      <w:pPr>
        <w:ind w:left="420" w:leftChars="200" w:firstLine="321" w:firstLineChars="100"/>
        <w:rPr>
          <w:rFonts w:ascii="仿宋" w:hAnsi="仿宋" w:eastAsia="仿宋" w:cs="仿宋"/>
          <w:b/>
          <w:bCs/>
          <w:sz w:val="32"/>
          <w:szCs w:val="32"/>
        </w:rPr>
      </w:pPr>
      <w:r>
        <w:rPr>
          <w:rFonts w:hint="eastAsia" w:ascii="仿宋" w:hAnsi="仿宋" w:eastAsia="仿宋" w:cs="仿宋"/>
          <w:b/>
          <w:bCs/>
          <w:sz w:val="32"/>
          <w:szCs w:val="32"/>
        </w:rPr>
        <w:t>2.文昌阁</w:t>
      </w:r>
    </w:p>
    <w:p w14:paraId="7A0D42DE">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文昌阁始建于清朝乾隆三十二年（公元1767年），建成于乾隆三十五年（公元1770年），翟氏家族在明清两朝的科举考试中共考中7位翰林，15位进士，68位举人，千余名秀才，阁内供奉有道教星宿“文昌帝君”，故取名文昌阁，“文昌”有文运昌盛之意。清朝时，翟氏家族就曾成立过震川文会和文昌会两个文学团体，被誉为泾县的“书香门第”。</w:t>
      </w:r>
    </w:p>
    <w:p w14:paraId="5B98A4F2">
      <w:pPr>
        <w:ind w:firstLine="640" w:firstLineChars="200"/>
        <w:rPr>
          <w:rFonts w:ascii="仿宋" w:hAnsi="仿宋" w:eastAsia="仿宋" w:cs="仿宋"/>
          <w:sz w:val="32"/>
          <w:szCs w:val="32"/>
        </w:rPr>
      </w:pPr>
      <w:r>
        <w:rPr>
          <w:rFonts w:hint="eastAsia" w:ascii="仿宋" w:hAnsi="仿宋" w:eastAsia="仿宋" w:cs="仿宋"/>
          <w:sz w:val="32"/>
          <w:szCs w:val="32"/>
        </w:rPr>
        <w:t>文昌阁底层正面悬“盛世文明”横匾，二层屏风上方有“文光射斗”四字，三层有“共登云梯”竖匾，并塑有文昌菩萨。龛上有“直冲云霄”匾额。这些匾额都铭记着昔日翟氏宗族文化的辉煌与荣耀。文昌阁占地十余亩，外围有院墙，内有花径、松岗、竹林、水池；阁后为广阔的田野，赵青藜诗称：“四百阡丘万顷田”。登阁远眺，远山近水尽收眼底。</w:t>
      </w:r>
    </w:p>
    <w:p w14:paraId="26A3693D">
      <w:pPr>
        <w:rPr>
          <w:rFonts w:ascii="仿宋" w:hAnsi="仿宋" w:eastAsia="仿宋" w:cs="仿宋"/>
          <w:sz w:val="32"/>
          <w:szCs w:val="32"/>
          <w:lang w:eastAsia="zh"/>
        </w:rPr>
      </w:pPr>
      <w:r>
        <w:rPr>
          <w:rFonts w:hint="eastAsia" w:ascii="仿宋" w:hAnsi="仿宋" w:eastAsia="仿宋" w:cs="仿宋"/>
          <w:sz w:val="32"/>
          <w:szCs w:val="32"/>
        </w:rPr>
        <w:drawing>
          <wp:inline distT="0" distB="0" distL="114300" distR="114300">
            <wp:extent cx="5194935" cy="3946525"/>
            <wp:effectExtent l="0" t="0" r="5715" b="15875"/>
            <wp:docPr id="5" name="图片 5" descr="荷花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荷花塘"/>
                    <pic:cNvPicPr>
                      <a:picLocks noChangeAspect="1"/>
                    </pic:cNvPicPr>
                  </pic:nvPicPr>
                  <pic:blipFill>
                    <a:blip r:embed="rId10"/>
                    <a:stretch>
                      <a:fillRect/>
                    </a:stretch>
                  </pic:blipFill>
                  <pic:spPr>
                    <a:xfrm>
                      <a:off x="0" y="0"/>
                      <a:ext cx="5194935" cy="3946525"/>
                    </a:xfrm>
                    <a:prstGeom prst="rect">
                      <a:avLst/>
                    </a:prstGeom>
                  </pic:spPr>
                </pic:pic>
              </a:graphicData>
            </a:graphic>
          </wp:inline>
        </w:drawing>
      </w:r>
    </w:p>
    <w:p w14:paraId="08E80C05">
      <w:pPr>
        <w:spacing w:line="56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3.南阳古镇（水东老街）</w:t>
      </w:r>
    </w:p>
    <w:p w14:paraId="704F9ADD">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南阳镇形成于明初，明清两代逐渐兴盛并得以完善。整个南阳镇仿城堡而建，街道、门楼均可骑马而过，分别建有上中下骑马楼，沿河也有一条能武装骑马的卵石路，曾有“周官埠头跑马镇”之称。南阳镇门楼曾列水东十景之首，门楼高二层为砖木结构，半圆形的门洞上方嵌有“南阳镇”字样，檐下有两条彩画，内侧上下层均敞开，上层有雕刻精细的梁柱和窗栏，底层供人休息的石条凳，是出入水东集镇的必经之道。南阳古镇现有较为完整的明清古屋</w:t>
      </w:r>
      <w:r>
        <w:rPr>
          <w:rFonts w:ascii="仿宋" w:hAnsi="仿宋" w:eastAsia="仿宋" w:cs="仿宋"/>
          <w:sz w:val="32"/>
          <w:szCs w:val="32"/>
        </w:rPr>
        <w:t>300多座；</w:t>
      </w:r>
      <w:r>
        <w:rPr>
          <w:rFonts w:hint="eastAsia" w:ascii="仿宋" w:hAnsi="仿宋" w:eastAsia="仿宋" w:cs="仿宋"/>
          <w:sz w:val="32"/>
          <w:szCs w:val="32"/>
        </w:rPr>
        <w:t>集镇成型于明初，地域历史可追溯至汉代</w:t>
      </w:r>
      <w:r>
        <w:rPr>
          <w:rFonts w:ascii="仿宋" w:hAnsi="仿宋" w:eastAsia="仿宋" w:cs="仿宋"/>
          <w:sz w:val="32"/>
          <w:szCs w:val="32"/>
        </w:rPr>
        <w:t>，汉代称陵阳，东晋改为广阳，唐代开始，在这里设南阳县，唐武德八年（公元625年），废南阳、安吴两县，与泾县合并，统称泾县，隶属宣州，因桃花潭沿袭的南阳名，称南阳镇。</w:t>
      </w:r>
    </w:p>
    <w:p w14:paraId="61ACDC19">
      <w:pPr>
        <w:rPr>
          <w:rFonts w:ascii="仿宋" w:hAnsi="仿宋" w:eastAsia="仿宋" w:cs="仿宋"/>
          <w:b/>
          <w:bCs/>
          <w:sz w:val="32"/>
          <w:szCs w:val="32"/>
        </w:rPr>
      </w:pPr>
      <w:r>
        <w:drawing>
          <wp:inline distT="0" distB="0" distL="114300" distR="114300">
            <wp:extent cx="5276850" cy="3863340"/>
            <wp:effectExtent l="0" t="0" r="0" b="3810"/>
            <wp:docPr id="16388" name="图片 16387" descr="20091115213758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 name="图片 16387" descr="20091115213758202"/>
                    <pic:cNvPicPr>
                      <a:picLocks noChangeAspect="1"/>
                    </pic:cNvPicPr>
                  </pic:nvPicPr>
                  <pic:blipFill>
                    <a:blip r:embed="rId11"/>
                    <a:stretch>
                      <a:fillRect/>
                    </a:stretch>
                  </pic:blipFill>
                  <pic:spPr>
                    <a:xfrm>
                      <a:off x="0" y="0"/>
                      <a:ext cx="5276850" cy="3863340"/>
                    </a:xfrm>
                    <a:prstGeom prst="rect">
                      <a:avLst/>
                    </a:prstGeom>
                    <a:noFill/>
                    <a:ln w="9525">
                      <a:noFill/>
                    </a:ln>
                  </pic:spPr>
                </pic:pic>
              </a:graphicData>
            </a:graphic>
          </wp:inline>
        </w:drawing>
      </w:r>
    </w:p>
    <w:p w14:paraId="625F96FC">
      <w:pPr>
        <w:spacing w:line="560" w:lineRule="exact"/>
        <w:ind w:firstLine="643" w:firstLineChars="200"/>
        <w:rPr>
          <w:rFonts w:ascii="仿宋" w:hAnsi="仿宋" w:eastAsia="仿宋" w:cs="仿宋"/>
          <w:b/>
          <w:bCs/>
          <w:sz w:val="32"/>
          <w:szCs w:val="32"/>
        </w:rPr>
      </w:pPr>
    </w:p>
    <w:p w14:paraId="1A6EF098">
      <w:pPr>
        <w:spacing w:line="56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4.踏歌岸阁</w:t>
      </w:r>
    </w:p>
    <w:p w14:paraId="27715A2E">
      <w:pPr>
        <w:spacing w:line="560" w:lineRule="exact"/>
        <w:ind w:firstLine="640" w:firstLineChars="200"/>
        <w:rPr>
          <w:rFonts w:ascii="仿宋" w:hAnsi="仿宋" w:eastAsia="仿宋" w:cs="仿宋"/>
          <w:sz w:val="32"/>
          <w:szCs w:val="32"/>
        </w:rPr>
      </w:pPr>
      <w:r>
        <w:rPr>
          <w:rFonts w:ascii="仿宋" w:hAnsi="仿宋" w:eastAsia="仿宋" w:cs="仿宋"/>
          <w:sz w:val="32"/>
          <w:szCs w:val="32"/>
        </w:rPr>
        <w:t>踏歌岸阁为古色古香的二层阁楼。底层为过道，两边是砖砌实墙，下面是麻石砌成的基础，有石阶下河。阁楼底层向街道一面是敞开式，临潭为半圆形门洞。上层为一小楼，向潭一面设窗台栏杆，供游人凭眺潭上风光。小楼临街一面设木制屏风，刻《踏歌送行图》，再现汪伦送李白的情景。据记载，此楼建于明末清初，乾隆十三年(1748)重修，解放后又重修。</w:t>
      </w:r>
    </w:p>
    <w:p w14:paraId="5B719E74">
      <w:pPr>
        <w:rPr>
          <w:rFonts w:ascii="仿宋" w:hAnsi="仿宋" w:eastAsia="仿宋" w:cs="仿宋"/>
          <w:sz w:val="32"/>
          <w:szCs w:val="32"/>
        </w:rPr>
      </w:pPr>
      <w:r>
        <w:rPr>
          <w:rFonts w:hint="eastAsia" w:ascii="仿宋" w:hAnsi="仿宋" w:eastAsia="仿宋" w:cs="仿宋"/>
          <w:sz w:val="32"/>
          <w:szCs w:val="32"/>
        </w:rPr>
        <w:drawing>
          <wp:inline distT="0" distB="0" distL="114300" distR="114300">
            <wp:extent cx="5358130" cy="3560445"/>
            <wp:effectExtent l="0" t="0" r="13970" b="1905"/>
            <wp:docPr id="7" name="图片 7" descr="桃花潭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桃花潭封面"/>
                    <pic:cNvPicPr>
                      <a:picLocks noChangeAspect="1"/>
                    </pic:cNvPicPr>
                  </pic:nvPicPr>
                  <pic:blipFill>
                    <a:blip r:embed="rId12"/>
                    <a:stretch>
                      <a:fillRect/>
                    </a:stretch>
                  </pic:blipFill>
                  <pic:spPr>
                    <a:xfrm>
                      <a:off x="0" y="0"/>
                      <a:ext cx="5358130" cy="3560445"/>
                    </a:xfrm>
                    <a:prstGeom prst="rect">
                      <a:avLst/>
                    </a:prstGeom>
                  </pic:spPr>
                </pic:pic>
              </a:graphicData>
            </a:graphic>
          </wp:inline>
        </w:drawing>
      </w:r>
    </w:p>
    <w:p w14:paraId="3A3B2754">
      <w:pPr>
        <w:spacing w:line="560" w:lineRule="exact"/>
        <w:rPr>
          <w:rFonts w:ascii="仿宋" w:hAnsi="仿宋" w:eastAsia="仿宋" w:cs="仿宋"/>
          <w:b/>
          <w:bCs/>
          <w:sz w:val="32"/>
          <w:szCs w:val="32"/>
        </w:rPr>
      </w:pPr>
    </w:p>
    <w:p w14:paraId="42D98B7E">
      <w:pPr>
        <w:spacing w:line="56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5.怀仙阁</w:t>
      </w:r>
    </w:p>
    <w:p w14:paraId="4BE769E0">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怀仙阁建于明末清初，三层楼阁邻潭而建，是桃花潭最富象征性的建筑之一。诗仙曾经在此喝酒吟诗，“依竹林，邻幽潭，饮美酒</w:t>
      </w:r>
      <w:r>
        <w:rPr>
          <w:rFonts w:ascii="仿宋" w:hAnsi="仿宋" w:eastAsia="仿宋" w:cs="仿宋"/>
          <w:sz w:val="32"/>
          <w:szCs w:val="32"/>
        </w:rPr>
        <w:t>,抒豪情,吟佳作”,登临阁可饱览桃秀色,缅怀诗仙遗踪。</w:t>
      </w:r>
      <w:r>
        <w:rPr>
          <w:rFonts w:hint="eastAsia" w:ascii="仿宋" w:hAnsi="仿宋" w:eastAsia="仿宋" w:cs="仿宋"/>
          <w:sz w:val="32"/>
          <w:szCs w:val="32"/>
        </w:rPr>
        <w:t>怀仙阁与踏歌岸阁隔潭相望，是后人为纪念诗仙李白而建。现在的怀仙阁为1987年重建。</w:t>
      </w:r>
    </w:p>
    <w:p w14:paraId="0752B44B">
      <w:pPr>
        <w:rPr>
          <w:rFonts w:ascii="仿宋" w:hAnsi="仿宋" w:eastAsia="仿宋" w:cs="仿宋"/>
          <w:sz w:val="32"/>
          <w:szCs w:val="32"/>
        </w:rPr>
      </w:pPr>
      <w:r>
        <w:drawing>
          <wp:inline distT="0" distB="0" distL="114300" distR="114300">
            <wp:extent cx="5384800" cy="3514725"/>
            <wp:effectExtent l="0" t="0" r="6350" b="9525"/>
            <wp:docPr id="11267" name="图片 11266" descr="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 name="图片 11266" descr="07"/>
                    <pic:cNvPicPr>
                      <a:picLocks noChangeAspect="1"/>
                    </pic:cNvPicPr>
                  </pic:nvPicPr>
                  <pic:blipFill>
                    <a:blip r:embed="rId13"/>
                    <a:stretch>
                      <a:fillRect/>
                    </a:stretch>
                  </pic:blipFill>
                  <pic:spPr>
                    <a:xfrm>
                      <a:off x="0" y="0"/>
                      <a:ext cx="5384800" cy="3514725"/>
                    </a:xfrm>
                    <a:prstGeom prst="rect">
                      <a:avLst/>
                    </a:prstGeom>
                    <a:noFill/>
                    <a:ln w="9525">
                      <a:noFill/>
                    </a:ln>
                  </pic:spPr>
                </pic:pic>
              </a:graphicData>
            </a:graphic>
          </wp:inline>
        </w:drawing>
      </w:r>
    </w:p>
    <w:p w14:paraId="5CF22C30">
      <w:pPr>
        <w:spacing w:line="560" w:lineRule="exact"/>
        <w:rPr>
          <w:rFonts w:ascii="仿宋" w:hAnsi="仿宋" w:eastAsia="仿宋" w:cs="仿宋"/>
          <w:sz w:val="32"/>
          <w:szCs w:val="32"/>
        </w:rPr>
      </w:pPr>
    </w:p>
    <w:p w14:paraId="51D8D843">
      <w:pPr>
        <w:spacing w:line="56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6.义门</w:t>
      </w:r>
    </w:p>
    <w:p w14:paraId="334F6F90">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义门始建于唐朝贞观五年（公元631年），清朝乾隆年间重修，占地面积约60平方米，底层是万村南面出入的通道，上层为阁楼，正面三方实墙到顶，构成“八字形”门墙。据《万氏宗谱》记载，唐贞观年间万氏家族自万晏起五世同堂，家族成员和睦，相处融洽，从未因小事而起纷争。唐太和六年三月，皇帝派沈传师为观察使，亲至桃花潭巡查、考证，得知万氏家族确系五世同堂共居（302口人），同食、同作、同住，和睦井然。回京后奏报皇上，皇上感其族孝义，亲书义门两字御赠并建义门以示旌表。万氏居民以此为荣，于是将义门作为村子的大门。</w:t>
      </w:r>
    </w:p>
    <w:p w14:paraId="2D6CA3DE">
      <w:pPr>
        <w:rPr>
          <w:rFonts w:ascii="仿宋" w:hAnsi="仿宋" w:eastAsia="仿宋" w:cs="仿宋"/>
          <w:sz w:val="32"/>
          <w:szCs w:val="32"/>
        </w:rPr>
      </w:pPr>
      <w:r>
        <w:rPr>
          <w:rFonts w:hint="eastAsia" w:ascii="仿宋" w:hAnsi="仿宋" w:eastAsia="仿宋" w:cs="仿宋"/>
          <w:sz w:val="32"/>
          <w:szCs w:val="32"/>
        </w:rPr>
        <w:drawing>
          <wp:inline distT="0" distB="0" distL="114300" distR="114300">
            <wp:extent cx="5266690" cy="3950335"/>
            <wp:effectExtent l="0" t="0" r="10160" b="12065"/>
            <wp:docPr id="17" name="图片 17" descr="照片lllllll老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照片lllllll老 346"/>
                    <pic:cNvPicPr>
                      <a:picLocks noChangeAspect="1"/>
                    </pic:cNvPicPr>
                  </pic:nvPicPr>
                  <pic:blipFill>
                    <a:blip r:embed="rId14"/>
                    <a:stretch>
                      <a:fillRect/>
                    </a:stretch>
                  </pic:blipFill>
                  <pic:spPr>
                    <a:xfrm>
                      <a:off x="0" y="0"/>
                      <a:ext cx="5266690" cy="3950335"/>
                    </a:xfrm>
                    <a:prstGeom prst="rect">
                      <a:avLst/>
                    </a:prstGeom>
                  </pic:spPr>
                </pic:pic>
              </a:graphicData>
            </a:graphic>
          </wp:inline>
        </w:drawing>
      </w:r>
    </w:p>
    <w:p w14:paraId="0ECF410C">
      <w:pPr>
        <w:rPr>
          <w:rFonts w:ascii="仿宋" w:hAnsi="仿宋" w:eastAsia="仿宋" w:cs="仿宋"/>
          <w:sz w:val="32"/>
          <w:szCs w:val="32"/>
        </w:rPr>
      </w:pPr>
      <w:r>
        <w:rPr>
          <w:rFonts w:hint="eastAsia" w:ascii="仿宋" w:hAnsi="仿宋" w:eastAsia="仿宋" w:cs="仿宋"/>
          <w:sz w:val="32"/>
          <w:szCs w:val="32"/>
        </w:rPr>
        <w:drawing>
          <wp:inline distT="0" distB="0" distL="114300" distR="114300">
            <wp:extent cx="5238750" cy="3557905"/>
            <wp:effectExtent l="0" t="0" r="0" b="4445"/>
            <wp:docPr id="10" name="图片 10" descr="IMG_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147"/>
                    <pic:cNvPicPr>
                      <a:picLocks noChangeAspect="1"/>
                    </pic:cNvPicPr>
                  </pic:nvPicPr>
                  <pic:blipFill>
                    <a:blip r:embed="rId15"/>
                    <a:stretch>
                      <a:fillRect/>
                    </a:stretch>
                  </pic:blipFill>
                  <pic:spPr>
                    <a:xfrm rot="10800000" flipV="1">
                      <a:off x="0" y="0"/>
                      <a:ext cx="5252124" cy="3567469"/>
                    </a:xfrm>
                    <a:prstGeom prst="rect">
                      <a:avLst/>
                    </a:prstGeom>
                  </pic:spPr>
                </pic:pic>
              </a:graphicData>
            </a:graphic>
          </wp:inline>
        </w:drawing>
      </w:r>
    </w:p>
    <w:p w14:paraId="76D741DD">
      <w:pPr>
        <w:ind w:firstLine="643" w:firstLineChars="200"/>
        <w:rPr>
          <w:rFonts w:ascii="仿宋" w:hAnsi="仿宋" w:eastAsia="仿宋" w:cs="仿宋"/>
          <w:sz w:val="32"/>
          <w:szCs w:val="32"/>
        </w:rPr>
      </w:pPr>
      <w:r>
        <w:rPr>
          <w:rFonts w:ascii="仿宋" w:hAnsi="仿宋" w:eastAsia="仿宋" w:cs="仿宋"/>
          <w:b/>
          <w:bCs/>
          <w:sz w:val="32"/>
          <w:szCs w:val="32"/>
        </w:rPr>
        <w:t>7.</w:t>
      </w:r>
      <w:r>
        <w:rPr>
          <w:rFonts w:hint="eastAsia" w:ascii="仿宋" w:hAnsi="仿宋" w:eastAsia="仿宋" w:cs="仿宋"/>
          <w:b/>
          <w:bCs/>
          <w:sz w:val="32"/>
          <w:szCs w:val="32"/>
        </w:rPr>
        <w:t>满孙公祠</w:t>
      </w:r>
    </w:p>
    <w:p w14:paraId="32C920F7">
      <w:pPr>
        <w:ind w:firstLine="640" w:firstLineChars="200"/>
      </w:pPr>
      <w:r>
        <w:rPr>
          <w:rFonts w:hint="eastAsia" w:ascii="仿宋" w:hAnsi="仿宋" w:eastAsia="仿宋" w:cs="仿宋"/>
          <w:sz w:val="32"/>
          <w:szCs w:val="32"/>
        </w:rPr>
        <w:t>满孙公祠建于清朝乾隆年间，前后共两进，典型的徽派建筑特色，高低有致的马头墙，四水归堂的天井，四面高开的小窗。但最具特色的还是前厅两边墙上镶嵌的两块天然大理石的龙虎碑。碑高</w:t>
      </w:r>
      <w:r>
        <w:rPr>
          <w:rFonts w:ascii="仿宋" w:hAnsi="仿宋" w:eastAsia="仿宋" w:cs="仿宋"/>
          <w:sz w:val="32"/>
          <w:szCs w:val="32"/>
        </w:rPr>
        <w:t>120厘米，宽85厘米，因为碑面花纹分别</w:t>
      </w:r>
      <w:r>
        <w:rPr>
          <w:rFonts w:hint="eastAsia" w:ascii="仿宋" w:hAnsi="仿宋" w:eastAsia="仿宋" w:cs="仿宋"/>
          <w:sz w:val="32"/>
          <w:szCs w:val="32"/>
        </w:rPr>
        <w:t>像龙和虎</w:t>
      </w:r>
      <w:r>
        <w:rPr>
          <w:rFonts w:ascii="仿宋" w:hAnsi="仿宋" w:eastAsia="仿宋" w:cs="仿宋"/>
          <w:sz w:val="32"/>
          <w:szCs w:val="32"/>
        </w:rPr>
        <w:t>而得名。每逢天气返潮，空气湿度增加时，碑面图纹的颜色自然地由内至外不断加深，龙和虎的形象更加清晰生动。关于这两块碑的来历，据史料记载，清朝乾隆年间（公元1775年）进士翟槐（号立斋）时任云南主考官，一当地士子为求高中，赠送了两块有龙虎形象的天然大理石石碑给他，翟槐发现了此石的奇特之处后，便准备进献给乾隆皇帝，不料在运送回京的路上患了重病，于是将碑带回家乡养病，不久病重去世，所以这两块碑就一直被保存在其家族分祠之中。</w:t>
      </w:r>
    </w:p>
    <w:p w14:paraId="7859B87C">
      <w:pPr>
        <w:rPr>
          <w:lang w:eastAsia="zh"/>
        </w:rPr>
      </w:pPr>
      <w:r>
        <w:drawing>
          <wp:anchor distT="0" distB="0" distL="114300" distR="114300" simplePos="0" relativeHeight="251661312" behindDoc="1" locked="0" layoutInCell="1" allowOverlap="1">
            <wp:simplePos x="0" y="0"/>
            <wp:positionH relativeFrom="column">
              <wp:posOffset>2663190</wp:posOffset>
            </wp:positionH>
            <wp:positionV relativeFrom="paragraph">
              <wp:posOffset>133350</wp:posOffset>
            </wp:positionV>
            <wp:extent cx="2145030" cy="3822700"/>
            <wp:effectExtent l="0" t="0" r="7620" b="6350"/>
            <wp:wrapTight wrapText="bothSides">
              <wp:wrapPolygon>
                <wp:start x="0" y="0"/>
                <wp:lineTo x="0" y="21528"/>
                <wp:lineTo x="21485" y="21528"/>
                <wp:lineTo x="21485" y="0"/>
                <wp:lineTo x="0" y="0"/>
              </wp:wrapPolygon>
            </wp:wrapTight>
            <wp:docPr id="4" name="图片 3" descr="DSC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DSC00119"/>
                    <pic:cNvPicPr>
                      <a:picLocks noChangeAspect="1"/>
                    </pic:cNvPicPr>
                  </pic:nvPicPr>
                  <pic:blipFill>
                    <a:blip r:embed="rId16"/>
                    <a:srcRect l="7306" t="2136" r="153" b="5257"/>
                    <a:stretch>
                      <a:fillRect/>
                    </a:stretch>
                  </pic:blipFill>
                  <pic:spPr>
                    <a:xfrm>
                      <a:off x="0" y="0"/>
                      <a:ext cx="2145030" cy="3822700"/>
                    </a:xfrm>
                    <a:prstGeom prst="rect">
                      <a:avLst/>
                    </a:prstGeom>
                    <a:noFill/>
                    <a:ln>
                      <a:noFill/>
                    </a:ln>
                  </pic:spPr>
                </pic:pic>
              </a:graphicData>
            </a:graphic>
          </wp:anchor>
        </w:drawing>
      </w:r>
      <w:r>
        <w:drawing>
          <wp:anchor distT="0" distB="0" distL="114300" distR="114300" simplePos="0" relativeHeight="251660288" behindDoc="1" locked="0" layoutInCell="1" allowOverlap="1">
            <wp:simplePos x="0" y="0"/>
            <wp:positionH relativeFrom="column">
              <wp:posOffset>21590</wp:posOffset>
            </wp:positionH>
            <wp:positionV relativeFrom="paragraph">
              <wp:posOffset>145415</wp:posOffset>
            </wp:positionV>
            <wp:extent cx="2094230" cy="3785870"/>
            <wp:effectExtent l="0" t="0" r="0" b="0"/>
            <wp:wrapTight wrapText="bothSides">
              <wp:wrapPolygon>
                <wp:start x="0" y="0"/>
                <wp:lineTo x="0" y="21520"/>
                <wp:lineTo x="21417" y="21520"/>
                <wp:lineTo x="21417" y="0"/>
                <wp:lineTo x="0" y="0"/>
              </wp:wrapPolygon>
            </wp:wrapTight>
            <wp:docPr id="2" name="图片 2" descr="DSC0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SC00118"/>
                    <pic:cNvPicPr>
                      <a:picLocks noChangeAspect="1"/>
                    </pic:cNvPicPr>
                  </pic:nvPicPr>
                  <pic:blipFill>
                    <a:blip r:embed="rId17"/>
                    <a:srcRect l="10513" t="7780" r="8199" b="9460"/>
                    <a:stretch>
                      <a:fillRect/>
                    </a:stretch>
                  </pic:blipFill>
                  <pic:spPr>
                    <a:xfrm>
                      <a:off x="0" y="0"/>
                      <a:ext cx="2094230" cy="3785870"/>
                    </a:xfrm>
                    <a:prstGeom prst="rect">
                      <a:avLst/>
                    </a:prstGeom>
                    <a:noFill/>
                    <a:ln>
                      <a:noFill/>
                    </a:ln>
                  </pic:spPr>
                </pic:pic>
              </a:graphicData>
            </a:graphic>
          </wp:anchor>
        </w:drawing>
      </w:r>
    </w:p>
    <w:p w14:paraId="6F4EF1E9">
      <w:pPr>
        <w:spacing w:line="560" w:lineRule="exact"/>
        <w:ind w:firstLine="643" w:firstLineChars="200"/>
        <w:rPr>
          <w:rFonts w:ascii="楷体" w:hAnsi="楷体" w:eastAsia="楷体" w:cs="楷体"/>
          <w:b/>
          <w:bCs/>
          <w:sz w:val="32"/>
          <w:szCs w:val="32"/>
          <w:lang w:eastAsia="zh"/>
        </w:rPr>
      </w:pPr>
      <w:r>
        <w:rPr>
          <w:rFonts w:hint="eastAsia" w:ascii="楷体" w:hAnsi="楷体" w:eastAsia="楷体" w:cs="楷体"/>
          <w:b/>
          <w:bCs/>
          <w:sz w:val="32"/>
          <w:szCs w:val="32"/>
          <w:lang w:eastAsia="zh"/>
        </w:rPr>
        <w:t>（三）康养资源类</w:t>
      </w:r>
    </w:p>
    <w:p w14:paraId="7414ACC0">
      <w:pPr>
        <w:pStyle w:val="15"/>
        <w:widowControl/>
        <w:spacing w:line="560" w:lineRule="exact"/>
        <w:ind w:firstLine="643" w:firstLineChars="200"/>
        <w:rPr>
          <w:rFonts w:ascii="仿宋_GB2312" w:hAnsi="仿宋_GB2312" w:eastAsia="仿宋_GB2312" w:cs="仿宋"/>
          <w:b/>
          <w:bCs/>
          <w:sz w:val="32"/>
          <w:szCs w:val="32"/>
        </w:rPr>
      </w:pPr>
      <w:r>
        <w:rPr>
          <w:rFonts w:hint="eastAsia" w:ascii="仿宋_GB2312" w:hAnsi="仿宋_GB2312" w:eastAsia="仿宋_GB2312" w:cs="仿宋"/>
          <w:b/>
          <w:bCs/>
          <w:sz w:val="32"/>
          <w:szCs w:val="32"/>
        </w:rPr>
        <w:t>1.桃花书院民宿</w:t>
      </w:r>
    </w:p>
    <w:p w14:paraId="683170B2">
      <w:pPr>
        <w:spacing w:line="560" w:lineRule="exact"/>
        <w:ind w:firstLine="640" w:firstLineChars="200"/>
        <w:rPr>
          <w:rFonts w:ascii="仿宋_GB2312" w:hAnsi="仿宋_GB2312" w:eastAsia="仿宋_GB2312" w:cs="仿宋"/>
          <w:b/>
          <w:bCs/>
          <w:sz w:val="32"/>
          <w:szCs w:val="32"/>
        </w:rPr>
      </w:pPr>
      <w:r>
        <w:rPr>
          <w:rFonts w:hint="eastAsia" w:ascii="仿宋" w:hAnsi="仿宋" w:eastAsia="仿宋" w:cs="仿宋"/>
          <w:sz w:val="32"/>
          <w:szCs w:val="32"/>
        </w:rPr>
        <w:t>桃花书院民宿</w:t>
      </w:r>
      <w:r>
        <w:rPr>
          <w:rFonts w:hint="eastAsia" w:ascii="仿宋" w:hAnsi="仿宋" w:eastAsia="仿宋" w:cs="仿宋"/>
          <w:bCs/>
          <w:color w:val="000000"/>
          <w:sz w:val="32"/>
          <w:szCs w:val="32"/>
        </w:rPr>
        <w:t>位于安徽省泾县桃花潭风景区内，</w:t>
      </w:r>
      <w:r>
        <w:rPr>
          <w:rFonts w:hint="eastAsia" w:ascii="仿宋" w:hAnsi="仿宋" w:eastAsia="仿宋" w:cs="仿宋"/>
          <w:sz w:val="32"/>
          <w:szCs w:val="32"/>
        </w:rPr>
        <w:t>于2022年6月正式投入运营，占地面积3350平方米，与312省道相邻。</w:t>
      </w:r>
      <w:r>
        <w:rPr>
          <w:rFonts w:hint="eastAsia" w:ascii="仿宋" w:hAnsi="仿宋" w:eastAsia="仿宋" w:cs="仿宋"/>
          <w:bCs/>
          <w:color w:val="000000"/>
          <w:sz w:val="32"/>
          <w:szCs w:val="32"/>
        </w:rPr>
        <w:t>民宿紧邻扶风会馆（明清建筑），属典型的皖南徽派书院式风格，</w:t>
      </w:r>
      <w:r>
        <w:rPr>
          <w:rFonts w:hint="eastAsia" w:ascii="仿宋_GB2312" w:hAnsi="新宋体" w:eastAsia="仿宋_GB2312"/>
          <w:sz w:val="32"/>
          <w:szCs w:val="32"/>
        </w:rPr>
        <w:t>内有</w:t>
      </w:r>
      <w:r>
        <w:rPr>
          <w:rFonts w:hint="eastAsia" w:ascii="仿宋" w:hAnsi="仿宋" w:eastAsia="仿宋" w:cs="仿宋"/>
          <w:sz w:val="32"/>
          <w:szCs w:val="32"/>
        </w:rPr>
        <w:t>星空房、亲子房12间及</w:t>
      </w:r>
      <w:r>
        <w:rPr>
          <w:rFonts w:hint="eastAsia" w:ascii="仿宋" w:hAnsi="仿宋" w:eastAsia="仿宋" w:cs="仿宋"/>
          <w:bCs/>
          <w:color w:val="000000"/>
          <w:sz w:val="32"/>
          <w:szCs w:val="32"/>
        </w:rPr>
        <w:t>图书分馆（市级职工书屋）和餐厅各1处，可向游客提供特色住宿餐饮、休闲娱乐、文化交流、旅游咨询、茶饮书社等服务。</w:t>
      </w:r>
      <w:r>
        <w:rPr>
          <w:rFonts w:hint="eastAsia" w:ascii="仿宋" w:hAnsi="仿宋" w:eastAsia="仿宋" w:cs="仿宋"/>
          <w:sz w:val="32"/>
          <w:szCs w:val="32"/>
        </w:rPr>
        <w:t>2024年，桃花书院荣获安徽省首批“金牌民宿”称号和宣城市“职工书屋”示范点的称号。</w:t>
      </w:r>
    </w:p>
    <w:p w14:paraId="656EA666">
      <w:pPr>
        <w:pStyle w:val="15"/>
        <w:widowControl/>
        <w:ind w:firstLine="0"/>
        <w:rPr>
          <w:rFonts w:ascii="仿宋_GB2312" w:hAnsi="仿宋_GB2312" w:eastAsia="仿宋_GB2312" w:cs="仿宋"/>
          <w:b/>
          <w:bCs/>
          <w:sz w:val="32"/>
          <w:szCs w:val="32"/>
        </w:rPr>
      </w:pPr>
    </w:p>
    <w:p w14:paraId="28696D7D">
      <w:pPr>
        <w:pStyle w:val="15"/>
        <w:widowControl/>
        <w:ind w:firstLine="0"/>
        <w:rPr>
          <w:rFonts w:ascii="仿宋_GB2312" w:hAnsi="仿宋_GB2312" w:eastAsia="仿宋_GB2312" w:cs="仿宋"/>
          <w:b/>
          <w:bCs/>
          <w:sz w:val="32"/>
          <w:szCs w:val="32"/>
        </w:rPr>
      </w:pPr>
      <w:r>
        <w:rPr>
          <w:rFonts w:hint="eastAsia" w:ascii="仿宋_GB2312" w:hAnsi="仿宋_GB2312" w:eastAsia="仿宋_GB2312" w:cs="仿宋"/>
          <w:b/>
          <w:bCs/>
          <w:sz w:val="32"/>
          <w:szCs w:val="32"/>
        </w:rPr>
        <w:drawing>
          <wp:anchor distT="0" distB="0" distL="114300" distR="114300" simplePos="0" relativeHeight="251659264" behindDoc="0" locked="0" layoutInCell="1" allowOverlap="1">
            <wp:simplePos x="0" y="0"/>
            <wp:positionH relativeFrom="column">
              <wp:posOffset>111760</wp:posOffset>
            </wp:positionH>
            <wp:positionV relativeFrom="paragraph">
              <wp:posOffset>88265</wp:posOffset>
            </wp:positionV>
            <wp:extent cx="5426710" cy="3615055"/>
            <wp:effectExtent l="0" t="0" r="2540" b="4445"/>
            <wp:wrapTopAndBottom/>
            <wp:docPr id="6" name="图片 6"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55"/>
                    <pic:cNvPicPr>
                      <a:picLocks noChangeAspect="1"/>
                    </pic:cNvPicPr>
                  </pic:nvPicPr>
                  <pic:blipFill>
                    <a:blip r:embed="rId18"/>
                    <a:stretch>
                      <a:fillRect/>
                    </a:stretch>
                  </pic:blipFill>
                  <pic:spPr>
                    <a:xfrm>
                      <a:off x="0" y="0"/>
                      <a:ext cx="5426710" cy="3615055"/>
                    </a:xfrm>
                    <a:prstGeom prst="rect">
                      <a:avLst/>
                    </a:prstGeom>
                  </pic:spPr>
                </pic:pic>
              </a:graphicData>
            </a:graphic>
          </wp:anchor>
        </w:drawing>
      </w:r>
    </w:p>
    <w:p w14:paraId="4702DFF1">
      <w:pPr>
        <w:spacing w:line="56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2.扶风会馆</w:t>
      </w:r>
    </w:p>
    <w:p w14:paraId="4B1EACE9">
      <w:pPr>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万氏家族于隋朝开皇年间以祖籍为号建立了扶风会馆，作为家族议事的场所、会客迎宾的馆舍。1997年国家文物局专家罗哲文等来此考察，称其为中华会馆的鼻祖，并题写了“扶风会馆”的匾额。扶风会馆前后共三进，其建筑面积420平方米。前进为门厅，大门上有刻着“扶风会馆”四字的青石嵌方，两边有对联“桃潭碧水，槐里清风”，后两进有大厅和厢房，是过去家族议事、会客的场所，历代均有重修，解放后一直为万村小学的校址。</w:t>
      </w:r>
    </w:p>
    <w:p w14:paraId="0F02B024">
      <w:pPr>
        <w:rPr>
          <w:rFonts w:ascii="仿宋" w:hAnsi="仿宋" w:eastAsia="仿宋" w:cs="仿宋"/>
          <w:sz w:val="32"/>
          <w:szCs w:val="32"/>
        </w:rPr>
      </w:pPr>
      <w:r>
        <w:rPr>
          <w:rFonts w:hint="eastAsia" w:ascii="仿宋" w:hAnsi="仿宋" w:eastAsia="仿宋" w:cs="仿宋"/>
          <w:sz w:val="32"/>
          <w:szCs w:val="32"/>
        </w:rPr>
        <w:drawing>
          <wp:inline distT="0" distB="0" distL="114300" distR="114300">
            <wp:extent cx="5266690" cy="3511550"/>
            <wp:effectExtent l="0" t="0" r="10160" b="12700"/>
            <wp:docPr id="21" name="图片 21" descr="mmexport177849441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mmexport1778494411369"/>
                    <pic:cNvPicPr>
                      <a:picLocks noChangeAspect="1"/>
                    </pic:cNvPicPr>
                  </pic:nvPicPr>
                  <pic:blipFill>
                    <a:blip r:embed="rId19"/>
                    <a:stretch>
                      <a:fillRect/>
                    </a:stretch>
                  </pic:blipFill>
                  <pic:spPr>
                    <a:xfrm>
                      <a:off x="0" y="0"/>
                      <a:ext cx="5266690" cy="3511550"/>
                    </a:xfrm>
                    <a:prstGeom prst="rect">
                      <a:avLst/>
                    </a:prstGeom>
                  </pic:spPr>
                </pic:pic>
              </a:graphicData>
            </a:graphic>
          </wp:inline>
        </w:drawing>
      </w:r>
    </w:p>
    <w:p w14:paraId="3DF70F9D">
      <w:pPr>
        <w:spacing w:line="560" w:lineRule="exact"/>
        <w:ind w:firstLine="640" w:firstLineChars="200"/>
        <w:rPr>
          <w:rFonts w:ascii="仿宋" w:hAnsi="仿宋" w:eastAsia="仿宋" w:cs="仿宋"/>
          <w:sz w:val="32"/>
          <w:szCs w:val="32"/>
          <w:lang w:eastAsia="zh"/>
        </w:rPr>
      </w:pPr>
    </w:p>
    <w:p w14:paraId="5EFE3F35">
      <w:pPr>
        <w:spacing w:line="560" w:lineRule="exact"/>
        <w:ind w:firstLine="643" w:firstLineChars="200"/>
        <w:rPr>
          <w:rFonts w:ascii="楷体" w:hAnsi="楷体" w:eastAsia="楷体" w:cs="楷体"/>
          <w:b/>
          <w:bCs/>
          <w:sz w:val="32"/>
          <w:szCs w:val="32"/>
          <w:lang w:eastAsia="zh"/>
        </w:rPr>
      </w:pPr>
      <w:r>
        <w:rPr>
          <w:rFonts w:hint="eastAsia" w:ascii="楷体" w:hAnsi="楷体" w:eastAsia="楷体" w:cs="楷体"/>
          <w:b/>
          <w:bCs/>
          <w:sz w:val="32"/>
          <w:szCs w:val="32"/>
          <w:lang w:eastAsia="zh"/>
        </w:rPr>
        <w:t>（四）民俗风物类</w:t>
      </w:r>
    </w:p>
    <w:p w14:paraId="7E4693FA">
      <w:pPr>
        <w:widowControl/>
        <w:ind w:firstLine="643" w:firstLineChars="200"/>
        <w:jc w:val="left"/>
        <w:rPr>
          <w:rFonts w:ascii="仿宋_GB2312" w:hAnsi="仿宋_GB2312" w:eastAsia="仿宋_GB2312" w:cs="仿宋"/>
          <w:b/>
          <w:bCs/>
          <w:kern w:val="0"/>
          <w:sz w:val="32"/>
          <w:szCs w:val="32"/>
          <w:lang w:bidi="ar"/>
        </w:rPr>
      </w:pPr>
      <w:r>
        <w:rPr>
          <w:rFonts w:hint="eastAsia" w:ascii="仿宋_GB2312" w:hAnsi="仿宋_GB2312" w:eastAsia="仿宋_GB2312" w:cs="仿宋"/>
          <w:b/>
          <w:bCs/>
          <w:kern w:val="0"/>
          <w:sz w:val="32"/>
          <w:szCs w:val="32"/>
          <w:lang w:bidi="ar"/>
        </w:rPr>
        <w:t>1.桃花潭“端午”龙舟赛</w:t>
      </w:r>
    </w:p>
    <w:p w14:paraId="271418E7">
      <w:pPr>
        <w:widowControl/>
        <w:ind w:firstLine="640" w:firstLineChars="200"/>
        <w:jc w:val="left"/>
        <w:rPr>
          <w:rFonts w:ascii="仿宋" w:hAnsi="仿宋" w:eastAsia="仿宋" w:cs="仿宋"/>
          <w:kern w:val="0"/>
          <w:sz w:val="32"/>
          <w:szCs w:val="32"/>
          <w:lang w:eastAsia="zh" w:bidi="ar"/>
        </w:rPr>
      </w:pPr>
      <w:r>
        <w:rPr>
          <w:rFonts w:hint="eastAsia" w:ascii="仿宋" w:hAnsi="仿宋" w:eastAsia="仿宋" w:cs="仿宋"/>
          <w:kern w:val="0"/>
          <w:sz w:val="32"/>
          <w:szCs w:val="32"/>
          <w:lang w:eastAsia="zh" w:bidi="ar"/>
        </w:rPr>
        <w:t>桃花潭龙舟赛是每年端午节前后在安徽省宣城市泾县桃花潭镇举办的一项历史悠久、极具地方特色的传统民俗活动与体育盛事。它根植于当地深厚的龙舟文化，并因李白《赠汪伦》的千古绝句而更具诗意和文化魅力。</w:t>
      </w:r>
    </w:p>
    <w:p w14:paraId="6B81BF5B">
      <w:pPr>
        <w:widowControl/>
        <w:jc w:val="left"/>
        <w:rPr>
          <w:rFonts w:ascii="仿宋" w:hAnsi="仿宋" w:eastAsia="仿宋" w:cs="仿宋"/>
          <w:kern w:val="0"/>
          <w:sz w:val="32"/>
          <w:szCs w:val="32"/>
          <w:lang w:bidi="ar"/>
        </w:rPr>
      </w:pPr>
      <w:r>
        <w:rPr>
          <w:rFonts w:hint="eastAsia" w:ascii="仿宋" w:hAnsi="仿宋" w:eastAsia="仿宋" w:cs="仿宋"/>
          <w:kern w:val="0"/>
          <w:sz w:val="32"/>
          <w:szCs w:val="32"/>
        </w:rPr>
        <w:drawing>
          <wp:inline distT="0" distB="0" distL="114300" distR="114300">
            <wp:extent cx="5408295" cy="3308985"/>
            <wp:effectExtent l="0" t="0" r="1905" b="5715"/>
            <wp:docPr id="9" name="图片 9" descr="传统习俗赛龙舟，承载着文化内涵。2016年拍摄于桃花潭端午龙舟竞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传统习俗赛龙舟，承载着文化内涵。2016年拍摄于桃花潭端午龙舟竞渡"/>
                    <pic:cNvPicPr>
                      <a:picLocks noChangeAspect="1"/>
                    </pic:cNvPicPr>
                  </pic:nvPicPr>
                  <pic:blipFill>
                    <a:blip r:embed="rId20"/>
                    <a:stretch>
                      <a:fillRect/>
                    </a:stretch>
                  </pic:blipFill>
                  <pic:spPr>
                    <a:xfrm>
                      <a:off x="0" y="0"/>
                      <a:ext cx="5408295" cy="3308985"/>
                    </a:xfrm>
                    <a:prstGeom prst="rect">
                      <a:avLst/>
                    </a:prstGeom>
                  </pic:spPr>
                </pic:pic>
              </a:graphicData>
            </a:graphic>
          </wp:inline>
        </w:drawing>
      </w:r>
    </w:p>
    <w:p w14:paraId="4C8AD106">
      <w:pPr>
        <w:widowControl/>
        <w:ind w:firstLine="643" w:firstLineChars="200"/>
        <w:jc w:val="left"/>
        <w:rPr>
          <w:rFonts w:ascii="仿宋_GB2312" w:hAnsi="仿宋_GB2312" w:eastAsia="仿宋_GB2312" w:cs="仿宋"/>
          <w:b/>
          <w:bCs/>
          <w:kern w:val="0"/>
          <w:sz w:val="32"/>
          <w:szCs w:val="32"/>
          <w:lang w:bidi="ar"/>
        </w:rPr>
      </w:pPr>
      <w:r>
        <w:rPr>
          <w:rFonts w:hint="eastAsia" w:ascii="仿宋_GB2312" w:hAnsi="仿宋_GB2312" w:eastAsia="仿宋_GB2312" w:cs="仿宋"/>
          <w:b/>
          <w:bCs/>
          <w:kern w:val="0"/>
          <w:sz w:val="32"/>
          <w:szCs w:val="32"/>
          <w:lang w:bidi="ar"/>
        </w:rPr>
        <w:t>2</w:t>
      </w:r>
      <w:r>
        <w:rPr>
          <w:rFonts w:hint="eastAsia" w:ascii="仿宋_GB2312" w:hAnsi="仿宋_GB2312" w:eastAsia="仿宋_GB2312" w:cs="仿宋"/>
          <w:b/>
          <w:bCs/>
          <w:kern w:val="0"/>
          <w:sz w:val="32"/>
          <w:szCs w:val="32"/>
          <w:lang w:eastAsia="zh" w:bidi="ar"/>
        </w:rPr>
        <w:t>.</w:t>
      </w:r>
      <w:r>
        <w:rPr>
          <w:rFonts w:hint="eastAsia" w:ascii="仿宋_GB2312" w:hAnsi="仿宋_GB2312" w:eastAsia="仿宋_GB2312" w:cs="仿宋"/>
          <w:b/>
          <w:bCs/>
          <w:kern w:val="0"/>
          <w:sz w:val="32"/>
          <w:szCs w:val="32"/>
          <w:lang w:bidi="ar"/>
        </w:rPr>
        <w:t>翟氏祭礼</w:t>
      </w:r>
    </w:p>
    <w:p w14:paraId="0CB3E388">
      <w:pPr>
        <w:widowControl/>
        <w:ind w:firstLine="640" w:firstLineChars="200"/>
        <w:jc w:val="left"/>
        <w:rPr>
          <w:rFonts w:ascii="仿宋_GB2312" w:hAnsi="仿宋_GB2312" w:eastAsia="仿宋_GB2312" w:cs="仿宋"/>
          <w:kern w:val="0"/>
          <w:sz w:val="32"/>
          <w:szCs w:val="32"/>
          <w:lang w:bidi="ar"/>
        </w:rPr>
      </w:pPr>
      <w:r>
        <w:rPr>
          <w:rFonts w:hint="eastAsia" w:ascii="仿宋_GB2312" w:hAnsi="仿宋_GB2312" w:eastAsia="仿宋_GB2312" w:cs="仿宋"/>
          <w:kern w:val="0"/>
          <w:sz w:val="32"/>
          <w:szCs w:val="32"/>
          <w:lang w:bidi="ar"/>
        </w:rPr>
        <w:t>桃花潭翟氏祭祖是安徽泾县桃花潭镇翟氏宗族传承数百年的传统祭祀礼仪活动，在中华第一祠（翟氏大宗祠）举行，缅怀翟氏先祖（如唐代翟建、明代翟国儒等），传承“忠孝传家”家风。每年祭祖两次，清明祭祖（最隆重）为每年4月4—5日，4日晚夜祭张公，5日上午祠内祭祖兼扫墓。腊月祭祖为腊月二十三晚祭张公、二十四日祭先祖，古礼传承至今，2025年列入泾县县级非物质文化遗产。</w:t>
      </w:r>
    </w:p>
    <w:p w14:paraId="66B8A237">
      <w:pPr>
        <w:widowControl/>
        <w:jc w:val="left"/>
        <w:rPr>
          <w:rFonts w:ascii="仿宋_GB2312" w:hAnsi="仿宋_GB2312" w:eastAsia="仿宋_GB2312" w:cs="仿宋"/>
          <w:b/>
          <w:bCs/>
          <w:kern w:val="0"/>
          <w:sz w:val="32"/>
          <w:szCs w:val="32"/>
          <w:lang w:bidi="ar"/>
        </w:rPr>
      </w:pPr>
      <w:r>
        <w:rPr>
          <w:rFonts w:hint="eastAsia" w:ascii="仿宋_GB2312" w:hAnsi="仿宋_GB2312" w:eastAsia="仿宋_GB2312" w:cs="仿宋"/>
          <w:b/>
          <w:bCs/>
          <w:kern w:val="0"/>
          <w:sz w:val="32"/>
          <w:szCs w:val="32"/>
        </w:rPr>
        <w:drawing>
          <wp:inline distT="0" distB="0" distL="114300" distR="114300">
            <wp:extent cx="5266690" cy="3511550"/>
            <wp:effectExtent l="0" t="0" r="10160" b="12700"/>
            <wp:docPr id="22" name="图片 22" descr="mmexport177849489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mmexport1778494894176"/>
                    <pic:cNvPicPr>
                      <a:picLocks noChangeAspect="1"/>
                    </pic:cNvPicPr>
                  </pic:nvPicPr>
                  <pic:blipFill>
                    <a:blip r:embed="rId21"/>
                    <a:stretch>
                      <a:fillRect/>
                    </a:stretch>
                  </pic:blipFill>
                  <pic:spPr>
                    <a:xfrm>
                      <a:off x="0" y="0"/>
                      <a:ext cx="5266690" cy="3511550"/>
                    </a:xfrm>
                    <a:prstGeom prst="rect">
                      <a:avLst/>
                    </a:prstGeom>
                  </pic:spPr>
                </pic:pic>
              </a:graphicData>
            </a:graphic>
          </wp:inline>
        </w:drawing>
      </w:r>
      <w:r>
        <w:rPr>
          <w:rFonts w:hint="eastAsia" w:ascii="仿宋_GB2312" w:hAnsi="仿宋_GB2312" w:eastAsia="仿宋_GB2312" w:cs="仿宋"/>
          <w:b/>
          <w:bCs/>
          <w:kern w:val="0"/>
          <w:sz w:val="32"/>
          <w:szCs w:val="32"/>
          <w:lang w:bidi="ar"/>
        </w:rPr>
        <w:t>3.</w:t>
      </w:r>
      <w:r>
        <w:rPr>
          <w:rFonts w:ascii="仿宋_GB2312" w:hAnsi="仿宋_GB2312" w:eastAsia="仿宋_GB2312" w:cs="仿宋"/>
          <w:b/>
          <w:bCs/>
          <w:kern w:val="0"/>
          <w:sz w:val="32"/>
          <w:szCs w:val="32"/>
          <w:lang w:bidi="ar"/>
        </w:rPr>
        <w:t>非遗鱼灯巡游</w:t>
      </w:r>
    </w:p>
    <w:p w14:paraId="00D696D1">
      <w:pPr>
        <w:widowControl/>
        <w:ind w:firstLine="640" w:firstLineChars="200"/>
        <w:jc w:val="left"/>
        <w:rPr>
          <w:rFonts w:ascii="仿宋_GB2312" w:hAnsi="仿宋_GB2312" w:eastAsia="仿宋_GB2312"/>
          <w:sz w:val="32"/>
          <w:szCs w:val="32"/>
        </w:rPr>
      </w:pPr>
      <w:r>
        <w:rPr>
          <w:rFonts w:hint="eastAsia" w:ascii="仿宋_GB2312" w:hAnsi="仿宋_GB2312" w:eastAsia="仿宋_GB2312" w:cs="仿宋"/>
          <w:kern w:val="0"/>
          <w:sz w:val="32"/>
          <w:szCs w:val="32"/>
          <w:lang w:bidi="ar"/>
        </w:rPr>
        <w:t>非遗鱼灯巡游是皖南传承至今的非遗民俗</w:t>
      </w:r>
      <w:r>
        <w:rPr>
          <w:rFonts w:ascii="仿宋_GB2312" w:hAnsi="仿宋_GB2312" w:eastAsia="仿宋_GB2312" w:cs="仿宋"/>
          <w:kern w:val="0"/>
          <w:sz w:val="32"/>
          <w:szCs w:val="32"/>
          <w:lang w:bidi="ar"/>
        </w:rPr>
        <w:t>，“</w:t>
      </w:r>
      <w:r>
        <w:rPr>
          <w:rFonts w:hint="eastAsia" w:ascii="仿宋_GB2312" w:hAnsi="仿宋_GB2312" w:eastAsia="仿宋_GB2312" w:cs="仿宋"/>
          <w:kern w:val="0"/>
          <w:sz w:val="32"/>
          <w:szCs w:val="32"/>
          <w:lang w:bidi="ar"/>
        </w:rPr>
        <w:t>凤箫声动，玉壶流转，一夜鱼龙舞。</w:t>
      </w:r>
      <w:r>
        <w:rPr>
          <w:rFonts w:ascii="仿宋_GB2312" w:hAnsi="仿宋_GB2312" w:eastAsia="仿宋_GB2312" w:cs="仿宋"/>
          <w:kern w:val="0"/>
          <w:sz w:val="32"/>
          <w:szCs w:val="32"/>
          <w:lang w:bidi="ar"/>
        </w:rPr>
        <w:t>”鱼灯队伍主要沿</w:t>
      </w:r>
      <w:r>
        <w:rPr>
          <w:rFonts w:hint="eastAsia" w:ascii="仿宋_GB2312" w:hAnsi="仿宋_GB2312" w:eastAsia="仿宋_GB2312" w:cs="仿宋"/>
          <w:kern w:val="0"/>
          <w:sz w:val="32"/>
          <w:szCs w:val="32"/>
          <w:lang w:bidi="ar"/>
        </w:rPr>
        <w:t>桃花潭</w:t>
      </w:r>
      <w:r>
        <w:rPr>
          <w:rFonts w:ascii="仿宋_GB2312" w:hAnsi="仿宋_GB2312" w:eastAsia="仿宋_GB2312" w:cs="仿宋"/>
          <w:kern w:val="0"/>
          <w:sz w:val="32"/>
          <w:szCs w:val="32"/>
          <w:lang w:bidi="ar"/>
        </w:rPr>
        <w:t>景区</w:t>
      </w:r>
      <w:r>
        <w:rPr>
          <w:rFonts w:hint="eastAsia" w:ascii="仿宋_GB2312" w:hAnsi="仿宋_GB2312" w:eastAsia="仿宋_GB2312" w:cs="仿宋"/>
          <w:kern w:val="0"/>
          <w:sz w:val="32"/>
          <w:szCs w:val="32"/>
          <w:lang w:bidi="ar"/>
        </w:rPr>
        <w:t>老街口、踏歌古岸</w:t>
      </w:r>
      <w:r>
        <w:rPr>
          <w:rFonts w:ascii="仿宋_GB2312" w:hAnsi="仿宋_GB2312" w:eastAsia="仿宋_GB2312" w:cs="仿宋"/>
          <w:kern w:val="0"/>
          <w:sz w:val="32"/>
          <w:szCs w:val="32"/>
          <w:lang w:bidi="ar"/>
        </w:rPr>
        <w:t>巡游祈福，象征着年年有余、鱼跃龙门等美好寓意</w:t>
      </w:r>
      <w:r>
        <w:rPr>
          <w:rFonts w:hint="eastAsia" w:ascii="仿宋_GB2312" w:hAnsi="仿宋_GB2312" w:eastAsia="仿宋_GB2312" w:cs="仿宋"/>
          <w:kern w:val="0"/>
          <w:sz w:val="32"/>
          <w:szCs w:val="32"/>
          <w:lang w:eastAsia="zh" w:bidi="ar"/>
        </w:rPr>
        <w:t>。</w:t>
      </w:r>
    </w:p>
    <w:p w14:paraId="38E22303">
      <w:pPr>
        <w:widowControl/>
        <w:ind w:firstLine="643" w:firstLineChars="200"/>
        <w:jc w:val="left"/>
        <w:rPr>
          <w:rFonts w:ascii="仿宋_GB2312" w:hAnsi="仿宋_GB2312" w:eastAsia="仿宋_GB2312" w:cs="仿宋"/>
          <w:b/>
          <w:bCs/>
          <w:kern w:val="0"/>
          <w:sz w:val="32"/>
          <w:szCs w:val="32"/>
          <w:lang w:bidi="ar"/>
        </w:rPr>
      </w:pPr>
    </w:p>
    <w:p w14:paraId="73A7951A">
      <w:pPr>
        <w:widowControl/>
        <w:jc w:val="left"/>
        <w:rPr>
          <w:rFonts w:ascii="仿宋_GB2312" w:hAnsi="仿宋_GB2312" w:eastAsia="仿宋_GB2312" w:cs="仿宋"/>
          <w:kern w:val="0"/>
          <w:sz w:val="32"/>
          <w:szCs w:val="32"/>
          <w:lang w:bidi="ar"/>
        </w:rPr>
      </w:pPr>
      <w:r>
        <w:rPr>
          <w:rFonts w:hint="eastAsia" w:ascii="仿宋_GB2312" w:hAnsi="仿宋_GB2312" w:eastAsia="仿宋_GB2312" w:cs="仿宋"/>
          <w:kern w:val="0"/>
          <w:sz w:val="32"/>
          <w:szCs w:val="32"/>
        </w:rPr>
        <w:drawing>
          <wp:inline distT="0" distB="0" distL="114300" distR="114300">
            <wp:extent cx="5257165" cy="3504565"/>
            <wp:effectExtent l="0" t="0" r="635" b="635"/>
            <wp:docPr id="3" name="图片 3"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4"/>
                    <pic:cNvPicPr>
                      <a:picLocks noChangeAspect="1"/>
                    </pic:cNvPicPr>
                  </pic:nvPicPr>
                  <pic:blipFill>
                    <a:blip r:embed="rId22"/>
                    <a:stretch>
                      <a:fillRect/>
                    </a:stretch>
                  </pic:blipFill>
                  <pic:spPr>
                    <a:xfrm>
                      <a:off x="0" y="0"/>
                      <a:ext cx="5257165" cy="3504565"/>
                    </a:xfrm>
                    <a:prstGeom prst="rect">
                      <a:avLst/>
                    </a:prstGeom>
                  </pic:spPr>
                </pic:pic>
              </a:graphicData>
            </a:graphic>
          </wp:inline>
        </w:drawing>
      </w:r>
    </w:p>
    <w:p w14:paraId="7B545D69">
      <w:pPr>
        <w:widowControl/>
        <w:jc w:val="left"/>
        <w:rPr>
          <w:rFonts w:ascii="仿宋_GB2312" w:hAnsi="仿宋_GB2312" w:eastAsia="仿宋_GB2312" w:cs="仿宋"/>
          <w:b/>
          <w:bCs/>
          <w:kern w:val="0"/>
          <w:sz w:val="32"/>
          <w:szCs w:val="32"/>
          <w:lang w:eastAsia="zh" w:bidi="ar"/>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60101010101"/>
    <w:charset w:val="86"/>
    <w:family w:val="modern"/>
    <w:pitch w:val="default"/>
    <w:sig w:usb0="00000000" w:usb1="00000000" w:usb2="00000016" w:usb3="00000000" w:csb0="00040001"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6022581"/>
    </w:sdtPr>
    <w:sdtContent>
      <w:p w14:paraId="6EF2839A">
        <w:pPr>
          <w:pStyle w:val="4"/>
          <w:jc w:val="center"/>
        </w:pPr>
        <w:r>
          <w:fldChar w:fldCharType="begin"/>
        </w:r>
        <w:r>
          <w:instrText xml:space="preserve">PAGE   \* MERGEFORMAT</w:instrText>
        </w:r>
        <w:r>
          <w:fldChar w:fldCharType="separate"/>
        </w:r>
        <w:r>
          <w:rPr>
            <w:lang w:val="zh-CN"/>
          </w:rPr>
          <w:t>18</w:t>
        </w:r>
        <w:r>
          <w:fldChar w:fldCharType="end"/>
        </w:r>
      </w:p>
    </w:sdtContent>
  </w:sdt>
  <w:p w14:paraId="60B520F4">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13"/>
    <w:rsid w:val="000172A0"/>
    <w:rsid w:val="00027E33"/>
    <w:rsid w:val="00045B5F"/>
    <w:rsid w:val="00065B4F"/>
    <w:rsid w:val="0007342C"/>
    <w:rsid w:val="00092482"/>
    <w:rsid w:val="00137CA4"/>
    <w:rsid w:val="001573CF"/>
    <w:rsid w:val="0017416E"/>
    <w:rsid w:val="00175F50"/>
    <w:rsid w:val="001C1830"/>
    <w:rsid w:val="001C65BB"/>
    <w:rsid w:val="00232C71"/>
    <w:rsid w:val="002E558C"/>
    <w:rsid w:val="00305EA8"/>
    <w:rsid w:val="003335EE"/>
    <w:rsid w:val="00356387"/>
    <w:rsid w:val="003B311B"/>
    <w:rsid w:val="003C625A"/>
    <w:rsid w:val="003F39F4"/>
    <w:rsid w:val="004509C1"/>
    <w:rsid w:val="00450FB2"/>
    <w:rsid w:val="00454213"/>
    <w:rsid w:val="004A3BB2"/>
    <w:rsid w:val="004E359D"/>
    <w:rsid w:val="005D5785"/>
    <w:rsid w:val="00611D68"/>
    <w:rsid w:val="006553ED"/>
    <w:rsid w:val="006878A3"/>
    <w:rsid w:val="006B5C32"/>
    <w:rsid w:val="00716539"/>
    <w:rsid w:val="00761A6F"/>
    <w:rsid w:val="007B505C"/>
    <w:rsid w:val="007C6BEF"/>
    <w:rsid w:val="007C7D37"/>
    <w:rsid w:val="007E7FAF"/>
    <w:rsid w:val="007F74B8"/>
    <w:rsid w:val="00816058"/>
    <w:rsid w:val="0082290C"/>
    <w:rsid w:val="008B02CD"/>
    <w:rsid w:val="008E6013"/>
    <w:rsid w:val="008F7B24"/>
    <w:rsid w:val="0092039D"/>
    <w:rsid w:val="0093164A"/>
    <w:rsid w:val="00964BBF"/>
    <w:rsid w:val="00970F44"/>
    <w:rsid w:val="0097394F"/>
    <w:rsid w:val="009809EA"/>
    <w:rsid w:val="00981E81"/>
    <w:rsid w:val="009F4DED"/>
    <w:rsid w:val="00A12E03"/>
    <w:rsid w:val="00A5479C"/>
    <w:rsid w:val="00A65D1F"/>
    <w:rsid w:val="00A95E7F"/>
    <w:rsid w:val="00AA2E9B"/>
    <w:rsid w:val="00AA470B"/>
    <w:rsid w:val="00B5362A"/>
    <w:rsid w:val="00BD4921"/>
    <w:rsid w:val="00C16714"/>
    <w:rsid w:val="00C16C1B"/>
    <w:rsid w:val="00C239B7"/>
    <w:rsid w:val="00C5234F"/>
    <w:rsid w:val="00D17ED3"/>
    <w:rsid w:val="00DE5EA9"/>
    <w:rsid w:val="00E54741"/>
    <w:rsid w:val="00E5544F"/>
    <w:rsid w:val="00E55CF8"/>
    <w:rsid w:val="00E60E99"/>
    <w:rsid w:val="00EA479D"/>
    <w:rsid w:val="00F55243"/>
    <w:rsid w:val="00FA150F"/>
    <w:rsid w:val="00FD67ED"/>
    <w:rsid w:val="00FF46C2"/>
    <w:rsid w:val="01844D0B"/>
    <w:rsid w:val="021F298B"/>
    <w:rsid w:val="023A0FB7"/>
    <w:rsid w:val="039FCCB7"/>
    <w:rsid w:val="041F7ED2"/>
    <w:rsid w:val="046038D9"/>
    <w:rsid w:val="077A1E53"/>
    <w:rsid w:val="07F7141C"/>
    <w:rsid w:val="087374E7"/>
    <w:rsid w:val="094D3B52"/>
    <w:rsid w:val="0BBC2E35"/>
    <w:rsid w:val="0C605AD8"/>
    <w:rsid w:val="0E8B2028"/>
    <w:rsid w:val="11415DB9"/>
    <w:rsid w:val="11C314B3"/>
    <w:rsid w:val="131E5EEC"/>
    <w:rsid w:val="15027387"/>
    <w:rsid w:val="154C6501"/>
    <w:rsid w:val="16B569CD"/>
    <w:rsid w:val="182E403B"/>
    <w:rsid w:val="190D36A9"/>
    <w:rsid w:val="19BD637A"/>
    <w:rsid w:val="1B6924DA"/>
    <w:rsid w:val="1C137D70"/>
    <w:rsid w:val="1D57841E"/>
    <w:rsid w:val="1E62123C"/>
    <w:rsid w:val="1F7F049F"/>
    <w:rsid w:val="200C6AA5"/>
    <w:rsid w:val="216551DD"/>
    <w:rsid w:val="22A763E9"/>
    <w:rsid w:val="22A805E7"/>
    <w:rsid w:val="23181B9F"/>
    <w:rsid w:val="263578BE"/>
    <w:rsid w:val="26742C26"/>
    <w:rsid w:val="28E35D38"/>
    <w:rsid w:val="2AFC4314"/>
    <w:rsid w:val="2C790EAB"/>
    <w:rsid w:val="2CAE39EA"/>
    <w:rsid w:val="2DE125AA"/>
    <w:rsid w:val="2E930678"/>
    <w:rsid w:val="319E0453"/>
    <w:rsid w:val="32AB29E5"/>
    <w:rsid w:val="33FE3CEC"/>
    <w:rsid w:val="35DF0299"/>
    <w:rsid w:val="3609153B"/>
    <w:rsid w:val="368F2692"/>
    <w:rsid w:val="36E630A0"/>
    <w:rsid w:val="38DE4FBB"/>
    <w:rsid w:val="394E0F10"/>
    <w:rsid w:val="3AC7657F"/>
    <w:rsid w:val="3BBF4320"/>
    <w:rsid w:val="3BF71714"/>
    <w:rsid w:val="3C77E999"/>
    <w:rsid w:val="3D8F1C6D"/>
    <w:rsid w:val="3EB6804C"/>
    <w:rsid w:val="3EDD5382"/>
    <w:rsid w:val="3F4E73C7"/>
    <w:rsid w:val="3F7EF8E3"/>
    <w:rsid w:val="3F7F9C50"/>
    <w:rsid w:val="3F875848"/>
    <w:rsid w:val="3FB54B7A"/>
    <w:rsid w:val="3FB697D3"/>
    <w:rsid w:val="3FD776D8"/>
    <w:rsid w:val="3FDFCA36"/>
    <w:rsid w:val="3FF7B8A0"/>
    <w:rsid w:val="3FFC7C14"/>
    <w:rsid w:val="417FD69C"/>
    <w:rsid w:val="42E55F0E"/>
    <w:rsid w:val="4357300A"/>
    <w:rsid w:val="43DB099D"/>
    <w:rsid w:val="43EB0319"/>
    <w:rsid w:val="464D77E5"/>
    <w:rsid w:val="46EF156C"/>
    <w:rsid w:val="47AB4F14"/>
    <w:rsid w:val="47BF1C45"/>
    <w:rsid w:val="4D4B515F"/>
    <w:rsid w:val="4D7A022C"/>
    <w:rsid w:val="4D956858"/>
    <w:rsid w:val="4FFC4516"/>
    <w:rsid w:val="51650DEE"/>
    <w:rsid w:val="516E19A6"/>
    <w:rsid w:val="526F5645"/>
    <w:rsid w:val="527C37E2"/>
    <w:rsid w:val="53BF5129"/>
    <w:rsid w:val="5411167A"/>
    <w:rsid w:val="54495057"/>
    <w:rsid w:val="54864F33"/>
    <w:rsid w:val="54972E70"/>
    <w:rsid w:val="577647A2"/>
    <w:rsid w:val="57DF71D5"/>
    <w:rsid w:val="57FB9D48"/>
    <w:rsid w:val="58EA72EF"/>
    <w:rsid w:val="59F7F4A3"/>
    <w:rsid w:val="5AE31628"/>
    <w:rsid w:val="5BD58537"/>
    <w:rsid w:val="5DD7A0DA"/>
    <w:rsid w:val="5E7B5C67"/>
    <w:rsid w:val="5EBE53F5"/>
    <w:rsid w:val="5F778B62"/>
    <w:rsid w:val="5FF3E62B"/>
    <w:rsid w:val="5FFB1C8E"/>
    <w:rsid w:val="5FFBC9A8"/>
    <w:rsid w:val="5FFF7D54"/>
    <w:rsid w:val="5FFF86C1"/>
    <w:rsid w:val="5FFFDBF1"/>
    <w:rsid w:val="62D94232"/>
    <w:rsid w:val="64E86554"/>
    <w:rsid w:val="6584299C"/>
    <w:rsid w:val="67D35E3A"/>
    <w:rsid w:val="68BBA1C7"/>
    <w:rsid w:val="697B3887"/>
    <w:rsid w:val="6B7FBA31"/>
    <w:rsid w:val="6BDF90F0"/>
    <w:rsid w:val="6D1B5580"/>
    <w:rsid w:val="6D253A9E"/>
    <w:rsid w:val="6D3F614A"/>
    <w:rsid w:val="6D5A5008"/>
    <w:rsid w:val="6DAD2EFB"/>
    <w:rsid w:val="6DFF9862"/>
    <w:rsid w:val="6E632A2A"/>
    <w:rsid w:val="6EB33AAD"/>
    <w:rsid w:val="6EFE819C"/>
    <w:rsid w:val="6F3F884E"/>
    <w:rsid w:val="6FEF1C14"/>
    <w:rsid w:val="6FFC4423"/>
    <w:rsid w:val="6FFFE751"/>
    <w:rsid w:val="70340726"/>
    <w:rsid w:val="71FB73EB"/>
    <w:rsid w:val="73FF572D"/>
    <w:rsid w:val="74F96896"/>
    <w:rsid w:val="751F7979"/>
    <w:rsid w:val="75B82FB1"/>
    <w:rsid w:val="77BD8AC5"/>
    <w:rsid w:val="77FE94C0"/>
    <w:rsid w:val="77FEF433"/>
    <w:rsid w:val="78BDE0E7"/>
    <w:rsid w:val="7999518A"/>
    <w:rsid w:val="79B7BB13"/>
    <w:rsid w:val="79DF8A7A"/>
    <w:rsid w:val="79F7BC26"/>
    <w:rsid w:val="7ABD5285"/>
    <w:rsid w:val="7AF75FC9"/>
    <w:rsid w:val="7B679E45"/>
    <w:rsid w:val="7B7733D8"/>
    <w:rsid w:val="7BBDCBFD"/>
    <w:rsid w:val="7CDEE7ED"/>
    <w:rsid w:val="7D6BB804"/>
    <w:rsid w:val="7D7F73DE"/>
    <w:rsid w:val="7D8C7689"/>
    <w:rsid w:val="7DF73AF2"/>
    <w:rsid w:val="7E4EF9D6"/>
    <w:rsid w:val="7E7EC913"/>
    <w:rsid w:val="7ED03198"/>
    <w:rsid w:val="7EDDBEBA"/>
    <w:rsid w:val="7EE6DC3A"/>
    <w:rsid w:val="7EFBD473"/>
    <w:rsid w:val="7EFF77E5"/>
    <w:rsid w:val="7F2FE61D"/>
    <w:rsid w:val="7F4A4BE4"/>
    <w:rsid w:val="7F5D0839"/>
    <w:rsid w:val="7F7BA9A1"/>
    <w:rsid w:val="7F7EC44A"/>
    <w:rsid w:val="7F7F107F"/>
    <w:rsid w:val="7FA3B498"/>
    <w:rsid w:val="7FB7FD8B"/>
    <w:rsid w:val="7FB9221D"/>
    <w:rsid w:val="7FF714D1"/>
    <w:rsid w:val="7FFA391D"/>
    <w:rsid w:val="7FFB8EA4"/>
    <w:rsid w:val="8D5F83FB"/>
    <w:rsid w:val="956E76B9"/>
    <w:rsid w:val="99DEE601"/>
    <w:rsid w:val="9BF14976"/>
    <w:rsid w:val="9DEBAA53"/>
    <w:rsid w:val="9DFE05DE"/>
    <w:rsid w:val="9EFE9981"/>
    <w:rsid w:val="9F7D0773"/>
    <w:rsid w:val="A75F7EDA"/>
    <w:rsid w:val="AEEDAD1F"/>
    <w:rsid w:val="AF5D60F9"/>
    <w:rsid w:val="B37161AB"/>
    <w:rsid w:val="B6FD0489"/>
    <w:rsid w:val="B7BD3A0C"/>
    <w:rsid w:val="B7EBBC9C"/>
    <w:rsid w:val="BBFFA449"/>
    <w:rsid w:val="BEFACCB1"/>
    <w:rsid w:val="BFBF5BF7"/>
    <w:rsid w:val="BFCDEB29"/>
    <w:rsid w:val="BFF120CA"/>
    <w:rsid w:val="BFFF9AF8"/>
    <w:rsid w:val="CFBE31B3"/>
    <w:rsid w:val="CFF720BF"/>
    <w:rsid w:val="D7B73E39"/>
    <w:rsid w:val="D7EFCBAE"/>
    <w:rsid w:val="D7FE949B"/>
    <w:rsid w:val="D9E61616"/>
    <w:rsid w:val="DBBD55B1"/>
    <w:rsid w:val="DBF725E4"/>
    <w:rsid w:val="DDCEC1B4"/>
    <w:rsid w:val="DDD7E725"/>
    <w:rsid w:val="DE336C2A"/>
    <w:rsid w:val="DE761B99"/>
    <w:rsid w:val="DEFF45A8"/>
    <w:rsid w:val="DF7798EF"/>
    <w:rsid w:val="DFE96F79"/>
    <w:rsid w:val="DFFF66CF"/>
    <w:rsid w:val="E5FF62FA"/>
    <w:rsid w:val="EAED385A"/>
    <w:rsid w:val="EB3FB2C3"/>
    <w:rsid w:val="EB5EF312"/>
    <w:rsid w:val="EBAD2A91"/>
    <w:rsid w:val="ED5BEE80"/>
    <w:rsid w:val="ED7D45BA"/>
    <w:rsid w:val="EE765951"/>
    <w:rsid w:val="EEAD010B"/>
    <w:rsid w:val="EFBEE6A4"/>
    <w:rsid w:val="F3B7B31F"/>
    <w:rsid w:val="F3FB55E9"/>
    <w:rsid w:val="F75F80A0"/>
    <w:rsid w:val="F7EFC575"/>
    <w:rsid w:val="F7F681FD"/>
    <w:rsid w:val="F7FDB28C"/>
    <w:rsid w:val="F7FDF08D"/>
    <w:rsid w:val="F94F115C"/>
    <w:rsid w:val="F9FE7491"/>
    <w:rsid w:val="F9FED82B"/>
    <w:rsid w:val="FA7E157F"/>
    <w:rsid w:val="FAFDB771"/>
    <w:rsid w:val="FBB7689F"/>
    <w:rsid w:val="FBBEAB1D"/>
    <w:rsid w:val="FBEF333B"/>
    <w:rsid w:val="FDBD7A1B"/>
    <w:rsid w:val="FDF73942"/>
    <w:rsid w:val="FDFD536E"/>
    <w:rsid w:val="FDFF6148"/>
    <w:rsid w:val="FE7AEE6F"/>
    <w:rsid w:val="FE7F806A"/>
    <w:rsid w:val="FE9EF0A9"/>
    <w:rsid w:val="FEFF94D1"/>
    <w:rsid w:val="FEFFC48C"/>
    <w:rsid w:val="FF3DC66F"/>
    <w:rsid w:val="FF6A69AF"/>
    <w:rsid w:val="FF7FA11E"/>
    <w:rsid w:val="FFB7B29E"/>
    <w:rsid w:val="FFBE7F91"/>
    <w:rsid w:val="FFCF34B5"/>
    <w:rsid w:val="FFEF1046"/>
    <w:rsid w:val="FFF33B99"/>
    <w:rsid w:val="FFF33D6A"/>
    <w:rsid w:val="FFFBC74A"/>
    <w:rsid w:val="FFFE0817"/>
    <w:rsid w:val="FFFE091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sz w:val="24"/>
    </w:rPr>
  </w:style>
  <w:style w:type="paragraph" w:styleId="7">
    <w:name w:val="annotation subject"/>
    <w:basedOn w:val="2"/>
    <w:next w:val="2"/>
    <w:link w:val="18"/>
    <w:semiHidden/>
    <w:unhideWhenUsed/>
    <w:qFormat/>
    <w:uiPriority w:val="99"/>
    <w:rPr>
      <w:b/>
      <w:bCs/>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character" w:customStyle="1" w:styleId="12">
    <w:name w:val="页眉 字符"/>
    <w:basedOn w:val="10"/>
    <w:link w:val="5"/>
    <w:qFormat/>
    <w:uiPriority w:val="99"/>
    <w:rPr>
      <w:sz w:val="18"/>
      <w:szCs w:val="18"/>
    </w:rPr>
  </w:style>
  <w:style w:type="character" w:customStyle="1" w:styleId="13">
    <w:name w:val="页脚 字符"/>
    <w:basedOn w:val="10"/>
    <w:link w:val="4"/>
    <w:qFormat/>
    <w:uiPriority w:val="99"/>
    <w:rPr>
      <w:sz w:val="18"/>
      <w:szCs w:val="18"/>
    </w:rPr>
  </w:style>
  <w:style w:type="paragraph" w:styleId="14">
    <w:name w:val="List Paragraph"/>
    <w:basedOn w:val="1"/>
    <w:qFormat/>
    <w:uiPriority w:val="34"/>
    <w:pPr>
      <w:ind w:firstLine="420" w:firstLineChars="200"/>
    </w:pPr>
  </w:style>
  <w:style w:type="paragraph" w:customStyle="1" w:styleId="15">
    <w:name w:val="msolistparagraph"/>
    <w:basedOn w:val="1"/>
    <w:qFormat/>
    <w:uiPriority w:val="0"/>
    <w:pPr>
      <w:ind w:firstLine="420"/>
    </w:pPr>
    <w:rPr>
      <w:rFonts w:ascii="Calibri" w:hAnsi="Calibri" w:eastAsia="宋体" w:cs="Times New Roman"/>
      <w:szCs w:val="24"/>
    </w:rPr>
  </w:style>
  <w:style w:type="character" w:customStyle="1" w:styleId="16">
    <w:name w:val="批注框文本 字符"/>
    <w:basedOn w:val="10"/>
    <w:link w:val="3"/>
    <w:semiHidden/>
    <w:qFormat/>
    <w:uiPriority w:val="99"/>
    <w:rPr>
      <w:rFonts w:asciiTheme="minorHAnsi" w:hAnsiTheme="minorHAnsi" w:eastAsiaTheme="minorEastAsia" w:cstheme="minorBidi"/>
      <w:kern w:val="2"/>
      <w:sz w:val="18"/>
      <w:szCs w:val="18"/>
    </w:rPr>
  </w:style>
  <w:style w:type="character" w:customStyle="1" w:styleId="17">
    <w:name w:val="批注文字 字符"/>
    <w:basedOn w:val="10"/>
    <w:link w:val="2"/>
    <w:semiHidden/>
    <w:qFormat/>
    <w:uiPriority w:val="99"/>
    <w:rPr>
      <w:rFonts w:asciiTheme="minorHAnsi" w:hAnsiTheme="minorHAnsi" w:eastAsiaTheme="minorEastAsia" w:cstheme="minorBidi"/>
      <w:kern w:val="2"/>
      <w:sz w:val="21"/>
      <w:szCs w:val="22"/>
    </w:rPr>
  </w:style>
  <w:style w:type="character" w:customStyle="1" w:styleId="18">
    <w:name w:val="批注主题 字符"/>
    <w:basedOn w:val="17"/>
    <w:link w:val="7"/>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18</Pages>
  <Words>4015</Words>
  <Characters>4166</Characters>
  <Lines>30</Lines>
  <Paragraphs>8</Paragraphs>
  <TotalTime>168</TotalTime>
  <ScaleCrop>false</ScaleCrop>
  <LinksUpToDate>false</LinksUpToDate>
  <CharactersWithSpaces>4167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2026-05-13T01:56:00Z</dcterms:created>
  <dc:creator>彭正雨</dc:creator>
  <cp:lastModifiedBy>李却步</cp:lastModifiedBy>
  <dcterms:modified xsi:type="dcterms:W3CDTF">2026-05-13T09:27:17Z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5404DBFF37A2403293411519E1E8BA5D_13</vt:lpwstr>
  </property>
  <property fmtid="{D5CDD505-2E9C-101B-9397-08002B2CF9AE}" pid="4" name="KSOTemplateDocerSaveRecord">
    <vt:lpwstr>eyJoZGlkIjoiZTFkZDM3MDI0OTdkYjlhZjc5YzFiODViMzk0ZDZhOGIiLCJ1c2VySWQiOiI1NDc5MTE5MzUifQ==</vt:lpwstr>
  </property>
</Properties>
</file>