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5EE1D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附件4</w:t>
      </w:r>
    </w:p>
    <w:p w14:paraId="2CACA5FA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长城国际研学基地（营地）评定打分表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5184"/>
        <w:gridCol w:w="489"/>
        <w:gridCol w:w="441"/>
        <w:gridCol w:w="441"/>
        <w:gridCol w:w="441"/>
        <w:gridCol w:w="441"/>
      </w:tblGrid>
      <w:tr w14:paraId="09219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vAlign w:val="center"/>
          </w:tcPr>
          <w:p w14:paraId="766840A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 w14:paraId="188663C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评分项目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 w14:paraId="76AD7F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大项总分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 w14:paraId="78F0592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分项总分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 w14:paraId="379862C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小项分值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 w14:paraId="6C11C4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自查打分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00BDB6F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终评打分</w:t>
            </w:r>
          </w:p>
        </w:tc>
      </w:tr>
      <w:tr w14:paraId="1EF71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D9D9D9"/>
          </w:tcPr>
          <w:p w14:paraId="6972CC6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</w:tcPr>
          <w:p w14:paraId="7419BD9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场地和环境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1A8B245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32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66FF142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62B5B6A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702CCFE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 w14:paraId="0230A35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14:paraId="019E1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</w:tcBorders>
          </w:tcPr>
          <w:p w14:paraId="079EE60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1.1</w:t>
            </w:r>
          </w:p>
        </w:tc>
        <w:tc>
          <w:tcPr>
            <w:tcW w:w="5184" w:type="dxa"/>
            <w:tcBorders>
              <w:top w:val="single" w:color="000000" w:sz="12" w:space="0"/>
            </w:tcBorders>
          </w:tcPr>
          <w:p w14:paraId="75EB345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空间界限</w:t>
            </w:r>
          </w:p>
        </w:tc>
        <w:tc>
          <w:tcPr>
            <w:tcW w:w="489" w:type="dxa"/>
            <w:tcBorders>
              <w:top w:val="single" w:color="000000" w:sz="12" w:space="0"/>
            </w:tcBorders>
            <w:vAlign w:val="center"/>
          </w:tcPr>
          <w:p w14:paraId="5B42F3D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</w:tcBorders>
            <w:vAlign w:val="center"/>
          </w:tcPr>
          <w:p w14:paraId="32919F6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12" w:space="0"/>
            </w:tcBorders>
            <w:vAlign w:val="center"/>
          </w:tcPr>
          <w:p w14:paraId="179C140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</w:tcBorders>
            <w:vAlign w:val="center"/>
          </w:tcPr>
          <w:p w14:paraId="59B8DE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 w14:paraId="242D86E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C235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2936B11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3234E91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空间界限明确</w:t>
            </w:r>
          </w:p>
        </w:tc>
        <w:tc>
          <w:tcPr>
            <w:tcW w:w="489" w:type="dxa"/>
            <w:vAlign w:val="center"/>
          </w:tcPr>
          <w:p w14:paraId="32DE267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F76EAB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017BF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0A2B64F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DCE3DB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6B43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  <w:bottom w:val="single" w:color="000000" w:sz="4" w:space="0"/>
            </w:tcBorders>
          </w:tcPr>
          <w:p w14:paraId="61E1A93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bottom w:val="single" w:color="000000" w:sz="4" w:space="0"/>
            </w:tcBorders>
          </w:tcPr>
          <w:p w14:paraId="2924892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功能分区合理</w:t>
            </w:r>
          </w:p>
        </w:tc>
        <w:tc>
          <w:tcPr>
            <w:tcW w:w="489" w:type="dxa"/>
            <w:tcBorders>
              <w:bottom w:val="single" w:color="000000" w:sz="4" w:space="0"/>
            </w:tcBorders>
            <w:vAlign w:val="center"/>
          </w:tcPr>
          <w:p w14:paraId="79AE7A8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4" w:space="0"/>
            </w:tcBorders>
            <w:vAlign w:val="center"/>
          </w:tcPr>
          <w:p w14:paraId="359F735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4" w:space="0"/>
            </w:tcBorders>
            <w:vAlign w:val="center"/>
          </w:tcPr>
          <w:p w14:paraId="4117E86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bottom w:val="single" w:color="000000" w:sz="4" w:space="0"/>
            </w:tcBorders>
            <w:vAlign w:val="center"/>
          </w:tcPr>
          <w:p w14:paraId="4D3AB8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4" w:space="0"/>
              <w:right w:val="single" w:color="000000" w:sz="12" w:space="0"/>
            </w:tcBorders>
            <w:vAlign w:val="center"/>
          </w:tcPr>
          <w:p w14:paraId="60B3399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7AA9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A08661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1.2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F4090D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可达性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023D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F7D7E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233DB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04870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1BCEB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A6E1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</w:tcBorders>
          </w:tcPr>
          <w:p w14:paraId="0699FD2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</w:tcBorders>
          </w:tcPr>
          <w:p w14:paraId="5C90B31A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可达性良好，有公共交通直达</w:t>
            </w:r>
          </w:p>
        </w:tc>
        <w:tc>
          <w:tcPr>
            <w:tcW w:w="489" w:type="dxa"/>
            <w:tcBorders>
              <w:top w:val="single" w:color="000000" w:sz="4" w:space="0"/>
            </w:tcBorders>
            <w:vAlign w:val="center"/>
          </w:tcPr>
          <w:p w14:paraId="3633DDA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</w:tcBorders>
            <w:vAlign w:val="center"/>
          </w:tcPr>
          <w:p w14:paraId="7ECB87D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</w:tcBorders>
            <w:vAlign w:val="center"/>
          </w:tcPr>
          <w:p w14:paraId="61272F1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</w:tcBorders>
            <w:vAlign w:val="center"/>
          </w:tcPr>
          <w:p w14:paraId="3745E2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 w14:paraId="0F09EA4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FAFE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3C8035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1D9B8FC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与所在地的县级以上交通干道相连接，路况良好</w:t>
            </w:r>
          </w:p>
        </w:tc>
        <w:tc>
          <w:tcPr>
            <w:tcW w:w="489" w:type="dxa"/>
            <w:vAlign w:val="center"/>
          </w:tcPr>
          <w:p w14:paraId="73E764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EFA72C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91310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2B74378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248439F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E4D6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193D506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604161B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距最近交通枢纽（高速口/火车站/机场）的距离</w:t>
            </w:r>
            <w:r>
              <w:rPr>
                <w:rFonts w:ascii="宋体" w:hAnsi="宋体" w:eastAsia="宋体" w:cs="Times New Roman"/>
                <w:color w:val="000000"/>
                <w:kern w:val="0"/>
                <w:sz w:val="18"/>
                <w:szCs w:val="18"/>
              </w:rPr>
              <w:t>（≤10km）</w:t>
            </w:r>
          </w:p>
        </w:tc>
        <w:tc>
          <w:tcPr>
            <w:tcW w:w="489" w:type="dxa"/>
            <w:vAlign w:val="center"/>
          </w:tcPr>
          <w:p w14:paraId="474DB5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B49B4F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5AF6BF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55CD206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9618C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EB3B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299D13E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1.3</w:t>
            </w:r>
          </w:p>
        </w:tc>
        <w:tc>
          <w:tcPr>
            <w:tcW w:w="5184" w:type="dxa"/>
          </w:tcPr>
          <w:p w14:paraId="0A10C2E9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停车场</w:t>
            </w:r>
          </w:p>
        </w:tc>
        <w:tc>
          <w:tcPr>
            <w:tcW w:w="489" w:type="dxa"/>
            <w:vAlign w:val="center"/>
          </w:tcPr>
          <w:p w14:paraId="4012172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10ED0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vAlign w:val="center"/>
          </w:tcPr>
          <w:p w14:paraId="0065FFA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40CD9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C03893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7F67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1F65B8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1C615BF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有配套停车场</w:t>
            </w:r>
          </w:p>
        </w:tc>
        <w:tc>
          <w:tcPr>
            <w:tcW w:w="489" w:type="dxa"/>
            <w:vAlign w:val="center"/>
          </w:tcPr>
          <w:p w14:paraId="5E11937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353A87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B73458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303E69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55CE62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254E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4434AD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249B7DD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分区完整，大巴、小车、无障碍车位独立设置</w:t>
            </w:r>
          </w:p>
        </w:tc>
        <w:tc>
          <w:tcPr>
            <w:tcW w:w="489" w:type="dxa"/>
            <w:vAlign w:val="center"/>
          </w:tcPr>
          <w:p w14:paraId="7C366E9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F3ED6B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8BF847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264AAC1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19B8D1C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3C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6E39982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328E4E8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标线清晰</w:t>
            </w:r>
          </w:p>
        </w:tc>
        <w:tc>
          <w:tcPr>
            <w:tcW w:w="489" w:type="dxa"/>
            <w:vAlign w:val="center"/>
          </w:tcPr>
          <w:p w14:paraId="18678CC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78F775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5E148E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1EB67DA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9FFC1F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2BD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4D15E2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1.4</w:t>
            </w:r>
          </w:p>
        </w:tc>
        <w:tc>
          <w:tcPr>
            <w:tcW w:w="5184" w:type="dxa"/>
          </w:tcPr>
          <w:p w14:paraId="6F15012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研学场所</w:t>
            </w:r>
          </w:p>
        </w:tc>
        <w:tc>
          <w:tcPr>
            <w:tcW w:w="489" w:type="dxa"/>
            <w:vAlign w:val="center"/>
          </w:tcPr>
          <w:p w14:paraId="13DB692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35EBBF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vAlign w:val="center"/>
          </w:tcPr>
          <w:p w14:paraId="445EAE2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F4CE94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449F6A4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286F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2F3C2B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326E7F7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有研学专用的场所</w:t>
            </w:r>
          </w:p>
        </w:tc>
        <w:tc>
          <w:tcPr>
            <w:tcW w:w="489" w:type="dxa"/>
            <w:vAlign w:val="center"/>
          </w:tcPr>
          <w:p w14:paraId="541CB3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C21E2D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B086D8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3D5DE3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5F0660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8A5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F8DB7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4AC30A1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日接待量达200名（含）以上</w:t>
            </w:r>
          </w:p>
        </w:tc>
        <w:tc>
          <w:tcPr>
            <w:tcW w:w="489" w:type="dxa"/>
            <w:vAlign w:val="center"/>
          </w:tcPr>
          <w:p w14:paraId="37682E3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2C1BD7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D8F1F2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06AB04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9DC047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3875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3D94BED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5184" w:type="dxa"/>
          </w:tcPr>
          <w:p w14:paraId="0E69201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建筑设施</w:t>
            </w:r>
          </w:p>
        </w:tc>
        <w:tc>
          <w:tcPr>
            <w:tcW w:w="489" w:type="dxa"/>
            <w:vAlign w:val="center"/>
          </w:tcPr>
          <w:p w14:paraId="72009C6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C7CB59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vAlign w:val="center"/>
          </w:tcPr>
          <w:p w14:paraId="774E64A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578208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C83B36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BB3A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191A2C0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1C16DB5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建筑设施与环境相协调</w:t>
            </w:r>
          </w:p>
        </w:tc>
        <w:tc>
          <w:tcPr>
            <w:tcW w:w="489" w:type="dxa"/>
            <w:vAlign w:val="center"/>
          </w:tcPr>
          <w:p w14:paraId="33E841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01F5FB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EA73F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713FCE3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7D7C52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409E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675AFA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2844C15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建筑风貌体现长城文化和地域特色</w:t>
            </w:r>
          </w:p>
        </w:tc>
        <w:tc>
          <w:tcPr>
            <w:tcW w:w="489" w:type="dxa"/>
            <w:vAlign w:val="center"/>
          </w:tcPr>
          <w:p w14:paraId="70BA1FD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F6450E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68060A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760872A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D23734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F1F2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B2DEB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1.6</w:t>
            </w:r>
          </w:p>
        </w:tc>
        <w:tc>
          <w:tcPr>
            <w:tcW w:w="5184" w:type="dxa"/>
          </w:tcPr>
          <w:p w14:paraId="0BAA185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场地环境</w:t>
            </w:r>
          </w:p>
        </w:tc>
        <w:tc>
          <w:tcPr>
            <w:tcW w:w="489" w:type="dxa"/>
            <w:vAlign w:val="center"/>
          </w:tcPr>
          <w:p w14:paraId="177469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80A6BD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72D785D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1379E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DC44F3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6EA0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7A4599D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5B2C93F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周边环境干净整洁</w:t>
            </w:r>
          </w:p>
        </w:tc>
        <w:tc>
          <w:tcPr>
            <w:tcW w:w="489" w:type="dxa"/>
            <w:vAlign w:val="center"/>
          </w:tcPr>
          <w:p w14:paraId="58346AA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DED5EC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65A537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124094E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29C72B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D03F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  <w:bottom w:val="single" w:color="000000" w:sz="12" w:space="0"/>
            </w:tcBorders>
          </w:tcPr>
          <w:p w14:paraId="6C2CE9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bottom w:val="single" w:color="000000" w:sz="12" w:space="0"/>
            </w:tcBorders>
          </w:tcPr>
          <w:p w14:paraId="1208665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空气质量符合GB 3095-2012中二类区的标准</w:t>
            </w:r>
          </w:p>
        </w:tc>
        <w:tc>
          <w:tcPr>
            <w:tcW w:w="489" w:type="dxa"/>
            <w:tcBorders>
              <w:bottom w:val="single" w:color="000000" w:sz="12" w:space="0"/>
            </w:tcBorders>
            <w:vAlign w:val="center"/>
          </w:tcPr>
          <w:p w14:paraId="674BFB2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12" w:space="0"/>
            </w:tcBorders>
            <w:vAlign w:val="center"/>
          </w:tcPr>
          <w:p w14:paraId="68EE697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12" w:space="0"/>
            </w:tcBorders>
            <w:vAlign w:val="center"/>
          </w:tcPr>
          <w:p w14:paraId="1D5209A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bottom w:val="single" w:color="000000" w:sz="12" w:space="0"/>
            </w:tcBorders>
            <w:vAlign w:val="center"/>
          </w:tcPr>
          <w:p w14:paraId="6F49F1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 w14:paraId="02CF7D3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4BE2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D9D9D9"/>
          </w:tcPr>
          <w:p w14:paraId="4BFBBFF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</w:tcPr>
          <w:p w14:paraId="13FFEC0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设施和设备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5C0F849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74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5A5E74D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74B529B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650ECBA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 w14:paraId="03A825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14:paraId="6E59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</w:tcPr>
          <w:p w14:paraId="6E1700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2.1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4" w:space="0"/>
            </w:tcBorders>
          </w:tcPr>
          <w:p w14:paraId="0368548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服务中心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547E6B1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10DE70B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409650B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61A3D74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5865AE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2147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36B282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0F09FC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位置合理，选址科学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2DC0C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4949F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A760F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40EF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433CB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9918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64B7B8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8CF9FE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规模适度，建筑体量与游客接待量相匹配，空间布局合理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350B1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F6A24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BD725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D82B9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70C9A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D86A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020332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E5823F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具备必要的服务设施（咨询、休息、卫生、导览等）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693D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7600F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00F4BB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5D7578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144F56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C289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167F57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C407254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建筑风格、装饰或服务内容融入长城文化元素，或结合当地自然或人文特色，具有独特辨识度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6EDED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681EF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478FEC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D263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241AA2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A7C3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D34546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2.2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B96B34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游览、体验设施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67BB8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991E7A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70178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04382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8F3C2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8A14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B66FD8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9180F1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至少提供3种不同类型的游览、体验设施（如实物展示、沙盘、3D展示、多媒体、数字化设施等）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0794E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E97BC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3E4AC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4C8553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47A086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79D4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E2FFD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20A51F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各类设施运行正常，能够有效展示长城文化或相关主题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0F6CC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1A4DD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29651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17BC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B9469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B7CC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79817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0B987B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具备开展长城国际研学的教学条件（如讲解设备、互动装置、多语言支持等）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978B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BE9EB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DC55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6C6539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180F67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B18B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C4BC37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2.3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196A03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餐饮设施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8D651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6B76D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BB40B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0AE9D2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5D0820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0954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E07790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FBB8D3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餐位数达100名（含）以上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243D6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53B5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6185A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5236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0FB37B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6ECE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94554F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3D98B4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提供2种以上的餐饮类型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BC207A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DAD579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06B4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490D2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78AE7D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F49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941093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F0C1E3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环境卫生良好，就餐环境整洁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EFC82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FDF0FA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6796E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015596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E13F92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C77A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FF4461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930E8D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工作人员态度友好，能提供高效、有序的用餐服务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618B2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24F5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EF980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A8E28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907D4B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AE48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564965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2.4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EE906E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住宿设施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BA06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79987F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01F28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C2498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18AF4F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E1E8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B45CFF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0483EB9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床位数达60（含）以上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9B330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02262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7E9B5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1ACF3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78B829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0907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3F51A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CF563A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住宿区域规划科学，满足团队集中住宿需求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FCCBF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29BBD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1708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B8C1E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9F3FF2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20AE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038EF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359935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购物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756F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A32522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785F1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95D92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7B7D2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25BC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67357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1E3C59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提供当地特色商品或与长城相关的文创商品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1F3E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A95FA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C8C93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0DC1A9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6F439D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B944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722759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0071714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支持国际版移动支付（如Alipay+、WeChat Pay国际版等）或国际信用卡（Visa/Mastercard等）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0D1B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0DA6C6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7E115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D6D54D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65B673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E2FE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190DB9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D45863A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商品包装采用环保材料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3B2C6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2309E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402D1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0E0E7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A4CC50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FB8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FF52DB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2.6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BE6800C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旅游厕所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CB0E4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F04D7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D83EC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7EDE1E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C00A4A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41CF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056C1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B5B9244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厕所数量与游客量相匹配，能满足高峰时段需求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0738B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184BD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22D5F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76770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CC171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0DD7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5E6185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7413426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厕所分布位置科学，主要游览区域和服务区均有覆盖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7A6E8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2EEC08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5DD2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509EC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DE838F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4E91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A4626E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0506F4D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厕所保持干净整洁，无异味，设施完好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CA939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8D180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DF3D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4A0E5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415D71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B34A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E21F9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87A4C81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建筑造型与周边环境和谐统一，内部装饰体现长城文化或当地地域特色元素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D5A88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AF680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36FA3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129B47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7FD4B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BA6F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E81CC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488B26C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所有的旅游厕所均符合GB/T 18973-2022中Ⅱ类标准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318F0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490F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EF38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52E17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29F7DB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8B81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00EEAC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2.7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752D2F4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垃圾箱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73A6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CBDC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1CE8AA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BAAE47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60C80D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2E67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A2113D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203600B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数量充足，布局合理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6887BA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FBD69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63FF1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3D59C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BAA64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E857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F0F435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7970E9D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造型设计体现长城文化元素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187BB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5018A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ACE25A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86EB2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FF82A8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E6C5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2716E3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49ED5BB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实施垃圾分类收集，收集后进行无害化处理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7A29E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A7050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796DC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47481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49B8C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A70B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D7674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44EAC61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垃圾清扫转运及时，无堆积现象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37CBC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90354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59BFC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1F62A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0196CD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0EF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205493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2.8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FD6C9C7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公共信息导向系统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07A8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D2E62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D455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DB99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A9E2B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FE16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8AD227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5112B32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醒目清晰，符合LB/T 013的规定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B2E01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4B1A9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48A71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3FF89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E2FEE9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B650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4B827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7E176E8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涵盖中英文2个语种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F9B961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DAF63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242C0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B96A5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B31AA7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9B0D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2CE352C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7EAB172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内容准确，文字规范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A63B8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459C9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94B60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170ED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9A13D1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45B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20F950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780E4CE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标识牌设计体现长城文化和地域特色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D683C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8989E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7C80B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62DAD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772A61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AE78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2956CA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2.9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97608F4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公共信息资料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0423AA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7D0F37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619953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7E4F8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EBD9AC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D2F5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F71552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9DC1906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涵盖2个及以上语种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BB8D7F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D410D7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ADA09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F7647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BD674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4AB1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C57034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1258C8A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有2种及以上类型（如科普读物、音像制品、研学手册）的长城主题公共信息资料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8D6A7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3B2DE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D5BDCD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34F9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3454D1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2089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34668F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2.10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F36FC25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安全防护设施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73D4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5A97A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D1E68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8493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52C5D6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B42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2E631CD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B5520EB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视频安防监控系统覆盖出入口、公共场所和游览区域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DCAA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8761C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BFBE1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EBDF7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CE93F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6564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9D4404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EB34555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全天候实时监控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77775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2923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32DEF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A0DF3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D9FCB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5A2F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68FD9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792BB52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安全标志符合GB 2894的要求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29204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C7A49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0352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7C7CA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1C6E09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03F0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8E2745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29599E7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有应急救援设施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3DEF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0CD33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1068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814B4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932785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EEDC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C056A2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2.11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6C746B2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消防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EFE84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AF3F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12857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A098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3181BC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90A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225A37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9FE336D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符合GB 17945-2010 中第5 章和第6 章确立的防护等级和要求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07D0A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DCCB2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76B206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C75CA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23A137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6DC0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FC3D22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661F6D4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符合GB/T 40248-2021中规定的消防安全要求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746F77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9038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D5FBB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F25B5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4A847E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8FD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3249E8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2.12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EE1DDE9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无障碍服务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A0AF0B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0C1686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CE518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41A0D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68860F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A931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60298A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CA70075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有无障碍服务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C94E6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D1FE0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90BB50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2D91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C2F38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0B3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88D79C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684B915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服务个性化，针对不同类型的需求提供定制化服务方案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BD17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3D232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D7BAD4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B413B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36690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A98F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54EFC4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2317216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服务设施和流程设计注重使用者的舒适感受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F2693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7BC52A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BBB66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2521A5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2C92B8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D4EA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84A94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032B559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可运用智能技术提升无障碍服务的便捷性和效率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64116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FBFF1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77214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4472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CEAF8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5045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CECC4C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2.13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2450F62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救护服务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6BF26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3F1E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70C13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B276A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F7E22A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F768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3DFBE8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99C9E2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备有日常药品和急救箱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6B191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FAECE5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2FB06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8F71D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A0EA9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CB15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</w:tcBorders>
          </w:tcPr>
          <w:p w14:paraId="312B72F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12" w:space="0"/>
            </w:tcBorders>
          </w:tcPr>
          <w:p w14:paraId="6AE6C73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与就近医院签订联合协议，提供救护服务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3276A15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0C185E5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1DE84A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7386DB7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79D682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D40D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D9D9D9"/>
          </w:tcPr>
          <w:p w14:paraId="0B0DA52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</w:tcPr>
          <w:p w14:paraId="25860F0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产品和课程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22FC5AE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100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463879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7FA4BF0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6E41536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 w14:paraId="5B2A350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14:paraId="6F5E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</w:tcPr>
          <w:p w14:paraId="3AC97F7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3.1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4" w:space="0"/>
            </w:tcBorders>
          </w:tcPr>
          <w:p w14:paraId="5F2B1B3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教学与体验活动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13C109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6FA081C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7B9FF73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42DB510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2C0F40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A46B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A3A348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5FEDF1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时间安排、内容衔接和流程设计科学有序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C03A7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9080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9C16E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27DAC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30036E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32A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4F4D39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F66F4B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活动内容符合教育教学规律，知识传递准确可靠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C60F2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84037E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ACEED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F5251E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41C77B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90BA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D6404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11068C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活动难度与参与者年龄、认知水平相匹配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913B7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A2360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FF1AB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B16BA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67A9DF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2BFB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E909A6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C80F9A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活动设计注重动手实践，提供充分的体验参与机会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F63C0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369D9D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ED8071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95F23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379625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A951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058AD4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3.2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4FD0F1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研学线路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39582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F68AE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3ACFF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4975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62A94A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78C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5204F6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391F28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有1条专门的长城主题研学线路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134C3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60966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076C9E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2B9C4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C16F39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D90F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34E9BE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9BFB99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研学线路内容与长城文化主题高度契合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3EE8E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7A087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FA289B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989902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D6B6F1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6FB2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D3A76D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6EE780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线路设计包含明确的教育目标和知识体系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57EFDC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3DBA54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60354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EA117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BAC95C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C806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C74A39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1B3B9C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线路安排包含多样化的研学体验活动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EA176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D91832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61E9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368F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51EDFE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44A6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565B38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3.3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9A4440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研学产品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DD2138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435C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2F92A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18E28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7B7768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E6BF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5D6A5C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6A337D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运用现代科技手段（如AR/VR、智能终端等）实现交互功能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A2C7F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DE2EC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7B5CFF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F8866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D4A17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14E9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0366D6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30FEB5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可实现多语种（至少包含中英文）实时在线翻译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C3A00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DDF97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B81F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9A60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06A83C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A5F0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E78D68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CCA5D79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支持研学游客独立操作使用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70A4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60CFA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0AFC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7D1BF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5A79DD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47CD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2BB3BD7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977777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产品内容与长城研学主题高度匹配，知识体系完整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2DBFE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28E8C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77C4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A9472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31B2C3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823B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3B05E5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3.4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01EFA5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研学课程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773FF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DE98F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9EFD3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651DE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A3897C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0983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D89DE7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D27C32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有3门及以上不同主题的长城研学课程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77C1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3448F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DFDA0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BC6EF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FFB23C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8FC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A466FE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B402B44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每门课程设有清晰具体的学习目标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7C89F9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9EBC5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AD468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78785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4ADC2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B931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30E2A9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184207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课程内容突出长城特色和地域文化特征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DE77F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ADB0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5CC45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E3E5A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9EE71D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802F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46335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D0207E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课程难度与研学对象的认知水平相匹配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F5CC5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DADBC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13A49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9D662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265D75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07C1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597B0B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3.5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762E971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课程适用性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A27E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D1394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90550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1BCD4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A9E28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B05E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41B85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ECC383C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课程体系架构完整，包含基础课程、拓展课程等不同层级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9640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4654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17976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18944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0FD287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CA51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B94B3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2C88F60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融入PBL（项目式学习）和STEAM（科学、技术、工程、艺术、数学）教育理念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3139E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873F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9E5F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C9BDC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5814E4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06DC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37E762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5866E08">
            <w:pPr>
              <w:widowControl/>
              <w:autoSpaceDE w:val="0"/>
              <w:autoSpaceDN w:val="0"/>
              <w:rPr>
                <w:rFonts w:ascii="Calibri" w:hAnsi="Calibri" w:eastAsia="宋体" w:cs="Times New Roman"/>
                <w:kern w:val="0"/>
                <w:sz w:val="20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理论教学与实践体验有机结合，注重能力培养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13822E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9F539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562AE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B9E85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3124F0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DB4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DCDE90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F72704A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能满足至少2类不同研学群体的学习需求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4A952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49FEC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C09FF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1C5A7F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6CA65E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59E0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B54898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3.6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52CE5D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文化融入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7B701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87A7D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3E2D7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62B93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169744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698E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AA6DEA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EB81B3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当地非物质文化遗产融入研学课程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F8B41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21CF8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22C9C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0A3B46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34DB15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2FD3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</w:tcBorders>
          </w:tcPr>
          <w:p w14:paraId="33E60A4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12" w:space="0"/>
            </w:tcBorders>
          </w:tcPr>
          <w:p w14:paraId="1B247D9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18"/>
              </w:rPr>
              <w:t>民俗文化等地域特色文化融入研学课程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61F1D34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15424B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2B59C32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</w:tcBorders>
            <w:vAlign w:val="center"/>
          </w:tcPr>
          <w:p w14:paraId="2DA19CD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2C09E75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60B3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D9D9D9"/>
          </w:tcPr>
          <w:p w14:paraId="164CB30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</w:tcPr>
          <w:p w14:paraId="177CBC9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人员和师资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275C4E7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45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1B3B020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41C87A8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4310DC7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 w14:paraId="78E78CA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14:paraId="388D9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</w:tcPr>
          <w:p w14:paraId="569427A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4.1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4" w:space="0"/>
            </w:tcBorders>
          </w:tcPr>
          <w:p w14:paraId="0CC2206A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人员队伍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0E6247D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6B69F7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5B466D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37EBB9D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945DF1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5049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2BCA02D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FDAFA24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有专兼职相结合的长城研学旅游专业人员队伍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BB3EB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612A2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9BCF5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6D67D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E36526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677B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B40C36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E944E0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核心人员保持相对稳定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81809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2FD17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829DB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E8474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903163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5E0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9C9CDA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DE35E4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各岗位人员具备与研学课程要求相匹配的专业能力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A599B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A0626D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0C020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B5D7A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71EDBB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3FC8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8387E2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4.2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A4D490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外语专业人员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F88D9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5C4B6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C5395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3645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C21B3D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9B26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B153B0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8865DA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至少配备1名外语专业人员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C2940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B670C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11ECD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B6FC7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EFF782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86A7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BA35A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4CF938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专业人员需持有国家认可的外语水平证书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5C97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D34F4F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3A6650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17E60F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85B7A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4315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74558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A6B5A0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外语能力与研学服务需求相匹配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699DE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DC6FB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4B627B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1EF48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D9766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89C2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3DC153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D27E7C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外语服务覆盖主要研学环节（导览讲解、课程辅助、应急沟通等）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F2B71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06707B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B9F8B7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B700F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1ADEE5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51E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942F08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4.3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812018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长城研学旅游指导师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D138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5FA0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A17DB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61287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55ABD5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F08E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1A5501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DFDCA5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不同等级的基地（营地）应配备相应的长城研学旅游指导师：</w:t>
            </w:r>
          </w:p>
          <w:p w14:paraId="5C4717A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a)三星级具有初级长城研学旅游指导师3名及以上</w:t>
            </w:r>
          </w:p>
          <w:p w14:paraId="2E62810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b)四星级具有初级长城研学旅游指导师3名及以上，中级长城研学旅游指导师2名及以上</w:t>
            </w:r>
          </w:p>
          <w:p w14:paraId="13FC1DC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c)五星级具有初级长城研学旅游指导师3名及以上，中级长城研学旅游指导师2名及以上，高级长城研学旅游指导师1名及以上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0FB61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7C92C7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BB3C6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0902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9A7378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8C85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3A4A2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3DF687D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长城研学旅游指导师持有相应等级的有效资格证书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5C6B8D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AF147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B0B75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C76D24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56E052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29DC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49187D4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4.4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B8BE83C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长城研学旅游指导师配备数量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15929E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A9502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7565E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D21D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FC4F95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9ED0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905646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1EE97D1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指导师与学员的实际配比不低于1:30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71962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994C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1C76E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0A56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C9CE43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CDF0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45CA9C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51EB43AA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特殊情况下（如高风险活动）可临时增加指导师配备数量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98FA5F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DE494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ADCE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E2AC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8EDFBB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CBD3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3F0577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4.5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658EB9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协调管理人员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53CF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47CB4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4E331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0BD4F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AF539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A482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710E252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6B4BDBC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每个研学团队必须配备至少1名专职协调管理人员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DFAA5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596ABA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0446D5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23F24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A1387A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C2F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0C1E6F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06B9883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协调管理人员负责团队从开始到结束的全流程活动管理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AB254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C3093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4446D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5E55C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F0CE16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3CE0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09C695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7B813C4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协调管理人员具备良好的团队沟通和多方协调能力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F1CF8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B2306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F79D2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54FB2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D33B5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DC30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2692B6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4.6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7B3CE9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专业形象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09301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87269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E0644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57376B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99F426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1044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D24DDD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2A5E275E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专业人员着装统一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18FA7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4DA5B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DB01F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E772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122041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A979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5D7777E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4B404E8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个人仪容干净整洁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11A14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6513E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B89EF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B6553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6F0451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B373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35A3E85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C14800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言行举止得体，符合职业规范和服务礼仪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97FADF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426DB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7714A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5F9C4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6FB8C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FA9D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6FC7F18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488F5F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主动热情，微笑服务，展现良好的职业素养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52158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910800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0BADC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015CDF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F8A17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B061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</w:tcPr>
          <w:p w14:paraId="11CC658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4.7</w:t>
            </w:r>
          </w:p>
        </w:tc>
        <w:tc>
          <w:tcPr>
            <w:tcW w:w="5184" w:type="dxa"/>
            <w:tcBorders>
              <w:top w:val="single" w:color="000000" w:sz="4" w:space="0"/>
              <w:bottom w:val="single" w:color="000000" w:sz="4" w:space="0"/>
            </w:tcBorders>
          </w:tcPr>
          <w:p w14:paraId="695EBC4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培训</w:t>
            </w:r>
          </w:p>
        </w:tc>
        <w:tc>
          <w:tcPr>
            <w:tcW w:w="48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692B3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AC6EE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280A3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1C6F1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1DF9FE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8843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4" w:space="0"/>
              <w:left w:val="single" w:color="000000" w:sz="12" w:space="0"/>
            </w:tcBorders>
          </w:tcPr>
          <w:p w14:paraId="43CA92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top w:val="single" w:color="000000" w:sz="4" w:space="0"/>
            </w:tcBorders>
          </w:tcPr>
          <w:p w14:paraId="4D64BE4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每年接受培训的员工比例不低于总员工数的50%</w:t>
            </w:r>
          </w:p>
        </w:tc>
        <w:tc>
          <w:tcPr>
            <w:tcW w:w="489" w:type="dxa"/>
            <w:tcBorders>
              <w:top w:val="single" w:color="000000" w:sz="4" w:space="0"/>
            </w:tcBorders>
            <w:vAlign w:val="center"/>
          </w:tcPr>
          <w:p w14:paraId="2CE3A2B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</w:tcBorders>
            <w:vAlign w:val="center"/>
          </w:tcPr>
          <w:p w14:paraId="33E573C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</w:tcBorders>
            <w:vAlign w:val="center"/>
          </w:tcPr>
          <w:p w14:paraId="0496C54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top w:val="single" w:color="000000" w:sz="4" w:space="0"/>
            </w:tcBorders>
            <w:vAlign w:val="center"/>
          </w:tcPr>
          <w:p w14:paraId="271BDD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4" w:space="0"/>
              <w:right w:val="single" w:color="000000" w:sz="12" w:space="0"/>
            </w:tcBorders>
            <w:vAlign w:val="center"/>
          </w:tcPr>
          <w:p w14:paraId="72FC6A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16CA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  <w:bottom w:val="single" w:color="000000" w:sz="12" w:space="0"/>
            </w:tcBorders>
          </w:tcPr>
          <w:p w14:paraId="62EC33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bottom w:val="single" w:color="000000" w:sz="12" w:space="0"/>
            </w:tcBorders>
          </w:tcPr>
          <w:p w14:paraId="1A7C2C8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参训员工每人每年完成不少于30标准学时的培训</w:t>
            </w:r>
          </w:p>
        </w:tc>
        <w:tc>
          <w:tcPr>
            <w:tcW w:w="489" w:type="dxa"/>
            <w:tcBorders>
              <w:bottom w:val="single" w:color="000000" w:sz="12" w:space="0"/>
            </w:tcBorders>
            <w:vAlign w:val="center"/>
          </w:tcPr>
          <w:p w14:paraId="28C580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12" w:space="0"/>
            </w:tcBorders>
            <w:vAlign w:val="center"/>
          </w:tcPr>
          <w:p w14:paraId="3BD4FF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12" w:space="0"/>
            </w:tcBorders>
            <w:vAlign w:val="center"/>
          </w:tcPr>
          <w:p w14:paraId="755E51D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tcBorders>
              <w:bottom w:val="single" w:color="000000" w:sz="12" w:space="0"/>
            </w:tcBorders>
            <w:vAlign w:val="center"/>
          </w:tcPr>
          <w:p w14:paraId="3E76AD5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 w14:paraId="69E42BA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60E4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D9D9D9"/>
          </w:tcPr>
          <w:p w14:paraId="713387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5184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</w:tcPr>
          <w:p w14:paraId="60E6B22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服务和管理</w:t>
            </w:r>
          </w:p>
        </w:tc>
        <w:tc>
          <w:tcPr>
            <w:tcW w:w="489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0D4D88D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  <w:t>49</w:t>
            </w: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72867D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2C789F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</w:tcBorders>
            <w:shd w:val="clear" w:color="auto" w:fill="D9D9D9"/>
            <w:vAlign w:val="center"/>
          </w:tcPr>
          <w:p w14:paraId="2A7AF0F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9D9D9"/>
            <w:vAlign w:val="center"/>
          </w:tcPr>
          <w:p w14:paraId="497B30D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14:paraId="5CA26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000000" w:sz="12" w:space="0"/>
              <w:left w:val="single" w:color="000000" w:sz="12" w:space="0"/>
            </w:tcBorders>
          </w:tcPr>
          <w:p w14:paraId="3DF1D10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5.1</w:t>
            </w:r>
          </w:p>
        </w:tc>
        <w:tc>
          <w:tcPr>
            <w:tcW w:w="5184" w:type="dxa"/>
            <w:tcBorders>
              <w:top w:val="single" w:color="000000" w:sz="12" w:space="0"/>
            </w:tcBorders>
          </w:tcPr>
          <w:p w14:paraId="00EC1EF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管理制度</w:t>
            </w:r>
          </w:p>
        </w:tc>
        <w:tc>
          <w:tcPr>
            <w:tcW w:w="489" w:type="dxa"/>
            <w:tcBorders>
              <w:top w:val="single" w:color="000000" w:sz="12" w:space="0"/>
            </w:tcBorders>
            <w:vAlign w:val="center"/>
          </w:tcPr>
          <w:p w14:paraId="7D6C5FB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</w:tcBorders>
            <w:vAlign w:val="center"/>
          </w:tcPr>
          <w:p w14:paraId="419FD6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tcBorders>
              <w:top w:val="single" w:color="000000" w:sz="12" w:space="0"/>
            </w:tcBorders>
            <w:vAlign w:val="center"/>
          </w:tcPr>
          <w:p w14:paraId="2BE58FD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</w:tcBorders>
            <w:vAlign w:val="center"/>
          </w:tcPr>
          <w:p w14:paraId="20CD0B1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 w14:paraId="7530651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1849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D8899C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5C815E62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建立覆盖课程开发、教学实施、后勤保障、安全管理等全流程的研学活动相关管理制度体系</w:t>
            </w:r>
          </w:p>
        </w:tc>
        <w:tc>
          <w:tcPr>
            <w:tcW w:w="489" w:type="dxa"/>
            <w:vAlign w:val="center"/>
          </w:tcPr>
          <w:p w14:paraId="6A0EBAA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21C805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A73C53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3660EF3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FC6324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B131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45AB917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61F7C324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安全管理符合LB/T 054-2016中第9章确立的安全管理要求</w:t>
            </w:r>
          </w:p>
        </w:tc>
        <w:tc>
          <w:tcPr>
            <w:tcW w:w="489" w:type="dxa"/>
            <w:vAlign w:val="center"/>
          </w:tcPr>
          <w:p w14:paraId="790618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9D9E6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75FAA1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6C0DA75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2D9DD7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0285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611B0C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6FB76D8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每年至少开展2次安全演练</w:t>
            </w:r>
          </w:p>
        </w:tc>
        <w:tc>
          <w:tcPr>
            <w:tcW w:w="489" w:type="dxa"/>
            <w:vAlign w:val="center"/>
          </w:tcPr>
          <w:p w14:paraId="6AF1A67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38BF59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B58FA3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5F840CC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7EC529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2B36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6B92B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5.2</w:t>
            </w:r>
          </w:p>
        </w:tc>
        <w:tc>
          <w:tcPr>
            <w:tcW w:w="5184" w:type="dxa"/>
            <w:vAlign w:val="center"/>
          </w:tcPr>
          <w:p w14:paraId="18C2928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发展规划</w:t>
            </w:r>
          </w:p>
        </w:tc>
        <w:tc>
          <w:tcPr>
            <w:tcW w:w="489" w:type="dxa"/>
            <w:vAlign w:val="center"/>
          </w:tcPr>
          <w:p w14:paraId="7B7C919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4EA6FC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vAlign w:val="center"/>
          </w:tcPr>
          <w:p w14:paraId="60CEECF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D66EC6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7087BEE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4D6C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67A006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216F975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有涵盖研学内容的中长期发展规划</w:t>
            </w:r>
          </w:p>
        </w:tc>
        <w:tc>
          <w:tcPr>
            <w:tcW w:w="489" w:type="dxa"/>
            <w:vAlign w:val="center"/>
          </w:tcPr>
          <w:p w14:paraId="510E99F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836322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22F320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379EF5E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84D9EE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3D04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3DA085F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523F2373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规划内容涵盖研学产品体系、研学线路体系、研学保障体系等核心内容</w:t>
            </w:r>
          </w:p>
        </w:tc>
        <w:tc>
          <w:tcPr>
            <w:tcW w:w="489" w:type="dxa"/>
            <w:vAlign w:val="center"/>
          </w:tcPr>
          <w:p w14:paraId="5B3FD5C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AF84B4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26D519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16DFE3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262490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5CAE3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4947F68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68C920FC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规划目标明确，具备可操作性</w:t>
            </w:r>
          </w:p>
        </w:tc>
        <w:tc>
          <w:tcPr>
            <w:tcW w:w="489" w:type="dxa"/>
            <w:vAlign w:val="center"/>
          </w:tcPr>
          <w:p w14:paraId="0703472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3CC7FD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7509C6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6A8C80E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2B399FA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3AA2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2289DEC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5.3</w:t>
            </w:r>
          </w:p>
        </w:tc>
        <w:tc>
          <w:tcPr>
            <w:tcW w:w="5184" w:type="dxa"/>
            <w:vAlign w:val="center"/>
          </w:tcPr>
          <w:p w14:paraId="1E3433F0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解说系统</w:t>
            </w:r>
          </w:p>
        </w:tc>
        <w:tc>
          <w:tcPr>
            <w:tcW w:w="489" w:type="dxa"/>
            <w:vAlign w:val="center"/>
          </w:tcPr>
          <w:p w14:paraId="53B9482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61171A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vAlign w:val="center"/>
          </w:tcPr>
          <w:p w14:paraId="6641248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C2400B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C3DA33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C472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2E910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5219C52C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解说内容表述清晰、易于理解</w:t>
            </w:r>
          </w:p>
        </w:tc>
        <w:tc>
          <w:tcPr>
            <w:tcW w:w="489" w:type="dxa"/>
            <w:vAlign w:val="center"/>
          </w:tcPr>
          <w:p w14:paraId="41AE0BE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D0AFAA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93F985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57C30A4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706D4D9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991C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408A919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1F01214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解说内容信息准确可靠</w:t>
            </w:r>
          </w:p>
        </w:tc>
        <w:tc>
          <w:tcPr>
            <w:tcW w:w="489" w:type="dxa"/>
            <w:vAlign w:val="center"/>
          </w:tcPr>
          <w:p w14:paraId="09669A8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043F36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9DEA57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3D7FA72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53BFE2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23A4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792A63D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6A45FBE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生动有趣，能激发研学游客的兴趣和参与感</w:t>
            </w:r>
          </w:p>
        </w:tc>
        <w:tc>
          <w:tcPr>
            <w:tcW w:w="489" w:type="dxa"/>
            <w:vAlign w:val="center"/>
          </w:tcPr>
          <w:p w14:paraId="19DEFA5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A36680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4424DA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6EAAE45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2D06355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6F82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701C8D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125C6AB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提供至少2种语言版本的解说内容（如中英双语）</w:t>
            </w:r>
          </w:p>
        </w:tc>
        <w:tc>
          <w:tcPr>
            <w:tcW w:w="489" w:type="dxa"/>
            <w:vAlign w:val="center"/>
          </w:tcPr>
          <w:p w14:paraId="7E76C87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DF5833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EB7330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152DD59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1A68866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B49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68F2B88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5.4</w:t>
            </w:r>
          </w:p>
        </w:tc>
        <w:tc>
          <w:tcPr>
            <w:tcW w:w="5184" w:type="dxa"/>
            <w:vAlign w:val="center"/>
          </w:tcPr>
          <w:p w14:paraId="429F43F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宣传营销</w:t>
            </w:r>
          </w:p>
        </w:tc>
        <w:tc>
          <w:tcPr>
            <w:tcW w:w="489" w:type="dxa"/>
            <w:vAlign w:val="center"/>
          </w:tcPr>
          <w:p w14:paraId="72FFBB9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7CC6DA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41" w:type="dxa"/>
            <w:vAlign w:val="center"/>
          </w:tcPr>
          <w:p w14:paraId="5897FC7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9BDDFD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440F6D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35A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496060D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116FC2D1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拥有面向国际客源市场的宣传营销渠道</w:t>
            </w:r>
          </w:p>
        </w:tc>
        <w:tc>
          <w:tcPr>
            <w:tcW w:w="489" w:type="dxa"/>
            <w:vAlign w:val="center"/>
          </w:tcPr>
          <w:p w14:paraId="079193F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6E500A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A56F5C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41" w:type="dxa"/>
            <w:vAlign w:val="center"/>
          </w:tcPr>
          <w:p w14:paraId="0520084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8E925C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3510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249123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6F18562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在主要客源国市场塑造具有长城文化特色的品牌形象</w:t>
            </w:r>
          </w:p>
        </w:tc>
        <w:tc>
          <w:tcPr>
            <w:tcW w:w="489" w:type="dxa"/>
            <w:vAlign w:val="center"/>
          </w:tcPr>
          <w:p w14:paraId="13AE03B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5D14C8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972016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vAlign w:val="center"/>
          </w:tcPr>
          <w:p w14:paraId="45ADB4C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33FBF0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1894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36F906E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5.5</w:t>
            </w:r>
          </w:p>
        </w:tc>
        <w:tc>
          <w:tcPr>
            <w:tcW w:w="5184" w:type="dxa"/>
            <w:vAlign w:val="center"/>
          </w:tcPr>
          <w:p w14:paraId="0A89A2A9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国际研学合作</w:t>
            </w:r>
          </w:p>
        </w:tc>
        <w:tc>
          <w:tcPr>
            <w:tcW w:w="489" w:type="dxa"/>
            <w:vAlign w:val="center"/>
          </w:tcPr>
          <w:p w14:paraId="5D31D45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BAC924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0674AB3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4D9861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7FA1F2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0A13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9B8D43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12B2A28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境外合作方为正规研学教育机构或专业旅游组织</w:t>
            </w:r>
          </w:p>
        </w:tc>
        <w:tc>
          <w:tcPr>
            <w:tcW w:w="489" w:type="dxa"/>
            <w:vAlign w:val="center"/>
          </w:tcPr>
          <w:p w14:paraId="6A127BE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229625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8ADA187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681AABA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238304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21324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647C6AC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1418BD2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合作涵盖课程开发、活动组织、项目实施等流程</w:t>
            </w:r>
          </w:p>
        </w:tc>
        <w:tc>
          <w:tcPr>
            <w:tcW w:w="489" w:type="dxa"/>
            <w:vAlign w:val="center"/>
          </w:tcPr>
          <w:p w14:paraId="141CE30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33F1C7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733407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243DFE0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7946839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8392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1FE6D43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5.6</w:t>
            </w:r>
          </w:p>
        </w:tc>
        <w:tc>
          <w:tcPr>
            <w:tcW w:w="5184" w:type="dxa"/>
            <w:vAlign w:val="center"/>
          </w:tcPr>
          <w:p w14:paraId="7568B08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接待量</w:t>
            </w:r>
          </w:p>
        </w:tc>
        <w:tc>
          <w:tcPr>
            <w:tcW w:w="489" w:type="dxa"/>
            <w:vAlign w:val="center"/>
          </w:tcPr>
          <w:p w14:paraId="4C49F84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CC57FC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41" w:type="dxa"/>
            <w:vAlign w:val="center"/>
          </w:tcPr>
          <w:p w14:paraId="4FC4991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430E07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222107E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CC43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74025AE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1966085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近一年研学旅游接待总量达到1万人次以上</w:t>
            </w:r>
          </w:p>
        </w:tc>
        <w:tc>
          <w:tcPr>
            <w:tcW w:w="489" w:type="dxa"/>
            <w:vAlign w:val="center"/>
          </w:tcPr>
          <w:p w14:paraId="7A5AC2E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6F3F4D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8044BD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37DE8D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6FEF5CB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11A40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1EF9F4C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76300A8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国际游客占比不低于总接待量的2%</w:t>
            </w:r>
          </w:p>
        </w:tc>
        <w:tc>
          <w:tcPr>
            <w:tcW w:w="489" w:type="dxa"/>
            <w:vAlign w:val="center"/>
          </w:tcPr>
          <w:p w14:paraId="2C10922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2C44D3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FD32F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33DC448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243EA09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1A62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C24FB8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5.7</w:t>
            </w:r>
          </w:p>
        </w:tc>
        <w:tc>
          <w:tcPr>
            <w:tcW w:w="5184" w:type="dxa"/>
            <w:vAlign w:val="center"/>
          </w:tcPr>
          <w:p w14:paraId="11D2AFC8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投诉处理</w:t>
            </w:r>
          </w:p>
        </w:tc>
        <w:tc>
          <w:tcPr>
            <w:tcW w:w="489" w:type="dxa"/>
            <w:vAlign w:val="center"/>
          </w:tcPr>
          <w:p w14:paraId="5AAE4C8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BBB55D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41" w:type="dxa"/>
            <w:vAlign w:val="center"/>
          </w:tcPr>
          <w:p w14:paraId="0CDA430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C491B9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0BB31E8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3B5A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E4F2E3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0EACC26F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建立完善的投诉受理、处理及反馈制度</w:t>
            </w:r>
          </w:p>
        </w:tc>
        <w:tc>
          <w:tcPr>
            <w:tcW w:w="489" w:type="dxa"/>
            <w:vAlign w:val="center"/>
          </w:tcPr>
          <w:p w14:paraId="14ABD69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1F55516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71FB1E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05F7F5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1480FEA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56EE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B52315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7B3AF439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投诉渠道通畅，24小时内响应并启动处理流程</w:t>
            </w:r>
          </w:p>
        </w:tc>
        <w:tc>
          <w:tcPr>
            <w:tcW w:w="489" w:type="dxa"/>
            <w:vAlign w:val="center"/>
          </w:tcPr>
          <w:p w14:paraId="1FB81BF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7515332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4959803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41" w:type="dxa"/>
            <w:vAlign w:val="center"/>
          </w:tcPr>
          <w:p w14:paraId="0998BEC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43DBE1B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0752B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69DD2C2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vAlign w:val="center"/>
          </w:tcPr>
          <w:p w14:paraId="64F33705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投诉处理全过程记录完整，建档留存可追溯</w:t>
            </w:r>
          </w:p>
        </w:tc>
        <w:tc>
          <w:tcPr>
            <w:tcW w:w="489" w:type="dxa"/>
            <w:vAlign w:val="center"/>
          </w:tcPr>
          <w:p w14:paraId="6192A1C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154CC1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D25AFA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41" w:type="dxa"/>
            <w:vAlign w:val="center"/>
          </w:tcPr>
          <w:p w14:paraId="69D0365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73C27D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B5B0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0A6367C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5.8</w:t>
            </w:r>
          </w:p>
        </w:tc>
        <w:tc>
          <w:tcPr>
            <w:tcW w:w="5184" w:type="dxa"/>
            <w:vAlign w:val="center"/>
          </w:tcPr>
          <w:p w14:paraId="22904C9A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效果测评</w:t>
            </w:r>
          </w:p>
        </w:tc>
        <w:tc>
          <w:tcPr>
            <w:tcW w:w="489" w:type="dxa"/>
            <w:vAlign w:val="center"/>
          </w:tcPr>
          <w:p w14:paraId="14D7829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AB9C21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41" w:type="dxa"/>
            <w:vAlign w:val="center"/>
          </w:tcPr>
          <w:p w14:paraId="33586B3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214E10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60AE75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A1CF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6E77BE0B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02C2A95B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建立系统完整的测评制度</w:t>
            </w:r>
          </w:p>
        </w:tc>
        <w:tc>
          <w:tcPr>
            <w:tcW w:w="489" w:type="dxa"/>
            <w:vAlign w:val="center"/>
          </w:tcPr>
          <w:p w14:paraId="00E7B731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46B8FF2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3D7E09C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vAlign w:val="center"/>
          </w:tcPr>
          <w:p w14:paraId="274A005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5CFBFCC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9C7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538B1A6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1A81A15D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测评数据采集真实客观，无虚假记录</w:t>
            </w:r>
          </w:p>
        </w:tc>
        <w:tc>
          <w:tcPr>
            <w:tcW w:w="489" w:type="dxa"/>
            <w:vAlign w:val="center"/>
          </w:tcPr>
          <w:p w14:paraId="7A18377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0E1593E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6CD89295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vAlign w:val="center"/>
          </w:tcPr>
          <w:p w14:paraId="4B7C53C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7BA666E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C379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</w:tcBorders>
          </w:tcPr>
          <w:p w14:paraId="40E1229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</w:tcPr>
          <w:p w14:paraId="17F94637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研学项目档案包含课程资料、活动记录、测评结果等全套资料</w:t>
            </w:r>
          </w:p>
        </w:tc>
        <w:tc>
          <w:tcPr>
            <w:tcW w:w="489" w:type="dxa"/>
            <w:vAlign w:val="center"/>
          </w:tcPr>
          <w:p w14:paraId="51075E6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22BD9EF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vAlign w:val="center"/>
          </w:tcPr>
          <w:p w14:paraId="5F89164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vAlign w:val="center"/>
          </w:tcPr>
          <w:p w14:paraId="29281E0C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right w:val="single" w:color="000000" w:sz="12" w:space="0"/>
            </w:tcBorders>
            <w:vAlign w:val="center"/>
          </w:tcPr>
          <w:p w14:paraId="0315890E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3A25F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left w:val="single" w:color="000000" w:sz="12" w:space="0"/>
              <w:bottom w:val="single" w:color="auto" w:sz="12" w:space="0"/>
            </w:tcBorders>
          </w:tcPr>
          <w:p w14:paraId="2BC0E88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184" w:type="dxa"/>
            <w:tcBorders>
              <w:bottom w:val="single" w:color="auto" w:sz="12" w:space="0"/>
            </w:tcBorders>
          </w:tcPr>
          <w:p w14:paraId="22A4BF16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所有档案保存3年以上</w:t>
            </w:r>
          </w:p>
        </w:tc>
        <w:tc>
          <w:tcPr>
            <w:tcW w:w="489" w:type="dxa"/>
            <w:tcBorders>
              <w:bottom w:val="single" w:color="auto" w:sz="12" w:space="0"/>
            </w:tcBorders>
            <w:vAlign w:val="center"/>
          </w:tcPr>
          <w:p w14:paraId="25436C2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auto" w:sz="12" w:space="0"/>
            </w:tcBorders>
            <w:vAlign w:val="center"/>
          </w:tcPr>
          <w:p w14:paraId="26983696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auto" w:sz="12" w:space="0"/>
            </w:tcBorders>
            <w:vAlign w:val="center"/>
          </w:tcPr>
          <w:p w14:paraId="3872D0FD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41" w:type="dxa"/>
            <w:tcBorders>
              <w:bottom w:val="single" w:color="auto" w:sz="12" w:space="0"/>
            </w:tcBorders>
            <w:vAlign w:val="center"/>
          </w:tcPr>
          <w:p w14:paraId="27C8521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bottom w:val="single" w:color="auto" w:sz="12" w:space="0"/>
              <w:right w:val="single" w:color="000000" w:sz="12" w:space="0"/>
            </w:tcBorders>
            <w:vAlign w:val="center"/>
          </w:tcPr>
          <w:p w14:paraId="4B028144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70E33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</w:tcPr>
          <w:p w14:paraId="5D35F9E3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合计</w:t>
            </w:r>
          </w:p>
        </w:tc>
        <w:tc>
          <w:tcPr>
            <w:tcW w:w="5184" w:type="dxa"/>
            <w:tcBorders>
              <w:top w:val="single" w:color="auto" w:sz="12" w:space="0"/>
              <w:bottom w:val="single" w:color="auto" w:sz="12" w:space="0"/>
            </w:tcBorders>
          </w:tcPr>
          <w:p w14:paraId="7AC06C54">
            <w:pPr>
              <w:widowControl/>
              <w:autoSpaceDE w:val="0"/>
              <w:autoSpaceDN w:val="0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8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308BDD0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300</w:t>
            </w:r>
          </w:p>
        </w:tc>
        <w:tc>
          <w:tcPr>
            <w:tcW w:w="44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166B299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BDE6FDA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F75B09F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105A6F8">
            <w:pPr>
              <w:widowControl/>
              <w:autoSpaceDE w:val="0"/>
              <w:autoSpaceDN w:val="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 w14:paraId="58DFB11F">
      <w:pPr>
        <w:widowControl/>
        <w:autoSpaceDE w:val="0"/>
        <w:autoSpaceDN w:val="0"/>
        <w:rPr>
          <w:rFonts w:ascii="宋体" w:hAnsi="Times New Roman" w:eastAsia="等线" w:cs="Times New Roman"/>
          <w:sz w:val="18"/>
          <w:szCs w:val="18"/>
        </w:rPr>
      </w:pPr>
    </w:p>
    <w:p w14:paraId="0521D84B">
      <w:pPr>
        <w:spacing w:line="360" w:lineRule="auto"/>
        <w:ind w:firstLine="400" w:firstLineChars="200"/>
        <w:rPr>
          <w:rFonts w:hint="eastAsia" w:ascii="宋体" w:hAnsi="宋体" w:eastAsia="宋体" w:cs="宋体"/>
          <w:sz w:val="20"/>
          <w:szCs w:val="20"/>
          <w:lang w:bidi="ar"/>
        </w:rPr>
      </w:pPr>
      <w:r>
        <w:rPr>
          <w:rFonts w:hint="eastAsia" w:ascii="宋体" w:hAnsi="宋体" w:eastAsia="宋体" w:cs="宋体"/>
          <w:sz w:val="20"/>
          <w:szCs w:val="20"/>
          <w:lang w:bidi="ar"/>
        </w:rPr>
        <w:t>注：</w:t>
      </w:r>
      <w:r>
        <w:rPr>
          <w:rFonts w:ascii="宋体" w:hAnsi="宋体" w:eastAsia="宋体" w:cs="宋体"/>
          <w:sz w:val="20"/>
          <w:szCs w:val="20"/>
          <w:lang w:bidi="ar"/>
        </w:rPr>
        <w:t>申报单位按照长城国际研学基地（营地）评定赋分表进行自查打分。打分结果位于270分至300分（含）的为五星级长城国际研学基地（营地），位于230分至269分（含）的为四星级长城国际研学基地（营地），位于200分至229分（含）的为三星级长城国际研学基地（营地）。</w:t>
      </w:r>
    </w:p>
    <w:p w14:paraId="3B303AAC">
      <w:pPr>
        <w:widowControl/>
        <w:autoSpaceDE w:val="0"/>
        <w:autoSpaceDN w:val="0"/>
        <w:rPr>
          <w:rFonts w:hint="eastAsia" w:ascii="宋体" w:hAnsi="宋体" w:eastAsia="宋体" w:cs="宋体"/>
          <w:sz w:val="20"/>
          <w:szCs w:val="20"/>
          <w:lang w:bidi="ar"/>
        </w:rPr>
      </w:pPr>
    </w:p>
    <w:p w14:paraId="16F30D1C">
      <w:pPr>
        <w:spacing w:line="360" w:lineRule="auto"/>
        <w:rPr>
          <w:rFonts w:hint="eastAsia" w:ascii="仿宋" w:hAnsi="仿宋" w:eastAsia="仿宋" w:cs="仿宋"/>
          <w:sz w:val="24"/>
          <w:szCs w:val="22"/>
        </w:rPr>
      </w:pPr>
      <w:r>
        <w:rPr>
          <w:rFonts w:hint="eastAsia" w:ascii="仿宋" w:hAnsi="仿宋" w:eastAsia="仿宋" w:cs="仿宋"/>
          <w:sz w:val="24"/>
          <w:szCs w:val="22"/>
        </w:rPr>
        <w:t>*特殊情况说明：</w:t>
      </w:r>
    </w:p>
    <w:p w14:paraId="2E290000">
      <w:pPr>
        <w:spacing w:line="360" w:lineRule="auto"/>
        <w:ind w:firstLine="4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z w:val="20"/>
          <w:szCs w:val="20"/>
          <w:lang w:bidi="ar"/>
        </w:rPr>
        <w:t>鉴于长城分会正在同步筹备长城研学旅游指导师的评定工作，但因前期准备工作需要一定时间而滞后于基地（营地）评定工作的开展，“4.3 长城研学旅游指导师”评分项暂记零分，待年底完成首批长城研学旅游指导师的评定工作后，同步更新基地（营地）该项得分和总分，经分会审核和公示后，颁发对应等级标识牌。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E12A0ED-F6CA-40B8-BE9A-C9152483D71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8D0AC8E-C427-4099-A3BE-B417B072B7A2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44A2A97C-05AD-49B5-BD38-36BD2FEEA5D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jgzYWY4MjYyNTdhMTBjZWI5OTExM2JmMjFjNmUifQ=="/>
    <w:docVar w:name="KSO_WPS_MARK_KEY" w:val="7b54c885-2efe-4997-a59e-4c87d23885bb"/>
  </w:docVars>
  <w:rsids>
    <w:rsidRoot w:val="09A3299B"/>
    <w:rsid w:val="00037F05"/>
    <w:rsid w:val="000B55B2"/>
    <w:rsid w:val="000C2315"/>
    <w:rsid w:val="00111326"/>
    <w:rsid w:val="00112EFB"/>
    <w:rsid w:val="00132A84"/>
    <w:rsid w:val="001639F7"/>
    <w:rsid w:val="00195B51"/>
    <w:rsid w:val="001B3E90"/>
    <w:rsid w:val="001D3D62"/>
    <w:rsid w:val="00222EAB"/>
    <w:rsid w:val="00243D5A"/>
    <w:rsid w:val="00282982"/>
    <w:rsid w:val="00297F98"/>
    <w:rsid w:val="002D0533"/>
    <w:rsid w:val="002E6126"/>
    <w:rsid w:val="00354273"/>
    <w:rsid w:val="003C7B4D"/>
    <w:rsid w:val="003D6CD6"/>
    <w:rsid w:val="003F4D50"/>
    <w:rsid w:val="003F7E59"/>
    <w:rsid w:val="004050D9"/>
    <w:rsid w:val="0042747A"/>
    <w:rsid w:val="0046000A"/>
    <w:rsid w:val="004705D5"/>
    <w:rsid w:val="00482CDD"/>
    <w:rsid w:val="004B3F68"/>
    <w:rsid w:val="005232AC"/>
    <w:rsid w:val="00532F2F"/>
    <w:rsid w:val="005340B8"/>
    <w:rsid w:val="00540CBF"/>
    <w:rsid w:val="00543D66"/>
    <w:rsid w:val="005662F3"/>
    <w:rsid w:val="00583193"/>
    <w:rsid w:val="005A265D"/>
    <w:rsid w:val="005F11B1"/>
    <w:rsid w:val="005F43AB"/>
    <w:rsid w:val="00683492"/>
    <w:rsid w:val="006844E0"/>
    <w:rsid w:val="006A213E"/>
    <w:rsid w:val="006A4609"/>
    <w:rsid w:val="006A6049"/>
    <w:rsid w:val="00736FC9"/>
    <w:rsid w:val="00755061"/>
    <w:rsid w:val="007649C6"/>
    <w:rsid w:val="007B3CE0"/>
    <w:rsid w:val="007B6ED7"/>
    <w:rsid w:val="00804FD9"/>
    <w:rsid w:val="00826D3C"/>
    <w:rsid w:val="008807C8"/>
    <w:rsid w:val="008A62C3"/>
    <w:rsid w:val="008B2F28"/>
    <w:rsid w:val="009142D5"/>
    <w:rsid w:val="00927B0C"/>
    <w:rsid w:val="00954735"/>
    <w:rsid w:val="00964875"/>
    <w:rsid w:val="009A5B7B"/>
    <w:rsid w:val="009D134F"/>
    <w:rsid w:val="009E5686"/>
    <w:rsid w:val="00A0260C"/>
    <w:rsid w:val="00A25999"/>
    <w:rsid w:val="00A60874"/>
    <w:rsid w:val="00A65651"/>
    <w:rsid w:val="00A939D1"/>
    <w:rsid w:val="00B02F2D"/>
    <w:rsid w:val="00B50A19"/>
    <w:rsid w:val="00B92258"/>
    <w:rsid w:val="00BA5507"/>
    <w:rsid w:val="00BB06CE"/>
    <w:rsid w:val="00C135CA"/>
    <w:rsid w:val="00C13A4E"/>
    <w:rsid w:val="00C204A3"/>
    <w:rsid w:val="00CE7CB9"/>
    <w:rsid w:val="00CF5568"/>
    <w:rsid w:val="00D17AA8"/>
    <w:rsid w:val="00D6367E"/>
    <w:rsid w:val="00E35B99"/>
    <w:rsid w:val="00E74B83"/>
    <w:rsid w:val="00E828D2"/>
    <w:rsid w:val="00E912F1"/>
    <w:rsid w:val="00E921BB"/>
    <w:rsid w:val="00EB1430"/>
    <w:rsid w:val="00F04BF8"/>
    <w:rsid w:val="00F13B73"/>
    <w:rsid w:val="00F42FBD"/>
    <w:rsid w:val="00F90157"/>
    <w:rsid w:val="00FC6241"/>
    <w:rsid w:val="012B1FAD"/>
    <w:rsid w:val="032A1114"/>
    <w:rsid w:val="03C30C20"/>
    <w:rsid w:val="057E3246"/>
    <w:rsid w:val="06475B39"/>
    <w:rsid w:val="067A5C72"/>
    <w:rsid w:val="09644C54"/>
    <w:rsid w:val="09A3299B"/>
    <w:rsid w:val="0A3B59B5"/>
    <w:rsid w:val="0AF60D87"/>
    <w:rsid w:val="0AF81AF7"/>
    <w:rsid w:val="0EC00B7E"/>
    <w:rsid w:val="105C3E2D"/>
    <w:rsid w:val="12B44556"/>
    <w:rsid w:val="144D300A"/>
    <w:rsid w:val="1489772C"/>
    <w:rsid w:val="15AC3C0A"/>
    <w:rsid w:val="18D46DD6"/>
    <w:rsid w:val="19120501"/>
    <w:rsid w:val="1C5A42D8"/>
    <w:rsid w:val="1D412E8A"/>
    <w:rsid w:val="1F29116D"/>
    <w:rsid w:val="20DA5ACF"/>
    <w:rsid w:val="23445482"/>
    <w:rsid w:val="24521E21"/>
    <w:rsid w:val="265167AD"/>
    <w:rsid w:val="277B57A8"/>
    <w:rsid w:val="284036F1"/>
    <w:rsid w:val="29044F3B"/>
    <w:rsid w:val="292969E7"/>
    <w:rsid w:val="297840D8"/>
    <w:rsid w:val="2A2E29E8"/>
    <w:rsid w:val="2B261911"/>
    <w:rsid w:val="2C8D1934"/>
    <w:rsid w:val="2CC3566A"/>
    <w:rsid w:val="2DC85380"/>
    <w:rsid w:val="2E5424A4"/>
    <w:rsid w:val="2EBF00B3"/>
    <w:rsid w:val="2EC713F1"/>
    <w:rsid w:val="2F901C22"/>
    <w:rsid w:val="303B53B5"/>
    <w:rsid w:val="30F66EB0"/>
    <w:rsid w:val="32316CD9"/>
    <w:rsid w:val="3492549E"/>
    <w:rsid w:val="35507CB7"/>
    <w:rsid w:val="36987B67"/>
    <w:rsid w:val="373A7465"/>
    <w:rsid w:val="37DC672B"/>
    <w:rsid w:val="392A3484"/>
    <w:rsid w:val="39536F7B"/>
    <w:rsid w:val="3A7206CF"/>
    <w:rsid w:val="3B453786"/>
    <w:rsid w:val="3B8B1A48"/>
    <w:rsid w:val="3C48097A"/>
    <w:rsid w:val="3C7104A8"/>
    <w:rsid w:val="3DB8289D"/>
    <w:rsid w:val="3F134431"/>
    <w:rsid w:val="3FB022EA"/>
    <w:rsid w:val="422F6EA6"/>
    <w:rsid w:val="430E1CFC"/>
    <w:rsid w:val="4385631B"/>
    <w:rsid w:val="440A41A5"/>
    <w:rsid w:val="47004C7F"/>
    <w:rsid w:val="47094169"/>
    <w:rsid w:val="49C54FB1"/>
    <w:rsid w:val="4AB8751E"/>
    <w:rsid w:val="4D530006"/>
    <w:rsid w:val="500430DB"/>
    <w:rsid w:val="50D04016"/>
    <w:rsid w:val="528611F1"/>
    <w:rsid w:val="53235BF3"/>
    <w:rsid w:val="53BC2C8F"/>
    <w:rsid w:val="554967A4"/>
    <w:rsid w:val="55E95A6C"/>
    <w:rsid w:val="57A8136B"/>
    <w:rsid w:val="57C2639A"/>
    <w:rsid w:val="5814296E"/>
    <w:rsid w:val="59ED5C18"/>
    <w:rsid w:val="5C0955E6"/>
    <w:rsid w:val="5D4B6E32"/>
    <w:rsid w:val="5DAB0F48"/>
    <w:rsid w:val="62482834"/>
    <w:rsid w:val="62CA6A4B"/>
    <w:rsid w:val="62FA10DE"/>
    <w:rsid w:val="64CE7FFF"/>
    <w:rsid w:val="64EF072B"/>
    <w:rsid w:val="65312DB1"/>
    <w:rsid w:val="65DE365D"/>
    <w:rsid w:val="66D75E64"/>
    <w:rsid w:val="6A356002"/>
    <w:rsid w:val="6AA933EA"/>
    <w:rsid w:val="6CFC1EF7"/>
    <w:rsid w:val="6D694273"/>
    <w:rsid w:val="6E3C3AC7"/>
    <w:rsid w:val="6EFC61DE"/>
    <w:rsid w:val="719426FE"/>
    <w:rsid w:val="74285042"/>
    <w:rsid w:val="74AC23D1"/>
    <w:rsid w:val="76E41A31"/>
    <w:rsid w:val="779A6594"/>
    <w:rsid w:val="784658B7"/>
    <w:rsid w:val="787A36BE"/>
    <w:rsid w:val="7B7F61CD"/>
    <w:rsid w:val="7BE1183C"/>
    <w:rsid w:val="7E374B3D"/>
    <w:rsid w:val="7ECD6D3B"/>
    <w:rsid w:val="7FCC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不明显参考1"/>
    <w:basedOn w:val="7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4C46A-A9E6-4FAB-8065-46393EEF89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854</Words>
  <Characters>858</Characters>
  <Lines>53</Lines>
  <Paragraphs>14</Paragraphs>
  <TotalTime>203</TotalTime>
  <ScaleCrop>false</ScaleCrop>
  <LinksUpToDate>false</LinksUpToDate>
  <CharactersWithSpaces>1005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2024-04-09T02:47:00Z</dcterms:created>
  <dc:creator>家妈</dc:creator>
  <cp:lastModifiedBy>家妈</cp:lastModifiedBy>
  <cp:lastPrinted>2024-05-10T03:23:00Z</cp:lastPrinted>
  <dcterms:modified xsi:type="dcterms:W3CDTF">2025-12-01T08:42:09Z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16471F394D5D448CA306BD744DC0C51A_13</vt:lpwstr>
  </property>
  <property fmtid="{D5CDD505-2E9C-101B-9397-08002B2CF9AE}" pid="4" name="KSOTemplateDocerSaveRecord">
    <vt:lpwstr>eyJoZGlkIjoiZDE1Njg3MzRhZjIwNjYyNDQ1NGNjOTRkZThkYTVmNGQiLCJ1c2VySWQiOiI0OTc2MDQ1NDEifQ==</vt:lpwstr>
  </property>
</Properties>
</file>