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6311D1" w:rsidRDefault="006311D1" w:rsidP="006311D1">
      <w:pPr>
        <w:pStyle w:val="a5"/>
      </w:pPr>
      <w:r w:rsidRPr="006311D1">
        <w:rPr>
          <w:rFonts w:hint="eastAsia"/>
        </w:rPr>
        <w:t>普陀区加快推动数据发展和数字城市建设实施意见(试行)</w:t>
      </w:r>
    </w:p>
    <w:p w:rsidR="006311D1" w:rsidRPr="006311D1" w:rsidRDefault="006311D1" w:rsidP="006311D1">
      <w:pPr>
        <w:rPr>
          <w:rFonts w:hint="eastAsia"/>
        </w:rPr>
      </w:pPr>
    </w:p>
    <w:p w:rsidR="006311D1" w:rsidRPr="006311D1" w:rsidRDefault="006311D1" w:rsidP="006311D1">
      <w:pPr>
        <w:ind w:firstLineChars="200" w:firstLine="600"/>
        <w:rPr>
          <w:rFonts w:hint="eastAsia"/>
        </w:rPr>
      </w:pPr>
      <w:r w:rsidRPr="006311D1">
        <w:rPr>
          <w:rFonts w:hint="eastAsia"/>
        </w:rPr>
        <w:t>为深入贯彻落实党中央、国务院关于数字中国建设的决策部署和《关于深化智慧城市发展推进城市全域数字化转型的指导意见》《关于全面推进上海城市数字化转型的意见》有关要求，全面夯实普陀数字化、智能化领域产业和配套布局，充分激发数据要素赋能产业发展作用，以数据发展为动能，积极助</w:t>
      </w:r>
      <w:proofErr w:type="gramStart"/>
      <w:r w:rsidRPr="006311D1">
        <w:rPr>
          <w:rFonts w:hint="eastAsia"/>
        </w:rPr>
        <w:t>推区域</w:t>
      </w:r>
      <w:proofErr w:type="gramEnd"/>
      <w:r w:rsidRPr="006311D1">
        <w:rPr>
          <w:rFonts w:hint="eastAsia"/>
        </w:rPr>
        <w:t>经济社会高质量发展，结合本区实际，经研究，制定本意见。</w:t>
      </w:r>
    </w:p>
    <w:p w:rsidR="006311D1" w:rsidRPr="006311D1" w:rsidRDefault="006311D1" w:rsidP="006311D1">
      <w:pPr>
        <w:ind w:firstLineChars="200" w:firstLine="602"/>
        <w:rPr>
          <w:rFonts w:hint="eastAsia"/>
        </w:rPr>
      </w:pPr>
      <w:r w:rsidRPr="006311D1">
        <w:rPr>
          <w:rFonts w:hint="eastAsia"/>
          <w:b/>
          <w:bCs/>
        </w:rPr>
        <w:t>一、扶持对象</w:t>
      </w:r>
    </w:p>
    <w:p w:rsidR="006311D1" w:rsidRPr="006311D1" w:rsidRDefault="006311D1" w:rsidP="006311D1">
      <w:pPr>
        <w:ind w:firstLineChars="200" w:firstLine="600"/>
        <w:rPr>
          <w:rFonts w:hint="eastAsia"/>
        </w:rPr>
      </w:pPr>
      <w:r w:rsidRPr="006311D1">
        <w:rPr>
          <w:rFonts w:hint="eastAsia"/>
        </w:rPr>
        <w:t>本意见适用于依法设立，信用记录良好，且符合区域数字化转型发展导向的企业和机构。</w:t>
      </w:r>
    </w:p>
    <w:p w:rsidR="006311D1" w:rsidRPr="006311D1" w:rsidRDefault="006311D1" w:rsidP="006311D1">
      <w:pPr>
        <w:ind w:firstLineChars="200" w:firstLine="602"/>
        <w:rPr>
          <w:rFonts w:hint="eastAsia"/>
        </w:rPr>
      </w:pPr>
      <w:r w:rsidRPr="006311D1">
        <w:rPr>
          <w:rFonts w:hint="eastAsia"/>
          <w:b/>
          <w:bCs/>
        </w:rPr>
        <w:t>二、扶持方式</w:t>
      </w:r>
    </w:p>
    <w:p w:rsidR="006311D1" w:rsidRPr="006311D1" w:rsidRDefault="006311D1" w:rsidP="006311D1">
      <w:pPr>
        <w:ind w:firstLineChars="200" w:firstLine="602"/>
        <w:rPr>
          <w:rFonts w:hint="eastAsia"/>
        </w:rPr>
      </w:pPr>
      <w:r w:rsidRPr="006311D1">
        <w:rPr>
          <w:rFonts w:hint="eastAsia"/>
          <w:b/>
          <w:bCs/>
        </w:rPr>
        <w:t>（一）支持打造示范项目</w:t>
      </w:r>
    </w:p>
    <w:p w:rsidR="006311D1" w:rsidRPr="006311D1" w:rsidRDefault="006311D1" w:rsidP="006311D1">
      <w:pPr>
        <w:ind w:firstLineChars="200" w:firstLine="600"/>
        <w:rPr>
          <w:rFonts w:hint="eastAsia"/>
        </w:rPr>
      </w:pPr>
      <w:r w:rsidRPr="006311D1">
        <w:rPr>
          <w:rFonts w:hint="eastAsia"/>
        </w:rPr>
        <w:t>1.支持应用场景标杆示范。</w:t>
      </w:r>
    </w:p>
    <w:p w:rsidR="006311D1" w:rsidRPr="006311D1" w:rsidRDefault="006311D1" w:rsidP="006311D1">
      <w:pPr>
        <w:ind w:firstLineChars="200" w:firstLine="600"/>
        <w:rPr>
          <w:rFonts w:hint="eastAsia"/>
        </w:rPr>
      </w:pPr>
      <w:r w:rsidRPr="006311D1">
        <w:rPr>
          <w:rFonts w:hint="eastAsia"/>
        </w:rPr>
        <w:t>对赋能新质生产力、高品质生活、高效能治理的数字化创新应用项目，打造行业数据枢纽、促进数据流通应用、开展行业特色数据应用的典型应用项目，经评审认定为区级应用场景标杆示范项目的，可按项目投资额30%以内比例，给予最高不超过200万元的扶持。对纳入国家“数据要素×”典型应用场景、获得市级数据发展专项资金等扶持的超级应用场景、功能型平台等相关项目，经评审认定，可按1:1以内比例，给予最高不超过1000万元的区级资金匹配。</w:t>
      </w:r>
    </w:p>
    <w:p w:rsidR="006311D1" w:rsidRPr="006311D1" w:rsidRDefault="006311D1" w:rsidP="006311D1">
      <w:pPr>
        <w:ind w:firstLineChars="200" w:firstLine="600"/>
        <w:rPr>
          <w:rFonts w:hint="eastAsia"/>
        </w:rPr>
      </w:pPr>
      <w:r w:rsidRPr="006311D1">
        <w:rPr>
          <w:rFonts w:hint="eastAsia"/>
        </w:rPr>
        <w:t>2.支持区块链研发应用。</w:t>
      </w:r>
    </w:p>
    <w:p w:rsidR="006311D1" w:rsidRPr="006311D1" w:rsidRDefault="006311D1" w:rsidP="006311D1">
      <w:pPr>
        <w:ind w:firstLineChars="200" w:firstLine="600"/>
        <w:rPr>
          <w:rFonts w:hint="eastAsia"/>
        </w:rPr>
      </w:pPr>
      <w:r w:rsidRPr="006311D1">
        <w:rPr>
          <w:rFonts w:hint="eastAsia"/>
        </w:rPr>
        <w:t>对依托城市区块链基础设施上链用链，在关键领域开展应用场景建设，开展区块链技术产品研发，经评审认定，可按项目投资额40%以内比例，给予最高不超过300万元的扶持。</w:t>
      </w:r>
    </w:p>
    <w:p w:rsidR="006311D1" w:rsidRPr="006311D1" w:rsidRDefault="006311D1" w:rsidP="006311D1">
      <w:pPr>
        <w:ind w:firstLineChars="200" w:firstLine="600"/>
        <w:rPr>
          <w:rFonts w:hint="eastAsia"/>
        </w:rPr>
      </w:pPr>
      <w:r w:rsidRPr="006311D1">
        <w:rPr>
          <w:rFonts w:hint="eastAsia"/>
        </w:rPr>
        <w:lastRenderedPageBreak/>
        <w:t>3.支持数字基础设施建设。</w:t>
      </w:r>
    </w:p>
    <w:p w:rsidR="006311D1" w:rsidRPr="006311D1" w:rsidRDefault="006311D1" w:rsidP="006311D1">
      <w:pPr>
        <w:ind w:firstLineChars="200" w:firstLine="600"/>
        <w:rPr>
          <w:rFonts w:hint="eastAsia"/>
        </w:rPr>
      </w:pPr>
      <w:r w:rsidRPr="006311D1">
        <w:rPr>
          <w:rFonts w:hint="eastAsia"/>
        </w:rPr>
        <w:t>对在区内外开展并对外服务</w:t>
      </w:r>
      <w:proofErr w:type="gramStart"/>
      <w:r w:rsidRPr="006311D1">
        <w:rPr>
          <w:rFonts w:hint="eastAsia"/>
        </w:rPr>
        <w:t>的存算设施</w:t>
      </w:r>
      <w:proofErr w:type="gramEnd"/>
      <w:r w:rsidRPr="006311D1">
        <w:rPr>
          <w:rFonts w:hint="eastAsia"/>
        </w:rPr>
        <w:t>、网络设施、流通利用设施、数据安全设施以及区块链基础设施等，经审核认定，可按实际固定资产投资的2%以内比例，给予最高不超过1000万元的扶持。</w:t>
      </w:r>
    </w:p>
    <w:p w:rsidR="006311D1" w:rsidRPr="006311D1" w:rsidRDefault="006311D1" w:rsidP="006311D1">
      <w:pPr>
        <w:ind w:firstLineChars="200" w:firstLine="600"/>
        <w:rPr>
          <w:rFonts w:hint="eastAsia"/>
        </w:rPr>
      </w:pPr>
      <w:r w:rsidRPr="006311D1">
        <w:rPr>
          <w:rFonts w:hint="eastAsia"/>
        </w:rPr>
        <w:t>4.支持数据要素流通应用。</w:t>
      </w:r>
    </w:p>
    <w:p w:rsidR="006311D1" w:rsidRPr="006311D1" w:rsidRDefault="006311D1" w:rsidP="006311D1">
      <w:pPr>
        <w:ind w:firstLineChars="200" w:firstLine="600"/>
        <w:rPr>
          <w:rFonts w:hint="eastAsia"/>
        </w:rPr>
      </w:pPr>
      <w:r w:rsidRPr="006311D1">
        <w:rPr>
          <w:rFonts w:hint="eastAsia"/>
        </w:rPr>
        <w:t>对参与区级数</w:t>
      </w:r>
      <w:proofErr w:type="gramStart"/>
      <w:r w:rsidRPr="006311D1">
        <w:rPr>
          <w:rFonts w:hint="eastAsia"/>
        </w:rPr>
        <w:t>据创新</w:t>
      </w:r>
      <w:proofErr w:type="gramEnd"/>
      <w:r w:rsidRPr="006311D1">
        <w:rPr>
          <w:rFonts w:hint="eastAsia"/>
        </w:rPr>
        <w:t>实验室、特色数据空间、数据授权运营场景、高质量数据集建设的企业、机构，经审核认定，可按实际出资额的50%以内比例，给予最高不超过200万元的扶持。</w:t>
      </w:r>
    </w:p>
    <w:p w:rsidR="006311D1" w:rsidRPr="006311D1" w:rsidRDefault="006311D1" w:rsidP="006311D1">
      <w:pPr>
        <w:ind w:firstLineChars="200" w:firstLine="602"/>
        <w:rPr>
          <w:rFonts w:hint="eastAsia"/>
        </w:rPr>
      </w:pPr>
      <w:r w:rsidRPr="006311D1">
        <w:rPr>
          <w:rFonts w:hint="eastAsia"/>
          <w:b/>
          <w:bCs/>
        </w:rPr>
        <w:t>（二）支持赋能产业发展</w:t>
      </w:r>
    </w:p>
    <w:p w:rsidR="006311D1" w:rsidRPr="006311D1" w:rsidRDefault="006311D1" w:rsidP="006311D1">
      <w:pPr>
        <w:ind w:firstLineChars="200" w:firstLine="600"/>
        <w:rPr>
          <w:rFonts w:hint="eastAsia"/>
        </w:rPr>
      </w:pPr>
      <w:r w:rsidRPr="006311D1">
        <w:rPr>
          <w:rFonts w:hint="eastAsia"/>
        </w:rPr>
        <w:t>5.鼓励加强数据管理能力。</w:t>
      </w:r>
    </w:p>
    <w:p w:rsidR="006311D1" w:rsidRPr="006311D1" w:rsidRDefault="006311D1" w:rsidP="006311D1">
      <w:pPr>
        <w:ind w:firstLineChars="200" w:firstLine="600"/>
        <w:rPr>
          <w:rFonts w:hint="eastAsia"/>
        </w:rPr>
      </w:pPr>
      <w:r w:rsidRPr="006311D1">
        <w:rPr>
          <w:rFonts w:hint="eastAsia"/>
        </w:rPr>
        <w:t>对通过数据管理能力成熟度评价模型（DCMM）3级及以上贯标认证的企业，经审核认定，可根据认证级别给予最高不超过25万元的扶持。同一企业升级认证级别，给予差额扶持。</w:t>
      </w:r>
    </w:p>
    <w:p w:rsidR="006311D1" w:rsidRPr="006311D1" w:rsidRDefault="006311D1" w:rsidP="006311D1">
      <w:pPr>
        <w:ind w:firstLineChars="200" w:firstLine="600"/>
        <w:rPr>
          <w:rFonts w:hint="eastAsia"/>
        </w:rPr>
      </w:pPr>
      <w:r w:rsidRPr="006311D1">
        <w:rPr>
          <w:rFonts w:hint="eastAsia"/>
        </w:rPr>
        <w:t>6.鼓励加快数据开发利用。</w:t>
      </w:r>
    </w:p>
    <w:p w:rsidR="006311D1" w:rsidRPr="006311D1" w:rsidRDefault="006311D1" w:rsidP="006311D1">
      <w:pPr>
        <w:ind w:firstLineChars="200" w:firstLine="600"/>
        <w:rPr>
          <w:rFonts w:hint="eastAsia"/>
        </w:rPr>
      </w:pPr>
      <w:r w:rsidRPr="006311D1">
        <w:rPr>
          <w:rFonts w:hint="eastAsia"/>
        </w:rPr>
        <w:t>对企业围绕自身业务数据和行业数据，通过购买服务、租用资源等方式开展数据治理、数据挖掘、模型训练、模型推理等，并对行业发展形成显著促进作用的，经审核认定，可按合同金额的40%以内比例，给予最高不超过200万元的扶持。</w:t>
      </w:r>
    </w:p>
    <w:p w:rsidR="006311D1" w:rsidRPr="006311D1" w:rsidRDefault="006311D1" w:rsidP="006311D1">
      <w:pPr>
        <w:ind w:firstLineChars="200" w:firstLine="600"/>
        <w:rPr>
          <w:rFonts w:hint="eastAsia"/>
        </w:rPr>
      </w:pPr>
      <w:r w:rsidRPr="006311D1">
        <w:rPr>
          <w:rFonts w:hint="eastAsia"/>
        </w:rPr>
        <w:t>7.鼓励参与数字领域标准制订。</w:t>
      </w:r>
    </w:p>
    <w:p w:rsidR="006311D1" w:rsidRPr="006311D1" w:rsidRDefault="006311D1" w:rsidP="006311D1">
      <w:pPr>
        <w:ind w:firstLineChars="200" w:firstLine="600"/>
        <w:rPr>
          <w:rFonts w:hint="eastAsia"/>
        </w:rPr>
      </w:pPr>
      <w:r w:rsidRPr="006311D1">
        <w:rPr>
          <w:rFonts w:hint="eastAsia"/>
        </w:rPr>
        <w:t>对参与数据要素、数字经济、智慧城市等领域国际、国家、行业、地方标准制订的单位，经审核认定，对第一起草单位可分别给予30万元、20万元、10万元、5万元的扶持，非第一起草单位按50%标准给予扶持。</w:t>
      </w:r>
    </w:p>
    <w:p w:rsidR="006311D1" w:rsidRPr="006311D1" w:rsidRDefault="006311D1" w:rsidP="006311D1">
      <w:pPr>
        <w:ind w:firstLineChars="200" w:firstLine="600"/>
        <w:rPr>
          <w:rFonts w:hint="eastAsia"/>
        </w:rPr>
      </w:pPr>
      <w:r w:rsidRPr="006311D1">
        <w:rPr>
          <w:rFonts w:hint="eastAsia"/>
        </w:rPr>
        <w:t>8.鼓励提供数字赋能服务。</w:t>
      </w:r>
    </w:p>
    <w:p w:rsidR="006311D1" w:rsidRPr="006311D1" w:rsidRDefault="006311D1" w:rsidP="006311D1">
      <w:pPr>
        <w:ind w:firstLineChars="200" w:firstLine="600"/>
        <w:rPr>
          <w:rFonts w:hint="eastAsia"/>
        </w:rPr>
      </w:pPr>
      <w:r w:rsidRPr="006311D1">
        <w:rPr>
          <w:rFonts w:hint="eastAsia"/>
        </w:rPr>
        <w:t>对各类数商、数字赋能平台，服务本区企业开展数字化转型、数据价值挖掘、业务能级提升，成效显著的，经审核认定，可按</w:t>
      </w:r>
      <w:r w:rsidRPr="006311D1">
        <w:rPr>
          <w:rFonts w:hint="eastAsia"/>
        </w:rPr>
        <w:lastRenderedPageBreak/>
        <w:t>照服务金额一定比例，给予最高不超过200万元的扶持。若同时符合《普陀区服务企业发展工作实施意见》规定的“支持中小企业发展”的，从高不重复享受。</w:t>
      </w:r>
    </w:p>
    <w:p w:rsidR="006311D1" w:rsidRPr="006311D1" w:rsidRDefault="006311D1" w:rsidP="006311D1">
      <w:pPr>
        <w:ind w:firstLineChars="200" w:firstLine="602"/>
        <w:rPr>
          <w:rFonts w:hint="eastAsia"/>
        </w:rPr>
      </w:pPr>
      <w:r w:rsidRPr="006311D1">
        <w:rPr>
          <w:rFonts w:hint="eastAsia"/>
          <w:b/>
          <w:bCs/>
        </w:rPr>
        <w:t>（三）鼓励营造生态氛围</w:t>
      </w:r>
    </w:p>
    <w:p w:rsidR="006311D1" w:rsidRPr="006311D1" w:rsidRDefault="006311D1" w:rsidP="006311D1">
      <w:pPr>
        <w:ind w:firstLineChars="200" w:firstLine="600"/>
        <w:rPr>
          <w:rFonts w:hint="eastAsia"/>
        </w:rPr>
      </w:pPr>
      <w:r w:rsidRPr="006311D1">
        <w:rPr>
          <w:rFonts w:hint="eastAsia"/>
        </w:rPr>
        <w:t>9.鼓励建设展示平台。</w:t>
      </w:r>
    </w:p>
    <w:p w:rsidR="006311D1" w:rsidRPr="006311D1" w:rsidRDefault="006311D1" w:rsidP="006311D1">
      <w:pPr>
        <w:ind w:firstLineChars="200" w:firstLine="600"/>
        <w:rPr>
          <w:rFonts w:hint="eastAsia"/>
        </w:rPr>
      </w:pPr>
      <w:r w:rsidRPr="006311D1">
        <w:rPr>
          <w:rFonts w:hint="eastAsia"/>
        </w:rPr>
        <w:t>对企业自主建设或升级改造数字化技术、成果、应用等相关实体展厅和虚拟展厅，与区域数字经济和数据要素发展导向相符，并取得较好展示、引流、</w:t>
      </w:r>
      <w:proofErr w:type="gramStart"/>
      <w:r w:rsidRPr="006311D1">
        <w:rPr>
          <w:rFonts w:hint="eastAsia"/>
        </w:rPr>
        <w:t>带动成效</w:t>
      </w:r>
      <w:proofErr w:type="gramEnd"/>
      <w:r w:rsidRPr="006311D1">
        <w:rPr>
          <w:rFonts w:hint="eastAsia"/>
        </w:rPr>
        <w:t>的，经审核认定，可</w:t>
      </w:r>
      <w:proofErr w:type="gramStart"/>
      <w:r w:rsidRPr="006311D1">
        <w:rPr>
          <w:rFonts w:hint="eastAsia"/>
        </w:rPr>
        <w:t>按展示</w:t>
      </w:r>
      <w:proofErr w:type="gramEnd"/>
      <w:r w:rsidRPr="006311D1">
        <w:rPr>
          <w:rFonts w:hint="eastAsia"/>
        </w:rPr>
        <w:t>设计建设投资额50%以内比例，给予最高不超过200万元的扶持。</w:t>
      </w:r>
    </w:p>
    <w:p w:rsidR="006311D1" w:rsidRPr="006311D1" w:rsidRDefault="006311D1" w:rsidP="006311D1">
      <w:pPr>
        <w:ind w:firstLineChars="200" w:firstLine="600"/>
        <w:rPr>
          <w:rFonts w:hint="eastAsia"/>
        </w:rPr>
      </w:pPr>
      <w:r w:rsidRPr="006311D1">
        <w:rPr>
          <w:rFonts w:hint="eastAsia"/>
        </w:rPr>
        <w:t>10.鼓励开展行业活动。</w:t>
      </w:r>
    </w:p>
    <w:p w:rsidR="006311D1" w:rsidRPr="006311D1" w:rsidRDefault="006311D1" w:rsidP="006311D1">
      <w:pPr>
        <w:ind w:firstLineChars="200" w:firstLine="600"/>
        <w:rPr>
          <w:rFonts w:hint="eastAsia"/>
        </w:rPr>
      </w:pPr>
      <w:r w:rsidRPr="006311D1">
        <w:rPr>
          <w:rFonts w:hint="eastAsia"/>
        </w:rPr>
        <w:t>鼓励企业落地举办对国际、全国、长三角数字领域合作具有显著推动作用的各类峰会、赛事、论坛、展会等活动，经审核认定，可按运营投入50%以内比例，给予最高不超过100万元的资金扶持。对参加国家、市级行业主管部门主办的数字领域相关产业峰会、赛事、论坛、展会等活动的企业，经审核认定，可按实际发生的注册费、展位费、</w:t>
      </w:r>
      <w:proofErr w:type="gramStart"/>
      <w:r w:rsidRPr="006311D1">
        <w:rPr>
          <w:rFonts w:hint="eastAsia"/>
        </w:rPr>
        <w:t>搭建费</w:t>
      </w:r>
      <w:proofErr w:type="gramEnd"/>
      <w:r w:rsidRPr="006311D1">
        <w:rPr>
          <w:rFonts w:hint="eastAsia"/>
        </w:rPr>
        <w:t>等支出50%以内比例，给予最高不超过20万元的扶持。</w:t>
      </w:r>
    </w:p>
    <w:p w:rsidR="006311D1" w:rsidRPr="006311D1" w:rsidRDefault="006311D1" w:rsidP="006311D1">
      <w:pPr>
        <w:ind w:firstLineChars="200" w:firstLine="600"/>
        <w:rPr>
          <w:rFonts w:hint="eastAsia"/>
        </w:rPr>
      </w:pPr>
      <w:r w:rsidRPr="006311D1">
        <w:rPr>
          <w:rFonts w:hint="eastAsia"/>
        </w:rPr>
        <w:t>11.支持开展课题研究。</w:t>
      </w:r>
    </w:p>
    <w:p w:rsidR="006311D1" w:rsidRPr="006311D1" w:rsidRDefault="006311D1" w:rsidP="006311D1">
      <w:pPr>
        <w:ind w:firstLineChars="200" w:firstLine="600"/>
        <w:rPr>
          <w:rFonts w:hint="eastAsia"/>
        </w:rPr>
      </w:pPr>
      <w:r w:rsidRPr="006311D1">
        <w:rPr>
          <w:rFonts w:hint="eastAsia"/>
        </w:rPr>
        <w:t>围绕数据要素、数字经济、数据安全、数据合</w:t>
      </w:r>
      <w:proofErr w:type="gramStart"/>
      <w:r w:rsidRPr="006311D1">
        <w:rPr>
          <w:rFonts w:hint="eastAsia"/>
        </w:rPr>
        <w:t>规</w:t>
      </w:r>
      <w:proofErr w:type="gramEnd"/>
      <w:r w:rsidRPr="006311D1">
        <w:rPr>
          <w:rFonts w:hint="eastAsia"/>
        </w:rPr>
        <w:t>等相关领域前沿趋势和突出问题，结合区域发展实际，通过“揭榜挂帅”方式开展课题研究，对承接课题并形成研究成果的区内高校、机构、企业、组织，可按课题等级分别给予最高不超过20万元、10万元扶持。</w:t>
      </w:r>
    </w:p>
    <w:p w:rsidR="006311D1" w:rsidRPr="006311D1" w:rsidRDefault="006311D1" w:rsidP="006311D1">
      <w:pPr>
        <w:ind w:firstLineChars="200" w:firstLine="600"/>
        <w:rPr>
          <w:rFonts w:hint="eastAsia"/>
        </w:rPr>
      </w:pPr>
      <w:r w:rsidRPr="006311D1">
        <w:rPr>
          <w:rFonts w:hint="eastAsia"/>
        </w:rPr>
        <w:t>12.支持承担重大项目建设。</w:t>
      </w:r>
    </w:p>
    <w:p w:rsidR="006311D1" w:rsidRPr="006311D1" w:rsidRDefault="006311D1" w:rsidP="006311D1">
      <w:pPr>
        <w:ind w:firstLineChars="200" w:firstLine="600"/>
        <w:rPr>
          <w:rFonts w:hint="eastAsia"/>
        </w:rPr>
      </w:pPr>
      <w:r w:rsidRPr="006311D1">
        <w:rPr>
          <w:rFonts w:hint="eastAsia"/>
        </w:rPr>
        <w:t>对承担国家、市级重大项目，服务区域重点平台建设，对区域数字经济发展形成重要支撑的企业、机构，经审核认定，可给予专项支持。</w:t>
      </w:r>
    </w:p>
    <w:p w:rsidR="006311D1" w:rsidRPr="006311D1" w:rsidRDefault="006311D1" w:rsidP="006311D1">
      <w:pPr>
        <w:ind w:firstLineChars="200" w:firstLine="602"/>
        <w:rPr>
          <w:rFonts w:hint="eastAsia"/>
        </w:rPr>
      </w:pPr>
      <w:r w:rsidRPr="006311D1">
        <w:rPr>
          <w:rFonts w:hint="eastAsia"/>
          <w:b/>
          <w:bCs/>
        </w:rPr>
        <w:lastRenderedPageBreak/>
        <w:t>三、使用管理</w:t>
      </w:r>
    </w:p>
    <w:p w:rsidR="006311D1" w:rsidRPr="006311D1" w:rsidRDefault="006311D1" w:rsidP="006311D1">
      <w:pPr>
        <w:ind w:firstLineChars="200" w:firstLine="600"/>
        <w:rPr>
          <w:rFonts w:hint="eastAsia"/>
        </w:rPr>
      </w:pPr>
      <w:r w:rsidRPr="006311D1">
        <w:rPr>
          <w:rFonts w:hint="eastAsia"/>
        </w:rPr>
        <w:t>（一）</w:t>
      </w:r>
      <w:proofErr w:type="gramStart"/>
      <w:r w:rsidRPr="006311D1">
        <w:rPr>
          <w:rFonts w:hint="eastAsia"/>
        </w:rPr>
        <w:t>区数据</w:t>
      </w:r>
      <w:proofErr w:type="gramEnd"/>
      <w:r w:rsidRPr="006311D1">
        <w:rPr>
          <w:rFonts w:hint="eastAsia"/>
        </w:rPr>
        <w:t>局会同</w:t>
      </w:r>
      <w:proofErr w:type="gramStart"/>
      <w:r w:rsidRPr="006311D1">
        <w:rPr>
          <w:rFonts w:hint="eastAsia"/>
        </w:rPr>
        <w:t>区发改委</w:t>
      </w:r>
      <w:proofErr w:type="gramEnd"/>
      <w:r w:rsidRPr="006311D1">
        <w:rPr>
          <w:rFonts w:hint="eastAsia"/>
        </w:rPr>
        <w:t>、区财政局、区</w:t>
      </w:r>
      <w:proofErr w:type="gramStart"/>
      <w:r w:rsidRPr="006311D1">
        <w:rPr>
          <w:rFonts w:hint="eastAsia"/>
        </w:rPr>
        <w:t>投促办</w:t>
      </w:r>
      <w:proofErr w:type="gramEnd"/>
      <w:r w:rsidRPr="006311D1">
        <w:rPr>
          <w:rFonts w:hint="eastAsia"/>
        </w:rPr>
        <w:t>，根据本意</w:t>
      </w:r>
      <w:proofErr w:type="gramStart"/>
      <w:r w:rsidRPr="006311D1">
        <w:rPr>
          <w:rFonts w:hint="eastAsia"/>
        </w:rPr>
        <w:t>见制定</w:t>
      </w:r>
      <w:proofErr w:type="gramEnd"/>
      <w:r w:rsidRPr="006311D1">
        <w:rPr>
          <w:rFonts w:hint="eastAsia"/>
        </w:rPr>
        <w:t>实施流程和细则。本政策条款若与上海市、普陀区制定的其他政策有重复交叉的，按照“从高不重复”原则予以支持。在实施过程中如遇国家、上海市颁布新政策，按新政策执行。</w:t>
      </w:r>
    </w:p>
    <w:p w:rsidR="006311D1" w:rsidRPr="006311D1" w:rsidRDefault="006311D1" w:rsidP="006311D1">
      <w:pPr>
        <w:ind w:firstLineChars="200" w:firstLine="600"/>
        <w:rPr>
          <w:rFonts w:hint="eastAsia"/>
        </w:rPr>
      </w:pPr>
      <w:r w:rsidRPr="006311D1">
        <w:rPr>
          <w:rFonts w:hint="eastAsia"/>
        </w:rPr>
        <w:t>（二）</w:t>
      </w:r>
      <w:proofErr w:type="gramStart"/>
      <w:r w:rsidRPr="006311D1">
        <w:rPr>
          <w:rFonts w:hint="eastAsia"/>
        </w:rPr>
        <w:t>区数据</w:t>
      </w:r>
      <w:proofErr w:type="gramEnd"/>
      <w:r w:rsidRPr="006311D1">
        <w:rPr>
          <w:rFonts w:hint="eastAsia"/>
        </w:rPr>
        <w:t>局负责编制年度专项资金预算，并按程序向区财政局申请拨款，区财政局负责执行相关扶持资金的拨付，在项目过程中会同审计部门对专项资金的使用管理情况进行监督管理。</w:t>
      </w:r>
    </w:p>
    <w:p w:rsidR="006311D1" w:rsidRPr="006311D1" w:rsidRDefault="006311D1" w:rsidP="006311D1">
      <w:pPr>
        <w:ind w:firstLineChars="200" w:firstLine="600"/>
        <w:rPr>
          <w:rFonts w:hint="eastAsia"/>
        </w:rPr>
      </w:pPr>
      <w:r w:rsidRPr="006311D1">
        <w:rPr>
          <w:rFonts w:hint="eastAsia"/>
        </w:rPr>
        <w:t>（三）本意</w:t>
      </w:r>
      <w:proofErr w:type="gramStart"/>
      <w:r w:rsidRPr="006311D1">
        <w:rPr>
          <w:rFonts w:hint="eastAsia"/>
        </w:rPr>
        <w:t>见按照</w:t>
      </w:r>
      <w:proofErr w:type="gramEnd"/>
      <w:r w:rsidRPr="006311D1">
        <w:rPr>
          <w:rFonts w:hint="eastAsia"/>
        </w:rPr>
        <w:t>《普陀区产业政策绩效评估管理办法》，实行绩效评估管理。</w:t>
      </w:r>
    </w:p>
    <w:p w:rsidR="006311D1" w:rsidRPr="006311D1" w:rsidRDefault="006311D1" w:rsidP="006311D1">
      <w:pPr>
        <w:ind w:firstLineChars="200" w:firstLine="602"/>
        <w:rPr>
          <w:rFonts w:hint="eastAsia"/>
        </w:rPr>
      </w:pPr>
      <w:r w:rsidRPr="006311D1">
        <w:rPr>
          <w:rFonts w:hint="eastAsia"/>
          <w:b/>
          <w:bCs/>
        </w:rPr>
        <w:t>四、附则</w:t>
      </w:r>
    </w:p>
    <w:p w:rsidR="006311D1" w:rsidRPr="006311D1" w:rsidRDefault="006311D1" w:rsidP="006311D1">
      <w:pPr>
        <w:ind w:firstLineChars="200" w:firstLine="600"/>
        <w:rPr>
          <w:rFonts w:hint="eastAsia"/>
        </w:rPr>
      </w:pPr>
      <w:r w:rsidRPr="006311D1">
        <w:rPr>
          <w:rFonts w:hint="eastAsia"/>
        </w:rPr>
        <w:t>（一）实行产业专项资金全过程信用管理。申请本政策扶持的企业或机构，将接受信用审查，过去三年内存在严重失信行为或违法行为的，取消申请资格。企业或机构在享受扶持过程中存在失信行为，经查实的，按照有关规定报送市、区公共信用信息服务平台。扶持对象存在弄虚作假、骗取扶持资金等违法违规行为，经查实的，将立即取消一切扶持资金并追缴资金，依法追究相关责任。</w:t>
      </w:r>
    </w:p>
    <w:p w:rsidR="006311D1" w:rsidRPr="006311D1" w:rsidRDefault="006311D1" w:rsidP="006311D1">
      <w:pPr>
        <w:ind w:firstLineChars="200" w:firstLine="600"/>
        <w:rPr>
          <w:rFonts w:hint="eastAsia"/>
        </w:rPr>
      </w:pPr>
      <w:r w:rsidRPr="006311D1">
        <w:rPr>
          <w:rFonts w:hint="eastAsia"/>
        </w:rPr>
        <w:t>（二）</w:t>
      </w:r>
      <w:proofErr w:type="gramStart"/>
      <w:r w:rsidRPr="006311D1">
        <w:rPr>
          <w:rFonts w:hint="eastAsia"/>
        </w:rPr>
        <w:t>本意见自2025年1月23日起</w:t>
      </w:r>
      <w:proofErr w:type="gramEnd"/>
      <w:r w:rsidRPr="006311D1">
        <w:rPr>
          <w:rFonts w:hint="eastAsia"/>
        </w:rPr>
        <w:t>施行，有效期至2026年12月31日。区科委2022年11月15日印发的《普陀区支持数字化转型发展实施意见》（</w:t>
      </w:r>
      <w:proofErr w:type="gramStart"/>
      <w:r w:rsidRPr="006311D1">
        <w:rPr>
          <w:rFonts w:hint="eastAsia"/>
        </w:rPr>
        <w:t>普科合</w:t>
      </w:r>
      <w:proofErr w:type="gramEnd"/>
      <w:r w:rsidRPr="006311D1">
        <w:rPr>
          <w:rFonts w:hint="eastAsia"/>
        </w:rPr>
        <w:t>规范〔2022〕3号）同时废止。</w:t>
      </w:r>
    </w:p>
    <w:p w:rsidR="009B7475" w:rsidRPr="006311D1" w:rsidRDefault="009B7475" w:rsidP="006311D1">
      <w:pPr>
        <w:ind w:firstLineChars="200" w:firstLine="600"/>
        <w:rPr>
          <w:rFonts w:hint="eastAsia"/>
        </w:rPr>
      </w:pPr>
    </w:p>
    <w:sectPr w:rsidR="009B7475" w:rsidRPr="006311D1" w:rsidSect="005F182C">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0" w:footer="283" w:gutter="0"/>
      <w:cols w:space="425"/>
      <w:docGrid w:type="lines" w:linePitch="4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8A3B14" w:rsidRDefault="008A3B14" w:rsidP="0096114C">
      <w:pPr>
        <w:rPr>
          <w:rFonts w:hint="eastAsia"/>
        </w:rPr>
      </w:pPr>
      <w:r>
        <w:separator/>
      </w:r>
    </w:p>
  </w:endnote>
  <w:endnote w:type="continuationSeparator" w:id="0">
    <w:p w:rsidR="008A3B14" w:rsidRDefault="008A3B14" w:rsidP="0096114C">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方正楷体_GBK">
    <w:panose1 w:val="03000509000000000000"/>
    <w:charset w:val="86"/>
    <w:family w:val="script"/>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9C20DC" w:rsidRDefault="009C20DC">
    <w:pPr>
      <w:pStyle w:val="ab"/>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32204404"/>
      <w:docPartObj>
        <w:docPartGallery w:val="Page Numbers (Bottom of Page)"/>
        <w:docPartUnique/>
      </w:docPartObj>
    </w:sdtPr>
    <w:sdtContent>
      <w:p w:rsidR="009C20DC" w:rsidRDefault="002B6E15" w:rsidP="009C20DC">
        <w:pPr>
          <w:pStyle w:val="ab"/>
          <w:jc w:val="center"/>
          <w:rPr>
            <w:rFonts w:hint="eastAsia"/>
          </w:rPr>
        </w:pPr>
        <w:r>
          <w:rPr>
            <w:rFonts w:hint="eastAsia"/>
          </w:rPr>
          <w:t>—</w:t>
        </w:r>
        <w:r w:rsidR="009C20DC">
          <w:fldChar w:fldCharType="begin"/>
        </w:r>
        <w:r w:rsidR="009C20DC">
          <w:instrText>PAGE   \* MERGEFORMAT</w:instrText>
        </w:r>
        <w:r w:rsidR="009C20DC">
          <w:fldChar w:fldCharType="separate"/>
        </w:r>
        <w:r w:rsidR="009C20DC">
          <w:rPr>
            <w:lang w:val="zh-CN"/>
          </w:rPr>
          <w:t>2</w:t>
        </w:r>
        <w:r w:rsidR="009C20DC">
          <w:fldChar w:fldCharType="end"/>
        </w:r>
        <w:r>
          <w:rPr>
            <w:rFonts w:hint="eastAsia"/>
          </w:rPr>
          <w:t>—</w:t>
        </w:r>
      </w:p>
    </w:sdtContent>
  </w:sdt>
  <w:p w:rsidR="009C20DC" w:rsidRDefault="009C20DC">
    <w:pPr>
      <w:pStyle w:val="ab"/>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9C20DC" w:rsidRDefault="009C20DC">
    <w:pPr>
      <w:pStyle w:val="ab"/>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8A3B14" w:rsidRDefault="008A3B14" w:rsidP="0096114C">
      <w:pPr>
        <w:rPr>
          <w:rFonts w:hint="eastAsia"/>
        </w:rPr>
      </w:pPr>
      <w:r>
        <w:separator/>
      </w:r>
    </w:p>
  </w:footnote>
  <w:footnote w:type="continuationSeparator" w:id="0">
    <w:p w:rsidR="008A3B14" w:rsidRDefault="008A3B14" w:rsidP="0096114C">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9C20DC" w:rsidRDefault="009C20DC">
    <w:pPr>
      <w:pStyle w:val="a9"/>
      <w:rPr>
        <w:rFonts w:hint="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9C20DC" w:rsidRDefault="009C20DC">
    <w:pPr>
      <w:pStyle w:val="a9"/>
      <w:rPr>
        <w:rFonts w:hint="eastAsia"/>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9C20DC" w:rsidRDefault="009C20DC">
    <w:pPr>
      <w:pStyle w:val="a9"/>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HorizontalSpacing w:val="150"/>
  <w:drawingGridVerticalSpacing w:val="204"/>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11D1"/>
    <w:rsid w:val="000009B2"/>
    <w:rsid w:val="00007E37"/>
    <w:rsid w:val="000168C4"/>
    <w:rsid w:val="000315A2"/>
    <w:rsid w:val="00044C39"/>
    <w:rsid w:val="0005607E"/>
    <w:rsid w:val="000578B7"/>
    <w:rsid w:val="00060F91"/>
    <w:rsid w:val="00073D3A"/>
    <w:rsid w:val="00091309"/>
    <w:rsid w:val="00095CC0"/>
    <w:rsid w:val="000A1393"/>
    <w:rsid w:val="000D308E"/>
    <w:rsid w:val="000F0446"/>
    <w:rsid w:val="000F27EA"/>
    <w:rsid w:val="00107066"/>
    <w:rsid w:val="00110B86"/>
    <w:rsid w:val="00165B15"/>
    <w:rsid w:val="0016733C"/>
    <w:rsid w:val="00196A3C"/>
    <w:rsid w:val="001A618E"/>
    <w:rsid w:val="001D3021"/>
    <w:rsid w:val="001E3CF5"/>
    <w:rsid w:val="002008A9"/>
    <w:rsid w:val="00210FE3"/>
    <w:rsid w:val="00217C6E"/>
    <w:rsid w:val="00273D1B"/>
    <w:rsid w:val="00296529"/>
    <w:rsid w:val="00296DFA"/>
    <w:rsid w:val="0029789A"/>
    <w:rsid w:val="002B038B"/>
    <w:rsid w:val="002B3633"/>
    <w:rsid w:val="002B6E15"/>
    <w:rsid w:val="002C0940"/>
    <w:rsid w:val="002E2B49"/>
    <w:rsid w:val="002E5C7F"/>
    <w:rsid w:val="002F5836"/>
    <w:rsid w:val="0032638D"/>
    <w:rsid w:val="003344AF"/>
    <w:rsid w:val="003461B4"/>
    <w:rsid w:val="0035455E"/>
    <w:rsid w:val="00355E79"/>
    <w:rsid w:val="003578C7"/>
    <w:rsid w:val="00365D84"/>
    <w:rsid w:val="003676A1"/>
    <w:rsid w:val="00396AC2"/>
    <w:rsid w:val="003A1394"/>
    <w:rsid w:val="003B19EA"/>
    <w:rsid w:val="003C021F"/>
    <w:rsid w:val="003C0FDC"/>
    <w:rsid w:val="003C33E4"/>
    <w:rsid w:val="003E7D6C"/>
    <w:rsid w:val="003F10F6"/>
    <w:rsid w:val="00401179"/>
    <w:rsid w:val="0042709D"/>
    <w:rsid w:val="00441E0F"/>
    <w:rsid w:val="00445ED5"/>
    <w:rsid w:val="00453878"/>
    <w:rsid w:val="004912F9"/>
    <w:rsid w:val="00497ED0"/>
    <w:rsid w:val="004E0C00"/>
    <w:rsid w:val="004F1C6F"/>
    <w:rsid w:val="00500787"/>
    <w:rsid w:val="00500C28"/>
    <w:rsid w:val="005117F6"/>
    <w:rsid w:val="0052570E"/>
    <w:rsid w:val="00541B63"/>
    <w:rsid w:val="00547A9C"/>
    <w:rsid w:val="00552A01"/>
    <w:rsid w:val="005F182C"/>
    <w:rsid w:val="005F2107"/>
    <w:rsid w:val="006028E8"/>
    <w:rsid w:val="00622F83"/>
    <w:rsid w:val="006311D1"/>
    <w:rsid w:val="00655EEF"/>
    <w:rsid w:val="006609CF"/>
    <w:rsid w:val="006B40FB"/>
    <w:rsid w:val="006B66F9"/>
    <w:rsid w:val="006D3D64"/>
    <w:rsid w:val="006D5051"/>
    <w:rsid w:val="006F5A4F"/>
    <w:rsid w:val="007044F5"/>
    <w:rsid w:val="00735CEC"/>
    <w:rsid w:val="007403E5"/>
    <w:rsid w:val="007822B2"/>
    <w:rsid w:val="007B7533"/>
    <w:rsid w:val="007B7EFE"/>
    <w:rsid w:val="00803F63"/>
    <w:rsid w:val="00816823"/>
    <w:rsid w:val="0082323D"/>
    <w:rsid w:val="008320C8"/>
    <w:rsid w:val="008A3B14"/>
    <w:rsid w:val="008B17D3"/>
    <w:rsid w:val="008E29E6"/>
    <w:rsid w:val="008E6805"/>
    <w:rsid w:val="00905487"/>
    <w:rsid w:val="00925A2C"/>
    <w:rsid w:val="009606C1"/>
    <w:rsid w:val="0096114C"/>
    <w:rsid w:val="00962E8F"/>
    <w:rsid w:val="009B7475"/>
    <w:rsid w:val="009C20DC"/>
    <w:rsid w:val="009D6FAB"/>
    <w:rsid w:val="009E48AB"/>
    <w:rsid w:val="00A027C3"/>
    <w:rsid w:val="00A03188"/>
    <w:rsid w:val="00A15450"/>
    <w:rsid w:val="00A64F9A"/>
    <w:rsid w:val="00A67F32"/>
    <w:rsid w:val="00A71BF1"/>
    <w:rsid w:val="00A71ED1"/>
    <w:rsid w:val="00A72CDE"/>
    <w:rsid w:val="00A82F4D"/>
    <w:rsid w:val="00A84BC5"/>
    <w:rsid w:val="00AA6979"/>
    <w:rsid w:val="00AC1F81"/>
    <w:rsid w:val="00AF7F2D"/>
    <w:rsid w:val="00B1318D"/>
    <w:rsid w:val="00B3677B"/>
    <w:rsid w:val="00B701E0"/>
    <w:rsid w:val="00B737E7"/>
    <w:rsid w:val="00B90E35"/>
    <w:rsid w:val="00B92B8E"/>
    <w:rsid w:val="00BE3327"/>
    <w:rsid w:val="00C13861"/>
    <w:rsid w:val="00C45D00"/>
    <w:rsid w:val="00C845B9"/>
    <w:rsid w:val="00C85B28"/>
    <w:rsid w:val="00C90249"/>
    <w:rsid w:val="00CB3F03"/>
    <w:rsid w:val="00CB7D46"/>
    <w:rsid w:val="00CE5273"/>
    <w:rsid w:val="00CE6026"/>
    <w:rsid w:val="00D13466"/>
    <w:rsid w:val="00D73B9B"/>
    <w:rsid w:val="00D92D03"/>
    <w:rsid w:val="00DA7C2C"/>
    <w:rsid w:val="00DB3A06"/>
    <w:rsid w:val="00DB7F1A"/>
    <w:rsid w:val="00DC0FBC"/>
    <w:rsid w:val="00DF0023"/>
    <w:rsid w:val="00E0606D"/>
    <w:rsid w:val="00E413BB"/>
    <w:rsid w:val="00E44C6A"/>
    <w:rsid w:val="00E5080B"/>
    <w:rsid w:val="00E57F4D"/>
    <w:rsid w:val="00E63B5C"/>
    <w:rsid w:val="00E71CAD"/>
    <w:rsid w:val="00E72748"/>
    <w:rsid w:val="00E746D2"/>
    <w:rsid w:val="00E87BAD"/>
    <w:rsid w:val="00EC27B3"/>
    <w:rsid w:val="00F00AB4"/>
    <w:rsid w:val="00F31F13"/>
    <w:rsid w:val="00F32B66"/>
    <w:rsid w:val="00F33ACC"/>
    <w:rsid w:val="00F429B4"/>
    <w:rsid w:val="00F73E57"/>
    <w:rsid w:val="00FC4B79"/>
    <w:rsid w:val="00FD4F9D"/>
    <w:rsid w:val="00FE67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47CF8C0"/>
  <w15:chartTrackingRefBased/>
  <w15:docId w15:val="{6F7FAAF8-B2B6-4461-BE2E-B2602A08D3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F0023"/>
    <w:pPr>
      <w:widowControl w:val="0"/>
      <w:spacing w:after="0" w:line="500" w:lineRule="exact"/>
      <w:jc w:val="both"/>
    </w:pPr>
    <w:rPr>
      <w:rFonts w:ascii="方正仿宋_GBK" w:eastAsia="方正仿宋_GBK"/>
      <w:sz w:val="30"/>
    </w:rPr>
  </w:style>
  <w:style w:type="paragraph" w:styleId="1">
    <w:name w:val="heading 1"/>
    <w:basedOn w:val="a"/>
    <w:next w:val="a"/>
    <w:link w:val="10"/>
    <w:uiPriority w:val="9"/>
    <w:qFormat/>
    <w:rsid w:val="0016733C"/>
    <w:pPr>
      <w:keepNext/>
      <w:keepLines/>
      <w:spacing w:line="580" w:lineRule="exact"/>
      <w:ind w:firstLineChars="200" w:firstLine="200"/>
      <w:outlineLvl w:val="0"/>
    </w:pPr>
    <w:rPr>
      <w:rFonts w:ascii="方正黑体_GBK" w:eastAsia="方正黑体_GBK"/>
      <w:b/>
      <w:bCs/>
      <w:kern w:val="44"/>
      <w:sz w:val="32"/>
      <w:szCs w:val="44"/>
    </w:rPr>
  </w:style>
  <w:style w:type="paragraph" w:styleId="2">
    <w:name w:val="heading 2"/>
    <w:basedOn w:val="a"/>
    <w:next w:val="a"/>
    <w:link w:val="20"/>
    <w:uiPriority w:val="9"/>
    <w:unhideWhenUsed/>
    <w:qFormat/>
    <w:rsid w:val="009B7475"/>
    <w:pPr>
      <w:keepNext/>
      <w:keepLines/>
      <w:spacing w:line="560" w:lineRule="exact"/>
      <w:ind w:firstLineChars="200" w:firstLine="200"/>
      <w:outlineLvl w:val="1"/>
    </w:pPr>
    <w:rPr>
      <w:rFonts w:ascii="方正黑体_GBK" w:eastAsia="方正黑体_GBK" w:hAnsiTheme="majorHAnsi" w:cstheme="majorBidi"/>
      <w:b/>
      <w:bCs/>
      <w:szCs w:val="32"/>
    </w:rPr>
  </w:style>
  <w:style w:type="paragraph" w:styleId="3">
    <w:name w:val="heading 3"/>
    <w:basedOn w:val="a"/>
    <w:next w:val="a"/>
    <w:link w:val="30"/>
    <w:uiPriority w:val="9"/>
    <w:unhideWhenUsed/>
    <w:qFormat/>
    <w:rsid w:val="009B7475"/>
    <w:pPr>
      <w:keepNext/>
      <w:keepLines/>
      <w:spacing w:line="520" w:lineRule="exact"/>
      <w:ind w:firstLineChars="200" w:firstLine="200"/>
      <w:outlineLvl w:val="2"/>
    </w:pPr>
    <w:rPr>
      <w:rFonts w:ascii="方正楷体_GBK" w:eastAsia="方正楷体_GBK"/>
      <w:b/>
      <w:bCs/>
      <w:szCs w:val="32"/>
    </w:rPr>
  </w:style>
  <w:style w:type="paragraph" w:styleId="4">
    <w:name w:val="heading 4"/>
    <w:basedOn w:val="a"/>
    <w:next w:val="a"/>
    <w:link w:val="40"/>
    <w:uiPriority w:val="9"/>
    <w:unhideWhenUsed/>
    <w:qFormat/>
    <w:rsid w:val="009B7475"/>
    <w:pPr>
      <w:keepNext/>
      <w:keepLines/>
      <w:spacing w:line="520" w:lineRule="exact"/>
      <w:ind w:firstLineChars="200" w:firstLine="200"/>
      <w:outlineLvl w:val="3"/>
    </w:pPr>
    <w:rPr>
      <w:rFonts w:hAnsiTheme="majorHAnsi" w:cstheme="majorBidi"/>
      <w:bCs/>
      <w:szCs w:val="2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16733C"/>
    <w:rPr>
      <w:rFonts w:ascii="方正黑体_GBK" w:eastAsia="方正黑体_GBK"/>
      <w:b/>
      <w:bCs/>
      <w:kern w:val="44"/>
      <w:sz w:val="32"/>
      <w:szCs w:val="44"/>
    </w:rPr>
  </w:style>
  <w:style w:type="paragraph" w:styleId="a3">
    <w:name w:val="Body Text"/>
    <w:basedOn w:val="a"/>
    <w:link w:val="a4"/>
    <w:uiPriority w:val="99"/>
    <w:semiHidden/>
    <w:unhideWhenUsed/>
    <w:rsid w:val="002E5C7F"/>
    <w:pPr>
      <w:spacing w:after="120"/>
    </w:pPr>
  </w:style>
  <w:style w:type="character" w:customStyle="1" w:styleId="a4">
    <w:name w:val="正文文本 字符"/>
    <w:basedOn w:val="a0"/>
    <w:link w:val="a3"/>
    <w:uiPriority w:val="99"/>
    <w:semiHidden/>
    <w:rsid w:val="002E5C7F"/>
  </w:style>
  <w:style w:type="character" w:customStyle="1" w:styleId="20">
    <w:name w:val="标题 2 字符"/>
    <w:basedOn w:val="a0"/>
    <w:link w:val="2"/>
    <w:uiPriority w:val="9"/>
    <w:rsid w:val="009B7475"/>
    <w:rPr>
      <w:rFonts w:ascii="方正黑体_GBK" w:eastAsia="方正黑体_GBK" w:hAnsiTheme="majorHAnsi" w:cstheme="majorBidi"/>
      <w:b/>
      <w:bCs/>
      <w:sz w:val="30"/>
      <w:szCs w:val="32"/>
    </w:rPr>
  </w:style>
  <w:style w:type="character" w:customStyle="1" w:styleId="30">
    <w:name w:val="标题 3 字符"/>
    <w:basedOn w:val="a0"/>
    <w:link w:val="3"/>
    <w:uiPriority w:val="9"/>
    <w:rsid w:val="009B7475"/>
    <w:rPr>
      <w:rFonts w:ascii="方正楷体_GBK" w:eastAsia="方正楷体_GBK"/>
      <w:b/>
      <w:bCs/>
      <w:sz w:val="30"/>
      <w:szCs w:val="32"/>
    </w:rPr>
  </w:style>
  <w:style w:type="character" w:customStyle="1" w:styleId="40">
    <w:name w:val="标题 4 字符"/>
    <w:basedOn w:val="a0"/>
    <w:link w:val="4"/>
    <w:uiPriority w:val="9"/>
    <w:rsid w:val="009B7475"/>
    <w:rPr>
      <w:rFonts w:ascii="方正仿宋_GBK" w:eastAsia="方正仿宋_GBK" w:hAnsiTheme="majorHAnsi" w:cstheme="majorBidi"/>
      <w:bCs/>
      <w:sz w:val="30"/>
      <w:szCs w:val="28"/>
    </w:rPr>
  </w:style>
  <w:style w:type="paragraph" w:styleId="a5">
    <w:name w:val="Title"/>
    <w:basedOn w:val="a"/>
    <w:next w:val="a"/>
    <w:link w:val="a6"/>
    <w:uiPriority w:val="10"/>
    <w:qFormat/>
    <w:rsid w:val="00396AC2"/>
    <w:pPr>
      <w:spacing w:line="640" w:lineRule="exact"/>
      <w:jc w:val="center"/>
      <w:outlineLvl w:val="0"/>
    </w:pPr>
    <w:rPr>
      <w:rFonts w:ascii="方正小标宋简体" w:eastAsia="方正小标宋简体" w:hAnsiTheme="majorHAnsi" w:cstheme="majorBidi"/>
      <w:b/>
      <w:bCs/>
      <w:sz w:val="36"/>
      <w:szCs w:val="32"/>
    </w:rPr>
  </w:style>
  <w:style w:type="character" w:customStyle="1" w:styleId="a6">
    <w:name w:val="标题 字符"/>
    <w:basedOn w:val="a0"/>
    <w:link w:val="a5"/>
    <w:uiPriority w:val="10"/>
    <w:rsid w:val="00396AC2"/>
    <w:rPr>
      <w:rFonts w:ascii="方正小标宋简体" w:eastAsia="方正小标宋简体" w:hAnsiTheme="majorHAnsi" w:cstheme="majorBidi"/>
      <w:b/>
      <w:bCs/>
      <w:sz w:val="36"/>
      <w:szCs w:val="32"/>
    </w:rPr>
  </w:style>
  <w:style w:type="paragraph" w:styleId="a7">
    <w:name w:val="Subtitle"/>
    <w:basedOn w:val="a"/>
    <w:next w:val="a"/>
    <w:link w:val="a8"/>
    <w:uiPriority w:val="11"/>
    <w:qFormat/>
    <w:rsid w:val="00396AC2"/>
    <w:pPr>
      <w:spacing w:line="600" w:lineRule="exact"/>
      <w:jc w:val="center"/>
      <w:outlineLvl w:val="1"/>
    </w:pPr>
    <w:rPr>
      <w:rFonts w:ascii="方正小标宋简体" w:eastAsia="方正小标宋简体"/>
      <w:bCs/>
      <w:kern w:val="28"/>
      <w:sz w:val="32"/>
      <w:szCs w:val="32"/>
    </w:rPr>
  </w:style>
  <w:style w:type="character" w:customStyle="1" w:styleId="a8">
    <w:name w:val="副标题 字符"/>
    <w:basedOn w:val="a0"/>
    <w:link w:val="a7"/>
    <w:uiPriority w:val="11"/>
    <w:rsid w:val="00396AC2"/>
    <w:rPr>
      <w:rFonts w:ascii="方正小标宋简体" w:eastAsia="方正小标宋简体"/>
      <w:bCs/>
      <w:kern w:val="28"/>
      <w:sz w:val="32"/>
      <w:szCs w:val="32"/>
    </w:rPr>
  </w:style>
  <w:style w:type="paragraph" w:styleId="a9">
    <w:name w:val="header"/>
    <w:basedOn w:val="a"/>
    <w:link w:val="aa"/>
    <w:uiPriority w:val="99"/>
    <w:unhideWhenUsed/>
    <w:rsid w:val="0096114C"/>
    <w:pPr>
      <w:tabs>
        <w:tab w:val="center" w:pos="4153"/>
        <w:tab w:val="right" w:pos="8306"/>
      </w:tabs>
      <w:snapToGrid w:val="0"/>
      <w:jc w:val="center"/>
    </w:pPr>
    <w:rPr>
      <w:sz w:val="18"/>
      <w:szCs w:val="18"/>
    </w:rPr>
  </w:style>
  <w:style w:type="character" w:customStyle="1" w:styleId="aa">
    <w:name w:val="页眉 字符"/>
    <w:basedOn w:val="a0"/>
    <w:link w:val="a9"/>
    <w:uiPriority w:val="99"/>
    <w:rsid w:val="0096114C"/>
    <w:rPr>
      <w:rFonts w:ascii="宋体" w:eastAsia="宋体"/>
      <w:sz w:val="18"/>
      <w:szCs w:val="18"/>
    </w:rPr>
  </w:style>
  <w:style w:type="paragraph" w:styleId="ab">
    <w:name w:val="footer"/>
    <w:basedOn w:val="a"/>
    <w:link w:val="ac"/>
    <w:uiPriority w:val="99"/>
    <w:unhideWhenUsed/>
    <w:rsid w:val="005F182C"/>
    <w:pPr>
      <w:tabs>
        <w:tab w:val="center" w:pos="4153"/>
        <w:tab w:val="right" w:pos="8306"/>
      </w:tabs>
      <w:snapToGrid w:val="0"/>
    </w:pPr>
    <w:rPr>
      <w:sz w:val="18"/>
      <w:szCs w:val="18"/>
    </w:rPr>
  </w:style>
  <w:style w:type="character" w:customStyle="1" w:styleId="ac">
    <w:name w:val="页脚 字符"/>
    <w:basedOn w:val="a0"/>
    <w:link w:val="ab"/>
    <w:uiPriority w:val="99"/>
    <w:rsid w:val="005F182C"/>
    <w:rPr>
      <w:rFonts w:ascii="方正仿宋_GBK" w:eastAsia="方正仿宋_GBK"/>
      <w:sz w:val="18"/>
      <w:szCs w:val="18"/>
    </w:rPr>
  </w:style>
  <w:style w:type="character" w:styleId="ad">
    <w:name w:val="Strong"/>
    <w:basedOn w:val="a0"/>
    <w:uiPriority w:val="22"/>
    <w:qFormat/>
    <w:rsid w:val="002B6E15"/>
    <w:rPr>
      <w:b/>
      <w:bCs/>
    </w:rPr>
  </w:style>
  <w:style w:type="table" w:styleId="ae">
    <w:name w:val="Table Grid"/>
    <w:basedOn w:val="a1"/>
    <w:uiPriority w:val="39"/>
    <w:rsid w:val="00060F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3530249">
      <w:bodyDiv w:val="1"/>
      <w:marLeft w:val="0"/>
      <w:marRight w:val="0"/>
      <w:marTop w:val="0"/>
      <w:marBottom w:val="0"/>
      <w:divBdr>
        <w:top w:val="none" w:sz="0" w:space="0" w:color="auto"/>
        <w:left w:val="none" w:sz="0" w:space="0" w:color="auto"/>
        <w:bottom w:val="none" w:sz="0" w:space="0" w:color="auto"/>
        <w:right w:val="none" w:sz="0" w:space="0" w:color="auto"/>
      </w:divBdr>
    </w:div>
    <w:div w:id="17376310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344</Words>
  <Characters>1964</Characters>
  <Application>Microsoft Office Word</Application>
  <DocSecurity>0</DocSecurity>
  <Lines>16</Lines>
  <Paragraphs>4</Paragraphs>
  <ScaleCrop>false</ScaleCrop>
  <Company/>
  <LinksUpToDate>false</LinksUpToDate>
  <CharactersWithSpaces>2304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数字理政 数字菁英</dc:creator>
  <cp:keywords>数字理政;数字菁英</cp:keywords>
  <dc:description/>
  <cp:lastModifiedBy>数字理政 数字菁英</cp:lastModifiedBy>
  <cp:revision>1</cp:revision>
  <cp:lastPrinted>2024-11-01T14:26:00Z</cp:lastPrinted>
  <dcterms:created xsi:type="dcterms:W3CDTF">2025-01-05T12:16:00Z</dcterms:created>
  <dcterms:modified xsi:type="dcterms:W3CDTF">2025-01-05T12:16:00Z</dcterms:modified>
</cp:coreProperties>
</file>