
<file path=[Content_Types].xml><?xml version="1.0" encoding="utf-8"?>
<Types xmlns="http://schemas.openxmlformats.org/package/2006/content-types">
  <Default Extension="bin" ContentType="application/vnd.openxmlformats-officedocument.oleObject"/>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5F1CCB" w14:textId="77777777" w:rsidR="0022665C" w:rsidRDefault="0022665C">
      <w:pPr>
        <w:spacing w:line="440" w:lineRule="atLeast"/>
        <w:ind w:firstLine="1440"/>
        <w:jc w:val="center"/>
        <w:outlineLvl w:val="0"/>
        <w:rPr>
          <w:rFonts w:ascii="微软雅黑" w:eastAsia="微软雅黑" w:hAnsi="微软雅黑" w:hint="eastAsia"/>
          <w:b/>
          <w:sz w:val="72"/>
          <w:szCs w:val="72"/>
        </w:rPr>
      </w:pPr>
    </w:p>
    <w:p w14:paraId="7FE07DA5" w14:textId="77777777" w:rsidR="0022665C" w:rsidRDefault="00000000">
      <w:pPr>
        <w:spacing w:line="440" w:lineRule="atLeast"/>
        <w:jc w:val="center"/>
        <w:outlineLvl w:val="0"/>
        <w:rPr>
          <w:rFonts w:ascii="微软雅黑" w:eastAsia="微软雅黑" w:hAnsi="微软雅黑" w:hint="eastAsia"/>
          <w:b/>
          <w:sz w:val="72"/>
          <w:szCs w:val="72"/>
        </w:rPr>
      </w:pPr>
      <w:r>
        <w:rPr>
          <w:rFonts w:ascii="微软雅黑" w:eastAsia="微软雅黑" w:hAnsi="微软雅黑"/>
          <w:b/>
          <w:sz w:val="72"/>
          <w:szCs w:val="72"/>
        </w:rPr>
        <w:t>政府采购</w:t>
      </w:r>
    </w:p>
    <w:p w14:paraId="62412457" w14:textId="77777777" w:rsidR="0022665C" w:rsidRDefault="00000000">
      <w:pPr>
        <w:spacing w:line="440" w:lineRule="atLeast"/>
        <w:jc w:val="center"/>
        <w:outlineLvl w:val="0"/>
        <w:rPr>
          <w:rFonts w:ascii="微软雅黑" w:eastAsia="微软雅黑" w:hAnsi="微软雅黑" w:hint="eastAsia"/>
          <w:b/>
          <w:bCs/>
          <w:sz w:val="96"/>
          <w:szCs w:val="96"/>
        </w:rPr>
      </w:pPr>
      <w:r>
        <w:rPr>
          <w:rFonts w:ascii="微软雅黑" w:eastAsia="微软雅黑" w:hAnsi="微软雅黑"/>
          <w:b/>
          <w:bCs/>
          <w:sz w:val="96"/>
          <w:szCs w:val="96"/>
        </w:rPr>
        <w:t>招 标 文 件</w:t>
      </w:r>
    </w:p>
    <w:p w14:paraId="781C121E" w14:textId="77777777" w:rsidR="0022665C" w:rsidRDefault="0022665C">
      <w:pPr>
        <w:pStyle w:val="1e"/>
        <w:spacing w:line="440" w:lineRule="atLeast"/>
        <w:ind w:left="630"/>
        <w:rPr>
          <w:rFonts w:ascii="微软雅黑" w:eastAsia="微软雅黑" w:hAnsi="微软雅黑" w:hint="eastAsia"/>
        </w:rPr>
      </w:pPr>
    </w:p>
    <w:p w14:paraId="67EFF40B" w14:textId="77777777" w:rsidR="0022665C" w:rsidRDefault="0022665C">
      <w:pPr>
        <w:pStyle w:val="1e"/>
        <w:spacing w:line="440" w:lineRule="atLeast"/>
        <w:ind w:left="630"/>
        <w:rPr>
          <w:rFonts w:ascii="微软雅黑" w:eastAsia="微软雅黑" w:hAnsi="微软雅黑" w:hint="eastAsia"/>
        </w:rPr>
      </w:pPr>
    </w:p>
    <w:p w14:paraId="7B72409B" w14:textId="77777777" w:rsidR="0022665C" w:rsidRDefault="0022665C">
      <w:pPr>
        <w:pStyle w:val="a3"/>
        <w:spacing w:line="440" w:lineRule="atLeast"/>
        <w:ind w:firstLine="480"/>
        <w:rPr>
          <w:rFonts w:ascii="微软雅黑" w:eastAsia="微软雅黑" w:hAnsi="微软雅黑" w:hint="eastAsia"/>
          <w:szCs w:val="28"/>
        </w:rPr>
      </w:pPr>
    </w:p>
    <w:p w14:paraId="692568C0" w14:textId="77777777" w:rsidR="0022665C" w:rsidRDefault="0022665C">
      <w:pPr>
        <w:spacing w:line="440" w:lineRule="atLeast"/>
        <w:rPr>
          <w:rFonts w:ascii="微软雅黑" w:eastAsia="微软雅黑" w:hAnsi="微软雅黑" w:hint="eastAsia"/>
          <w:szCs w:val="28"/>
        </w:rPr>
      </w:pPr>
    </w:p>
    <w:p w14:paraId="5B30840F" w14:textId="77777777" w:rsidR="0022665C" w:rsidRDefault="0022665C">
      <w:pPr>
        <w:pStyle w:val="a3"/>
        <w:spacing w:line="440" w:lineRule="atLeast"/>
        <w:ind w:firstLine="480"/>
        <w:rPr>
          <w:rFonts w:ascii="微软雅黑" w:eastAsia="微软雅黑" w:hAnsi="微软雅黑" w:hint="eastAsia"/>
        </w:rPr>
      </w:pPr>
    </w:p>
    <w:p w14:paraId="6F472C62" w14:textId="77777777" w:rsidR="0022665C" w:rsidRDefault="00000000">
      <w:pPr>
        <w:spacing w:after="120" w:line="440" w:lineRule="atLeast"/>
        <w:ind w:firstLineChars="531" w:firstLine="1487"/>
        <w:outlineLvl w:val="0"/>
        <w:rPr>
          <w:rFonts w:ascii="微软雅黑" w:eastAsia="微软雅黑" w:hAnsi="微软雅黑" w:hint="eastAsia"/>
          <w:szCs w:val="28"/>
        </w:rPr>
      </w:pPr>
      <w:r>
        <w:rPr>
          <w:rFonts w:ascii="微软雅黑" w:eastAsia="微软雅黑" w:hAnsi="微软雅黑"/>
          <w:szCs w:val="28"/>
        </w:rPr>
        <w:t>项目号：</w:t>
      </w:r>
      <w:r>
        <w:rPr>
          <w:rFonts w:ascii="微软雅黑" w:eastAsia="微软雅黑" w:hAnsi="微软雅黑" w:hint="eastAsia"/>
          <w:szCs w:val="28"/>
        </w:rPr>
        <w:t>CQS24C00711</w:t>
      </w:r>
    </w:p>
    <w:p w14:paraId="187E8BE3" w14:textId="77777777" w:rsidR="0022665C" w:rsidRDefault="00000000">
      <w:pPr>
        <w:tabs>
          <w:tab w:val="left" w:pos="4702"/>
        </w:tabs>
        <w:spacing w:after="120" w:line="440" w:lineRule="atLeast"/>
        <w:ind w:firstLineChars="531" w:firstLine="1487"/>
        <w:outlineLvl w:val="0"/>
        <w:rPr>
          <w:rFonts w:ascii="微软雅黑" w:eastAsia="微软雅黑" w:hAnsi="微软雅黑" w:hint="eastAsia"/>
          <w:szCs w:val="28"/>
        </w:rPr>
      </w:pPr>
      <w:r>
        <w:rPr>
          <w:rFonts w:ascii="微软雅黑" w:eastAsia="微软雅黑" w:hAnsi="微软雅黑"/>
          <w:szCs w:val="28"/>
        </w:rPr>
        <w:t>采购执行编号：</w:t>
      </w:r>
      <w:r>
        <w:rPr>
          <w:rFonts w:ascii="微软雅黑" w:eastAsia="微软雅黑" w:hAnsi="微软雅黑" w:hint="eastAsia"/>
          <w:szCs w:val="28"/>
        </w:rPr>
        <w:t>TC249D8AX</w:t>
      </w:r>
    </w:p>
    <w:p w14:paraId="49C946AD" w14:textId="77777777" w:rsidR="0022665C" w:rsidRDefault="00000000">
      <w:pPr>
        <w:spacing w:after="120" w:line="440" w:lineRule="atLeast"/>
        <w:ind w:leftChars="531" w:left="3447" w:hangingChars="700" w:hanging="1960"/>
        <w:outlineLvl w:val="0"/>
        <w:rPr>
          <w:rFonts w:ascii="微软雅黑" w:eastAsia="微软雅黑" w:hAnsi="微软雅黑" w:cs="微软雅黑" w:hint="eastAsia"/>
          <w:szCs w:val="28"/>
        </w:rPr>
      </w:pPr>
      <w:r>
        <w:rPr>
          <w:rFonts w:ascii="微软雅黑" w:eastAsia="微软雅黑" w:hAnsi="微软雅黑" w:cs="微软雅黑" w:hint="eastAsia"/>
          <w:szCs w:val="28"/>
        </w:rPr>
        <w:t>招标项目名称：</w:t>
      </w:r>
      <w:r>
        <w:rPr>
          <w:rFonts w:ascii="微软雅黑" w:eastAsia="微软雅黑" w:hAnsi="微软雅黑" w:cs="微软雅黑" w:hint="eastAsia"/>
          <w:iCs/>
          <w:szCs w:val="28"/>
        </w:rPr>
        <w:t>数字化城市运行和治理中心系统1.0</w:t>
      </w:r>
    </w:p>
    <w:p w14:paraId="49A93210" w14:textId="77777777" w:rsidR="0022665C" w:rsidRDefault="0022665C">
      <w:pPr>
        <w:spacing w:line="440" w:lineRule="atLeast"/>
        <w:jc w:val="center"/>
        <w:rPr>
          <w:rFonts w:ascii="微软雅黑" w:eastAsia="微软雅黑" w:hAnsi="微软雅黑" w:hint="eastAsia"/>
          <w:szCs w:val="28"/>
        </w:rPr>
      </w:pPr>
    </w:p>
    <w:p w14:paraId="7AF27A22" w14:textId="77777777" w:rsidR="0022665C" w:rsidRDefault="0022665C">
      <w:pPr>
        <w:spacing w:line="440" w:lineRule="atLeast"/>
        <w:jc w:val="center"/>
        <w:rPr>
          <w:rFonts w:ascii="微软雅黑" w:eastAsia="微软雅黑" w:hAnsi="微软雅黑" w:hint="eastAsia"/>
          <w:szCs w:val="28"/>
        </w:rPr>
      </w:pPr>
    </w:p>
    <w:p w14:paraId="434460E3" w14:textId="77777777" w:rsidR="0022665C" w:rsidRDefault="0022665C">
      <w:pPr>
        <w:pStyle w:val="a3"/>
        <w:spacing w:line="440" w:lineRule="atLeast"/>
        <w:ind w:firstLine="480"/>
        <w:rPr>
          <w:rFonts w:ascii="微软雅黑" w:eastAsia="微软雅黑" w:hAnsi="微软雅黑" w:hint="eastAsia"/>
        </w:rPr>
      </w:pPr>
    </w:p>
    <w:p w14:paraId="3145CC18" w14:textId="77777777" w:rsidR="0022665C" w:rsidRDefault="0022665C">
      <w:pPr>
        <w:pStyle w:val="aa"/>
        <w:spacing w:line="440" w:lineRule="atLeast"/>
        <w:ind w:left="0" w:firstLine="880"/>
        <w:rPr>
          <w:rFonts w:ascii="微软雅黑" w:eastAsia="微软雅黑" w:hAnsi="微软雅黑" w:hint="eastAsia"/>
        </w:rPr>
      </w:pPr>
    </w:p>
    <w:p w14:paraId="5DB37036" w14:textId="77777777" w:rsidR="0022665C" w:rsidRDefault="0022665C">
      <w:pPr>
        <w:pStyle w:val="a3"/>
        <w:spacing w:line="440" w:lineRule="atLeast"/>
        <w:ind w:firstLine="480"/>
        <w:rPr>
          <w:rFonts w:ascii="微软雅黑" w:eastAsia="微软雅黑" w:hAnsi="微软雅黑" w:hint="eastAsia"/>
        </w:rPr>
      </w:pPr>
    </w:p>
    <w:p w14:paraId="47E4A9FF" w14:textId="77777777" w:rsidR="0022665C" w:rsidRDefault="0022665C">
      <w:pPr>
        <w:spacing w:line="440" w:lineRule="atLeast"/>
        <w:jc w:val="center"/>
        <w:rPr>
          <w:rFonts w:ascii="微软雅黑" w:eastAsia="微软雅黑" w:hAnsi="微软雅黑" w:hint="eastAsia"/>
          <w:szCs w:val="28"/>
        </w:rPr>
      </w:pPr>
    </w:p>
    <w:p w14:paraId="2A5A886F" w14:textId="77777777" w:rsidR="0022665C" w:rsidRDefault="00000000">
      <w:pPr>
        <w:spacing w:line="440" w:lineRule="atLeast"/>
        <w:ind w:firstLine="600"/>
        <w:jc w:val="center"/>
        <w:rPr>
          <w:rFonts w:ascii="微软雅黑" w:eastAsia="微软雅黑" w:hAnsi="微软雅黑" w:hint="eastAsia"/>
          <w:b/>
          <w:bCs/>
          <w:sz w:val="30"/>
          <w:szCs w:val="30"/>
        </w:rPr>
      </w:pPr>
      <w:r>
        <w:rPr>
          <w:rFonts w:ascii="微软雅黑" w:eastAsia="微软雅黑" w:hAnsi="微软雅黑"/>
          <w:b/>
          <w:bCs/>
          <w:sz w:val="30"/>
          <w:szCs w:val="30"/>
        </w:rPr>
        <w:t>采购人：</w:t>
      </w:r>
      <w:r>
        <w:rPr>
          <w:rFonts w:ascii="微软雅黑" w:eastAsia="微软雅黑" w:hAnsi="微软雅黑" w:hint="eastAsia"/>
          <w:b/>
          <w:bCs/>
          <w:sz w:val="30"/>
          <w:szCs w:val="30"/>
        </w:rPr>
        <w:t>重庆市数字化城市运行和治理中心</w:t>
      </w:r>
    </w:p>
    <w:p w14:paraId="6E30DA45" w14:textId="77777777" w:rsidR="0022665C" w:rsidRDefault="00000000">
      <w:pPr>
        <w:spacing w:line="440" w:lineRule="atLeast"/>
        <w:ind w:firstLine="600"/>
        <w:jc w:val="center"/>
        <w:rPr>
          <w:rFonts w:ascii="微软雅黑" w:eastAsia="微软雅黑" w:hAnsi="微软雅黑" w:hint="eastAsia"/>
          <w:b/>
          <w:bCs/>
          <w:sz w:val="30"/>
          <w:szCs w:val="30"/>
        </w:rPr>
      </w:pPr>
      <w:r>
        <w:rPr>
          <w:rFonts w:ascii="微软雅黑" w:eastAsia="微软雅黑" w:hAnsi="微软雅黑"/>
          <w:b/>
          <w:bCs/>
          <w:sz w:val="30"/>
          <w:szCs w:val="30"/>
        </w:rPr>
        <w:t>采购代理机构：中招国际招标有限公司</w:t>
      </w:r>
    </w:p>
    <w:p w14:paraId="63328200" w14:textId="77777777" w:rsidR="0022665C" w:rsidRDefault="0022665C">
      <w:pPr>
        <w:snapToGrid w:val="0"/>
        <w:spacing w:line="440" w:lineRule="atLeast"/>
        <w:ind w:firstLineChars="200" w:firstLine="560"/>
        <w:rPr>
          <w:rFonts w:ascii="微软雅黑" w:eastAsia="微软雅黑" w:hAnsi="微软雅黑" w:hint="eastAsia"/>
          <w:b/>
          <w:bCs/>
          <w:szCs w:val="28"/>
        </w:rPr>
      </w:pPr>
    </w:p>
    <w:p w14:paraId="23B21A6F" w14:textId="77777777" w:rsidR="0022665C" w:rsidRDefault="00000000">
      <w:pPr>
        <w:spacing w:line="440" w:lineRule="atLeast"/>
        <w:jc w:val="center"/>
        <w:rPr>
          <w:rFonts w:ascii="微软雅黑" w:eastAsia="微软雅黑" w:hAnsi="微软雅黑" w:hint="eastAsia"/>
          <w:b/>
          <w:bCs/>
        </w:rPr>
      </w:pPr>
      <w:r>
        <w:rPr>
          <w:rFonts w:ascii="微软雅黑" w:eastAsia="微软雅黑" w:hAnsi="微软雅黑"/>
          <w:b/>
          <w:bCs/>
        </w:rPr>
        <w:t>二〇二</w:t>
      </w:r>
      <w:r>
        <w:rPr>
          <w:rFonts w:ascii="微软雅黑" w:eastAsia="微软雅黑" w:hAnsi="微软雅黑" w:hint="eastAsia"/>
          <w:b/>
          <w:bCs/>
        </w:rPr>
        <w:t>四</w:t>
      </w:r>
      <w:r>
        <w:rPr>
          <w:rFonts w:ascii="微软雅黑" w:eastAsia="微软雅黑" w:hAnsi="微软雅黑"/>
          <w:b/>
          <w:bCs/>
        </w:rPr>
        <w:t>年</w:t>
      </w:r>
      <w:r>
        <w:rPr>
          <w:rFonts w:ascii="微软雅黑" w:eastAsia="微软雅黑" w:hAnsi="微软雅黑" w:hint="eastAsia"/>
          <w:b/>
          <w:bCs/>
        </w:rPr>
        <w:t>六</w:t>
      </w:r>
      <w:r>
        <w:rPr>
          <w:rFonts w:ascii="微软雅黑" w:eastAsia="微软雅黑" w:hAnsi="微软雅黑"/>
          <w:b/>
          <w:bCs/>
        </w:rPr>
        <w:t>月</w:t>
      </w:r>
    </w:p>
    <w:p w14:paraId="02ACE567" w14:textId="77777777" w:rsidR="0022665C" w:rsidRDefault="00000000">
      <w:pPr>
        <w:spacing w:line="440" w:lineRule="atLeast"/>
        <w:rPr>
          <w:rFonts w:ascii="微软雅黑" w:eastAsia="微软雅黑" w:hAnsi="微软雅黑" w:hint="eastAsia"/>
          <w:b/>
          <w:bCs/>
        </w:rPr>
      </w:pPr>
      <w:r>
        <w:rPr>
          <w:rFonts w:ascii="微软雅黑" w:eastAsia="微软雅黑" w:hAnsi="微软雅黑"/>
          <w:b/>
          <w:bCs/>
        </w:rPr>
        <w:br w:type="page"/>
      </w:r>
    </w:p>
    <w:p w14:paraId="3DE94210" w14:textId="77777777" w:rsidR="0022665C" w:rsidRDefault="00000000">
      <w:pPr>
        <w:spacing w:line="440" w:lineRule="atLeast"/>
        <w:ind w:firstLine="720"/>
        <w:jc w:val="center"/>
        <w:rPr>
          <w:rFonts w:ascii="微软雅黑" w:eastAsia="微软雅黑" w:hAnsi="微软雅黑" w:hint="eastAsia"/>
          <w:b/>
          <w:sz w:val="36"/>
          <w:szCs w:val="30"/>
        </w:rPr>
      </w:pPr>
      <w:r>
        <w:rPr>
          <w:rFonts w:ascii="微软雅黑" w:eastAsia="微软雅黑" w:hAnsi="微软雅黑"/>
          <w:b/>
          <w:sz w:val="36"/>
          <w:szCs w:val="30"/>
        </w:rPr>
        <w:lastRenderedPageBreak/>
        <w:t>目 录</w:t>
      </w:r>
    </w:p>
    <w:p w14:paraId="389828A5" w14:textId="77777777" w:rsidR="0022665C" w:rsidRDefault="0022665C">
      <w:pPr>
        <w:spacing w:line="440" w:lineRule="atLeast"/>
        <w:jc w:val="center"/>
        <w:rPr>
          <w:rFonts w:ascii="微软雅黑" w:eastAsia="微软雅黑" w:hAnsi="微软雅黑" w:hint="eastAsia"/>
          <w:sz w:val="21"/>
          <w:szCs w:val="21"/>
        </w:rPr>
      </w:pPr>
    </w:p>
    <w:p w14:paraId="405C21B3" w14:textId="38F9165D" w:rsidR="0022665C" w:rsidRDefault="00000000">
      <w:pPr>
        <w:pStyle w:val="TOC1"/>
        <w:tabs>
          <w:tab w:val="clear" w:pos="1260"/>
          <w:tab w:val="clear" w:pos="1685"/>
          <w:tab w:val="clear" w:pos="8400"/>
          <w:tab w:val="right" w:leader="dot" w:pos="9412"/>
        </w:tabs>
        <w:spacing w:line="300" w:lineRule="exact"/>
        <w:ind w:leftChars="200" w:left="560" w:firstLineChars="0" w:firstLine="0"/>
        <w:rPr>
          <w:rFonts w:ascii="微软雅黑" w:eastAsia="微软雅黑" w:hAnsi="微软雅黑" w:cs="微软雅黑" w:hint="eastAsia"/>
          <w:b/>
          <w:bCs/>
          <w:sz w:val="21"/>
          <w:szCs w:val="21"/>
        </w:rPr>
      </w:pP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TOC \o "1-2" \h \z </w:instrText>
      </w:r>
      <w:r>
        <w:rPr>
          <w:rFonts w:ascii="微软雅黑" w:eastAsia="微软雅黑" w:hAnsi="微软雅黑" w:cs="微软雅黑" w:hint="eastAsia"/>
          <w:sz w:val="21"/>
          <w:szCs w:val="21"/>
        </w:rPr>
        <w:fldChar w:fldCharType="separate"/>
      </w:r>
      <w:hyperlink w:anchor="_Toc7521" w:history="1">
        <w:r>
          <w:rPr>
            <w:rFonts w:ascii="微软雅黑" w:eastAsia="微软雅黑" w:hAnsi="微软雅黑" w:cs="微软雅黑" w:hint="eastAsia"/>
            <w:b/>
            <w:bCs/>
            <w:sz w:val="21"/>
            <w:szCs w:val="21"/>
          </w:rPr>
          <w:t>第一篇 投标邀请书</w:t>
        </w:r>
        <w:r>
          <w:rPr>
            <w:rFonts w:ascii="微软雅黑" w:eastAsia="微软雅黑" w:hAnsi="微软雅黑" w:cs="微软雅黑" w:hint="eastAsia"/>
            <w:b/>
            <w:bCs/>
            <w:sz w:val="21"/>
            <w:szCs w:val="21"/>
          </w:rPr>
          <w:tab/>
        </w:r>
        <w:r>
          <w:rPr>
            <w:rFonts w:ascii="微软雅黑" w:eastAsia="微软雅黑" w:hAnsi="微软雅黑" w:cs="微软雅黑" w:hint="eastAsia"/>
            <w:b/>
            <w:bCs/>
            <w:sz w:val="21"/>
            <w:szCs w:val="21"/>
          </w:rPr>
          <w:fldChar w:fldCharType="begin"/>
        </w:r>
        <w:r>
          <w:rPr>
            <w:rFonts w:ascii="微软雅黑" w:eastAsia="微软雅黑" w:hAnsi="微软雅黑" w:cs="微软雅黑" w:hint="eastAsia"/>
            <w:b/>
            <w:bCs/>
            <w:sz w:val="21"/>
            <w:szCs w:val="21"/>
          </w:rPr>
          <w:instrText xml:space="preserve"> PAGEREF _Toc7521 \h </w:instrText>
        </w:r>
        <w:r>
          <w:rPr>
            <w:rFonts w:ascii="微软雅黑" w:eastAsia="微软雅黑" w:hAnsi="微软雅黑" w:cs="微软雅黑" w:hint="eastAsia"/>
            <w:b/>
            <w:bCs/>
            <w:sz w:val="21"/>
            <w:szCs w:val="21"/>
          </w:rPr>
        </w:r>
        <w:r>
          <w:rPr>
            <w:rFonts w:ascii="微软雅黑" w:eastAsia="微软雅黑" w:hAnsi="微软雅黑" w:cs="微软雅黑" w:hint="eastAsia"/>
            <w:b/>
            <w:bCs/>
            <w:sz w:val="21"/>
            <w:szCs w:val="21"/>
          </w:rPr>
          <w:fldChar w:fldCharType="separate"/>
        </w:r>
        <w:r w:rsidR="004B3823">
          <w:rPr>
            <w:rFonts w:ascii="微软雅黑" w:eastAsia="微软雅黑" w:hAnsi="微软雅黑" w:cs="微软雅黑" w:hint="eastAsia"/>
            <w:b/>
            <w:bCs/>
            <w:noProof/>
            <w:sz w:val="21"/>
            <w:szCs w:val="21"/>
          </w:rPr>
          <w:t>4</w:t>
        </w:r>
        <w:r>
          <w:rPr>
            <w:rFonts w:ascii="微软雅黑" w:eastAsia="微软雅黑" w:hAnsi="微软雅黑" w:cs="微软雅黑" w:hint="eastAsia"/>
            <w:b/>
            <w:bCs/>
            <w:sz w:val="21"/>
            <w:szCs w:val="21"/>
          </w:rPr>
          <w:fldChar w:fldCharType="end"/>
        </w:r>
      </w:hyperlink>
    </w:p>
    <w:p w14:paraId="2985AF1D" w14:textId="26802871"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9677" w:history="1">
        <w:r>
          <w:rPr>
            <w:rFonts w:ascii="微软雅黑" w:eastAsia="微软雅黑" w:hAnsi="微软雅黑" w:cs="微软雅黑" w:hint="eastAsia"/>
            <w:bCs/>
            <w:sz w:val="21"/>
            <w:szCs w:val="21"/>
          </w:rPr>
          <w:t>一、招标项目内容</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_Toc19677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4</w:t>
        </w:r>
        <w:r>
          <w:rPr>
            <w:rFonts w:ascii="微软雅黑" w:eastAsia="微软雅黑" w:hAnsi="微软雅黑" w:cs="微软雅黑" w:hint="eastAsia"/>
            <w:sz w:val="21"/>
            <w:szCs w:val="21"/>
          </w:rPr>
          <w:fldChar w:fldCharType="end"/>
        </w:r>
      </w:hyperlink>
    </w:p>
    <w:p w14:paraId="089BB245" w14:textId="0FAFF9D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311" w:history="1">
        <w:r>
          <w:rPr>
            <w:rFonts w:ascii="微软雅黑" w:eastAsia="微软雅黑" w:hAnsi="微软雅黑" w:cs="微软雅黑" w:hint="eastAsia"/>
            <w:bCs/>
            <w:sz w:val="21"/>
            <w:szCs w:val="21"/>
          </w:rPr>
          <w:t>二、资金来源</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_Toc1311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4</w:t>
        </w:r>
        <w:r>
          <w:rPr>
            <w:rFonts w:ascii="微软雅黑" w:eastAsia="微软雅黑" w:hAnsi="微软雅黑" w:cs="微软雅黑" w:hint="eastAsia"/>
            <w:sz w:val="21"/>
            <w:szCs w:val="21"/>
          </w:rPr>
          <w:fldChar w:fldCharType="end"/>
        </w:r>
      </w:hyperlink>
    </w:p>
    <w:p w14:paraId="5812C686" w14:textId="11A4AB2C"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7313" w:history="1">
        <w:r>
          <w:rPr>
            <w:rFonts w:ascii="微软雅黑" w:eastAsia="微软雅黑" w:hAnsi="微软雅黑" w:cs="微软雅黑" w:hint="eastAsia"/>
            <w:bCs/>
            <w:sz w:val="21"/>
            <w:szCs w:val="21"/>
          </w:rPr>
          <w:t>三、投标人资格要求</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_Toc17313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4</w:t>
        </w:r>
        <w:r>
          <w:rPr>
            <w:rFonts w:ascii="微软雅黑" w:eastAsia="微软雅黑" w:hAnsi="微软雅黑" w:cs="微软雅黑" w:hint="eastAsia"/>
            <w:sz w:val="21"/>
            <w:szCs w:val="21"/>
          </w:rPr>
          <w:fldChar w:fldCharType="end"/>
        </w:r>
      </w:hyperlink>
    </w:p>
    <w:p w14:paraId="6356EB21" w14:textId="50503C97"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4565" w:history="1">
        <w:r>
          <w:rPr>
            <w:rFonts w:ascii="微软雅黑" w:eastAsia="微软雅黑" w:hAnsi="微软雅黑" w:cs="微软雅黑" w:hint="eastAsia"/>
            <w:bCs/>
            <w:sz w:val="21"/>
            <w:szCs w:val="21"/>
          </w:rPr>
          <w:t>四、投标、开标有关说明</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_Toc24565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w:t>
        </w:r>
        <w:r>
          <w:rPr>
            <w:rFonts w:ascii="微软雅黑" w:eastAsia="微软雅黑" w:hAnsi="微软雅黑" w:cs="微软雅黑" w:hint="eastAsia"/>
            <w:sz w:val="21"/>
            <w:szCs w:val="21"/>
          </w:rPr>
          <w:fldChar w:fldCharType="end"/>
        </w:r>
      </w:hyperlink>
    </w:p>
    <w:p w14:paraId="188732C6" w14:textId="4AB6E93B"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6751" w:history="1">
        <w:r>
          <w:rPr>
            <w:rFonts w:ascii="微软雅黑" w:eastAsia="微软雅黑" w:hAnsi="微软雅黑" w:cs="微软雅黑" w:hint="eastAsia"/>
            <w:bCs/>
            <w:sz w:val="21"/>
            <w:szCs w:val="21"/>
          </w:rPr>
          <w:t>五、投标保证金</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_Toc6751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w:t>
        </w:r>
        <w:r>
          <w:rPr>
            <w:rFonts w:ascii="微软雅黑" w:eastAsia="微软雅黑" w:hAnsi="微软雅黑" w:cs="微软雅黑" w:hint="eastAsia"/>
            <w:sz w:val="21"/>
            <w:szCs w:val="21"/>
          </w:rPr>
          <w:fldChar w:fldCharType="end"/>
        </w:r>
      </w:hyperlink>
    </w:p>
    <w:p w14:paraId="15B38AFB" w14:textId="373C31F2"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4369" w:history="1">
        <w:r>
          <w:rPr>
            <w:rFonts w:ascii="微软雅黑" w:eastAsia="微软雅黑" w:hAnsi="微软雅黑" w:cs="微软雅黑" w:hint="eastAsia"/>
            <w:bCs/>
            <w:sz w:val="21"/>
            <w:szCs w:val="21"/>
          </w:rPr>
          <w:t>六、采购项目需落实的政府采购政策</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_Toc14369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w:t>
        </w:r>
        <w:r>
          <w:rPr>
            <w:rFonts w:ascii="微软雅黑" w:eastAsia="微软雅黑" w:hAnsi="微软雅黑" w:cs="微软雅黑" w:hint="eastAsia"/>
            <w:sz w:val="21"/>
            <w:szCs w:val="21"/>
          </w:rPr>
          <w:fldChar w:fldCharType="end"/>
        </w:r>
      </w:hyperlink>
    </w:p>
    <w:p w14:paraId="23E789BD" w14:textId="2077658D"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7992" w:history="1">
        <w:r>
          <w:rPr>
            <w:rFonts w:ascii="微软雅黑" w:eastAsia="微软雅黑" w:hAnsi="微软雅黑" w:cs="微软雅黑" w:hint="eastAsia"/>
            <w:bCs/>
            <w:sz w:val="21"/>
            <w:szCs w:val="21"/>
          </w:rPr>
          <w:t>七、投标有关规定</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_Toc17992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w:t>
        </w:r>
        <w:r>
          <w:rPr>
            <w:rFonts w:ascii="微软雅黑" w:eastAsia="微软雅黑" w:hAnsi="微软雅黑" w:cs="微软雅黑" w:hint="eastAsia"/>
            <w:sz w:val="21"/>
            <w:szCs w:val="21"/>
          </w:rPr>
          <w:fldChar w:fldCharType="end"/>
        </w:r>
      </w:hyperlink>
    </w:p>
    <w:p w14:paraId="049BE73D" w14:textId="7C441E29"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4908" w:history="1">
        <w:r>
          <w:rPr>
            <w:rFonts w:ascii="微软雅黑" w:eastAsia="微软雅黑" w:hAnsi="微软雅黑" w:cs="微软雅黑" w:hint="eastAsia"/>
            <w:bCs/>
            <w:sz w:val="21"/>
            <w:szCs w:val="21"/>
          </w:rPr>
          <w:t>八、现场踏勘</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_Toc14908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8</w:t>
        </w:r>
        <w:r>
          <w:rPr>
            <w:rFonts w:ascii="微软雅黑" w:eastAsia="微软雅黑" w:hAnsi="微软雅黑" w:cs="微软雅黑" w:hint="eastAsia"/>
            <w:sz w:val="21"/>
            <w:szCs w:val="21"/>
          </w:rPr>
          <w:fldChar w:fldCharType="end"/>
        </w:r>
      </w:hyperlink>
    </w:p>
    <w:p w14:paraId="6C02BEE3" w14:textId="02E8B514"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7689" w:history="1">
        <w:r>
          <w:rPr>
            <w:rFonts w:ascii="微软雅黑" w:eastAsia="微软雅黑" w:hAnsi="微软雅黑" w:cs="微软雅黑" w:hint="eastAsia"/>
            <w:bCs/>
            <w:sz w:val="21"/>
            <w:szCs w:val="21"/>
          </w:rPr>
          <w:t>九、联系方式</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_Toc17689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8</w:t>
        </w:r>
        <w:r>
          <w:rPr>
            <w:rFonts w:ascii="微软雅黑" w:eastAsia="微软雅黑" w:hAnsi="微软雅黑" w:cs="微软雅黑" w:hint="eastAsia"/>
            <w:sz w:val="21"/>
            <w:szCs w:val="21"/>
          </w:rPr>
          <w:fldChar w:fldCharType="end"/>
        </w:r>
      </w:hyperlink>
    </w:p>
    <w:p w14:paraId="4061FF5A" w14:textId="663E2A95" w:rsidR="0022665C" w:rsidRDefault="00000000">
      <w:pPr>
        <w:pStyle w:val="TOC1"/>
        <w:tabs>
          <w:tab w:val="clear" w:pos="1260"/>
          <w:tab w:val="clear" w:pos="1685"/>
          <w:tab w:val="clear" w:pos="8400"/>
          <w:tab w:val="right" w:leader="dot" w:pos="9412"/>
        </w:tabs>
        <w:spacing w:line="300" w:lineRule="exact"/>
        <w:ind w:leftChars="200" w:left="560" w:firstLineChars="0" w:firstLine="0"/>
        <w:rPr>
          <w:rFonts w:ascii="微软雅黑" w:eastAsia="微软雅黑" w:hAnsi="微软雅黑" w:cs="微软雅黑" w:hint="eastAsia"/>
          <w:b/>
          <w:bCs/>
          <w:sz w:val="21"/>
          <w:szCs w:val="21"/>
        </w:rPr>
      </w:pPr>
      <w:hyperlink w:anchor="_Toc27271" w:history="1">
        <w:r>
          <w:rPr>
            <w:rFonts w:ascii="微软雅黑" w:eastAsia="微软雅黑" w:hAnsi="微软雅黑" w:cs="微软雅黑" w:hint="eastAsia"/>
            <w:b/>
            <w:bCs/>
            <w:sz w:val="21"/>
            <w:szCs w:val="21"/>
          </w:rPr>
          <w:t>第二篇 项目技术服务及质量要求</w:t>
        </w:r>
        <w:r>
          <w:rPr>
            <w:rFonts w:ascii="微软雅黑" w:eastAsia="微软雅黑" w:hAnsi="微软雅黑" w:cs="微软雅黑" w:hint="eastAsia"/>
            <w:b/>
            <w:bCs/>
            <w:sz w:val="21"/>
            <w:szCs w:val="21"/>
          </w:rPr>
          <w:tab/>
        </w:r>
        <w:r>
          <w:rPr>
            <w:rFonts w:ascii="微软雅黑" w:eastAsia="微软雅黑" w:hAnsi="微软雅黑" w:cs="微软雅黑" w:hint="eastAsia"/>
            <w:b/>
            <w:bCs/>
            <w:sz w:val="21"/>
            <w:szCs w:val="21"/>
          </w:rPr>
          <w:fldChar w:fldCharType="begin"/>
        </w:r>
        <w:r>
          <w:rPr>
            <w:rFonts w:ascii="微软雅黑" w:eastAsia="微软雅黑" w:hAnsi="微软雅黑" w:cs="微软雅黑" w:hint="eastAsia"/>
            <w:b/>
            <w:bCs/>
            <w:sz w:val="21"/>
            <w:szCs w:val="21"/>
          </w:rPr>
          <w:instrText xml:space="preserve"> PAGEREF _Toc27271 \h </w:instrText>
        </w:r>
        <w:r>
          <w:rPr>
            <w:rFonts w:ascii="微软雅黑" w:eastAsia="微软雅黑" w:hAnsi="微软雅黑" w:cs="微软雅黑" w:hint="eastAsia"/>
            <w:b/>
            <w:bCs/>
            <w:sz w:val="21"/>
            <w:szCs w:val="21"/>
          </w:rPr>
        </w:r>
        <w:r>
          <w:rPr>
            <w:rFonts w:ascii="微软雅黑" w:eastAsia="微软雅黑" w:hAnsi="微软雅黑" w:cs="微软雅黑" w:hint="eastAsia"/>
            <w:b/>
            <w:bCs/>
            <w:sz w:val="21"/>
            <w:szCs w:val="21"/>
          </w:rPr>
          <w:fldChar w:fldCharType="separate"/>
        </w:r>
        <w:r w:rsidR="004B3823">
          <w:rPr>
            <w:rFonts w:ascii="微软雅黑" w:eastAsia="微软雅黑" w:hAnsi="微软雅黑" w:cs="微软雅黑" w:hint="eastAsia"/>
            <w:b/>
            <w:bCs/>
            <w:noProof/>
            <w:sz w:val="21"/>
            <w:szCs w:val="21"/>
          </w:rPr>
          <w:t>9</w:t>
        </w:r>
        <w:r>
          <w:rPr>
            <w:rFonts w:ascii="微软雅黑" w:eastAsia="微软雅黑" w:hAnsi="微软雅黑" w:cs="微软雅黑" w:hint="eastAsia"/>
            <w:b/>
            <w:bCs/>
            <w:sz w:val="21"/>
            <w:szCs w:val="21"/>
          </w:rPr>
          <w:fldChar w:fldCharType="end"/>
        </w:r>
      </w:hyperlink>
    </w:p>
    <w:p w14:paraId="0A8E0753" w14:textId="3560A1C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31132" w:history="1">
        <w:r>
          <w:rPr>
            <w:rFonts w:ascii="微软雅黑" w:eastAsia="微软雅黑" w:hAnsi="微软雅黑" w:cs="微软雅黑" w:hint="eastAsia"/>
            <w:bCs/>
            <w:sz w:val="21"/>
            <w:szCs w:val="21"/>
          </w:rPr>
          <w:t>一、招标项目一览表</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_Toc31132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9</w:t>
        </w:r>
        <w:r>
          <w:rPr>
            <w:rFonts w:ascii="微软雅黑" w:eastAsia="微软雅黑" w:hAnsi="微软雅黑" w:cs="微软雅黑" w:hint="eastAsia"/>
            <w:sz w:val="21"/>
            <w:szCs w:val="21"/>
          </w:rPr>
          <w:fldChar w:fldCharType="end"/>
        </w:r>
      </w:hyperlink>
    </w:p>
    <w:p w14:paraId="05BBB6A6" w14:textId="1497F1C0"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6640" w:history="1">
        <w:r>
          <w:rPr>
            <w:rFonts w:ascii="微软雅黑" w:eastAsia="微软雅黑" w:hAnsi="微软雅黑" w:cs="微软雅黑" w:hint="eastAsia"/>
            <w:bCs/>
            <w:sz w:val="21"/>
            <w:szCs w:val="21"/>
          </w:rPr>
          <w:t>二、招标项目服务需求</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_Toc6640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9</w:t>
        </w:r>
        <w:r>
          <w:rPr>
            <w:rFonts w:ascii="微软雅黑" w:eastAsia="微软雅黑" w:hAnsi="微软雅黑" w:cs="微软雅黑" w:hint="eastAsia"/>
            <w:sz w:val="21"/>
            <w:szCs w:val="21"/>
          </w:rPr>
          <w:fldChar w:fldCharType="end"/>
        </w:r>
      </w:hyperlink>
    </w:p>
    <w:p w14:paraId="0D5ABA53" w14:textId="4B0D5172" w:rsidR="0022665C" w:rsidRDefault="00000000">
      <w:pPr>
        <w:pStyle w:val="TOC1"/>
        <w:tabs>
          <w:tab w:val="clear" w:pos="1260"/>
          <w:tab w:val="clear" w:pos="1685"/>
          <w:tab w:val="clear" w:pos="8400"/>
          <w:tab w:val="right" w:leader="dot" w:pos="9412"/>
        </w:tabs>
        <w:spacing w:line="300" w:lineRule="exact"/>
        <w:ind w:leftChars="200" w:left="560" w:firstLineChars="0" w:firstLine="0"/>
        <w:rPr>
          <w:rFonts w:ascii="微软雅黑" w:eastAsia="微软雅黑" w:hAnsi="微软雅黑" w:cs="微软雅黑" w:hint="eastAsia"/>
          <w:b/>
          <w:bCs/>
          <w:sz w:val="21"/>
          <w:szCs w:val="21"/>
        </w:rPr>
      </w:pPr>
      <w:hyperlink w:anchor="_Toc11565" w:history="1">
        <w:r>
          <w:rPr>
            <w:rFonts w:ascii="微软雅黑" w:eastAsia="微软雅黑" w:hAnsi="微软雅黑" w:cs="微软雅黑" w:hint="eastAsia"/>
            <w:b/>
            <w:bCs/>
            <w:sz w:val="21"/>
            <w:szCs w:val="21"/>
          </w:rPr>
          <w:t>第三篇 项目商务需求</w:t>
        </w:r>
        <w:r>
          <w:rPr>
            <w:rFonts w:ascii="微软雅黑" w:eastAsia="微软雅黑" w:hAnsi="微软雅黑" w:cs="微软雅黑" w:hint="eastAsia"/>
            <w:b/>
            <w:bCs/>
            <w:sz w:val="21"/>
            <w:szCs w:val="21"/>
          </w:rPr>
          <w:tab/>
        </w:r>
        <w:r>
          <w:rPr>
            <w:rFonts w:ascii="微软雅黑" w:eastAsia="微软雅黑" w:hAnsi="微软雅黑" w:cs="微软雅黑" w:hint="eastAsia"/>
            <w:b/>
            <w:bCs/>
            <w:sz w:val="21"/>
            <w:szCs w:val="21"/>
          </w:rPr>
          <w:fldChar w:fldCharType="begin"/>
        </w:r>
        <w:r>
          <w:rPr>
            <w:rFonts w:ascii="微软雅黑" w:eastAsia="微软雅黑" w:hAnsi="微软雅黑" w:cs="微软雅黑" w:hint="eastAsia"/>
            <w:b/>
            <w:bCs/>
            <w:sz w:val="21"/>
            <w:szCs w:val="21"/>
          </w:rPr>
          <w:instrText xml:space="preserve"> PAGEREF _Toc11565 \h </w:instrText>
        </w:r>
        <w:r>
          <w:rPr>
            <w:rFonts w:ascii="微软雅黑" w:eastAsia="微软雅黑" w:hAnsi="微软雅黑" w:cs="微软雅黑" w:hint="eastAsia"/>
            <w:b/>
            <w:bCs/>
            <w:sz w:val="21"/>
            <w:szCs w:val="21"/>
          </w:rPr>
        </w:r>
        <w:r>
          <w:rPr>
            <w:rFonts w:ascii="微软雅黑" w:eastAsia="微软雅黑" w:hAnsi="微软雅黑" w:cs="微软雅黑" w:hint="eastAsia"/>
            <w:b/>
            <w:bCs/>
            <w:sz w:val="21"/>
            <w:szCs w:val="21"/>
          </w:rPr>
          <w:fldChar w:fldCharType="separate"/>
        </w:r>
        <w:r w:rsidR="004B3823">
          <w:rPr>
            <w:rFonts w:ascii="微软雅黑" w:eastAsia="微软雅黑" w:hAnsi="微软雅黑" w:cs="微软雅黑" w:hint="eastAsia"/>
            <w:b/>
            <w:bCs/>
            <w:noProof/>
            <w:sz w:val="21"/>
            <w:szCs w:val="21"/>
          </w:rPr>
          <w:t>44</w:t>
        </w:r>
        <w:r>
          <w:rPr>
            <w:rFonts w:ascii="微软雅黑" w:eastAsia="微软雅黑" w:hAnsi="微软雅黑" w:cs="微软雅黑" w:hint="eastAsia"/>
            <w:b/>
            <w:bCs/>
            <w:sz w:val="21"/>
            <w:szCs w:val="21"/>
          </w:rPr>
          <w:fldChar w:fldCharType="end"/>
        </w:r>
      </w:hyperlink>
    </w:p>
    <w:p w14:paraId="6CAAC895" w14:textId="17A67BCE"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6379" w:history="1">
        <w:r>
          <w:rPr>
            <w:rFonts w:ascii="微软雅黑" w:eastAsia="微软雅黑" w:hAnsi="微软雅黑" w:cs="微软雅黑" w:hint="eastAsia"/>
            <w:bCs/>
            <w:sz w:val="21"/>
            <w:szCs w:val="21"/>
          </w:rPr>
          <w:t>一、开发建设期及服务地点</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_Toc16379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44</w:t>
        </w:r>
        <w:r>
          <w:rPr>
            <w:rFonts w:ascii="微软雅黑" w:eastAsia="微软雅黑" w:hAnsi="微软雅黑" w:cs="微软雅黑" w:hint="eastAsia"/>
            <w:sz w:val="21"/>
            <w:szCs w:val="21"/>
          </w:rPr>
          <w:fldChar w:fldCharType="end"/>
        </w:r>
      </w:hyperlink>
    </w:p>
    <w:p w14:paraId="6EDDF270" w14:textId="3385900F"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6221" w:history="1">
        <w:r>
          <w:rPr>
            <w:rFonts w:ascii="微软雅黑" w:eastAsia="微软雅黑" w:hAnsi="微软雅黑" w:cs="微软雅黑" w:hint="eastAsia"/>
            <w:bCs/>
            <w:sz w:val="21"/>
            <w:szCs w:val="21"/>
          </w:rPr>
          <w:t>二、施工组织要求</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_Toc26221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44</w:t>
        </w:r>
        <w:r>
          <w:rPr>
            <w:rFonts w:ascii="微软雅黑" w:eastAsia="微软雅黑" w:hAnsi="微软雅黑" w:cs="微软雅黑" w:hint="eastAsia"/>
            <w:sz w:val="21"/>
            <w:szCs w:val="21"/>
          </w:rPr>
          <w:fldChar w:fldCharType="end"/>
        </w:r>
      </w:hyperlink>
    </w:p>
    <w:p w14:paraId="53AAABB2" w14:textId="2C780D8E"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8737" w:history="1">
        <w:r>
          <w:rPr>
            <w:rFonts w:ascii="微软雅黑" w:eastAsia="微软雅黑" w:hAnsi="微软雅黑" w:cs="微软雅黑" w:hint="eastAsia"/>
            <w:bCs/>
            <w:sz w:val="21"/>
            <w:szCs w:val="21"/>
          </w:rPr>
          <w:t>三、验收标准</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_Toc18737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46</w:t>
        </w:r>
        <w:r>
          <w:rPr>
            <w:rFonts w:ascii="微软雅黑" w:eastAsia="微软雅黑" w:hAnsi="微软雅黑" w:cs="微软雅黑" w:hint="eastAsia"/>
            <w:sz w:val="21"/>
            <w:szCs w:val="21"/>
          </w:rPr>
          <w:fldChar w:fldCharType="end"/>
        </w:r>
      </w:hyperlink>
    </w:p>
    <w:p w14:paraId="5589B2FD" w14:textId="46331A0C"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674" w:history="1">
        <w:r>
          <w:rPr>
            <w:rFonts w:ascii="微软雅黑" w:eastAsia="微软雅黑" w:hAnsi="微软雅黑" w:cs="微软雅黑" w:hint="eastAsia"/>
            <w:bCs/>
            <w:sz w:val="21"/>
            <w:szCs w:val="21"/>
          </w:rPr>
          <w:t>四、质量保证</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_Toc1674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49</w:t>
        </w:r>
        <w:r>
          <w:rPr>
            <w:rFonts w:ascii="微软雅黑" w:eastAsia="微软雅黑" w:hAnsi="微软雅黑" w:cs="微软雅黑" w:hint="eastAsia"/>
            <w:sz w:val="21"/>
            <w:szCs w:val="21"/>
          </w:rPr>
          <w:fldChar w:fldCharType="end"/>
        </w:r>
      </w:hyperlink>
    </w:p>
    <w:p w14:paraId="1EA48042" w14:textId="583FC68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9665" w:history="1">
        <w:r>
          <w:rPr>
            <w:rFonts w:ascii="微软雅黑" w:eastAsia="微软雅黑" w:hAnsi="微软雅黑" w:cs="微软雅黑" w:hint="eastAsia"/>
            <w:bCs/>
            <w:sz w:val="21"/>
            <w:szCs w:val="21"/>
          </w:rPr>
          <w:t>五、售后服务</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_Toc9665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50</w:t>
        </w:r>
        <w:r>
          <w:rPr>
            <w:rFonts w:ascii="微软雅黑" w:eastAsia="微软雅黑" w:hAnsi="微软雅黑" w:cs="微软雅黑" w:hint="eastAsia"/>
            <w:sz w:val="21"/>
            <w:szCs w:val="21"/>
          </w:rPr>
          <w:fldChar w:fldCharType="end"/>
        </w:r>
      </w:hyperlink>
    </w:p>
    <w:p w14:paraId="27D9307B" w14:textId="627AA679"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7075" w:history="1">
        <w:r>
          <w:rPr>
            <w:rFonts w:ascii="微软雅黑" w:eastAsia="微软雅黑" w:hAnsi="微软雅黑" w:cs="微软雅黑" w:hint="eastAsia"/>
            <w:bCs/>
            <w:sz w:val="21"/>
            <w:szCs w:val="21"/>
          </w:rPr>
          <w:t>六、考核办法</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_Toc27075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51</w:t>
        </w:r>
        <w:r>
          <w:rPr>
            <w:rFonts w:ascii="微软雅黑" w:eastAsia="微软雅黑" w:hAnsi="微软雅黑" w:cs="微软雅黑" w:hint="eastAsia"/>
            <w:sz w:val="21"/>
            <w:szCs w:val="21"/>
          </w:rPr>
          <w:fldChar w:fldCharType="end"/>
        </w:r>
      </w:hyperlink>
    </w:p>
    <w:p w14:paraId="5225A39E" w14:textId="4CA7ADCF"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634" w:history="1">
        <w:r>
          <w:rPr>
            <w:rFonts w:ascii="微软雅黑" w:eastAsia="微软雅黑" w:hAnsi="微软雅黑" w:cs="微软雅黑" w:hint="eastAsia"/>
            <w:bCs/>
            <w:sz w:val="21"/>
            <w:szCs w:val="21"/>
          </w:rPr>
          <w:t>七、报价要求</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_Toc634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54</w:t>
        </w:r>
        <w:r>
          <w:rPr>
            <w:rFonts w:ascii="微软雅黑" w:eastAsia="微软雅黑" w:hAnsi="微软雅黑" w:cs="微软雅黑" w:hint="eastAsia"/>
            <w:sz w:val="21"/>
            <w:szCs w:val="21"/>
          </w:rPr>
          <w:fldChar w:fldCharType="end"/>
        </w:r>
      </w:hyperlink>
    </w:p>
    <w:p w14:paraId="0902C270" w14:textId="0A7DE90D"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7921" w:history="1">
        <w:r>
          <w:rPr>
            <w:rFonts w:ascii="微软雅黑" w:eastAsia="微软雅黑" w:hAnsi="微软雅黑" w:cs="微软雅黑" w:hint="eastAsia"/>
            <w:bCs/>
            <w:sz w:val="21"/>
            <w:szCs w:val="21"/>
          </w:rPr>
          <w:t>八、付款方式</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_Toc27921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54</w:t>
        </w:r>
        <w:r>
          <w:rPr>
            <w:rFonts w:ascii="微软雅黑" w:eastAsia="微软雅黑" w:hAnsi="微软雅黑" w:cs="微软雅黑" w:hint="eastAsia"/>
            <w:sz w:val="21"/>
            <w:szCs w:val="21"/>
          </w:rPr>
          <w:fldChar w:fldCharType="end"/>
        </w:r>
      </w:hyperlink>
    </w:p>
    <w:p w14:paraId="49E9F497" w14:textId="239E4434"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9800" w:history="1">
        <w:r>
          <w:rPr>
            <w:rFonts w:ascii="微软雅黑" w:eastAsia="微软雅黑" w:hAnsi="微软雅黑" w:cs="微软雅黑" w:hint="eastAsia"/>
            <w:bCs/>
            <w:sz w:val="21"/>
            <w:szCs w:val="21"/>
          </w:rPr>
          <w:t>九、知识产权</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_Toc9800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54</w:t>
        </w:r>
        <w:r>
          <w:rPr>
            <w:rFonts w:ascii="微软雅黑" w:eastAsia="微软雅黑" w:hAnsi="微软雅黑" w:cs="微软雅黑" w:hint="eastAsia"/>
            <w:sz w:val="21"/>
            <w:szCs w:val="21"/>
          </w:rPr>
          <w:fldChar w:fldCharType="end"/>
        </w:r>
      </w:hyperlink>
    </w:p>
    <w:p w14:paraId="2F591DA6" w14:textId="0A4D3414"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591" w:history="1">
        <w:r>
          <w:rPr>
            <w:rFonts w:ascii="微软雅黑" w:eastAsia="微软雅黑" w:hAnsi="微软雅黑" w:cs="微软雅黑" w:hint="eastAsia"/>
            <w:bCs/>
            <w:sz w:val="21"/>
            <w:szCs w:val="21"/>
          </w:rPr>
          <w:t>十、保密要求</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_Toc2591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55</w:t>
        </w:r>
        <w:r>
          <w:rPr>
            <w:rFonts w:ascii="微软雅黑" w:eastAsia="微软雅黑" w:hAnsi="微软雅黑" w:cs="微软雅黑" w:hint="eastAsia"/>
            <w:sz w:val="21"/>
            <w:szCs w:val="21"/>
          </w:rPr>
          <w:fldChar w:fldCharType="end"/>
        </w:r>
      </w:hyperlink>
    </w:p>
    <w:p w14:paraId="08D32626" w14:textId="27E8B61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12" w:history="1">
        <w:r>
          <w:rPr>
            <w:rFonts w:ascii="微软雅黑" w:eastAsia="微软雅黑" w:hAnsi="微软雅黑" w:cs="微软雅黑" w:hint="eastAsia"/>
            <w:bCs/>
            <w:sz w:val="21"/>
            <w:szCs w:val="21"/>
          </w:rPr>
          <w:t>十一、培训</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_Toc212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55</w:t>
        </w:r>
        <w:r>
          <w:rPr>
            <w:rFonts w:ascii="微软雅黑" w:eastAsia="微软雅黑" w:hAnsi="微软雅黑" w:cs="微软雅黑" w:hint="eastAsia"/>
            <w:sz w:val="21"/>
            <w:szCs w:val="21"/>
          </w:rPr>
          <w:fldChar w:fldCharType="end"/>
        </w:r>
      </w:hyperlink>
    </w:p>
    <w:p w14:paraId="276B462A" w14:textId="2F9ABA8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015" w:history="1">
        <w:r>
          <w:rPr>
            <w:rFonts w:ascii="微软雅黑" w:eastAsia="微软雅黑" w:hAnsi="微软雅黑" w:cs="微软雅黑" w:hint="eastAsia"/>
            <w:bCs/>
            <w:sz w:val="21"/>
            <w:szCs w:val="21"/>
          </w:rPr>
          <w:t>十二、其他商务要求内容</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_Toc1015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56</w:t>
        </w:r>
        <w:r>
          <w:rPr>
            <w:rFonts w:ascii="微软雅黑" w:eastAsia="微软雅黑" w:hAnsi="微软雅黑" w:cs="微软雅黑" w:hint="eastAsia"/>
            <w:sz w:val="21"/>
            <w:szCs w:val="21"/>
          </w:rPr>
          <w:fldChar w:fldCharType="end"/>
        </w:r>
      </w:hyperlink>
    </w:p>
    <w:p w14:paraId="596F823D" w14:textId="269BAD6F" w:rsidR="0022665C" w:rsidRDefault="00000000">
      <w:pPr>
        <w:pStyle w:val="TOC1"/>
        <w:tabs>
          <w:tab w:val="clear" w:pos="1260"/>
          <w:tab w:val="clear" w:pos="1685"/>
          <w:tab w:val="clear" w:pos="8400"/>
          <w:tab w:val="right" w:leader="dot" w:pos="9412"/>
        </w:tabs>
        <w:spacing w:line="300" w:lineRule="exact"/>
        <w:ind w:leftChars="200" w:left="560" w:firstLineChars="0" w:firstLine="0"/>
        <w:rPr>
          <w:rFonts w:ascii="微软雅黑" w:eastAsia="微软雅黑" w:hAnsi="微软雅黑" w:cs="微软雅黑" w:hint="eastAsia"/>
          <w:b/>
          <w:bCs/>
          <w:sz w:val="21"/>
          <w:szCs w:val="21"/>
        </w:rPr>
      </w:pPr>
      <w:hyperlink w:anchor="_Toc6911" w:history="1">
        <w:r>
          <w:rPr>
            <w:rFonts w:ascii="微软雅黑" w:eastAsia="微软雅黑" w:hAnsi="微软雅黑" w:cs="微软雅黑" w:hint="eastAsia"/>
            <w:b/>
            <w:bCs/>
            <w:sz w:val="21"/>
            <w:szCs w:val="21"/>
          </w:rPr>
          <w:t>第四篇 资格审查及评标办法</w:t>
        </w:r>
        <w:r>
          <w:rPr>
            <w:rFonts w:ascii="微软雅黑" w:eastAsia="微软雅黑" w:hAnsi="微软雅黑" w:cs="微软雅黑" w:hint="eastAsia"/>
            <w:b/>
            <w:bCs/>
            <w:sz w:val="21"/>
            <w:szCs w:val="21"/>
          </w:rPr>
          <w:tab/>
        </w:r>
        <w:r>
          <w:rPr>
            <w:rFonts w:ascii="微软雅黑" w:eastAsia="微软雅黑" w:hAnsi="微软雅黑" w:cs="微软雅黑" w:hint="eastAsia"/>
            <w:b/>
            <w:bCs/>
            <w:sz w:val="21"/>
            <w:szCs w:val="21"/>
          </w:rPr>
          <w:fldChar w:fldCharType="begin"/>
        </w:r>
        <w:r>
          <w:rPr>
            <w:rFonts w:ascii="微软雅黑" w:eastAsia="微软雅黑" w:hAnsi="微软雅黑" w:cs="微软雅黑" w:hint="eastAsia"/>
            <w:b/>
            <w:bCs/>
            <w:sz w:val="21"/>
            <w:szCs w:val="21"/>
          </w:rPr>
          <w:instrText xml:space="preserve"> PAGEREF _Toc6911 \h </w:instrText>
        </w:r>
        <w:r>
          <w:rPr>
            <w:rFonts w:ascii="微软雅黑" w:eastAsia="微软雅黑" w:hAnsi="微软雅黑" w:cs="微软雅黑" w:hint="eastAsia"/>
            <w:b/>
            <w:bCs/>
            <w:sz w:val="21"/>
            <w:szCs w:val="21"/>
          </w:rPr>
        </w:r>
        <w:r>
          <w:rPr>
            <w:rFonts w:ascii="微软雅黑" w:eastAsia="微软雅黑" w:hAnsi="微软雅黑" w:cs="微软雅黑" w:hint="eastAsia"/>
            <w:b/>
            <w:bCs/>
            <w:sz w:val="21"/>
            <w:szCs w:val="21"/>
          </w:rPr>
          <w:fldChar w:fldCharType="separate"/>
        </w:r>
        <w:r w:rsidR="004B3823">
          <w:rPr>
            <w:rFonts w:ascii="微软雅黑" w:eastAsia="微软雅黑" w:hAnsi="微软雅黑" w:cs="微软雅黑" w:hint="eastAsia"/>
            <w:b/>
            <w:bCs/>
            <w:noProof/>
            <w:sz w:val="21"/>
            <w:szCs w:val="21"/>
          </w:rPr>
          <w:t>57</w:t>
        </w:r>
        <w:r>
          <w:rPr>
            <w:rFonts w:ascii="微软雅黑" w:eastAsia="微软雅黑" w:hAnsi="微软雅黑" w:cs="微软雅黑" w:hint="eastAsia"/>
            <w:b/>
            <w:bCs/>
            <w:sz w:val="21"/>
            <w:szCs w:val="21"/>
          </w:rPr>
          <w:fldChar w:fldCharType="end"/>
        </w:r>
      </w:hyperlink>
    </w:p>
    <w:p w14:paraId="25E434DB" w14:textId="22A171EC"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2804" w:history="1">
        <w:r>
          <w:rPr>
            <w:rFonts w:ascii="微软雅黑" w:eastAsia="微软雅黑" w:hAnsi="微软雅黑" w:cs="微软雅黑" w:hint="eastAsia"/>
            <w:bCs/>
            <w:sz w:val="21"/>
            <w:szCs w:val="21"/>
          </w:rPr>
          <w:t>一、资格审查及符合性审查</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_Toc12804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57</w:t>
        </w:r>
        <w:r>
          <w:rPr>
            <w:rFonts w:ascii="微软雅黑" w:eastAsia="微软雅黑" w:hAnsi="微软雅黑" w:cs="微软雅黑" w:hint="eastAsia"/>
            <w:sz w:val="21"/>
            <w:szCs w:val="21"/>
          </w:rPr>
          <w:fldChar w:fldCharType="end"/>
        </w:r>
      </w:hyperlink>
    </w:p>
    <w:p w14:paraId="3ECC6F1B" w14:textId="4F3CC3E8"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4649" w:history="1">
        <w:r>
          <w:rPr>
            <w:rFonts w:ascii="微软雅黑" w:eastAsia="微软雅黑" w:hAnsi="微软雅黑" w:cs="微软雅黑" w:hint="eastAsia"/>
            <w:bCs/>
            <w:sz w:val="21"/>
            <w:szCs w:val="21"/>
          </w:rPr>
          <w:t>二、评标方法</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_Toc24649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58</w:t>
        </w:r>
        <w:r>
          <w:rPr>
            <w:rFonts w:ascii="微软雅黑" w:eastAsia="微软雅黑" w:hAnsi="微软雅黑" w:cs="微软雅黑" w:hint="eastAsia"/>
            <w:sz w:val="21"/>
            <w:szCs w:val="21"/>
          </w:rPr>
          <w:fldChar w:fldCharType="end"/>
        </w:r>
      </w:hyperlink>
    </w:p>
    <w:p w14:paraId="43CF2577" w14:textId="1F919480"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9322" w:history="1">
        <w:r>
          <w:rPr>
            <w:rFonts w:ascii="微软雅黑" w:eastAsia="微软雅黑" w:hAnsi="微软雅黑" w:cs="微软雅黑" w:hint="eastAsia"/>
            <w:bCs/>
            <w:sz w:val="21"/>
            <w:szCs w:val="21"/>
          </w:rPr>
          <w:t>三、评标标准</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_Toc9322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59</w:t>
        </w:r>
        <w:r>
          <w:rPr>
            <w:rFonts w:ascii="微软雅黑" w:eastAsia="微软雅黑" w:hAnsi="微软雅黑" w:cs="微软雅黑" w:hint="eastAsia"/>
            <w:sz w:val="21"/>
            <w:szCs w:val="21"/>
          </w:rPr>
          <w:fldChar w:fldCharType="end"/>
        </w:r>
      </w:hyperlink>
    </w:p>
    <w:p w14:paraId="7CDD2B15" w14:textId="63EE94C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2393" w:history="1">
        <w:r>
          <w:rPr>
            <w:rFonts w:ascii="微软雅黑" w:eastAsia="微软雅黑" w:hAnsi="微软雅黑" w:cs="微软雅黑" w:hint="eastAsia"/>
            <w:bCs/>
            <w:sz w:val="21"/>
            <w:szCs w:val="21"/>
          </w:rPr>
          <w:t>四、无效投标条款</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_Toc12393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63</w:t>
        </w:r>
        <w:r>
          <w:rPr>
            <w:rFonts w:ascii="微软雅黑" w:eastAsia="微软雅黑" w:hAnsi="微软雅黑" w:cs="微软雅黑" w:hint="eastAsia"/>
            <w:sz w:val="21"/>
            <w:szCs w:val="21"/>
          </w:rPr>
          <w:fldChar w:fldCharType="end"/>
        </w:r>
      </w:hyperlink>
    </w:p>
    <w:p w14:paraId="4BCAB133" w14:textId="4074C312"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9622" w:history="1">
        <w:r>
          <w:rPr>
            <w:rFonts w:ascii="微软雅黑" w:eastAsia="微软雅黑" w:hAnsi="微软雅黑" w:cs="微软雅黑" w:hint="eastAsia"/>
            <w:bCs/>
            <w:sz w:val="21"/>
            <w:szCs w:val="21"/>
          </w:rPr>
          <w:t>五、废标条款</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_Toc29622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63</w:t>
        </w:r>
        <w:r>
          <w:rPr>
            <w:rFonts w:ascii="微软雅黑" w:eastAsia="微软雅黑" w:hAnsi="微软雅黑" w:cs="微软雅黑" w:hint="eastAsia"/>
            <w:sz w:val="21"/>
            <w:szCs w:val="21"/>
          </w:rPr>
          <w:fldChar w:fldCharType="end"/>
        </w:r>
      </w:hyperlink>
    </w:p>
    <w:p w14:paraId="39FCD302" w14:textId="08A96EE2" w:rsidR="0022665C" w:rsidRDefault="00000000">
      <w:pPr>
        <w:pStyle w:val="TOC1"/>
        <w:tabs>
          <w:tab w:val="clear" w:pos="1260"/>
          <w:tab w:val="clear" w:pos="1685"/>
          <w:tab w:val="clear" w:pos="8400"/>
          <w:tab w:val="right" w:leader="dot" w:pos="9412"/>
        </w:tabs>
        <w:spacing w:line="300" w:lineRule="exact"/>
        <w:ind w:leftChars="200" w:left="560" w:firstLineChars="0" w:firstLine="0"/>
        <w:rPr>
          <w:rFonts w:ascii="微软雅黑" w:eastAsia="微软雅黑" w:hAnsi="微软雅黑" w:cs="微软雅黑" w:hint="eastAsia"/>
          <w:b/>
          <w:bCs/>
          <w:sz w:val="21"/>
          <w:szCs w:val="21"/>
        </w:rPr>
      </w:pPr>
      <w:hyperlink w:anchor="_Toc25244" w:history="1">
        <w:r>
          <w:rPr>
            <w:rFonts w:ascii="微软雅黑" w:eastAsia="微软雅黑" w:hAnsi="微软雅黑" w:cs="微软雅黑" w:hint="eastAsia"/>
            <w:b/>
            <w:bCs/>
            <w:sz w:val="21"/>
            <w:szCs w:val="21"/>
          </w:rPr>
          <w:t>第五篇 投标人须知</w:t>
        </w:r>
        <w:r>
          <w:rPr>
            <w:rFonts w:ascii="微软雅黑" w:eastAsia="微软雅黑" w:hAnsi="微软雅黑" w:cs="微软雅黑" w:hint="eastAsia"/>
            <w:b/>
            <w:bCs/>
            <w:sz w:val="21"/>
            <w:szCs w:val="21"/>
          </w:rPr>
          <w:tab/>
        </w:r>
        <w:r>
          <w:rPr>
            <w:rFonts w:ascii="微软雅黑" w:eastAsia="微软雅黑" w:hAnsi="微软雅黑" w:cs="微软雅黑" w:hint="eastAsia"/>
            <w:b/>
            <w:bCs/>
            <w:sz w:val="21"/>
            <w:szCs w:val="21"/>
          </w:rPr>
          <w:fldChar w:fldCharType="begin"/>
        </w:r>
        <w:r>
          <w:rPr>
            <w:rFonts w:ascii="微软雅黑" w:eastAsia="微软雅黑" w:hAnsi="微软雅黑" w:cs="微软雅黑" w:hint="eastAsia"/>
            <w:b/>
            <w:bCs/>
            <w:sz w:val="21"/>
            <w:szCs w:val="21"/>
          </w:rPr>
          <w:instrText xml:space="preserve"> PAGEREF _Toc25244 \h </w:instrText>
        </w:r>
        <w:r>
          <w:rPr>
            <w:rFonts w:ascii="微软雅黑" w:eastAsia="微软雅黑" w:hAnsi="微软雅黑" w:cs="微软雅黑" w:hint="eastAsia"/>
            <w:b/>
            <w:bCs/>
            <w:sz w:val="21"/>
            <w:szCs w:val="21"/>
          </w:rPr>
        </w:r>
        <w:r>
          <w:rPr>
            <w:rFonts w:ascii="微软雅黑" w:eastAsia="微软雅黑" w:hAnsi="微软雅黑" w:cs="微软雅黑" w:hint="eastAsia"/>
            <w:b/>
            <w:bCs/>
            <w:sz w:val="21"/>
            <w:szCs w:val="21"/>
          </w:rPr>
          <w:fldChar w:fldCharType="separate"/>
        </w:r>
        <w:r w:rsidR="004B3823">
          <w:rPr>
            <w:rFonts w:ascii="微软雅黑" w:eastAsia="微软雅黑" w:hAnsi="微软雅黑" w:cs="微软雅黑" w:hint="eastAsia"/>
            <w:b/>
            <w:bCs/>
            <w:noProof/>
            <w:sz w:val="21"/>
            <w:szCs w:val="21"/>
          </w:rPr>
          <w:t>65</w:t>
        </w:r>
        <w:r>
          <w:rPr>
            <w:rFonts w:ascii="微软雅黑" w:eastAsia="微软雅黑" w:hAnsi="微软雅黑" w:cs="微软雅黑" w:hint="eastAsia"/>
            <w:b/>
            <w:bCs/>
            <w:sz w:val="21"/>
            <w:szCs w:val="21"/>
          </w:rPr>
          <w:fldChar w:fldCharType="end"/>
        </w:r>
      </w:hyperlink>
    </w:p>
    <w:p w14:paraId="3337D9A1" w14:textId="5A1BC71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4439" w:history="1">
        <w:r>
          <w:rPr>
            <w:rFonts w:ascii="微软雅黑" w:eastAsia="微软雅黑" w:hAnsi="微软雅黑" w:cs="微软雅黑" w:hint="eastAsia"/>
            <w:bCs/>
            <w:sz w:val="21"/>
            <w:szCs w:val="21"/>
          </w:rPr>
          <w:t>一、投标人</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_Toc24439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65</w:t>
        </w:r>
        <w:r>
          <w:rPr>
            <w:rFonts w:ascii="微软雅黑" w:eastAsia="微软雅黑" w:hAnsi="微软雅黑" w:cs="微软雅黑" w:hint="eastAsia"/>
            <w:sz w:val="21"/>
            <w:szCs w:val="21"/>
          </w:rPr>
          <w:fldChar w:fldCharType="end"/>
        </w:r>
      </w:hyperlink>
    </w:p>
    <w:p w14:paraId="00A4D088" w14:textId="0022A6C4"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8788" w:history="1">
        <w:r>
          <w:rPr>
            <w:rFonts w:ascii="微软雅黑" w:eastAsia="微软雅黑" w:hAnsi="微软雅黑" w:cs="微软雅黑" w:hint="eastAsia"/>
            <w:bCs/>
            <w:sz w:val="21"/>
            <w:szCs w:val="21"/>
          </w:rPr>
          <w:t>二、招标文件</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_Toc28788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65</w:t>
        </w:r>
        <w:r>
          <w:rPr>
            <w:rFonts w:ascii="微软雅黑" w:eastAsia="微软雅黑" w:hAnsi="微软雅黑" w:cs="微软雅黑" w:hint="eastAsia"/>
            <w:sz w:val="21"/>
            <w:szCs w:val="21"/>
          </w:rPr>
          <w:fldChar w:fldCharType="end"/>
        </w:r>
      </w:hyperlink>
    </w:p>
    <w:p w14:paraId="4DE0991E" w14:textId="434DB455"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4914" w:history="1">
        <w:r>
          <w:rPr>
            <w:rFonts w:ascii="微软雅黑" w:eastAsia="微软雅黑" w:hAnsi="微软雅黑" w:cs="微软雅黑" w:hint="eastAsia"/>
            <w:bCs/>
            <w:sz w:val="21"/>
            <w:szCs w:val="21"/>
          </w:rPr>
          <w:t>三、投标文件</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_Toc14914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65</w:t>
        </w:r>
        <w:r>
          <w:rPr>
            <w:rFonts w:ascii="微软雅黑" w:eastAsia="微软雅黑" w:hAnsi="微软雅黑" w:cs="微软雅黑" w:hint="eastAsia"/>
            <w:sz w:val="21"/>
            <w:szCs w:val="21"/>
          </w:rPr>
          <w:fldChar w:fldCharType="end"/>
        </w:r>
      </w:hyperlink>
    </w:p>
    <w:p w14:paraId="3C5EF814" w14:textId="3F65101F"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7703" w:history="1">
        <w:r>
          <w:rPr>
            <w:rFonts w:ascii="微软雅黑" w:eastAsia="微软雅黑" w:hAnsi="微软雅黑" w:cs="微软雅黑" w:hint="eastAsia"/>
            <w:bCs/>
            <w:sz w:val="21"/>
            <w:szCs w:val="21"/>
          </w:rPr>
          <w:t>四、开标</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_Toc27703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68</w:t>
        </w:r>
        <w:r>
          <w:rPr>
            <w:rFonts w:ascii="微软雅黑" w:eastAsia="微软雅黑" w:hAnsi="微软雅黑" w:cs="微软雅黑" w:hint="eastAsia"/>
            <w:sz w:val="21"/>
            <w:szCs w:val="21"/>
          </w:rPr>
          <w:fldChar w:fldCharType="end"/>
        </w:r>
      </w:hyperlink>
    </w:p>
    <w:p w14:paraId="225FF6F4" w14:textId="5DEAD90B"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2315" w:history="1">
        <w:r>
          <w:rPr>
            <w:rFonts w:ascii="微软雅黑" w:eastAsia="微软雅黑" w:hAnsi="微软雅黑" w:cs="微软雅黑" w:hint="eastAsia"/>
            <w:bCs/>
            <w:sz w:val="21"/>
            <w:szCs w:val="21"/>
          </w:rPr>
          <w:t>五、评标</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_Toc22315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68</w:t>
        </w:r>
        <w:r>
          <w:rPr>
            <w:rFonts w:ascii="微软雅黑" w:eastAsia="微软雅黑" w:hAnsi="微软雅黑" w:cs="微软雅黑" w:hint="eastAsia"/>
            <w:sz w:val="21"/>
            <w:szCs w:val="21"/>
          </w:rPr>
          <w:fldChar w:fldCharType="end"/>
        </w:r>
      </w:hyperlink>
    </w:p>
    <w:p w14:paraId="5691A064" w14:textId="218A71E0"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8183" w:history="1">
        <w:r>
          <w:rPr>
            <w:rFonts w:ascii="微软雅黑" w:eastAsia="微软雅黑" w:hAnsi="微软雅黑" w:cs="微软雅黑" w:hint="eastAsia"/>
            <w:bCs/>
            <w:sz w:val="21"/>
            <w:szCs w:val="21"/>
          </w:rPr>
          <w:t>六、定标</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_Toc18183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68</w:t>
        </w:r>
        <w:r>
          <w:rPr>
            <w:rFonts w:ascii="微软雅黑" w:eastAsia="微软雅黑" w:hAnsi="微软雅黑" w:cs="微软雅黑" w:hint="eastAsia"/>
            <w:sz w:val="21"/>
            <w:szCs w:val="21"/>
          </w:rPr>
          <w:fldChar w:fldCharType="end"/>
        </w:r>
      </w:hyperlink>
    </w:p>
    <w:p w14:paraId="2BC30D8C" w14:textId="362AC7BA"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3006" w:history="1">
        <w:r>
          <w:rPr>
            <w:rFonts w:ascii="微软雅黑" w:eastAsia="微软雅黑" w:hAnsi="微软雅黑" w:cs="微软雅黑" w:hint="eastAsia"/>
            <w:bCs/>
            <w:sz w:val="21"/>
            <w:szCs w:val="21"/>
          </w:rPr>
          <w:t>七、中标</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_Toc3006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68</w:t>
        </w:r>
        <w:r>
          <w:rPr>
            <w:rFonts w:ascii="微软雅黑" w:eastAsia="微软雅黑" w:hAnsi="微软雅黑" w:cs="微软雅黑" w:hint="eastAsia"/>
            <w:sz w:val="21"/>
            <w:szCs w:val="21"/>
          </w:rPr>
          <w:fldChar w:fldCharType="end"/>
        </w:r>
      </w:hyperlink>
    </w:p>
    <w:p w14:paraId="74EB78F1" w14:textId="17BCDA64"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9813" w:history="1">
        <w:r>
          <w:rPr>
            <w:rFonts w:ascii="微软雅黑" w:eastAsia="微软雅黑" w:hAnsi="微软雅黑" w:cs="微软雅黑" w:hint="eastAsia"/>
            <w:bCs/>
            <w:sz w:val="21"/>
            <w:szCs w:val="21"/>
          </w:rPr>
          <w:t>八、询问、质疑和投诉</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_Toc19813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69</w:t>
        </w:r>
        <w:r>
          <w:rPr>
            <w:rFonts w:ascii="微软雅黑" w:eastAsia="微软雅黑" w:hAnsi="微软雅黑" w:cs="微软雅黑" w:hint="eastAsia"/>
            <w:sz w:val="21"/>
            <w:szCs w:val="21"/>
          </w:rPr>
          <w:fldChar w:fldCharType="end"/>
        </w:r>
      </w:hyperlink>
    </w:p>
    <w:p w14:paraId="088BA187" w14:textId="48B7D320"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3048" w:history="1">
        <w:r>
          <w:rPr>
            <w:rFonts w:ascii="微软雅黑" w:eastAsia="微软雅黑" w:hAnsi="微软雅黑" w:cs="微软雅黑" w:hint="eastAsia"/>
            <w:bCs/>
            <w:sz w:val="21"/>
            <w:szCs w:val="21"/>
          </w:rPr>
          <w:t>九、招标代理服务费</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_Toc13048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70</w:t>
        </w:r>
        <w:r>
          <w:rPr>
            <w:rFonts w:ascii="微软雅黑" w:eastAsia="微软雅黑" w:hAnsi="微软雅黑" w:cs="微软雅黑" w:hint="eastAsia"/>
            <w:sz w:val="21"/>
            <w:szCs w:val="21"/>
          </w:rPr>
          <w:fldChar w:fldCharType="end"/>
        </w:r>
      </w:hyperlink>
    </w:p>
    <w:p w14:paraId="6FC061C7" w14:textId="4B8E7DFD"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3530" w:history="1">
        <w:r>
          <w:rPr>
            <w:rFonts w:ascii="微软雅黑" w:eastAsia="微软雅黑" w:hAnsi="微软雅黑" w:cs="微软雅黑" w:hint="eastAsia"/>
            <w:bCs/>
            <w:sz w:val="21"/>
            <w:szCs w:val="21"/>
          </w:rPr>
          <w:t>十、交易服务费</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_Toc13530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71</w:t>
        </w:r>
        <w:r>
          <w:rPr>
            <w:rFonts w:ascii="微软雅黑" w:eastAsia="微软雅黑" w:hAnsi="微软雅黑" w:cs="微软雅黑" w:hint="eastAsia"/>
            <w:sz w:val="21"/>
            <w:szCs w:val="21"/>
          </w:rPr>
          <w:fldChar w:fldCharType="end"/>
        </w:r>
      </w:hyperlink>
    </w:p>
    <w:p w14:paraId="4273EFCD" w14:textId="4D2B99A1"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6594" w:history="1">
        <w:r>
          <w:rPr>
            <w:rFonts w:ascii="微软雅黑" w:eastAsia="微软雅黑" w:hAnsi="微软雅黑" w:cs="微软雅黑" w:hint="eastAsia"/>
            <w:bCs/>
            <w:sz w:val="21"/>
            <w:szCs w:val="21"/>
          </w:rPr>
          <w:t>十一、签订合同</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_Toc16594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71</w:t>
        </w:r>
        <w:r>
          <w:rPr>
            <w:rFonts w:ascii="微软雅黑" w:eastAsia="微软雅黑" w:hAnsi="微软雅黑" w:cs="微软雅黑" w:hint="eastAsia"/>
            <w:sz w:val="21"/>
            <w:szCs w:val="21"/>
          </w:rPr>
          <w:fldChar w:fldCharType="end"/>
        </w:r>
      </w:hyperlink>
    </w:p>
    <w:p w14:paraId="74C36383" w14:textId="63A9119E"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1201" w:history="1">
        <w:r>
          <w:rPr>
            <w:rFonts w:ascii="微软雅黑" w:eastAsia="微软雅黑" w:hAnsi="微软雅黑" w:cs="微软雅黑" w:hint="eastAsia"/>
            <w:bCs/>
            <w:sz w:val="21"/>
            <w:szCs w:val="21"/>
          </w:rPr>
          <w:t>十二、项目验收</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_Toc11201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71</w:t>
        </w:r>
        <w:r>
          <w:rPr>
            <w:rFonts w:ascii="微软雅黑" w:eastAsia="微软雅黑" w:hAnsi="微软雅黑" w:cs="微软雅黑" w:hint="eastAsia"/>
            <w:sz w:val="21"/>
            <w:szCs w:val="21"/>
          </w:rPr>
          <w:fldChar w:fldCharType="end"/>
        </w:r>
      </w:hyperlink>
    </w:p>
    <w:p w14:paraId="06CD82D8" w14:textId="23E9D73F"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3147" w:history="1">
        <w:r>
          <w:rPr>
            <w:rFonts w:ascii="微软雅黑" w:eastAsia="微软雅黑" w:hAnsi="微软雅黑" w:cs="微软雅黑" w:hint="eastAsia"/>
            <w:bCs/>
            <w:sz w:val="21"/>
            <w:szCs w:val="21"/>
          </w:rPr>
          <w:t>十三、政府采购信用融资</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_Toc13147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71</w:t>
        </w:r>
        <w:r>
          <w:rPr>
            <w:rFonts w:ascii="微软雅黑" w:eastAsia="微软雅黑" w:hAnsi="微软雅黑" w:cs="微软雅黑" w:hint="eastAsia"/>
            <w:sz w:val="21"/>
            <w:szCs w:val="21"/>
          </w:rPr>
          <w:fldChar w:fldCharType="end"/>
        </w:r>
      </w:hyperlink>
    </w:p>
    <w:p w14:paraId="15213B77" w14:textId="7FA6ACD8" w:rsidR="0022665C" w:rsidRDefault="00000000">
      <w:pPr>
        <w:pStyle w:val="TOC1"/>
        <w:tabs>
          <w:tab w:val="clear" w:pos="1260"/>
          <w:tab w:val="clear" w:pos="1685"/>
          <w:tab w:val="clear" w:pos="8400"/>
          <w:tab w:val="right" w:leader="dot" w:pos="9412"/>
        </w:tabs>
        <w:spacing w:line="300" w:lineRule="exact"/>
        <w:ind w:leftChars="200" w:left="560" w:firstLineChars="0" w:firstLine="0"/>
        <w:rPr>
          <w:rFonts w:ascii="微软雅黑" w:eastAsia="微软雅黑" w:hAnsi="微软雅黑" w:cs="微软雅黑" w:hint="eastAsia"/>
          <w:b/>
          <w:bCs/>
          <w:sz w:val="21"/>
          <w:szCs w:val="21"/>
        </w:rPr>
      </w:pPr>
      <w:hyperlink w:anchor="_Toc9354" w:history="1">
        <w:r>
          <w:rPr>
            <w:rFonts w:ascii="微软雅黑" w:eastAsia="微软雅黑" w:hAnsi="微软雅黑" w:cs="微软雅黑" w:hint="eastAsia"/>
            <w:b/>
            <w:bCs/>
            <w:sz w:val="21"/>
            <w:szCs w:val="21"/>
          </w:rPr>
          <w:t>第六篇 合同主要条款和格式合同</w:t>
        </w:r>
        <w:r>
          <w:rPr>
            <w:rFonts w:ascii="微软雅黑" w:eastAsia="微软雅黑" w:hAnsi="微软雅黑" w:cs="微软雅黑" w:hint="eastAsia"/>
            <w:b/>
            <w:bCs/>
            <w:sz w:val="21"/>
            <w:szCs w:val="21"/>
          </w:rPr>
          <w:tab/>
        </w:r>
        <w:r>
          <w:rPr>
            <w:rFonts w:ascii="微软雅黑" w:eastAsia="微软雅黑" w:hAnsi="微软雅黑" w:cs="微软雅黑" w:hint="eastAsia"/>
            <w:b/>
            <w:bCs/>
            <w:sz w:val="21"/>
            <w:szCs w:val="21"/>
          </w:rPr>
          <w:fldChar w:fldCharType="begin"/>
        </w:r>
        <w:r>
          <w:rPr>
            <w:rFonts w:ascii="微软雅黑" w:eastAsia="微软雅黑" w:hAnsi="微软雅黑" w:cs="微软雅黑" w:hint="eastAsia"/>
            <w:b/>
            <w:bCs/>
            <w:sz w:val="21"/>
            <w:szCs w:val="21"/>
          </w:rPr>
          <w:instrText xml:space="preserve"> PAGEREF _Toc9354 \h </w:instrText>
        </w:r>
        <w:r>
          <w:rPr>
            <w:rFonts w:ascii="微软雅黑" w:eastAsia="微软雅黑" w:hAnsi="微软雅黑" w:cs="微软雅黑" w:hint="eastAsia"/>
            <w:b/>
            <w:bCs/>
            <w:sz w:val="21"/>
            <w:szCs w:val="21"/>
          </w:rPr>
        </w:r>
        <w:r>
          <w:rPr>
            <w:rFonts w:ascii="微软雅黑" w:eastAsia="微软雅黑" w:hAnsi="微软雅黑" w:cs="微软雅黑" w:hint="eastAsia"/>
            <w:b/>
            <w:bCs/>
            <w:sz w:val="21"/>
            <w:szCs w:val="21"/>
          </w:rPr>
          <w:fldChar w:fldCharType="separate"/>
        </w:r>
        <w:r w:rsidR="004B3823">
          <w:rPr>
            <w:rFonts w:ascii="微软雅黑" w:eastAsia="微软雅黑" w:hAnsi="微软雅黑" w:cs="微软雅黑" w:hint="eastAsia"/>
            <w:b/>
            <w:bCs/>
            <w:noProof/>
            <w:sz w:val="21"/>
            <w:szCs w:val="21"/>
          </w:rPr>
          <w:t>72</w:t>
        </w:r>
        <w:r>
          <w:rPr>
            <w:rFonts w:ascii="微软雅黑" w:eastAsia="微软雅黑" w:hAnsi="微软雅黑" w:cs="微软雅黑" w:hint="eastAsia"/>
            <w:b/>
            <w:bCs/>
            <w:sz w:val="21"/>
            <w:szCs w:val="21"/>
          </w:rPr>
          <w:fldChar w:fldCharType="end"/>
        </w:r>
      </w:hyperlink>
    </w:p>
    <w:p w14:paraId="36F2F10A" w14:textId="5043D7AE"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1880" w:history="1">
        <w:r>
          <w:rPr>
            <w:rFonts w:ascii="微软雅黑" w:eastAsia="微软雅黑" w:hAnsi="微软雅黑" w:cs="微软雅黑" w:hint="eastAsia"/>
            <w:bCs/>
            <w:sz w:val="21"/>
            <w:szCs w:val="21"/>
          </w:rPr>
          <w:t>一、合同主要条款</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_Toc21880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72</w:t>
        </w:r>
        <w:r>
          <w:rPr>
            <w:rFonts w:ascii="微软雅黑" w:eastAsia="微软雅黑" w:hAnsi="微软雅黑" w:cs="微软雅黑" w:hint="eastAsia"/>
            <w:sz w:val="21"/>
            <w:szCs w:val="21"/>
          </w:rPr>
          <w:fldChar w:fldCharType="end"/>
        </w:r>
      </w:hyperlink>
    </w:p>
    <w:p w14:paraId="2115D7F0" w14:textId="4556B5C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8175" w:history="1">
        <w:r>
          <w:rPr>
            <w:rFonts w:ascii="微软雅黑" w:eastAsia="微软雅黑" w:hAnsi="微软雅黑" w:cs="微软雅黑" w:hint="eastAsia"/>
            <w:bCs/>
            <w:sz w:val="21"/>
            <w:szCs w:val="21"/>
          </w:rPr>
          <w:t>二、政府采购合同</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_Toc8175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73</w:t>
        </w:r>
        <w:r>
          <w:rPr>
            <w:rFonts w:ascii="微软雅黑" w:eastAsia="微软雅黑" w:hAnsi="微软雅黑" w:cs="微软雅黑" w:hint="eastAsia"/>
            <w:sz w:val="21"/>
            <w:szCs w:val="21"/>
          </w:rPr>
          <w:fldChar w:fldCharType="end"/>
        </w:r>
      </w:hyperlink>
    </w:p>
    <w:p w14:paraId="5E09DAB7" w14:textId="38E75F57" w:rsidR="0022665C" w:rsidRDefault="00000000">
      <w:pPr>
        <w:pStyle w:val="TOC1"/>
        <w:tabs>
          <w:tab w:val="clear" w:pos="1260"/>
          <w:tab w:val="clear" w:pos="1685"/>
          <w:tab w:val="clear" w:pos="8400"/>
          <w:tab w:val="right" w:leader="dot" w:pos="9412"/>
        </w:tabs>
        <w:spacing w:line="300" w:lineRule="exact"/>
        <w:ind w:leftChars="200" w:left="560" w:firstLineChars="0" w:firstLine="0"/>
        <w:rPr>
          <w:rFonts w:ascii="微软雅黑" w:eastAsia="微软雅黑" w:hAnsi="微软雅黑" w:cs="微软雅黑" w:hint="eastAsia"/>
          <w:b/>
          <w:bCs/>
          <w:sz w:val="21"/>
          <w:szCs w:val="21"/>
        </w:rPr>
      </w:pPr>
      <w:hyperlink w:anchor="_Toc10428" w:history="1">
        <w:r>
          <w:rPr>
            <w:rFonts w:ascii="微软雅黑" w:eastAsia="微软雅黑" w:hAnsi="微软雅黑" w:cs="微软雅黑" w:hint="eastAsia"/>
            <w:b/>
            <w:bCs/>
            <w:sz w:val="21"/>
            <w:szCs w:val="21"/>
          </w:rPr>
          <w:t>第七篇 投标文件格式</w:t>
        </w:r>
        <w:r>
          <w:rPr>
            <w:rFonts w:ascii="微软雅黑" w:eastAsia="微软雅黑" w:hAnsi="微软雅黑" w:cs="微软雅黑" w:hint="eastAsia"/>
            <w:b/>
            <w:bCs/>
            <w:sz w:val="21"/>
            <w:szCs w:val="21"/>
          </w:rPr>
          <w:tab/>
        </w:r>
        <w:r>
          <w:rPr>
            <w:rFonts w:ascii="微软雅黑" w:eastAsia="微软雅黑" w:hAnsi="微软雅黑" w:cs="微软雅黑" w:hint="eastAsia"/>
            <w:b/>
            <w:bCs/>
            <w:sz w:val="21"/>
            <w:szCs w:val="21"/>
          </w:rPr>
          <w:fldChar w:fldCharType="begin"/>
        </w:r>
        <w:r>
          <w:rPr>
            <w:rFonts w:ascii="微软雅黑" w:eastAsia="微软雅黑" w:hAnsi="微软雅黑" w:cs="微软雅黑" w:hint="eastAsia"/>
            <w:b/>
            <w:bCs/>
            <w:sz w:val="21"/>
            <w:szCs w:val="21"/>
          </w:rPr>
          <w:instrText xml:space="preserve"> PAGEREF _Toc10428 \h </w:instrText>
        </w:r>
        <w:r>
          <w:rPr>
            <w:rFonts w:ascii="微软雅黑" w:eastAsia="微软雅黑" w:hAnsi="微软雅黑" w:cs="微软雅黑" w:hint="eastAsia"/>
            <w:b/>
            <w:bCs/>
            <w:sz w:val="21"/>
            <w:szCs w:val="21"/>
          </w:rPr>
        </w:r>
        <w:r>
          <w:rPr>
            <w:rFonts w:ascii="微软雅黑" w:eastAsia="微软雅黑" w:hAnsi="微软雅黑" w:cs="微软雅黑" w:hint="eastAsia"/>
            <w:b/>
            <w:bCs/>
            <w:sz w:val="21"/>
            <w:szCs w:val="21"/>
          </w:rPr>
          <w:fldChar w:fldCharType="separate"/>
        </w:r>
        <w:r w:rsidR="004B3823">
          <w:rPr>
            <w:rFonts w:ascii="微软雅黑" w:eastAsia="微软雅黑" w:hAnsi="微软雅黑" w:cs="微软雅黑" w:hint="eastAsia"/>
            <w:b/>
            <w:bCs/>
            <w:noProof/>
            <w:sz w:val="21"/>
            <w:szCs w:val="21"/>
          </w:rPr>
          <w:t>91</w:t>
        </w:r>
        <w:r>
          <w:rPr>
            <w:rFonts w:ascii="微软雅黑" w:eastAsia="微软雅黑" w:hAnsi="微软雅黑" w:cs="微软雅黑" w:hint="eastAsia"/>
            <w:b/>
            <w:bCs/>
            <w:sz w:val="21"/>
            <w:szCs w:val="21"/>
          </w:rPr>
          <w:fldChar w:fldCharType="end"/>
        </w:r>
      </w:hyperlink>
    </w:p>
    <w:p w14:paraId="3B189817" w14:textId="2888B1AB"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5613" w:history="1">
        <w:r>
          <w:rPr>
            <w:rFonts w:ascii="微软雅黑" w:eastAsia="微软雅黑" w:hAnsi="微软雅黑" w:cs="微软雅黑" w:hint="eastAsia"/>
            <w:bCs/>
            <w:sz w:val="21"/>
            <w:szCs w:val="21"/>
          </w:rPr>
          <w:t>一、经济文件</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_Toc5613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92</w:t>
        </w:r>
        <w:r>
          <w:rPr>
            <w:rFonts w:ascii="微软雅黑" w:eastAsia="微软雅黑" w:hAnsi="微软雅黑" w:cs="微软雅黑" w:hint="eastAsia"/>
            <w:sz w:val="21"/>
            <w:szCs w:val="21"/>
          </w:rPr>
          <w:fldChar w:fldCharType="end"/>
        </w:r>
      </w:hyperlink>
    </w:p>
    <w:p w14:paraId="398F7CA1" w14:textId="79920F03"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14079" w:history="1">
        <w:r>
          <w:rPr>
            <w:rFonts w:ascii="微软雅黑" w:eastAsia="微软雅黑" w:hAnsi="微软雅黑" w:cs="微软雅黑" w:hint="eastAsia"/>
            <w:bCs/>
            <w:sz w:val="21"/>
            <w:szCs w:val="21"/>
          </w:rPr>
          <w:t>二、技术文件</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_Toc14079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94</w:t>
        </w:r>
        <w:r>
          <w:rPr>
            <w:rFonts w:ascii="微软雅黑" w:eastAsia="微软雅黑" w:hAnsi="微软雅黑" w:cs="微软雅黑" w:hint="eastAsia"/>
            <w:sz w:val="21"/>
            <w:szCs w:val="21"/>
          </w:rPr>
          <w:fldChar w:fldCharType="end"/>
        </w:r>
      </w:hyperlink>
    </w:p>
    <w:p w14:paraId="50ACF0E6" w14:textId="6757C25E"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3433" w:history="1">
        <w:r>
          <w:rPr>
            <w:rFonts w:ascii="微软雅黑" w:eastAsia="微软雅黑" w:hAnsi="微软雅黑" w:cs="微软雅黑" w:hint="eastAsia"/>
            <w:bCs/>
            <w:sz w:val="21"/>
            <w:szCs w:val="21"/>
          </w:rPr>
          <w:t>三、商务文件</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_Toc23433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97</w:t>
        </w:r>
        <w:r>
          <w:rPr>
            <w:rFonts w:ascii="微软雅黑" w:eastAsia="微软雅黑" w:hAnsi="微软雅黑" w:cs="微软雅黑" w:hint="eastAsia"/>
            <w:sz w:val="21"/>
            <w:szCs w:val="21"/>
          </w:rPr>
          <w:fldChar w:fldCharType="end"/>
        </w:r>
      </w:hyperlink>
    </w:p>
    <w:p w14:paraId="15A27B2D" w14:textId="23F22E68"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pPr>
      <w:hyperlink w:anchor="_Toc20886" w:history="1">
        <w:r>
          <w:rPr>
            <w:rFonts w:ascii="微软雅黑" w:eastAsia="微软雅黑" w:hAnsi="微软雅黑" w:cs="微软雅黑" w:hint="eastAsia"/>
            <w:bCs/>
            <w:sz w:val="21"/>
            <w:szCs w:val="21"/>
          </w:rPr>
          <w:t>四、其他资料</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_Toc20886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100</w:t>
        </w:r>
        <w:r>
          <w:rPr>
            <w:rFonts w:ascii="微软雅黑" w:eastAsia="微软雅黑" w:hAnsi="微软雅黑" w:cs="微软雅黑" w:hint="eastAsia"/>
            <w:sz w:val="21"/>
            <w:szCs w:val="21"/>
          </w:rPr>
          <w:fldChar w:fldCharType="end"/>
        </w:r>
      </w:hyperlink>
    </w:p>
    <w:p w14:paraId="155C3C1A" w14:textId="00158438" w:rsidR="0022665C" w:rsidRDefault="00000000">
      <w:pPr>
        <w:pStyle w:val="TOC2"/>
        <w:tabs>
          <w:tab w:val="clear" w:pos="8400"/>
          <w:tab w:val="right" w:leader="dot" w:pos="9412"/>
        </w:tabs>
        <w:spacing w:line="300" w:lineRule="exact"/>
        <w:ind w:leftChars="200" w:left="560" w:rightChars="0" w:right="0"/>
      </w:pPr>
      <w:hyperlink w:anchor="_Toc5027" w:history="1">
        <w:r>
          <w:rPr>
            <w:rFonts w:ascii="微软雅黑" w:eastAsia="微软雅黑" w:hAnsi="微软雅黑" w:cs="微软雅黑" w:hint="eastAsia"/>
            <w:bCs/>
            <w:sz w:val="21"/>
            <w:szCs w:val="21"/>
          </w:rPr>
          <w:t>五、资格文件</w:t>
        </w:r>
        <w:r>
          <w:rPr>
            <w:rFonts w:ascii="微软雅黑" w:eastAsia="微软雅黑" w:hAnsi="微软雅黑" w:cs="微软雅黑" w:hint="eastAsia"/>
            <w:sz w:val="21"/>
            <w:szCs w:val="21"/>
          </w:rPr>
          <w:tab/>
        </w:r>
        <w:r>
          <w:rPr>
            <w:rFonts w:ascii="微软雅黑" w:eastAsia="微软雅黑" w:hAnsi="微软雅黑" w:cs="微软雅黑" w:hint="eastAsia"/>
            <w:sz w:val="21"/>
            <w:szCs w:val="21"/>
          </w:rPr>
          <w:fldChar w:fldCharType="begin"/>
        </w:r>
        <w:r>
          <w:rPr>
            <w:rFonts w:ascii="微软雅黑" w:eastAsia="微软雅黑" w:hAnsi="微软雅黑" w:cs="微软雅黑" w:hint="eastAsia"/>
            <w:sz w:val="21"/>
            <w:szCs w:val="21"/>
          </w:rPr>
          <w:instrText xml:space="preserve"> PAGEREF _Toc5027 \h </w:instrText>
        </w:r>
        <w:r>
          <w:rPr>
            <w:rFonts w:ascii="微软雅黑" w:eastAsia="微软雅黑" w:hAnsi="微软雅黑" w:cs="微软雅黑" w:hint="eastAsia"/>
            <w:sz w:val="21"/>
            <w:szCs w:val="21"/>
          </w:rPr>
        </w:r>
        <w:r>
          <w:rPr>
            <w:rFonts w:ascii="微软雅黑" w:eastAsia="微软雅黑" w:hAnsi="微软雅黑" w:cs="微软雅黑" w:hint="eastAsia"/>
            <w:sz w:val="21"/>
            <w:szCs w:val="21"/>
          </w:rPr>
          <w:fldChar w:fldCharType="separate"/>
        </w:r>
        <w:r w:rsidR="004B3823">
          <w:rPr>
            <w:rFonts w:ascii="微软雅黑" w:eastAsia="微软雅黑" w:hAnsi="微软雅黑" w:cs="微软雅黑" w:hint="eastAsia"/>
            <w:noProof/>
            <w:sz w:val="21"/>
            <w:szCs w:val="21"/>
          </w:rPr>
          <w:t>109</w:t>
        </w:r>
        <w:r>
          <w:rPr>
            <w:rFonts w:ascii="微软雅黑" w:eastAsia="微软雅黑" w:hAnsi="微软雅黑" w:cs="微软雅黑" w:hint="eastAsia"/>
            <w:sz w:val="21"/>
            <w:szCs w:val="21"/>
          </w:rPr>
          <w:fldChar w:fldCharType="end"/>
        </w:r>
      </w:hyperlink>
    </w:p>
    <w:p w14:paraId="0E7A6141" w14:textId="77777777" w:rsidR="0022665C" w:rsidRDefault="00000000">
      <w:pPr>
        <w:pStyle w:val="TOC2"/>
        <w:tabs>
          <w:tab w:val="clear" w:pos="8400"/>
          <w:tab w:val="right" w:leader="dot" w:pos="9412"/>
        </w:tabs>
        <w:spacing w:line="300" w:lineRule="exact"/>
        <w:ind w:leftChars="200" w:left="560" w:rightChars="0" w:right="0"/>
        <w:rPr>
          <w:rFonts w:ascii="微软雅黑" w:eastAsia="微软雅黑" w:hAnsi="微软雅黑" w:cs="微软雅黑" w:hint="eastAsia"/>
          <w:sz w:val="21"/>
          <w:szCs w:val="21"/>
        </w:rPr>
        <w:sectPr w:rsidR="0022665C">
          <w:headerReference w:type="default" r:id="rId8"/>
          <w:footerReference w:type="even" r:id="rId9"/>
          <w:footerReference w:type="default" r:id="rId10"/>
          <w:headerReference w:type="first" r:id="rId11"/>
          <w:type w:val="continuous"/>
          <w:pgSz w:w="11907" w:h="16840"/>
          <w:pgMar w:top="1134" w:right="1191" w:bottom="1134" w:left="1304" w:header="964" w:footer="992" w:gutter="0"/>
          <w:pgNumType w:start="1"/>
          <w:cols w:space="720"/>
          <w:titlePg/>
          <w:docGrid w:linePitch="381"/>
        </w:sectPr>
      </w:pPr>
      <w:r>
        <w:rPr>
          <w:rFonts w:ascii="微软雅黑" w:eastAsia="微软雅黑" w:hAnsi="微软雅黑" w:cs="微软雅黑" w:hint="eastAsia"/>
          <w:szCs w:val="21"/>
        </w:rPr>
        <w:fldChar w:fldCharType="end"/>
      </w:r>
    </w:p>
    <w:p w14:paraId="07F1A9BF" w14:textId="77777777" w:rsidR="0022665C" w:rsidRDefault="00000000">
      <w:pPr>
        <w:pStyle w:val="TOC2"/>
        <w:tabs>
          <w:tab w:val="clear" w:pos="8400"/>
          <w:tab w:val="right" w:leader="dot" w:pos="9412"/>
        </w:tabs>
        <w:spacing w:line="440" w:lineRule="atLeast"/>
        <w:ind w:leftChars="200" w:left="560" w:rightChars="0" w:right="0"/>
        <w:rPr>
          <w:rFonts w:ascii="微软雅黑" w:eastAsia="微软雅黑" w:hAnsi="微软雅黑" w:cs="微软雅黑" w:hint="eastAsia"/>
          <w:sz w:val="21"/>
          <w:szCs w:val="21"/>
        </w:rPr>
      </w:pPr>
      <w:r>
        <w:rPr>
          <w:rFonts w:ascii="微软雅黑" w:eastAsia="微软雅黑" w:hAnsi="微软雅黑" w:cs="微软雅黑" w:hint="eastAsia"/>
          <w:sz w:val="21"/>
          <w:szCs w:val="21"/>
        </w:rPr>
        <w:br w:type="page"/>
      </w:r>
    </w:p>
    <w:p w14:paraId="5D09C187" w14:textId="77777777" w:rsidR="0022665C" w:rsidRDefault="00000000">
      <w:pPr>
        <w:pStyle w:val="1"/>
        <w:numPr>
          <w:ilvl w:val="0"/>
          <w:numId w:val="3"/>
        </w:numPr>
        <w:tabs>
          <w:tab w:val="left" w:pos="1530"/>
          <w:tab w:val="left" w:pos="3940"/>
          <w:tab w:val="left" w:pos="8052"/>
        </w:tabs>
        <w:spacing w:beforeLines="0" w:afterLines="0" w:line="480" w:lineRule="auto"/>
        <w:ind w:left="0" w:firstLine="0"/>
        <w:rPr>
          <w:rFonts w:ascii="微软雅黑" w:eastAsia="微软雅黑" w:hAnsi="微软雅黑" w:hint="eastAsia"/>
          <w:b/>
          <w:sz w:val="36"/>
          <w:szCs w:val="36"/>
        </w:rPr>
      </w:pPr>
      <w:bookmarkStart w:id="0" w:name="_Toc7521"/>
      <w:bookmarkStart w:id="1" w:name="_Toc12293"/>
      <w:bookmarkStart w:id="2" w:name="_Toc21999"/>
      <w:bookmarkStart w:id="3" w:name="_Toc6942"/>
      <w:r>
        <w:rPr>
          <w:rFonts w:ascii="微软雅黑" w:eastAsia="微软雅黑" w:hAnsi="微软雅黑" w:hint="eastAsia"/>
          <w:b/>
          <w:sz w:val="36"/>
          <w:szCs w:val="36"/>
        </w:rPr>
        <w:t>投</w:t>
      </w:r>
      <w:bookmarkStart w:id="4" w:name="_Toc150335750"/>
      <w:r>
        <w:rPr>
          <w:rFonts w:ascii="微软雅黑" w:eastAsia="微软雅黑" w:hAnsi="微软雅黑"/>
          <w:b/>
          <w:sz w:val="36"/>
          <w:szCs w:val="36"/>
        </w:rPr>
        <w:t>标邀请书</w:t>
      </w:r>
      <w:bookmarkEnd w:id="0"/>
      <w:bookmarkEnd w:id="1"/>
      <w:bookmarkEnd w:id="2"/>
      <w:bookmarkEnd w:id="3"/>
      <w:bookmarkEnd w:id="4"/>
    </w:p>
    <w:p w14:paraId="5A523A46"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中招国际招标有限公司（以下简称：采购代理机构）受</w:t>
      </w:r>
      <w:r>
        <w:rPr>
          <w:rFonts w:ascii="微软雅黑" w:eastAsia="微软雅黑" w:hAnsi="微软雅黑" w:hint="eastAsia"/>
          <w:sz w:val="21"/>
          <w:szCs w:val="21"/>
        </w:rPr>
        <w:t>重庆市数字化城市运行和治理中心</w:t>
      </w:r>
      <w:r>
        <w:rPr>
          <w:rFonts w:ascii="微软雅黑" w:eastAsia="微软雅黑" w:hAnsi="微软雅黑"/>
          <w:sz w:val="21"/>
          <w:szCs w:val="21"/>
        </w:rPr>
        <w:t xml:space="preserve"> </w:t>
      </w:r>
      <w:r>
        <w:rPr>
          <w:rFonts w:ascii="微软雅黑" w:eastAsia="微软雅黑" w:hAnsi="微软雅黑" w:hint="eastAsia"/>
          <w:sz w:val="21"/>
          <w:szCs w:val="21"/>
        </w:rPr>
        <w:t>（</w:t>
      </w:r>
      <w:r>
        <w:rPr>
          <w:rFonts w:ascii="微软雅黑" w:eastAsia="微软雅黑" w:hAnsi="微软雅黑"/>
          <w:sz w:val="21"/>
          <w:szCs w:val="21"/>
        </w:rPr>
        <w:t>以下简称：采购人）的委托，对</w:t>
      </w:r>
      <w:r>
        <w:rPr>
          <w:rFonts w:ascii="微软雅黑" w:eastAsia="微软雅黑" w:hAnsi="微软雅黑" w:hint="eastAsia"/>
          <w:sz w:val="21"/>
          <w:szCs w:val="21"/>
        </w:rPr>
        <w:t>“</w:t>
      </w:r>
      <w:r>
        <w:rPr>
          <w:rFonts w:ascii="微软雅黑" w:eastAsia="微软雅黑" w:hAnsi="微软雅黑"/>
          <w:sz w:val="21"/>
          <w:szCs w:val="21"/>
        </w:rPr>
        <w:t>数字化城市运行和治理中心系统1.0</w:t>
      </w:r>
      <w:r>
        <w:rPr>
          <w:rFonts w:ascii="微软雅黑" w:eastAsia="微软雅黑" w:hAnsi="微软雅黑" w:hint="eastAsia"/>
          <w:sz w:val="21"/>
          <w:szCs w:val="21"/>
        </w:rPr>
        <w:t>”</w:t>
      </w:r>
      <w:r>
        <w:rPr>
          <w:rFonts w:ascii="微软雅黑" w:eastAsia="微软雅黑" w:hAnsi="微软雅黑"/>
          <w:sz w:val="21"/>
          <w:szCs w:val="21"/>
        </w:rPr>
        <w:t>项目进行公开招标，欢迎有资格的投标人参加投标。</w:t>
      </w:r>
    </w:p>
    <w:p w14:paraId="1F926E4B" w14:textId="77777777" w:rsidR="0022665C" w:rsidRDefault="00000000">
      <w:pPr>
        <w:pStyle w:val="2"/>
        <w:keepNext/>
        <w:snapToGrid w:val="0"/>
        <w:spacing w:line="560" w:lineRule="atLeast"/>
        <w:ind w:firstLineChars="200" w:firstLine="480"/>
        <w:jc w:val="left"/>
        <w:rPr>
          <w:rFonts w:ascii="微软雅黑" w:eastAsia="微软雅黑" w:hAnsi="微软雅黑" w:hint="eastAsia"/>
          <w:b/>
          <w:bCs/>
          <w:sz w:val="24"/>
        </w:rPr>
      </w:pPr>
      <w:bookmarkStart w:id="5" w:name="_Toc8223"/>
      <w:bookmarkStart w:id="6" w:name="_Toc22522"/>
      <w:bookmarkStart w:id="7" w:name="_Toc31834"/>
      <w:bookmarkStart w:id="8" w:name="_Toc3786"/>
      <w:bookmarkStart w:id="9" w:name="_Toc19677"/>
      <w:r>
        <w:rPr>
          <w:rFonts w:ascii="微软雅黑" w:eastAsia="微软雅黑" w:hAnsi="微软雅黑"/>
          <w:b/>
          <w:bCs/>
          <w:sz w:val="24"/>
        </w:rPr>
        <w:t>一、招标项目内容</w:t>
      </w:r>
      <w:bookmarkEnd w:id="5"/>
      <w:bookmarkEnd w:id="6"/>
      <w:bookmarkEnd w:id="7"/>
      <w:bookmarkEnd w:id="8"/>
      <w:bookmarkEnd w:id="9"/>
    </w:p>
    <w:tbl>
      <w:tblPr>
        <w:tblW w:w="92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3"/>
        <w:gridCol w:w="1255"/>
        <w:gridCol w:w="1327"/>
        <w:gridCol w:w="1037"/>
        <w:gridCol w:w="2545"/>
      </w:tblGrid>
      <w:tr w:rsidR="0022665C" w14:paraId="7755AD1D" w14:textId="77777777">
        <w:trPr>
          <w:trHeight w:val="740"/>
        </w:trPr>
        <w:tc>
          <w:tcPr>
            <w:tcW w:w="3103" w:type="dxa"/>
            <w:vAlign w:val="center"/>
          </w:tcPr>
          <w:p w14:paraId="4F9DE513" w14:textId="77777777" w:rsidR="0022665C" w:rsidRDefault="00000000">
            <w:pPr>
              <w:jc w:val="center"/>
              <w:rPr>
                <w:rFonts w:ascii="微软雅黑" w:eastAsia="微软雅黑" w:hAnsi="微软雅黑" w:hint="eastAsia"/>
                <w:b/>
                <w:sz w:val="21"/>
              </w:rPr>
            </w:pPr>
            <w:bookmarkStart w:id="10" w:name="_Toc11872"/>
            <w:r>
              <w:rPr>
                <w:rFonts w:ascii="微软雅黑" w:eastAsia="微软雅黑" w:hAnsi="微软雅黑" w:hint="eastAsia"/>
                <w:b/>
                <w:sz w:val="21"/>
              </w:rPr>
              <w:t>采购内容</w:t>
            </w:r>
          </w:p>
        </w:tc>
        <w:tc>
          <w:tcPr>
            <w:tcW w:w="1255" w:type="dxa"/>
            <w:vAlign w:val="center"/>
          </w:tcPr>
          <w:p w14:paraId="7769DBB9" w14:textId="77777777" w:rsidR="0022665C" w:rsidRDefault="00000000">
            <w:pPr>
              <w:jc w:val="center"/>
              <w:rPr>
                <w:rFonts w:ascii="微软雅黑" w:eastAsia="微软雅黑" w:hAnsi="微软雅黑" w:hint="eastAsia"/>
                <w:b/>
                <w:sz w:val="21"/>
              </w:rPr>
            </w:pPr>
            <w:r>
              <w:rPr>
                <w:rFonts w:ascii="微软雅黑" w:eastAsia="微软雅黑" w:hAnsi="微软雅黑" w:hint="eastAsia"/>
                <w:b/>
                <w:sz w:val="21"/>
                <w:szCs w:val="21"/>
              </w:rPr>
              <w:t>最高限价</w:t>
            </w:r>
            <w:r>
              <w:rPr>
                <w:rFonts w:ascii="微软雅黑" w:eastAsia="微软雅黑" w:hAnsi="微软雅黑"/>
                <w:b/>
                <w:sz w:val="21"/>
                <w:szCs w:val="21"/>
              </w:rPr>
              <w:t>（万元）</w:t>
            </w:r>
          </w:p>
        </w:tc>
        <w:tc>
          <w:tcPr>
            <w:tcW w:w="1327" w:type="dxa"/>
            <w:vAlign w:val="center"/>
          </w:tcPr>
          <w:p w14:paraId="331F2F89" w14:textId="77777777" w:rsidR="0022665C" w:rsidRDefault="00000000">
            <w:pPr>
              <w:jc w:val="center"/>
              <w:rPr>
                <w:rFonts w:ascii="微软雅黑" w:eastAsia="微软雅黑" w:hAnsi="微软雅黑" w:hint="eastAsia"/>
                <w:b/>
                <w:sz w:val="21"/>
              </w:rPr>
            </w:pPr>
            <w:r>
              <w:rPr>
                <w:rFonts w:ascii="微软雅黑" w:eastAsia="微软雅黑" w:hAnsi="微软雅黑"/>
                <w:b/>
                <w:sz w:val="21"/>
                <w:szCs w:val="21"/>
              </w:rPr>
              <w:t>投标保证金（万元）</w:t>
            </w:r>
          </w:p>
        </w:tc>
        <w:tc>
          <w:tcPr>
            <w:tcW w:w="1037" w:type="dxa"/>
            <w:vAlign w:val="center"/>
          </w:tcPr>
          <w:p w14:paraId="4E6F60D4" w14:textId="77777777" w:rsidR="0022665C" w:rsidRDefault="00000000">
            <w:pPr>
              <w:jc w:val="center"/>
              <w:rPr>
                <w:rFonts w:ascii="微软雅黑" w:eastAsia="微软雅黑" w:hAnsi="微软雅黑" w:hint="eastAsia"/>
                <w:b/>
                <w:sz w:val="21"/>
              </w:rPr>
            </w:pPr>
            <w:r>
              <w:rPr>
                <w:rFonts w:ascii="微软雅黑" w:eastAsia="微软雅黑" w:hAnsi="微软雅黑"/>
                <w:b/>
                <w:sz w:val="21"/>
                <w:szCs w:val="21"/>
              </w:rPr>
              <w:t>中标人</w:t>
            </w:r>
          </w:p>
          <w:p w14:paraId="21E2787D" w14:textId="77777777" w:rsidR="0022665C" w:rsidRDefault="00000000">
            <w:pPr>
              <w:jc w:val="center"/>
              <w:rPr>
                <w:rFonts w:ascii="微软雅黑" w:eastAsia="微软雅黑" w:hAnsi="微软雅黑" w:hint="eastAsia"/>
                <w:b/>
                <w:sz w:val="21"/>
              </w:rPr>
            </w:pPr>
            <w:r>
              <w:rPr>
                <w:rFonts w:ascii="微软雅黑" w:eastAsia="微软雅黑" w:hAnsi="微软雅黑"/>
                <w:b/>
                <w:sz w:val="21"/>
                <w:szCs w:val="21"/>
              </w:rPr>
              <w:t>数量</w:t>
            </w:r>
          </w:p>
        </w:tc>
        <w:tc>
          <w:tcPr>
            <w:tcW w:w="2545" w:type="dxa"/>
            <w:vAlign w:val="center"/>
          </w:tcPr>
          <w:p w14:paraId="0835143A" w14:textId="77777777" w:rsidR="0022665C" w:rsidRDefault="00000000">
            <w:pPr>
              <w:jc w:val="center"/>
              <w:rPr>
                <w:rFonts w:ascii="微软雅黑" w:eastAsia="微软雅黑" w:hAnsi="微软雅黑" w:hint="eastAsia"/>
                <w:b/>
                <w:sz w:val="21"/>
              </w:rPr>
            </w:pPr>
            <w:r>
              <w:rPr>
                <w:rFonts w:ascii="微软雅黑" w:eastAsia="微软雅黑" w:hAnsi="微软雅黑"/>
                <w:b/>
                <w:sz w:val="21"/>
                <w:szCs w:val="21"/>
              </w:rPr>
              <w:t>采购标的对应的中小企业划分标准所属行业</w:t>
            </w:r>
          </w:p>
        </w:tc>
      </w:tr>
      <w:tr w:rsidR="0022665C" w14:paraId="6770DEB5" w14:textId="77777777">
        <w:trPr>
          <w:cantSplit/>
          <w:trHeight w:val="684"/>
        </w:trPr>
        <w:tc>
          <w:tcPr>
            <w:tcW w:w="3103" w:type="dxa"/>
            <w:vAlign w:val="center"/>
          </w:tcPr>
          <w:p w14:paraId="2CDF2CA5" w14:textId="77777777" w:rsidR="0022665C" w:rsidRDefault="00000000">
            <w:pPr>
              <w:jc w:val="center"/>
              <w:rPr>
                <w:rFonts w:ascii="微软雅黑" w:eastAsia="微软雅黑" w:hAnsi="微软雅黑" w:hint="eastAsia"/>
                <w:sz w:val="21"/>
              </w:rPr>
            </w:pPr>
            <w:r>
              <w:rPr>
                <w:rFonts w:ascii="微软雅黑" w:eastAsia="微软雅黑" w:hAnsi="微软雅黑"/>
                <w:sz w:val="21"/>
                <w:szCs w:val="21"/>
              </w:rPr>
              <w:t>数字化城市运行和治理中心系统1.0</w:t>
            </w:r>
            <w:r>
              <w:rPr>
                <w:rFonts w:ascii="微软雅黑" w:eastAsia="微软雅黑" w:hAnsi="微软雅黑" w:hint="eastAsia"/>
                <w:sz w:val="21"/>
                <w:szCs w:val="21"/>
              </w:rPr>
              <w:t>开发</w:t>
            </w:r>
          </w:p>
        </w:tc>
        <w:tc>
          <w:tcPr>
            <w:tcW w:w="1255" w:type="dxa"/>
            <w:vAlign w:val="center"/>
          </w:tcPr>
          <w:p w14:paraId="08C07A34" w14:textId="77777777" w:rsidR="0022665C" w:rsidRDefault="00000000">
            <w:pPr>
              <w:jc w:val="center"/>
              <w:rPr>
                <w:rFonts w:ascii="微软雅黑" w:eastAsia="微软雅黑" w:hAnsi="微软雅黑" w:hint="eastAsia"/>
                <w:sz w:val="21"/>
                <w:szCs w:val="21"/>
              </w:rPr>
            </w:pPr>
            <w:r>
              <w:rPr>
                <w:rFonts w:ascii="微软雅黑" w:eastAsia="微软雅黑" w:hAnsi="微软雅黑"/>
                <w:sz w:val="21"/>
                <w:szCs w:val="21"/>
              </w:rPr>
              <w:t>7871.86</w:t>
            </w:r>
          </w:p>
        </w:tc>
        <w:tc>
          <w:tcPr>
            <w:tcW w:w="1327" w:type="dxa"/>
            <w:vAlign w:val="center"/>
          </w:tcPr>
          <w:p w14:paraId="5B1CE293" w14:textId="77777777" w:rsidR="0022665C" w:rsidRDefault="00000000">
            <w:pPr>
              <w:jc w:val="center"/>
              <w:rPr>
                <w:rFonts w:ascii="微软雅黑" w:eastAsia="微软雅黑" w:hAnsi="微软雅黑" w:hint="eastAsia"/>
                <w:sz w:val="21"/>
                <w:szCs w:val="21"/>
              </w:rPr>
            </w:pPr>
            <w:r>
              <w:rPr>
                <w:rFonts w:ascii="微软雅黑" w:eastAsia="微软雅黑" w:hAnsi="微软雅黑"/>
                <w:sz w:val="21"/>
                <w:szCs w:val="21"/>
              </w:rPr>
              <w:t>10</w:t>
            </w:r>
          </w:p>
        </w:tc>
        <w:tc>
          <w:tcPr>
            <w:tcW w:w="1037" w:type="dxa"/>
            <w:vAlign w:val="center"/>
          </w:tcPr>
          <w:p w14:paraId="7E2CF864" w14:textId="77777777" w:rsidR="0022665C" w:rsidRDefault="00000000">
            <w:pPr>
              <w:jc w:val="center"/>
              <w:rPr>
                <w:rFonts w:ascii="微软雅黑" w:eastAsia="微软雅黑" w:hAnsi="微软雅黑" w:hint="eastAsia"/>
                <w:sz w:val="21"/>
                <w:szCs w:val="21"/>
              </w:rPr>
            </w:pPr>
            <w:r>
              <w:rPr>
                <w:rFonts w:ascii="微软雅黑" w:eastAsia="微软雅黑" w:hAnsi="微软雅黑" w:hint="eastAsia"/>
                <w:sz w:val="21"/>
                <w:szCs w:val="21"/>
              </w:rPr>
              <w:t>1名</w:t>
            </w:r>
          </w:p>
        </w:tc>
        <w:tc>
          <w:tcPr>
            <w:tcW w:w="2545" w:type="dxa"/>
            <w:vAlign w:val="center"/>
          </w:tcPr>
          <w:p w14:paraId="1E42101D" w14:textId="77777777" w:rsidR="0022665C" w:rsidRDefault="00000000">
            <w:pPr>
              <w:jc w:val="center"/>
              <w:rPr>
                <w:rFonts w:ascii="微软雅黑" w:eastAsia="微软雅黑" w:hAnsi="微软雅黑" w:hint="eastAsia"/>
                <w:sz w:val="21"/>
                <w:szCs w:val="21"/>
              </w:rPr>
            </w:pPr>
            <w:r>
              <w:rPr>
                <w:rFonts w:ascii="微软雅黑" w:eastAsia="微软雅黑" w:hAnsi="微软雅黑"/>
                <w:sz w:val="21"/>
                <w:szCs w:val="21"/>
              </w:rPr>
              <w:t>软件和信息技术服务业</w:t>
            </w:r>
          </w:p>
        </w:tc>
      </w:tr>
      <w:tr w:rsidR="0022665C" w14:paraId="1703664C" w14:textId="77777777">
        <w:trPr>
          <w:cantSplit/>
          <w:trHeight w:val="397"/>
        </w:trPr>
        <w:tc>
          <w:tcPr>
            <w:tcW w:w="9267" w:type="dxa"/>
            <w:gridSpan w:val="5"/>
            <w:vAlign w:val="center"/>
          </w:tcPr>
          <w:p w14:paraId="701CAC1A" w14:textId="77777777" w:rsidR="0022665C" w:rsidRDefault="00000000">
            <w:pPr>
              <w:widowControl/>
              <w:snapToGrid w:val="0"/>
              <w:jc w:val="left"/>
              <w:rPr>
                <w:rFonts w:ascii="微软雅黑" w:eastAsia="微软雅黑" w:hAnsi="微软雅黑" w:hint="eastAsia"/>
                <w:sz w:val="21"/>
              </w:rPr>
            </w:pPr>
            <w:r>
              <w:rPr>
                <w:rFonts w:ascii="微软雅黑" w:eastAsia="微软雅黑" w:hAnsi="微软雅黑" w:cs="宋体" w:hint="eastAsia"/>
                <w:sz w:val="21"/>
                <w:szCs w:val="21"/>
              </w:rPr>
              <w:t>备注：以上招标内容的具体技术服务需求，见本招标文件第二篇相关内容。</w:t>
            </w:r>
          </w:p>
        </w:tc>
      </w:tr>
    </w:tbl>
    <w:p w14:paraId="78782708" w14:textId="77777777" w:rsidR="0022665C" w:rsidRDefault="00000000">
      <w:pPr>
        <w:pStyle w:val="2"/>
        <w:keepNext/>
        <w:snapToGrid w:val="0"/>
        <w:spacing w:line="560" w:lineRule="atLeast"/>
        <w:ind w:firstLineChars="200" w:firstLine="480"/>
        <w:jc w:val="left"/>
        <w:rPr>
          <w:rFonts w:ascii="微软雅黑" w:eastAsia="微软雅黑" w:hAnsi="微软雅黑" w:hint="eastAsia"/>
          <w:b/>
          <w:bCs/>
          <w:sz w:val="24"/>
        </w:rPr>
      </w:pPr>
      <w:bookmarkStart w:id="11" w:name="_Toc1311"/>
      <w:bookmarkStart w:id="12" w:name="_Toc28063"/>
      <w:bookmarkStart w:id="13" w:name="_Toc3205"/>
      <w:bookmarkStart w:id="14" w:name="_Toc22395"/>
      <w:r>
        <w:rPr>
          <w:rFonts w:ascii="微软雅黑" w:eastAsia="微软雅黑" w:hAnsi="微软雅黑"/>
          <w:b/>
          <w:bCs/>
          <w:sz w:val="24"/>
        </w:rPr>
        <w:t>二、资金来源</w:t>
      </w:r>
      <w:bookmarkEnd w:id="10"/>
      <w:bookmarkEnd w:id="11"/>
      <w:bookmarkEnd w:id="12"/>
      <w:bookmarkEnd w:id="13"/>
      <w:bookmarkEnd w:id="14"/>
    </w:p>
    <w:p w14:paraId="347E4B4D"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财政预算资金。</w:t>
      </w:r>
      <w:r>
        <w:rPr>
          <w:rFonts w:ascii="微软雅黑" w:eastAsia="微软雅黑" w:hAnsi="微软雅黑" w:cs="微软雅黑" w:hint="eastAsia"/>
          <w:sz w:val="21"/>
          <w:szCs w:val="21"/>
          <w:lang w:bidi="ar"/>
        </w:rPr>
        <w:t>采购预算总金额为</w:t>
      </w:r>
      <w:r>
        <w:rPr>
          <w:rFonts w:ascii="微软雅黑" w:eastAsia="微软雅黑" w:hAnsi="微软雅黑" w:cs="微软雅黑" w:hint="eastAsia"/>
          <w:sz w:val="21"/>
          <w:szCs w:val="21"/>
          <w:u w:val="single"/>
          <w:lang w:bidi="ar"/>
        </w:rPr>
        <w:t>7871.86</w:t>
      </w:r>
      <w:r>
        <w:rPr>
          <w:rFonts w:ascii="微软雅黑" w:eastAsia="微软雅黑" w:hAnsi="微软雅黑" w:cs="微软雅黑" w:hint="eastAsia"/>
          <w:sz w:val="21"/>
          <w:szCs w:val="21"/>
          <w:lang w:bidi="ar"/>
        </w:rPr>
        <w:t>万元</w:t>
      </w:r>
      <w:r>
        <w:rPr>
          <w:rFonts w:ascii="微软雅黑" w:eastAsia="微软雅黑" w:hAnsi="微软雅黑"/>
          <w:sz w:val="21"/>
          <w:szCs w:val="21"/>
        </w:rPr>
        <w:t>。</w:t>
      </w:r>
    </w:p>
    <w:p w14:paraId="6C1BAA4D" w14:textId="77777777" w:rsidR="0022665C" w:rsidRDefault="00000000">
      <w:pPr>
        <w:pStyle w:val="2"/>
        <w:keepNext/>
        <w:snapToGrid w:val="0"/>
        <w:spacing w:line="560" w:lineRule="atLeast"/>
        <w:ind w:firstLineChars="200" w:firstLine="480"/>
        <w:jc w:val="left"/>
        <w:rPr>
          <w:rFonts w:ascii="微软雅黑" w:eastAsia="微软雅黑" w:hAnsi="微软雅黑" w:hint="eastAsia"/>
          <w:b/>
          <w:bCs/>
          <w:sz w:val="24"/>
        </w:rPr>
      </w:pPr>
      <w:bookmarkStart w:id="15" w:name="_Toc7691"/>
      <w:bookmarkStart w:id="16" w:name="_Toc6118"/>
      <w:bookmarkStart w:id="17" w:name="_Toc17313"/>
      <w:bookmarkStart w:id="18" w:name="_Toc26492"/>
      <w:r>
        <w:rPr>
          <w:rFonts w:ascii="微软雅黑" w:eastAsia="微软雅黑" w:hAnsi="微软雅黑"/>
          <w:b/>
          <w:bCs/>
          <w:sz w:val="24"/>
        </w:rPr>
        <w:t>三、投标人资格要求</w:t>
      </w:r>
      <w:bookmarkEnd w:id="15"/>
      <w:bookmarkEnd w:id="16"/>
      <w:bookmarkEnd w:id="17"/>
      <w:bookmarkEnd w:id="18"/>
    </w:p>
    <w:p w14:paraId="7C614A4C"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（一）满足《中华人民共和国政府采购法》第二十二条规定</w:t>
      </w:r>
    </w:p>
    <w:p w14:paraId="3B6C4F67"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1.具有独立承担民事责任的能力；</w:t>
      </w:r>
    </w:p>
    <w:p w14:paraId="452EFDC1"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2.具有良好的商业信誉和健全的财务会计制度；</w:t>
      </w:r>
    </w:p>
    <w:p w14:paraId="36C9BF1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3.具有履行合同所必需的设备和专业技术能力；</w:t>
      </w:r>
    </w:p>
    <w:p w14:paraId="74B39C81"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4.有依法缴纳税收和社会保障资金的良好记录；</w:t>
      </w:r>
    </w:p>
    <w:p w14:paraId="2987FCF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5.参加政府采购活动前三年内，在经营活动中没有重大违法记录；</w:t>
      </w:r>
    </w:p>
    <w:p w14:paraId="60FFA1F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6.法律、行政法规规定的其他条件。</w:t>
      </w:r>
    </w:p>
    <w:p w14:paraId="49F5303C"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（二）落实政府采购政策需满足的资格要求</w:t>
      </w:r>
      <w:r>
        <w:rPr>
          <w:rFonts w:ascii="微软雅黑" w:eastAsia="微软雅黑" w:hAnsi="微软雅黑" w:hint="eastAsia"/>
          <w:sz w:val="21"/>
          <w:szCs w:val="21"/>
        </w:rPr>
        <w:t>：本项目预留不低于预算总额的30%专门面向中小企业采购，其中预留给小微企业的比例不低于60%。投标人若为小微企业的，应出具中小企业声明函或监狱企业证明文件或残疾人福利性单位声明函。投标人若为非小微企业，可以采用联合体或合同分包形式参加采购活动。</w:t>
      </w:r>
    </w:p>
    <w:p w14:paraId="5E484DC7" w14:textId="77777777" w:rsidR="0022665C" w:rsidRDefault="00000000">
      <w:pPr>
        <w:snapToGrid w:val="0"/>
        <w:spacing w:line="440" w:lineRule="atLeast"/>
        <w:ind w:firstLineChars="200" w:firstLine="420"/>
        <w:rPr>
          <w:rFonts w:ascii="微软雅黑" w:eastAsia="微软雅黑" w:hAnsi="微软雅黑" w:hint="eastAsia"/>
          <w:b/>
          <w:bCs/>
          <w:sz w:val="21"/>
          <w:szCs w:val="21"/>
        </w:rPr>
      </w:pPr>
      <w:r>
        <w:rPr>
          <w:rFonts w:ascii="微软雅黑" w:eastAsia="微软雅黑" w:hAnsi="微软雅黑" w:hint="eastAsia"/>
          <w:b/>
          <w:bCs/>
          <w:sz w:val="21"/>
          <w:szCs w:val="21"/>
        </w:rPr>
        <w:t>方式一：联合体形式</w:t>
      </w:r>
    </w:p>
    <w:p w14:paraId="16DCBF49"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投标人若为大型及以上企业的，应以联合体形式参加采购活动，且联合体中中小企业承担的部分不低于合同总份额的</w:t>
      </w:r>
      <w:r>
        <w:rPr>
          <w:rFonts w:ascii="微软雅黑" w:eastAsia="微软雅黑" w:hAnsi="微软雅黑"/>
          <w:sz w:val="21"/>
          <w:szCs w:val="21"/>
        </w:rPr>
        <w:t>30</w:t>
      </w:r>
      <w:r>
        <w:rPr>
          <w:rFonts w:ascii="微软雅黑" w:eastAsia="微软雅黑" w:hAnsi="微软雅黑" w:hint="eastAsia"/>
          <w:sz w:val="21"/>
          <w:szCs w:val="21"/>
        </w:rPr>
        <w:t>%（其中，小微企业的份额不低于合同总份额的18%）；以联合体形式参加采购活动的，应出具联合体成员企业的中小企业声明函或监狱企业证明文件或残疾人福利性单位声明函，并提供联合体协议书，联合体协议应明确约定各方拟承担的工作和责任。</w:t>
      </w:r>
    </w:p>
    <w:p w14:paraId="2DA30DE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若为中型企业的，应以联合体形式参加采购活动，且联合体中小微企业承担的部分不低于合同总份额的18%；以联合体形式参加采购活动的，应出具联合体成员企业的中小企业声明函或监狱企业证明文件或残疾人福利性单位声明函，并提供联合体协议书，联合体协议应明确约定各方拟承担的工作和责任。</w:t>
      </w:r>
    </w:p>
    <w:p w14:paraId="6358AA69" w14:textId="77777777" w:rsidR="0022665C" w:rsidRDefault="00000000">
      <w:pPr>
        <w:snapToGrid w:val="0"/>
        <w:spacing w:line="440" w:lineRule="atLeast"/>
        <w:ind w:firstLineChars="200" w:firstLine="420"/>
        <w:rPr>
          <w:rFonts w:ascii="微软雅黑" w:eastAsia="微软雅黑" w:hAnsi="微软雅黑" w:hint="eastAsia"/>
          <w:b/>
          <w:bCs/>
          <w:sz w:val="21"/>
          <w:szCs w:val="21"/>
        </w:rPr>
      </w:pPr>
      <w:r>
        <w:rPr>
          <w:rFonts w:ascii="微软雅黑" w:eastAsia="微软雅黑" w:hAnsi="微软雅黑" w:hint="eastAsia"/>
          <w:b/>
          <w:bCs/>
          <w:sz w:val="21"/>
          <w:szCs w:val="21"/>
        </w:rPr>
        <w:t>方式二：合同分包形式</w:t>
      </w:r>
    </w:p>
    <w:p w14:paraId="5B8E5C07"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投标人若为大型及以上企业的，应将不低于合同总份额的</w:t>
      </w:r>
      <w:r>
        <w:rPr>
          <w:rFonts w:ascii="微软雅黑" w:eastAsia="微软雅黑" w:hAnsi="微软雅黑"/>
          <w:sz w:val="21"/>
          <w:szCs w:val="21"/>
        </w:rPr>
        <w:t>30</w:t>
      </w:r>
      <w:r>
        <w:rPr>
          <w:rFonts w:ascii="微软雅黑" w:eastAsia="微软雅黑" w:hAnsi="微软雅黑" w:hint="eastAsia"/>
          <w:sz w:val="21"/>
          <w:szCs w:val="21"/>
        </w:rPr>
        <w:t>%分包给中小企业（其中，小微企业的份额不低于合同总份额的18%）；投标人应在投标文件中提供分包意向协议，分包意向协议中应明确分包中小微企业承担的工作内容、分包中小微企业的合同份额占合同总金额的比例；投标人应出具中小企业声明函，声明函中除填写投标人自身企业情况外，还需填写接受分包的中小微企业情况（或提供接受分包的中小微企业监狱企业证明文件或残疾人福利性单位声明函）。</w:t>
      </w:r>
    </w:p>
    <w:p w14:paraId="7F6D693B"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若为中型企业的，应将不低于合同总份额的18%分包给小微企业；投标人应在投标文件中提供分包意向协议，分包意向协议中应明确分包小微企业承担的工作内容、分包小微企业的合同份额占合同总金额的比例；投标人应出具中小企业声明函，声明函中除填写投标人自身企业情况外，还需填写接受分包的小微企业情况（或提供接受分包的小微企业监狱企业证明文件或残疾人福利性单位声明函）。</w:t>
      </w:r>
    </w:p>
    <w:p w14:paraId="236B03D5" w14:textId="77777777" w:rsidR="0022665C" w:rsidRDefault="00000000">
      <w:pPr>
        <w:numPr>
          <w:ilvl w:val="0"/>
          <w:numId w:val="4"/>
        </w:numPr>
        <w:spacing w:line="440" w:lineRule="atLeast"/>
        <w:ind w:firstLineChars="200" w:firstLine="420"/>
        <w:outlineLvl w:val="2"/>
        <w:rPr>
          <w:rFonts w:ascii="微软雅黑" w:eastAsia="微软雅黑" w:hAnsi="微软雅黑" w:cs="微软雅黑" w:hint="eastAsia"/>
          <w:sz w:val="21"/>
          <w:szCs w:val="21"/>
        </w:rPr>
      </w:pPr>
      <w:r>
        <w:rPr>
          <w:rFonts w:ascii="微软雅黑" w:eastAsia="微软雅黑" w:hAnsi="微软雅黑" w:hint="eastAsia"/>
          <w:sz w:val="21"/>
          <w:szCs w:val="21"/>
        </w:rPr>
        <w:t>本项目的特定资格要求：</w:t>
      </w:r>
      <w:r>
        <w:rPr>
          <w:rFonts w:ascii="微软雅黑" w:eastAsia="微软雅黑" w:hAnsi="微软雅黑" w:cs="微软雅黑" w:hint="eastAsia"/>
          <w:sz w:val="21"/>
          <w:szCs w:val="21"/>
        </w:rPr>
        <w:t>无。</w:t>
      </w:r>
    </w:p>
    <w:p w14:paraId="5B7EBE8C" w14:textId="77777777" w:rsidR="0022665C" w:rsidRDefault="00000000">
      <w:pPr>
        <w:pStyle w:val="2"/>
        <w:spacing w:line="560" w:lineRule="atLeast"/>
        <w:ind w:firstLine="480"/>
        <w:jc w:val="left"/>
        <w:rPr>
          <w:rFonts w:ascii="微软雅黑" w:eastAsia="微软雅黑" w:hAnsi="微软雅黑" w:hint="eastAsia"/>
          <w:b/>
          <w:bCs/>
          <w:sz w:val="24"/>
        </w:rPr>
      </w:pPr>
      <w:bookmarkStart w:id="19" w:name="_Toc32374"/>
      <w:bookmarkStart w:id="20" w:name="_Toc14761"/>
      <w:bookmarkStart w:id="21" w:name="_Toc23594"/>
      <w:bookmarkStart w:id="22" w:name="_Toc24565"/>
      <w:r>
        <w:rPr>
          <w:rFonts w:ascii="微软雅黑" w:eastAsia="微软雅黑" w:hAnsi="微软雅黑"/>
          <w:b/>
          <w:bCs/>
          <w:sz w:val="24"/>
        </w:rPr>
        <w:t>四、投标、开标有关说明</w:t>
      </w:r>
      <w:bookmarkEnd w:id="19"/>
      <w:bookmarkEnd w:id="20"/>
      <w:bookmarkEnd w:id="21"/>
      <w:bookmarkEnd w:id="22"/>
    </w:p>
    <w:p w14:paraId="2860D53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（一）投标人应通过重庆市政府采购网（</w:t>
      </w:r>
      <w:r>
        <w:rPr>
          <w:rFonts w:ascii="微软雅黑" w:eastAsia="微软雅黑" w:hAnsi="微软雅黑" w:hint="eastAsia"/>
          <w:sz w:val="18"/>
          <w:szCs w:val="18"/>
        </w:rPr>
        <w:t>www.ccgp-chongqing.gov.cn</w:t>
      </w:r>
      <w:r>
        <w:rPr>
          <w:rFonts w:ascii="微软雅黑" w:eastAsia="微软雅黑" w:hAnsi="微软雅黑" w:hint="eastAsia"/>
          <w:sz w:val="21"/>
          <w:szCs w:val="21"/>
        </w:rPr>
        <w:t>）登记加入“重庆市政府采购供应商库”。</w:t>
      </w:r>
    </w:p>
    <w:p w14:paraId="25E10024"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（二）凡有意参加投标的投标人，</w:t>
      </w:r>
      <w:r>
        <w:rPr>
          <w:rFonts w:ascii="微软雅黑" w:eastAsia="微软雅黑" w:hAnsi="微软雅黑"/>
          <w:sz w:val="21"/>
          <w:szCs w:val="21"/>
        </w:rPr>
        <w:t>请</w:t>
      </w:r>
      <w:r>
        <w:rPr>
          <w:rFonts w:ascii="微软雅黑" w:eastAsia="微软雅黑" w:hAnsi="微软雅黑" w:hint="eastAsia"/>
          <w:sz w:val="21"/>
          <w:szCs w:val="21"/>
        </w:rPr>
        <w:t>到采购代理机构领取或在“重庆市政府采购网”（</w:t>
      </w:r>
      <w:r>
        <w:rPr>
          <w:rFonts w:ascii="微软雅黑" w:eastAsia="微软雅黑" w:hAnsi="微软雅黑" w:hint="eastAsia"/>
          <w:sz w:val="18"/>
          <w:szCs w:val="18"/>
        </w:rPr>
        <w:t>www.ccgp-chongqing.gov.cn</w:t>
      </w:r>
      <w:r>
        <w:rPr>
          <w:rFonts w:ascii="微软雅黑" w:eastAsia="微软雅黑" w:hAnsi="微软雅黑" w:hint="eastAsia"/>
          <w:sz w:val="21"/>
          <w:szCs w:val="21"/>
        </w:rPr>
        <w:t>）网上下载本项目招标文件以及图纸、澄清等开标前公布的所有项目资料，无论投标人下载与否，均视为已知晓所有招标内容。</w:t>
      </w:r>
    </w:p>
    <w:p w14:paraId="43CF386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（三）招标文件公告期限：自招标公告发布之日起五个工作日。</w:t>
      </w:r>
    </w:p>
    <w:p w14:paraId="7FB37A4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（四）招标文件提供期限</w:t>
      </w:r>
    </w:p>
    <w:p w14:paraId="236775E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1.招标文件提供期限：</w:t>
      </w:r>
      <w:r>
        <w:rPr>
          <w:rFonts w:ascii="微软雅黑" w:eastAsia="微软雅黑" w:hAnsi="微软雅黑"/>
          <w:sz w:val="21"/>
          <w:szCs w:val="21"/>
        </w:rPr>
        <w:t>2024年6月</w:t>
      </w:r>
      <w:r>
        <w:rPr>
          <w:rFonts w:ascii="微软雅黑" w:eastAsia="微软雅黑" w:hAnsi="微软雅黑" w:hint="eastAsia"/>
          <w:sz w:val="21"/>
          <w:szCs w:val="21"/>
        </w:rPr>
        <w:t>25日－</w:t>
      </w:r>
      <w:r>
        <w:rPr>
          <w:rFonts w:ascii="微软雅黑" w:eastAsia="微软雅黑" w:hAnsi="微软雅黑"/>
          <w:sz w:val="21"/>
          <w:szCs w:val="21"/>
        </w:rPr>
        <w:t>-2024年</w:t>
      </w:r>
      <w:r>
        <w:rPr>
          <w:rFonts w:ascii="微软雅黑" w:eastAsia="微软雅黑" w:hAnsi="微软雅黑" w:hint="eastAsia"/>
          <w:sz w:val="21"/>
          <w:szCs w:val="21"/>
        </w:rPr>
        <w:t>7</w:t>
      </w:r>
      <w:r>
        <w:rPr>
          <w:rFonts w:ascii="微软雅黑" w:eastAsia="微软雅黑" w:hAnsi="微软雅黑"/>
          <w:sz w:val="21"/>
          <w:szCs w:val="21"/>
        </w:rPr>
        <w:t>月</w:t>
      </w:r>
      <w:r>
        <w:rPr>
          <w:rFonts w:ascii="微软雅黑" w:eastAsia="微软雅黑" w:hAnsi="微软雅黑" w:hint="eastAsia"/>
          <w:sz w:val="21"/>
          <w:szCs w:val="21"/>
        </w:rPr>
        <w:t>2</w:t>
      </w:r>
      <w:r>
        <w:rPr>
          <w:rFonts w:ascii="微软雅黑" w:eastAsia="微软雅黑" w:hAnsi="微软雅黑"/>
          <w:sz w:val="21"/>
          <w:szCs w:val="21"/>
        </w:rPr>
        <w:t>日17时00分（工作时间）</w:t>
      </w:r>
    </w:p>
    <w:p w14:paraId="5322CCB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2.报名方式：凡有意参加投标的投标人，填写《招标文件发售登记表》，将招标文件购买费用汇至以下账户，并将招标文件汇款凭证（汇款时须注明采购执行编号：TC249D8AX）和《招标文件发售登记表》发送至</w:t>
      </w:r>
      <w:r>
        <w:rPr>
          <w:rFonts w:ascii="微软雅黑" w:eastAsia="微软雅黑" w:hAnsi="微软雅黑"/>
          <w:sz w:val="21"/>
          <w:szCs w:val="21"/>
        </w:rPr>
        <w:t>wanglanlan@cntcitc.com.cn</w:t>
      </w:r>
      <w:r>
        <w:rPr>
          <w:rFonts w:ascii="微软雅黑" w:eastAsia="微软雅黑" w:hAnsi="微软雅黑" w:hint="eastAsia"/>
          <w:sz w:val="21"/>
          <w:szCs w:val="21"/>
        </w:rPr>
        <w:t>邮箱。购买招标文件的发票（电子发票），采购代理机构将发送至投标人留存的邮箱中。</w:t>
      </w:r>
    </w:p>
    <w:p w14:paraId="7913C83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户  名：中招国际招标有限公司重庆分公司</w:t>
      </w:r>
    </w:p>
    <w:p w14:paraId="06F3DF7D"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开户行：中国工商银行股份有限公司重庆两江分行</w:t>
      </w:r>
    </w:p>
    <w:p w14:paraId="54D1703D"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账  号：3100020219200339271</w:t>
      </w:r>
    </w:p>
    <w:p w14:paraId="01CBA5F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联行号：102653000110</w:t>
      </w:r>
    </w:p>
    <w:p w14:paraId="7CAB758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3.招标文件售价：人民币300元/份（售后不退）</w:t>
      </w:r>
    </w:p>
    <w:p w14:paraId="58C7E89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（五）投标地点：重庆市公共资源交易中心开标厅（地址：重庆市渝北区青枫北路6号渝兴广场B10栋2层）</w:t>
      </w:r>
    </w:p>
    <w:p w14:paraId="083232F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（六）投标文件提交开始时间：</w:t>
      </w:r>
      <w:r>
        <w:rPr>
          <w:rFonts w:ascii="微软雅黑" w:eastAsia="微软雅黑" w:hAnsi="微软雅黑"/>
          <w:sz w:val="21"/>
          <w:szCs w:val="21"/>
        </w:rPr>
        <w:t>2024年</w:t>
      </w:r>
      <w:r>
        <w:rPr>
          <w:rFonts w:ascii="微软雅黑" w:eastAsia="微软雅黑" w:hAnsi="微软雅黑" w:hint="eastAsia"/>
          <w:sz w:val="21"/>
          <w:szCs w:val="21"/>
        </w:rPr>
        <w:t>7</w:t>
      </w:r>
      <w:r>
        <w:rPr>
          <w:rFonts w:ascii="微软雅黑" w:eastAsia="微软雅黑" w:hAnsi="微软雅黑"/>
          <w:sz w:val="21"/>
          <w:szCs w:val="21"/>
        </w:rPr>
        <w:t>月</w:t>
      </w:r>
      <w:r>
        <w:rPr>
          <w:rFonts w:ascii="微软雅黑" w:eastAsia="微软雅黑" w:hAnsi="微软雅黑" w:hint="eastAsia"/>
          <w:sz w:val="21"/>
          <w:szCs w:val="21"/>
        </w:rPr>
        <w:t>16日北京时间9时30分；</w:t>
      </w:r>
    </w:p>
    <w:p w14:paraId="08DAB06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（七）投标截止时间：</w:t>
      </w:r>
      <w:r>
        <w:rPr>
          <w:rFonts w:ascii="微软雅黑" w:eastAsia="微软雅黑" w:hAnsi="微软雅黑"/>
          <w:sz w:val="21"/>
          <w:szCs w:val="21"/>
        </w:rPr>
        <w:t>2024年</w:t>
      </w:r>
      <w:r>
        <w:rPr>
          <w:rFonts w:ascii="微软雅黑" w:eastAsia="微软雅黑" w:hAnsi="微软雅黑" w:hint="eastAsia"/>
          <w:sz w:val="21"/>
          <w:szCs w:val="21"/>
        </w:rPr>
        <w:t>7</w:t>
      </w:r>
      <w:r>
        <w:rPr>
          <w:rFonts w:ascii="微软雅黑" w:eastAsia="微软雅黑" w:hAnsi="微软雅黑"/>
          <w:sz w:val="21"/>
          <w:szCs w:val="21"/>
        </w:rPr>
        <w:t>月</w:t>
      </w:r>
      <w:r>
        <w:rPr>
          <w:rFonts w:ascii="微软雅黑" w:eastAsia="微软雅黑" w:hAnsi="微软雅黑" w:hint="eastAsia"/>
          <w:sz w:val="21"/>
          <w:szCs w:val="21"/>
        </w:rPr>
        <w:t>16日北京时间10时00分</w:t>
      </w:r>
      <w:r>
        <w:rPr>
          <w:rFonts w:ascii="微软雅黑" w:eastAsia="微软雅黑" w:hAnsi="微软雅黑"/>
          <w:sz w:val="21"/>
          <w:szCs w:val="21"/>
        </w:rPr>
        <w:t>；</w:t>
      </w:r>
    </w:p>
    <w:p w14:paraId="48AD7A5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（八）开标时间：</w:t>
      </w:r>
      <w:r>
        <w:rPr>
          <w:rFonts w:ascii="微软雅黑" w:eastAsia="微软雅黑" w:hAnsi="微软雅黑"/>
          <w:sz w:val="21"/>
          <w:szCs w:val="21"/>
        </w:rPr>
        <w:t>2024年</w:t>
      </w:r>
      <w:r>
        <w:rPr>
          <w:rFonts w:ascii="微软雅黑" w:eastAsia="微软雅黑" w:hAnsi="微软雅黑" w:hint="eastAsia"/>
          <w:sz w:val="21"/>
          <w:szCs w:val="21"/>
        </w:rPr>
        <w:t>7</w:t>
      </w:r>
      <w:r>
        <w:rPr>
          <w:rFonts w:ascii="微软雅黑" w:eastAsia="微软雅黑" w:hAnsi="微软雅黑"/>
          <w:sz w:val="21"/>
          <w:szCs w:val="21"/>
        </w:rPr>
        <w:t>月</w:t>
      </w:r>
      <w:r>
        <w:rPr>
          <w:rFonts w:ascii="微软雅黑" w:eastAsia="微软雅黑" w:hAnsi="微软雅黑" w:hint="eastAsia"/>
          <w:sz w:val="21"/>
          <w:szCs w:val="21"/>
        </w:rPr>
        <w:t>16日北京时间10时00分</w:t>
      </w:r>
      <w:r>
        <w:rPr>
          <w:rFonts w:ascii="微软雅黑" w:eastAsia="微软雅黑" w:hAnsi="微软雅黑"/>
          <w:sz w:val="21"/>
          <w:szCs w:val="21"/>
        </w:rPr>
        <w:t>；</w:t>
      </w:r>
    </w:p>
    <w:p w14:paraId="423B342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（九）开标地点：同投标地点。（逾期送达的或者未送达指定地点的投标文件，采购人不予受理）。</w:t>
      </w:r>
    </w:p>
    <w:p w14:paraId="744D4A48" w14:textId="77777777" w:rsidR="0022665C" w:rsidRDefault="00000000">
      <w:pPr>
        <w:pStyle w:val="2"/>
        <w:spacing w:line="560" w:lineRule="atLeast"/>
        <w:ind w:firstLine="480"/>
        <w:jc w:val="left"/>
        <w:rPr>
          <w:rFonts w:ascii="微软雅黑" w:eastAsia="微软雅黑" w:hAnsi="微软雅黑" w:hint="eastAsia"/>
          <w:b/>
          <w:bCs/>
          <w:sz w:val="24"/>
        </w:rPr>
      </w:pPr>
      <w:bookmarkStart w:id="23" w:name="_Toc5064"/>
      <w:bookmarkStart w:id="24" w:name="_Toc15171"/>
      <w:bookmarkStart w:id="25" w:name="_Toc30442"/>
      <w:bookmarkStart w:id="26" w:name="_Toc6751"/>
      <w:r>
        <w:rPr>
          <w:rFonts w:ascii="微软雅黑" w:eastAsia="微软雅黑" w:hAnsi="微软雅黑"/>
          <w:b/>
          <w:bCs/>
          <w:sz w:val="24"/>
        </w:rPr>
        <w:t>五、投标保证金</w:t>
      </w:r>
      <w:bookmarkEnd w:id="23"/>
      <w:bookmarkEnd w:id="24"/>
      <w:bookmarkEnd w:id="25"/>
      <w:bookmarkEnd w:id="26"/>
    </w:p>
    <w:p w14:paraId="5427A53D"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（一）投标保证金递交</w:t>
      </w:r>
    </w:p>
    <w:p w14:paraId="0FFB036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1.转账方式</w:t>
      </w:r>
    </w:p>
    <w:p w14:paraId="2BBD817F"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1.1</w:t>
      </w:r>
      <w:r>
        <w:rPr>
          <w:rFonts w:ascii="微软雅黑" w:eastAsia="微软雅黑" w:hAnsi="微软雅黑" w:hint="eastAsia"/>
          <w:sz w:val="21"/>
          <w:szCs w:val="21"/>
        </w:rPr>
        <w:t>投标人应足额交纳投标保证金（保证金金额详见本篇“一、招标项目内容”），并汇至所投包对应的任一账户，投标保证金的到账截止时间同投标截止时间。</w:t>
      </w:r>
    </w:p>
    <w:p w14:paraId="201DB623" w14:textId="77777777" w:rsidR="0022665C" w:rsidRDefault="00000000">
      <w:pPr>
        <w:spacing w:line="440" w:lineRule="atLeast"/>
        <w:ind w:firstLineChars="200" w:firstLine="420"/>
        <w:rPr>
          <w:rFonts w:ascii="微软雅黑" w:eastAsia="微软雅黑" w:hAnsi="微软雅黑" w:hint="eastAsia"/>
          <w:bCs/>
          <w:sz w:val="21"/>
          <w:szCs w:val="21"/>
        </w:rPr>
      </w:pPr>
      <w:r>
        <w:rPr>
          <w:rFonts w:ascii="微软雅黑" w:eastAsia="微软雅黑" w:hAnsi="微软雅黑" w:hint="eastAsia"/>
          <w:bCs/>
          <w:sz w:val="21"/>
          <w:szCs w:val="21"/>
        </w:rPr>
        <w:t>投标保证金账户：</w:t>
      </w:r>
    </w:p>
    <w:tbl>
      <w:tblPr>
        <w:tblW w:w="0" w:type="auto"/>
        <w:jc w:val="center"/>
        <w:tblCellMar>
          <w:top w:w="15" w:type="dxa"/>
          <w:left w:w="15" w:type="dxa"/>
          <w:bottom w:w="15" w:type="dxa"/>
          <w:right w:w="15" w:type="dxa"/>
        </w:tblCellMar>
        <w:tblLook w:val="04A0" w:firstRow="1" w:lastRow="0" w:firstColumn="1" w:lastColumn="0" w:noHBand="0" w:noVBand="1"/>
      </w:tblPr>
      <w:tblGrid>
        <w:gridCol w:w="571"/>
        <w:gridCol w:w="8532"/>
      </w:tblGrid>
      <w:tr w:rsidR="0022665C" w14:paraId="0D3F4211" w14:textId="77777777">
        <w:trPr>
          <w:jc w:val="center"/>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2EE11DC1" w14:textId="77777777" w:rsidR="0022665C" w:rsidRDefault="00000000">
            <w:pPr>
              <w:widowControl/>
              <w:spacing w:line="250" w:lineRule="atLeas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  户名:重庆联合产权交易所集团股份有限公司</w:t>
            </w:r>
          </w:p>
        </w:tc>
      </w:tr>
      <w:tr w:rsidR="0022665C" w14:paraId="59EE837D" w14:textId="77777777">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4ED64E8E"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分包</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0E908943"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银行信息</w:t>
            </w:r>
          </w:p>
        </w:tc>
      </w:tr>
      <w:tr w:rsidR="0022665C" w14:paraId="17FFCF13" w14:textId="77777777">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2E373C6F"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tbl>
            <w:tblPr>
              <w:tblW w:w="5000" w:type="pct"/>
              <w:jc w:val="center"/>
              <w:tblCellMar>
                <w:top w:w="15" w:type="dxa"/>
                <w:left w:w="15" w:type="dxa"/>
                <w:bottom w:w="15" w:type="dxa"/>
                <w:right w:w="15" w:type="dxa"/>
              </w:tblCellMar>
              <w:tblLook w:val="04A0" w:firstRow="1" w:lastRow="0" w:firstColumn="1" w:lastColumn="0" w:noHBand="0" w:noVBand="1"/>
            </w:tblPr>
            <w:tblGrid>
              <w:gridCol w:w="851"/>
              <w:gridCol w:w="851"/>
              <w:gridCol w:w="6810"/>
            </w:tblGrid>
            <w:tr w:rsidR="0022665C" w14:paraId="4DE2E6A6" w14:textId="77777777">
              <w:trPr>
                <w:jc w:val="center"/>
              </w:trPr>
              <w:tc>
                <w:tcPr>
                  <w:tcW w:w="500" w:type="pct"/>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181648FD"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账号1</w:t>
                  </w:r>
                </w:p>
              </w:tc>
              <w:tc>
                <w:tcPr>
                  <w:tcW w:w="50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29FAE382"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开户行</w:t>
                  </w:r>
                </w:p>
              </w:tc>
              <w:tc>
                <w:tcPr>
                  <w:tcW w:w="400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18F6C4A7"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重庆银行七星岗支行</w:t>
                  </w:r>
                </w:p>
              </w:tc>
            </w:tr>
            <w:tr w:rsidR="0022665C" w14:paraId="3CB57D01" w14:textId="77777777">
              <w:trPr>
                <w:jc w:val="center"/>
              </w:trPr>
              <w:tc>
                <w:tcPr>
                  <w:tcW w:w="500" w:type="pct"/>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14B7600C" w14:textId="77777777" w:rsidR="0022665C" w:rsidRDefault="0022665C">
                  <w:pPr>
                    <w:jc w:val="center"/>
                    <w:rPr>
                      <w:rFonts w:ascii="微软雅黑" w:eastAsia="微软雅黑" w:hAnsi="微软雅黑" w:cs="微软雅黑" w:hint="eastAsia"/>
                      <w:sz w:val="21"/>
                      <w:szCs w:val="21"/>
                    </w:rPr>
                  </w:pPr>
                </w:p>
              </w:tc>
              <w:tc>
                <w:tcPr>
                  <w:tcW w:w="50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59EC7BDB"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账号</w:t>
                  </w:r>
                </w:p>
              </w:tc>
              <w:tc>
                <w:tcPr>
                  <w:tcW w:w="400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6058760B"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150101040015061168645</w:t>
                  </w:r>
                </w:p>
              </w:tc>
            </w:tr>
            <w:tr w:rsidR="0022665C" w14:paraId="2444FDEA" w14:textId="77777777">
              <w:trPr>
                <w:jc w:val="center"/>
              </w:trPr>
              <w:tc>
                <w:tcPr>
                  <w:tcW w:w="500" w:type="pct"/>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1989769E"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账号2</w:t>
                  </w:r>
                </w:p>
              </w:tc>
              <w:tc>
                <w:tcPr>
                  <w:tcW w:w="50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49984A6A"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开户行</w:t>
                  </w:r>
                </w:p>
              </w:tc>
              <w:tc>
                <w:tcPr>
                  <w:tcW w:w="400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726B9521"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建设银行重庆中山路支行</w:t>
                  </w:r>
                </w:p>
              </w:tc>
            </w:tr>
            <w:tr w:rsidR="0022665C" w14:paraId="46EF141C" w14:textId="77777777">
              <w:trPr>
                <w:jc w:val="center"/>
              </w:trPr>
              <w:tc>
                <w:tcPr>
                  <w:tcW w:w="500" w:type="pct"/>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05CDB548" w14:textId="77777777" w:rsidR="0022665C" w:rsidRDefault="0022665C">
                  <w:pPr>
                    <w:jc w:val="center"/>
                    <w:rPr>
                      <w:rFonts w:ascii="微软雅黑" w:eastAsia="微软雅黑" w:hAnsi="微软雅黑" w:cs="微软雅黑" w:hint="eastAsia"/>
                      <w:sz w:val="21"/>
                      <w:szCs w:val="21"/>
                    </w:rPr>
                  </w:pPr>
                </w:p>
              </w:tc>
              <w:tc>
                <w:tcPr>
                  <w:tcW w:w="50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3FB03245"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账号</w:t>
                  </w:r>
                </w:p>
              </w:tc>
              <w:tc>
                <w:tcPr>
                  <w:tcW w:w="400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658553DC" w14:textId="77777777" w:rsidR="0022665C" w:rsidRDefault="00000000">
                  <w:pPr>
                    <w:widowControl/>
                    <w:spacing w:line="25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6232813760001860765</w:t>
                  </w:r>
                </w:p>
              </w:tc>
            </w:tr>
          </w:tbl>
          <w:p w14:paraId="5CE3534E" w14:textId="77777777" w:rsidR="0022665C" w:rsidRDefault="0022665C">
            <w:pPr>
              <w:jc w:val="center"/>
              <w:rPr>
                <w:rFonts w:ascii="微软雅黑" w:eastAsia="微软雅黑" w:hAnsi="微软雅黑" w:cs="微软雅黑" w:hint="eastAsia"/>
                <w:sz w:val="21"/>
                <w:szCs w:val="21"/>
              </w:rPr>
            </w:pPr>
          </w:p>
        </w:tc>
      </w:tr>
      <w:tr w:rsidR="0022665C" w14:paraId="612CBBAA" w14:textId="77777777">
        <w:trPr>
          <w:jc w:val="center"/>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14:paraId="4BB7C96B" w14:textId="77777777" w:rsidR="0022665C" w:rsidRDefault="00000000">
            <w:pPr>
              <w:widowControl/>
              <w:spacing w:line="250" w:lineRule="atLeas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 xml:space="preserve">银行行号： </w:t>
            </w:r>
          </w:p>
          <w:p w14:paraId="64B6EC94" w14:textId="77777777" w:rsidR="0022665C" w:rsidRDefault="00000000">
            <w:pPr>
              <w:widowControl/>
              <w:spacing w:line="250" w:lineRule="atLeas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 xml:space="preserve">请登录重庆市公共资源交易网（www.cqggzy.com）对应栏目查看。 </w:t>
            </w:r>
          </w:p>
          <w:p w14:paraId="589EDA62" w14:textId="77777777" w:rsidR="0022665C" w:rsidRDefault="00000000">
            <w:pPr>
              <w:widowControl/>
              <w:spacing w:line="250" w:lineRule="atLeas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 xml:space="preserve">路径：服务导航-政府采购-办事指引-重庆市公共资源交易中心政府采购项目保证金银行联行行号。 </w:t>
            </w:r>
          </w:p>
        </w:tc>
      </w:tr>
    </w:tbl>
    <w:p w14:paraId="0C284F57"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w:t>
      </w:r>
      <w:r>
        <w:rPr>
          <w:rFonts w:ascii="微软雅黑" w:eastAsia="微软雅黑" w:hAnsi="微软雅黑" w:hint="eastAsia"/>
          <w:sz w:val="21"/>
          <w:szCs w:val="21"/>
        </w:rPr>
        <w:t>2各投标人在银行转账（电汇）时，须充分考虑银行转账（电汇）的时间差风险，如同城转账、异地转账或汇款、跨行转账或电汇的时间要求。</w:t>
      </w:r>
    </w:p>
    <w:p w14:paraId="0178634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2.投标保证金保函方式</w:t>
      </w:r>
    </w:p>
    <w:p w14:paraId="02851D6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2.1投标人应提供真实有效的投标保证金保函（电子保函提供复印件，纸质保函提供原件），投标保证金的保函担保金额应不低于投标保证金金额（保证金金额详见本篇一、招标项目内容），担保方应为中华人民共和国境内注册的可开展非融资担保类业务的银行、保险公司、担保公司等金融机构。</w:t>
      </w:r>
    </w:p>
    <w:p w14:paraId="47C6530F"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2.2投标保证金保函有效期与投标文件有效期保持一致。</w:t>
      </w:r>
    </w:p>
    <w:p w14:paraId="1E6D4CD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2.3投标保证金保函单独密封，随投标文件一并递交，投标保证金保函递交截止时间同投标截止时间。</w:t>
      </w:r>
    </w:p>
    <w:p w14:paraId="62298BED"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（二）保证金退还方式</w:t>
      </w:r>
    </w:p>
    <w:p w14:paraId="6EE9E94C"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1.未中标投标人的保证金，在中标通知书发放后，重庆市公共资源交易中心在五个工作日内按资金来款渠道直接退还。</w:t>
      </w:r>
    </w:p>
    <w:p w14:paraId="1EA7FF86"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2.中标人的投标保证金，在中标人与采购人签订合同后，重庆市公共资源交易中心在五个工作日内按资金来款渠道直接退还。</w:t>
      </w:r>
    </w:p>
    <w:p w14:paraId="2E027559"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重庆市公共资源交易中心咨询电话：023-63625633</w:t>
      </w:r>
    </w:p>
    <w:p w14:paraId="2F5C9D9E" w14:textId="77777777" w:rsidR="0022665C" w:rsidRDefault="00000000">
      <w:pPr>
        <w:pStyle w:val="2"/>
        <w:spacing w:line="560" w:lineRule="atLeast"/>
        <w:ind w:firstLine="480"/>
        <w:jc w:val="left"/>
        <w:rPr>
          <w:rFonts w:ascii="微软雅黑" w:eastAsia="微软雅黑" w:hAnsi="微软雅黑" w:hint="eastAsia"/>
          <w:b/>
          <w:bCs/>
          <w:sz w:val="24"/>
        </w:rPr>
      </w:pPr>
      <w:bookmarkStart w:id="27" w:name="_Toc13987"/>
      <w:bookmarkStart w:id="28" w:name="_Toc14369"/>
      <w:bookmarkStart w:id="29" w:name="_Toc30305"/>
      <w:bookmarkStart w:id="30" w:name="_Toc4612"/>
      <w:r>
        <w:rPr>
          <w:rFonts w:ascii="微软雅黑" w:eastAsia="微软雅黑" w:hAnsi="微软雅黑"/>
          <w:b/>
          <w:bCs/>
          <w:sz w:val="24"/>
        </w:rPr>
        <w:t>六、采购项目需落实的政府采购政策</w:t>
      </w:r>
      <w:bookmarkEnd w:id="27"/>
      <w:bookmarkEnd w:id="28"/>
      <w:bookmarkEnd w:id="29"/>
      <w:bookmarkEnd w:id="30"/>
    </w:p>
    <w:p w14:paraId="0F17786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一）按照《财政部生态环境部关于印发环境标志产品政府采购品目清单的通知》（财库〔2019〕18号）和《财政部发展改革委关于印发节能产品政府采购品目清单的通知》（财库〔2019〕19号）的规定，落实国家节能环保政策。</w:t>
      </w:r>
    </w:p>
    <w:p w14:paraId="12732EF6"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（二）按照财政部、工业和信息化部关于印发《政府采购促进中小企业发展管理办法》的通知（财库〔2020〕46号）的规定，落实促进中小企业发展政策。</w:t>
      </w:r>
    </w:p>
    <w:p w14:paraId="67DD4C89"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（三）按照《财政部、司法部关于政府采购支持监狱企业发展有关问题的通知》（财库〔2014〕68号）的规定，落实支持监狱企业发展政策。</w:t>
      </w:r>
    </w:p>
    <w:p w14:paraId="2FCE145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（四）按照《三部门联合发布关于促进残疾人就业政府采购政策的通知》（财库〔2017〕 141号）的规定，落实支持残疾人福利性单位发展政策。</w:t>
      </w:r>
    </w:p>
    <w:p w14:paraId="0FEE1429" w14:textId="77777777" w:rsidR="0022665C" w:rsidRDefault="00000000">
      <w:pPr>
        <w:pStyle w:val="2"/>
        <w:spacing w:line="560" w:lineRule="atLeast"/>
        <w:ind w:firstLine="480"/>
        <w:jc w:val="left"/>
        <w:rPr>
          <w:rFonts w:ascii="微软雅黑" w:eastAsia="微软雅黑" w:hAnsi="微软雅黑" w:hint="eastAsia"/>
          <w:b/>
          <w:bCs/>
          <w:sz w:val="24"/>
        </w:rPr>
      </w:pPr>
      <w:bookmarkStart w:id="31" w:name="_Toc17992"/>
      <w:bookmarkStart w:id="32" w:name="_Toc28483"/>
      <w:bookmarkStart w:id="33" w:name="_Toc11298"/>
      <w:bookmarkStart w:id="34" w:name="_Toc23478"/>
      <w:r>
        <w:rPr>
          <w:rFonts w:ascii="微软雅黑" w:eastAsia="微软雅黑" w:hAnsi="微软雅黑"/>
          <w:b/>
          <w:bCs/>
          <w:sz w:val="24"/>
        </w:rPr>
        <w:t>七、投标有关规定</w:t>
      </w:r>
      <w:bookmarkEnd w:id="31"/>
      <w:bookmarkEnd w:id="32"/>
      <w:bookmarkEnd w:id="33"/>
      <w:bookmarkEnd w:id="34"/>
    </w:p>
    <w:p w14:paraId="3B882D3B"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（一）单位负责人为同一人或者存在直接控股、管理关系的不同投标人，不得参加同一合同项（包）下的政府采购活动。</w:t>
      </w:r>
    </w:p>
    <w:p w14:paraId="723BFD1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（二）为采购项目提供整体设计、规范编制或者项目管理、监理、检测等服务的投标人，不得再参加该采购项目的其他采购活动。</w:t>
      </w:r>
    </w:p>
    <w:p w14:paraId="026907DE"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（三）本项目若有澄清文件一律在重庆市政府采购网</w:t>
      </w:r>
      <w:r>
        <w:rPr>
          <w:rFonts w:ascii="微软雅黑" w:eastAsia="微软雅黑" w:hAnsi="微软雅黑" w:hint="eastAsia"/>
          <w:sz w:val="18"/>
          <w:szCs w:val="18"/>
        </w:rPr>
        <w:t>（www.ccgp-chongqing.gov.cn）</w:t>
      </w:r>
      <w:r>
        <w:rPr>
          <w:rFonts w:ascii="微软雅黑" w:eastAsia="微软雅黑" w:hAnsi="微软雅黑" w:hint="eastAsia"/>
          <w:sz w:val="21"/>
          <w:szCs w:val="21"/>
        </w:rPr>
        <w:t>上发布，请各投标人注意下载或到采购代理机构领取；无论投标人下载或领取与否，均视同投标人已知晓本项目澄清文件的内容。</w:t>
      </w:r>
    </w:p>
    <w:p w14:paraId="125F7F3B"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（四）超过投标截止时间递交的投标文件，恕不接收。</w:t>
      </w:r>
    </w:p>
    <w:p w14:paraId="74A0BB0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（五）投标费用：无论投标结果如何，投标人参与本项目投标的所有费用均应由投标人自行承担。</w:t>
      </w:r>
    </w:p>
    <w:p w14:paraId="5533B5B0" w14:textId="77777777" w:rsidR="0022665C" w:rsidRDefault="00000000">
      <w:pPr>
        <w:snapToGrid w:val="0"/>
        <w:spacing w:line="440" w:lineRule="exact"/>
        <w:ind w:firstLineChars="200" w:firstLine="420"/>
        <w:rPr>
          <w:rFonts w:ascii="微软雅黑" w:eastAsia="微软雅黑" w:hAnsi="微软雅黑" w:hint="eastAsia"/>
          <w:sz w:val="21"/>
          <w:szCs w:val="21"/>
        </w:rPr>
      </w:pPr>
      <w:bookmarkStart w:id="35" w:name="_Hlk150349188"/>
      <w:r>
        <w:rPr>
          <w:rFonts w:ascii="微软雅黑" w:eastAsia="微软雅黑" w:hAnsi="微软雅黑" w:hint="eastAsia"/>
          <w:b/>
          <w:bCs/>
          <w:sz w:val="21"/>
          <w:szCs w:val="21"/>
        </w:rPr>
        <w:t>（六）联合体投标：</w:t>
      </w:r>
      <w:r>
        <w:rPr>
          <w:rFonts w:ascii="微软雅黑" w:eastAsia="微软雅黑" w:hAnsi="微软雅黑" w:hint="eastAsia"/>
          <w:sz w:val="21"/>
          <w:szCs w:val="21"/>
        </w:rPr>
        <w:t>本项目接受联合体参与投标。如投标人组成联合体，联合体牵头方自行确定，并签订联合体协议，联合体协议应明确约定各方拟承担的工作和责任。</w:t>
      </w:r>
    </w:p>
    <w:p w14:paraId="3BCDF8FB" w14:textId="77777777" w:rsidR="0022665C" w:rsidRDefault="00000000">
      <w:pPr>
        <w:snapToGrid w:val="0"/>
        <w:spacing w:line="440" w:lineRule="exact"/>
        <w:ind w:firstLineChars="200" w:firstLine="420"/>
        <w:rPr>
          <w:rFonts w:ascii="微软雅黑" w:eastAsia="微软雅黑" w:hAnsi="微软雅黑" w:hint="eastAsia"/>
          <w:sz w:val="21"/>
          <w:szCs w:val="21"/>
        </w:rPr>
      </w:pPr>
      <w:r>
        <w:rPr>
          <w:rFonts w:ascii="微软雅黑" w:eastAsia="微软雅黑" w:hAnsi="微软雅黑" w:hint="eastAsia"/>
          <w:b/>
          <w:bCs/>
          <w:sz w:val="21"/>
          <w:szCs w:val="21"/>
        </w:rPr>
        <w:t>（七）合同分包：</w:t>
      </w:r>
      <w:r>
        <w:rPr>
          <w:rFonts w:ascii="微软雅黑" w:eastAsia="微软雅黑" w:hAnsi="微软雅黑" w:hint="eastAsia"/>
          <w:sz w:val="21"/>
          <w:szCs w:val="21"/>
        </w:rPr>
        <w:t>本项目</w:t>
      </w:r>
      <w:bookmarkStart w:id="36" w:name="_Hlk150349213"/>
      <w:r>
        <w:rPr>
          <w:rFonts w:ascii="微软雅黑" w:eastAsia="微软雅黑" w:hAnsi="微软雅黑" w:hint="eastAsia"/>
          <w:sz w:val="21"/>
          <w:szCs w:val="21"/>
        </w:rPr>
        <w:t>仅接受符合“落实政府采购政策需满足的资格要求”的合同分包，否则按无效投标处理。</w:t>
      </w:r>
      <w:r>
        <w:rPr>
          <w:rFonts w:ascii="微软雅黑" w:eastAsia="微软雅黑" w:hAnsi="微软雅黑"/>
          <w:sz w:val="21"/>
          <w:szCs w:val="21"/>
        </w:rPr>
        <w:t xml:space="preserve"> </w:t>
      </w:r>
    </w:p>
    <w:bookmarkEnd w:id="35"/>
    <w:bookmarkEnd w:id="36"/>
    <w:p w14:paraId="67D57911"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八）按照《财政部关于在政府采购活动中查询及使用信用记录有关问题的通知》财库〔2016〕125号，投标人列入失信被执行人、重大税收违法案件当事人名单、政府采购严重违法失信行为记录名单及其他不符合《中华人民共和国政府采购法》第二十二条规定条件的投标人，将拒绝其参与政府采购活动。</w:t>
      </w:r>
    </w:p>
    <w:p w14:paraId="039270BF" w14:textId="77777777" w:rsidR="0022665C" w:rsidRDefault="00000000">
      <w:pPr>
        <w:pStyle w:val="2"/>
        <w:spacing w:line="560" w:lineRule="atLeast"/>
        <w:ind w:firstLine="480"/>
        <w:jc w:val="left"/>
        <w:rPr>
          <w:rFonts w:ascii="微软雅黑" w:eastAsia="微软雅黑" w:hAnsi="微软雅黑" w:hint="eastAsia"/>
          <w:b/>
          <w:bCs/>
          <w:sz w:val="24"/>
        </w:rPr>
      </w:pPr>
      <w:bookmarkStart w:id="37" w:name="_Toc16354"/>
      <w:bookmarkStart w:id="38" w:name="_Toc14348"/>
      <w:bookmarkStart w:id="39" w:name="_Toc14908"/>
      <w:bookmarkStart w:id="40" w:name="_Toc5743"/>
      <w:bookmarkStart w:id="41" w:name="_Toc26103"/>
      <w:r>
        <w:rPr>
          <w:rFonts w:ascii="微软雅黑" w:eastAsia="微软雅黑" w:hAnsi="微软雅黑" w:hint="eastAsia"/>
          <w:b/>
          <w:bCs/>
          <w:sz w:val="24"/>
        </w:rPr>
        <w:t>八、现场踏勘</w:t>
      </w:r>
      <w:bookmarkEnd w:id="37"/>
      <w:bookmarkEnd w:id="38"/>
      <w:bookmarkEnd w:id="39"/>
      <w:bookmarkEnd w:id="40"/>
      <w:bookmarkEnd w:id="41"/>
    </w:p>
    <w:p w14:paraId="23FC149F"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采购人不统一组织现场踏勘，投标人可自行对项目现场进行踏勘（踏勘地点：重庆市数字化城市运行和治理中心（重庆市江北区永平门街6号）），以充分了解现场环境和潜在风险。无论投标人是否踏勘过现场，均被认为在投标截止时间前已经踏勘现场，对本合同项目的风险和义务已经十分了解，并在其投标文件中已充分考虑了现场和环境条件。投标人应自行承担现场考察的责任、风险及有关费用，采购人不对各投标人在考察现场时遇到的任何事故或人身伤害承担责任及费用。投标人不得向其他无关单位、无关人员泄露本招标活动有关文本、图纸等任何信息资料，否则，采购人将依法追究法律责任。</w:t>
      </w:r>
    </w:p>
    <w:p w14:paraId="18AFEB4F" w14:textId="77777777" w:rsidR="0022665C" w:rsidRDefault="00000000">
      <w:pPr>
        <w:pStyle w:val="2"/>
        <w:spacing w:line="560" w:lineRule="atLeast"/>
        <w:ind w:firstLine="480"/>
        <w:jc w:val="left"/>
        <w:rPr>
          <w:rFonts w:ascii="微软雅黑" w:eastAsia="微软雅黑" w:hAnsi="微软雅黑" w:hint="eastAsia"/>
          <w:b/>
          <w:bCs/>
          <w:sz w:val="24"/>
        </w:rPr>
      </w:pPr>
      <w:bookmarkStart w:id="42" w:name="_Toc24262"/>
      <w:bookmarkStart w:id="43" w:name="_Toc17689"/>
      <w:bookmarkStart w:id="44" w:name="_Toc15514"/>
      <w:bookmarkStart w:id="45" w:name="_Toc31200"/>
      <w:bookmarkStart w:id="46" w:name="_Toc10278"/>
      <w:r>
        <w:rPr>
          <w:rFonts w:ascii="微软雅黑" w:eastAsia="微软雅黑" w:hAnsi="微软雅黑" w:hint="eastAsia"/>
          <w:b/>
          <w:bCs/>
          <w:sz w:val="24"/>
        </w:rPr>
        <w:t>九、联系方式</w:t>
      </w:r>
      <w:bookmarkEnd w:id="42"/>
      <w:bookmarkEnd w:id="43"/>
      <w:bookmarkEnd w:id="44"/>
      <w:bookmarkEnd w:id="45"/>
      <w:bookmarkEnd w:id="46"/>
    </w:p>
    <w:p w14:paraId="2FE2FD7B"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（一）采购人：重庆市数字化城市运行和治理中心</w:t>
      </w:r>
    </w:p>
    <w:p w14:paraId="322331F9"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联系人：侯老师 张老师</w:t>
      </w:r>
    </w:p>
    <w:p w14:paraId="0B40F29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电  话：023-61200009</w:t>
      </w:r>
    </w:p>
    <w:p w14:paraId="55A6D86E"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地  址：重庆市江北区永平门街6号</w:t>
      </w:r>
    </w:p>
    <w:p w14:paraId="7CC9C46E"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（二）采购代理机构：中招国际招标有限公司</w:t>
      </w:r>
    </w:p>
    <w:p w14:paraId="6381B34F" w14:textId="77777777" w:rsidR="0022665C" w:rsidRDefault="00000000">
      <w:pPr>
        <w:spacing w:line="440" w:lineRule="atLeast"/>
        <w:ind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地  址：北京市海淀区学院南路62号院1号楼6层（601-615室）、9层（903-915室）</w:t>
      </w:r>
    </w:p>
    <w:p w14:paraId="01C8C794" w14:textId="77777777" w:rsidR="0022665C" w:rsidRDefault="00000000">
      <w:pPr>
        <w:spacing w:line="440" w:lineRule="atLeast"/>
        <w:ind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中招国际招标有限公司重庆分公司</w:t>
      </w:r>
    </w:p>
    <w:p w14:paraId="0E9D1F22"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 xml:space="preserve">地 </w:t>
      </w:r>
      <w:r>
        <w:rPr>
          <w:rFonts w:ascii="微软雅黑" w:eastAsia="微软雅黑" w:hAnsi="微软雅黑"/>
          <w:sz w:val="21"/>
          <w:szCs w:val="21"/>
        </w:rPr>
        <w:t xml:space="preserve"> </w:t>
      </w:r>
      <w:r>
        <w:rPr>
          <w:rFonts w:ascii="微软雅黑" w:eastAsia="微软雅黑" w:hAnsi="微软雅黑" w:hint="eastAsia"/>
          <w:sz w:val="21"/>
          <w:szCs w:val="21"/>
        </w:rPr>
        <w:t>址：重庆市渝北区黄山大道中段</w:t>
      </w:r>
      <w:r>
        <w:rPr>
          <w:rFonts w:ascii="微软雅黑" w:eastAsia="微软雅黑" w:hAnsi="微软雅黑"/>
          <w:sz w:val="21"/>
          <w:szCs w:val="21"/>
        </w:rPr>
        <w:t>53号5-1（双鱼座A栋5楼）</w:t>
      </w:r>
    </w:p>
    <w:p w14:paraId="3CC00ED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 xml:space="preserve">联系人：胡 元 </w:t>
      </w:r>
      <w:r>
        <w:rPr>
          <w:rFonts w:ascii="微软雅黑" w:eastAsia="微软雅黑" w:hAnsi="微软雅黑"/>
          <w:sz w:val="21"/>
          <w:szCs w:val="21"/>
        </w:rPr>
        <w:t xml:space="preserve">  </w:t>
      </w:r>
      <w:r>
        <w:rPr>
          <w:rFonts w:ascii="微软雅黑" w:eastAsia="微软雅黑" w:hAnsi="微软雅黑" w:hint="eastAsia"/>
          <w:sz w:val="21"/>
          <w:szCs w:val="21"/>
        </w:rPr>
        <w:t>苏 伟</w:t>
      </w:r>
    </w:p>
    <w:p w14:paraId="2F05C3B1"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 xml:space="preserve">电 </w:t>
      </w:r>
      <w:r>
        <w:rPr>
          <w:rFonts w:ascii="微软雅黑" w:eastAsia="微软雅黑" w:hAnsi="微软雅黑"/>
          <w:sz w:val="21"/>
          <w:szCs w:val="21"/>
        </w:rPr>
        <w:t xml:space="preserve"> </w:t>
      </w:r>
      <w:r>
        <w:rPr>
          <w:rFonts w:ascii="微软雅黑" w:eastAsia="微软雅黑" w:hAnsi="微软雅黑" w:hint="eastAsia"/>
          <w:sz w:val="21"/>
          <w:szCs w:val="21"/>
        </w:rPr>
        <w:t>话：</w:t>
      </w:r>
      <w:r>
        <w:rPr>
          <w:rFonts w:ascii="微软雅黑" w:eastAsia="微软雅黑" w:hAnsi="微软雅黑"/>
          <w:sz w:val="21"/>
          <w:szCs w:val="21"/>
        </w:rPr>
        <w:t>023</w:t>
      </w:r>
      <w:r>
        <w:rPr>
          <w:rFonts w:ascii="微软雅黑" w:eastAsia="微软雅黑" w:hAnsi="微软雅黑" w:hint="eastAsia"/>
          <w:sz w:val="21"/>
          <w:szCs w:val="21"/>
        </w:rPr>
        <w:t>-</w:t>
      </w:r>
      <w:r>
        <w:rPr>
          <w:rFonts w:ascii="微软雅黑" w:eastAsia="微软雅黑" w:hAnsi="微软雅黑"/>
          <w:sz w:val="21"/>
          <w:szCs w:val="21"/>
        </w:rPr>
        <w:t xml:space="preserve">68881331-9110  </w:t>
      </w:r>
      <w:r>
        <w:rPr>
          <w:rFonts w:ascii="微软雅黑" w:eastAsia="微软雅黑" w:hAnsi="微软雅黑"/>
          <w:b/>
          <w:sz w:val="36"/>
          <w:szCs w:val="36"/>
        </w:rPr>
        <w:br w:type="page"/>
      </w:r>
    </w:p>
    <w:p w14:paraId="0B312DA1" w14:textId="77777777" w:rsidR="0022665C" w:rsidRDefault="00000000">
      <w:pPr>
        <w:pStyle w:val="1"/>
        <w:numPr>
          <w:ilvl w:val="0"/>
          <w:numId w:val="3"/>
        </w:numPr>
        <w:tabs>
          <w:tab w:val="left" w:pos="1530"/>
          <w:tab w:val="left" w:pos="3940"/>
          <w:tab w:val="left" w:pos="8052"/>
        </w:tabs>
        <w:spacing w:beforeLines="0" w:afterLines="0" w:line="480" w:lineRule="auto"/>
        <w:ind w:left="0" w:firstLine="0"/>
        <w:rPr>
          <w:rFonts w:ascii="微软雅黑" w:eastAsia="微软雅黑" w:hAnsi="微软雅黑" w:hint="eastAsia"/>
          <w:b/>
          <w:sz w:val="36"/>
          <w:szCs w:val="36"/>
        </w:rPr>
      </w:pPr>
      <w:bookmarkStart w:id="47" w:name="_Toc27271"/>
      <w:bookmarkStart w:id="48" w:name="_Toc20410"/>
      <w:bookmarkStart w:id="49" w:name="_Toc8314"/>
      <w:bookmarkStart w:id="50" w:name="_Toc17316"/>
      <w:r>
        <w:rPr>
          <w:rFonts w:ascii="微软雅黑" w:eastAsia="微软雅黑" w:hAnsi="微软雅黑" w:hint="eastAsia"/>
          <w:b/>
          <w:sz w:val="36"/>
          <w:szCs w:val="36"/>
        </w:rPr>
        <w:t>项目技术服务及质量要求</w:t>
      </w:r>
      <w:bookmarkEnd w:id="47"/>
      <w:bookmarkEnd w:id="48"/>
      <w:bookmarkEnd w:id="49"/>
      <w:bookmarkEnd w:id="50"/>
    </w:p>
    <w:p w14:paraId="78B0222C" w14:textId="77777777" w:rsidR="0022665C" w:rsidRDefault="00000000">
      <w:pPr>
        <w:pStyle w:val="2"/>
        <w:keepNext/>
        <w:tabs>
          <w:tab w:val="clear" w:pos="3360"/>
        </w:tabs>
        <w:snapToGrid w:val="0"/>
        <w:spacing w:line="480" w:lineRule="exact"/>
        <w:rPr>
          <w:rFonts w:ascii="微软雅黑" w:eastAsia="微软雅黑" w:hAnsi="微软雅黑" w:hint="eastAsia"/>
          <w:b/>
          <w:bCs/>
          <w:sz w:val="24"/>
          <w:szCs w:val="22"/>
        </w:rPr>
      </w:pPr>
      <w:bookmarkStart w:id="51" w:name="_Toc151584641"/>
      <w:bookmarkStart w:id="52" w:name="_Toc31132"/>
      <w:bookmarkStart w:id="53" w:name="_Toc427852462"/>
      <w:bookmarkStart w:id="54" w:name="_Toc345321101"/>
      <w:bookmarkStart w:id="55" w:name="_Toc225590246"/>
      <w:bookmarkStart w:id="56" w:name="_Toc11450"/>
      <w:bookmarkStart w:id="57" w:name="_Toc340756063"/>
      <w:bookmarkStart w:id="58" w:name="_Toc1962"/>
      <w:bookmarkStart w:id="59" w:name="_Toc6627"/>
      <w:bookmarkStart w:id="60" w:name="_Toc346272972"/>
      <w:bookmarkStart w:id="61" w:name="_Toc29203"/>
      <w:r>
        <w:rPr>
          <w:rFonts w:ascii="微软雅黑" w:eastAsia="微软雅黑" w:hAnsi="微软雅黑" w:hint="eastAsia"/>
          <w:b/>
          <w:bCs/>
          <w:sz w:val="24"/>
          <w:szCs w:val="22"/>
        </w:rPr>
        <w:t>一、招标项目一览表</w:t>
      </w:r>
      <w:bookmarkEnd w:id="51"/>
      <w:bookmarkEnd w:id="52"/>
    </w:p>
    <w:tbl>
      <w:tblPr>
        <w:tblW w:w="46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0"/>
        <w:gridCol w:w="1892"/>
        <w:gridCol w:w="3707"/>
      </w:tblGrid>
      <w:tr w:rsidR="0022665C" w14:paraId="6EB413FF" w14:textId="77777777">
        <w:trPr>
          <w:trHeight w:val="567"/>
          <w:jc w:val="center"/>
        </w:trPr>
        <w:tc>
          <w:tcPr>
            <w:tcW w:w="3206" w:type="dxa"/>
            <w:vAlign w:val="center"/>
          </w:tcPr>
          <w:p w14:paraId="181BE407" w14:textId="77777777" w:rsidR="0022665C" w:rsidRDefault="00000000">
            <w:pPr>
              <w:spacing w:line="400" w:lineRule="exact"/>
              <w:jc w:val="center"/>
              <w:rPr>
                <w:rFonts w:ascii="微软雅黑" w:eastAsia="微软雅黑" w:hAnsi="微软雅黑" w:hint="eastAsia"/>
                <w:b/>
                <w:sz w:val="21"/>
                <w:szCs w:val="21"/>
              </w:rPr>
            </w:pPr>
            <w:r>
              <w:rPr>
                <w:rFonts w:ascii="微软雅黑" w:eastAsia="微软雅黑" w:hAnsi="微软雅黑" w:hint="eastAsia"/>
                <w:b/>
                <w:sz w:val="21"/>
                <w:szCs w:val="21"/>
              </w:rPr>
              <w:t>采购内容</w:t>
            </w:r>
          </w:p>
        </w:tc>
        <w:tc>
          <w:tcPr>
            <w:tcW w:w="1935" w:type="dxa"/>
            <w:vAlign w:val="center"/>
          </w:tcPr>
          <w:p w14:paraId="0107A5B5" w14:textId="77777777" w:rsidR="0022665C" w:rsidRDefault="00000000">
            <w:pPr>
              <w:spacing w:line="400" w:lineRule="exact"/>
              <w:jc w:val="center"/>
              <w:rPr>
                <w:rFonts w:ascii="微软雅黑" w:eastAsia="微软雅黑" w:hAnsi="微软雅黑" w:hint="eastAsia"/>
                <w:b/>
                <w:sz w:val="21"/>
                <w:szCs w:val="21"/>
              </w:rPr>
            </w:pPr>
            <w:r>
              <w:rPr>
                <w:rFonts w:ascii="微软雅黑" w:eastAsia="微软雅黑" w:hAnsi="微软雅黑" w:hint="eastAsia"/>
                <w:b/>
                <w:sz w:val="21"/>
                <w:szCs w:val="21"/>
              </w:rPr>
              <w:t>最高限价（万元）</w:t>
            </w:r>
          </w:p>
        </w:tc>
        <w:tc>
          <w:tcPr>
            <w:tcW w:w="3798" w:type="dxa"/>
            <w:vAlign w:val="center"/>
          </w:tcPr>
          <w:p w14:paraId="1D6CB6F8" w14:textId="77777777" w:rsidR="0022665C" w:rsidRDefault="00000000">
            <w:pPr>
              <w:spacing w:line="400" w:lineRule="exact"/>
              <w:jc w:val="center"/>
              <w:rPr>
                <w:rFonts w:ascii="微软雅黑" w:eastAsia="微软雅黑" w:hAnsi="微软雅黑" w:hint="eastAsia"/>
                <w:b/>
                <w:sz w:val="21"/>
                <w:szCs w:val="21"/>
              </w:rPr>
            </w:pPr>
            <w:r>
              <w:rPr>
                <w:rFonts w:ascii="微软雅黑" w:eastAsia="微软雅黑" w:hAnsi="微软雅黑" w:hint="eastAsia"/>
                <w:b/>
                <w:sz w:val="21"/>
                <w:szCs w:val="21"/>
              </w:rPr>
              <w:t>备注</w:t>
            </w:r>
          </w:p>
        </w:tc>
      </w:tr>
      <w:tr w:rsidR="0022665C" w14:paraId="38F3FD42" w14:textId="77777777">
        <w:trPr>
          <w:cantSplit/>
          <w:trHeight w:val="567"/>
          <w:jc w:val="center"/>
        </w:trPr>
        <w:tc>
          <w:tcPr>
            <w:tcW w:w="3206" w:type="dxa"/>
            <w:vAlign w:val="center"/>
          </w:tcPr>
          <w:p w14:paraId="0D70030E" w14:textId="77777777" w:rsidR="0022665C" w:rsidRDefault="00000000">
            <w:pPr>
              <w:spacing w:line="400" w:lineRule="exact"/>
              <w:jc w:val="center"/>
              <w:rPr>
                <w:rFonts w:ascii="微软雅黑" w:eastAsia="微软雅黑" w:hAnsi="微软雅黑" w:hint="eastAsia"/>
                <w:sz w:val="21"/>
                <w:szCs w:val="21"/>
              </w:rPr>
            </w:pPr>
            <w:r>
              <w:rPr>
                <w:rFonts w:ascii="微软雅黑" w:eastAsia="微软雅黑" w:hAnsi="微软雅黑"/>
                <w:sz w:val="21"/>
                <w:szCs w:val="21"/>
              </w:rPr>
              <w:t>数字化城市运行和治理中心系统1.0</w:t>
            </w:r>
            <w:r>
              <w:rPr>
                <w:rFonts w:ascii="微软雅黑" w:eastAsia="微软雅黑" w:hAnsi="微软雅黑" w:hint="eastAsia"/>
                <w:sz w:val="21"/>
                <w:szCs w:val="21"/>
              </w:rPr>
              <w:t>开发</w:t>
            </w:r>
          </w:p>
        </w:tc>
        <w:tc>
          <w:tcPr>
            <w:tcW w:w="1935" w:type="dxa"/>
            <w:vAlign w:val="center"/>
          </w:tcPr>
          <w:p w14:paraId="1D31F10D" w14:textId="77777777" w:rsidR="0022665C" w:rsidRDefault="00000000">
            <w:pPr>
              <w:spacing w:line="400" w:lineRule="exact"/>
              <w:jc w:val="center"/>
              <w:rPr>
                <w:rFonts w:ascii="微软雅黑" w:eastAsia="微软雅黑" w:hAnsi="微软雅黑" w:hint="eastAsia"/>
                <w:sz w:val="21"/>
                <w:szCs w:val="21"/>
              </w:rPr>
            </w:pPr>
            <w:r>
              <w:rPr>
                <w:rFonts w:ascii="微软雅黑" w:eastAsia="微软雅黑" w:hAnsi="微软雅黑"/>
                <w:sz w:val="21"/>
                <w:szCs w:val="21"/>
              </w:rPr>
              <w:t>7871.86</w:t>
            </w:r>
          </w:p>
        </w:tc>
        <w:tc>
          <w:tcPr>
            <w:tcW w:w="3798" w:type="dxa"/>
            <w:vAlign w:val="center"/>
          </w:tcPr>
          <w:p w14:paraId="1FF945B5" w14:textId="77777777" w:rsidR="0022665C" w:rsidRDefault="00000000">
            <w:pPr>
              <w:spacing w:line="400" w:lineRule="exact"/>
              <w:jc w:val="center"/>
              <w:rPr>
                <w:rFonts w:ascii="微软雅黑" w:eastAsia="微软雅黑" w:hAnsi="微软雅黑" w:hint="eastAsia"/>
                <w:sz w:val="21"/>
                <w:szCs w:val="21"/>
              </w:rPr>
            </w:pPr>
            <w:r>
              <w:rPr>
                <w:rFonts w:ascii="微软雅黑" w:eastAsia="微软雅黑" w:hAnsi="微软雅黑" w:hint="eastAsia"/>
                <w:sz w:val="21"/>
                <w:szCs w:val="21"/>
              </w:rPr>
              <w:t>开发建设期：180个日历日</w:t>
            </w:r>
          </w:p>
        </w:tc>
      </w:tr>
    </w:tbl>
    <w:p w14:paraId="034791EA" w14:textId="77777777" w:rsidR="0022665C" w:rsidRDefault="00000000">
      <w:pPr>
        <w:pStyle w:val="2"/>
        <w:keepNext/>
        <w:tabs>
          <w:tab w:val="clear" w:pos="3360"/>
        </w:tabs>
        <w:snapToGrid w:val="0"/>
        <w:spacing w:line="480" w:lineRule="exact"/>
        <w:rPr>
          <w:rFonts w:ascii="微软雅黑" w:eastAsia="微软雅黑" w:hAnsi="微软雅黑" w:hint="eastAsia"/>
          <w:b/>
          <w:bCs/>
          <w:sz w:val="24"/>
          <w:szCs w:val="22"/>
        </w:rPr>
      </w:pPr>
      <w:bookmarkStart w:id="62" w:name="_Toc6640"/>
      <w:bookmarkStart w:id="63" w:name="_Toc151584642"/>
      <w:bookmarkEnd w:id="53"/>
      <w:bookmarkEnd w:id="54"/>
      <w:r>
        <w:rPr>
          <w:rFonts w:ascii="微软雅黑" w:eastAsia="微软雅黑" w:hAnsi="微软雅黑" w:hint="eastAsia"/>
          <w:b/>
          <w:bCs/>
          <w:sz w:val="24"/>
          <w:szCs w:val="22"/>
        </w:rPr>
        <w:t>二、招标项目服务需求</w:t>
      </w:r>
      <w:bookmarkEnd w:id="62"/>
      <w:bookmarkEnd w:id="63"/>
    </w:p>
    <w:p w14:paraId="6BB575AD" w14:textId="77777777" w:rsidR="0022665C" w:rsidRDefault="00000000">
      <w:pPr>
        <w:spacing w:line="44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注：本节“★”标注的技术需求为重要技术需求，若不满足将按照评标因素中相关规定处理。</w:t>
      </w:r>
    </w:p>
    <w:p w14:paraId="2B706C7B" w14:textId="77777777" w:rsidR="0022665C" w:rsidRDefault="00000000">
      <w:pPr>
        <w:spacing w:line="440" w:lineRule="exact"/>
        <w:ind w:left="420" w:firstLineChars="200" w:firstLine="420"/>
        <w:rPr>
          <w:rFonts w:ascii="微软雅黑" w:eastAsia="微软雅黑" w:hAnsi="微软雅黑" w:hint="eastAsia"/>
          <w:sz w:val="21"/>
          <w:szCs w:val="21"/>
        </w:rPr>
      </w:pPr>
      <w:r>
        <w:rPr>
          <w:rFonts w:ascii="微软雅黑" w:eastAsia="微软雅黑" w:hAnsi="微软雅黑" w:hint="eastAsia"/>
          <w:sz w:val="21"/>
          <w:szCs w:val="21"/>
        </w:rPr>
        <w:t>本节“※”标注的技术需求为符合性审查中的实质性要求，若不满足按无效投标处理。</w:t>
      </w:r>
    </w:p>
    <w:p w14:paraId="12FE7431" w14:textId="77777777" w:rsidR="0022665C" w:rsidRDefault="00000000">
      <w:pPr>
        <w:spacing w:line="440" w:lineRule="exact"/>
        <w:ind w:left="420"/>
        <w:rPr>
          <w:rFonts w:ascii="微软雅黑" w:eastAsia="微软雅黑" w:hAnsi="微软雅黑" w:hint="eastAsia"/>
          <w:b/>
          <w:bCs/>
          <w:sz w:val="21"/>
          <w:szCs w:val="21"/>
        </w:rPr>
      </w:pPr>
      <w:r>
        <w:rPr>
          <w:rFonts w:ascii="微软雅黑" w:eastAsia="微软雅黑" w:hAnsi="微软雅黑" w:hint="eastAsia"/>
          <w:b/>
          <w:bCs/>
          <w:sz w:val="21"/>
          <w:szCs w:val="21"/>
        </w:rPr>
        <w:t>（一）招标内容</w:t>
      </w:r>
    </w:p>
    <w:tbl>
      <w:tblPr>
        <w:tblW w:w="97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1"/>
        <w:gridCol w:w="2033"/>
        <w:gridCol w:w="4567"/>
        <w:gridCol w:w="850"/>
        <w:gridCol w:w="700"/>
        <w:gridCol w:w="673"/>
      </w:tblGrid>
      <w:tr w:rsidR="0022665C" w14:paraId="415D2529" w14:textId="77777777">
        <w:trPr>
          <w:trHeight w:val="454"/>
          <w:jc w:val="center"/>
        </w:trPr>
        <w:tc>
          <w:tcPr>
            <w:tcW w:w="881" w:type="dxa"/>
            <w:shd w:val="clear" w:color="auto" w:fill="auto"/>
            <w:noWrap/>
            <w:vAlign w:val="center"/>
          </w:tcPr>
          <w:p w14:paraId="46BC368B"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序号</w:t>
            </w:r>
          </w:p>
        </w:tc>
        <w:tc>
          <w:tcPr>
            <w:tcW w:w="2033" w:type="dxa"/>
            <w:shd w:val="clear" w:color="auto" w:fill="auto"/>
            <w:noWrap/>
            <w:vAlign w:val="center"/>
          </w:tcPr>
          <w:p w14:paraId="3D855BEC"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项目名称</w:t>
            </w:r>
          </w:p>
        </w:tc>
        <w:tc>
          <w:tcPr>
            <w:tcW w:w="4567" w:type="dxa"/>
            <w:shd w:val="clear" w:color="auto" w:fill="auto"/>
            <w:noWrap/>
            <w:vAlign w:val="center"/>
          </w:tcPr>
          <w:p w14:paraId="40243604"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主要性能指标</w:t>
            </w:r>
          </w:p>
        </w:tc>
        <w:tc>
          <w:tcPr>
            <w:tcW w:w="850" w:type="dxa"/>
            <w:shd w:val="clear" w:color="auto" w:fill="auto"/>
            <w:noWrap/>
            <w:vAlign w:val="center"/>
          </w:tcPr>
          <w:p w14:paraId="483903A8"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单位</w:t>
            </w:r>
          </w:p>
        </w:tc>
        <w:tc>
          <w:tcPr>
            <w:tcW w:w="700" w:type="dxa"/>
            <w:shd w:val="clear" w:color="auto" w:fill="auto"/>
            <w:noWrap/>
            <w:vAlign w:val="center"/>
          </w:tcPr>
          <w:p w14:paraId="4E4E1374"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数量</w:t>
            </w:r>
          </w:p>
        </w:tc>
        <w:tc>
          <w:tcPr>
            <w:tcW w:w="673" w:type="dxa"/>
            <w:shd w:val="clear" w:color="auto" w:fill="auto"/>
            <w:vAlign w:val="center"/>
          </w:tcPr>
          <w:p w14:paraId="244D37A9"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备注</w:t>
            </w:r>
          </w:p>
        </w:tc>
      </w:tr>
      <w:tr w:rsidR="0022665C" w14:paraId="2DC89CAF" w14:textId="77777777">
        <w:trPr>
          <w:trHeight w:val="454"/>
          <w:jc w:val="center"/>
        </w:trPr>
        <w:tc>
          <w:tcPr>
            <w:tcW w:w="881" w:type="dxa"/>
            <w:shd w:val="clear" w:color="auto" w:fill="auto"/>
            <w:noWrap/>
            <w:vAlign w:val="center"/>
          </w:tcPr>
          <w:p w14:paraId="2D677CC6"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一</w:t>
            </w:r>
          </w:p>
        </w:tc>
        <w:tc>
          <w:tcPr>
            <w:tcW w:w="2033" w:type="dxa"/>
            <w:shd w:val="clear" w:color="auto" w:fill="auto"/>
            <w:noWrap/>
            <w:vAlign w:val="center"/>
          </w:tcPr>
          <w:p w14:paraId="762A7A77"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应用开发</w:t>
            </w:r>
          </w:p>
        </w:tc>
        <w:tc>
          <w:tcPr>
            <w:tcW w:w="4567" w:type="dxa"/>
            <w:shd w:val="clear" w:color="auto" w:fill="auto"/>
            <w:noWrap/>
            <w:vAlign w:val="center"/>
          </w:tcPr>
          <w:p w14:paraId="56A90C75"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2E4FCDA1"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46906D42"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2DBC59A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630D22F" w14:textId="77777777">
        <w:trPr>
          <w:trHeight w:val="454"/>
          <w:jc w:val="center"/>
        </w:trPr>
        <w:tc>
          <w:tcPr>
            <w:tcW w:w="881" w:type="dxa"/>
            <w:shd w:val="clear" w:color="auto" w:fill="auto"/>
            <w:noWrap/>
            <w:vAlign w:val="center"/>
          </w:tcPr>
          <w:p w14:paraId="042FBBD2"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（一）</w:t>
            </w:r>
          </w:p>
        </w:tc>
        <w:tc>
          <w:tcPr>
            <w:tcW w:w="2033" w:type="dxa"/>
            <w:shd w:val="clear" w:color="auto" w:fill="auto"/>
            <w:noWrap/>
            <w:vAlign w:val="center"/>
          </w:tcPr>
          <w:p w14:paraId="36451D63"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软件开发</w:t>
            </w:r>
          </w:p>
        </w:tc>
        <w:tc>
          <w:tcPr>
            <w:tcW w:w="4567" w:type="dxa"/>
            <w:shd w:val="clear" w:color="auto" w:fill="auto"/>
            <w:noWrap/>
            <w:vAlign w:val="center"/>
          </w:tcPr>
          <w:p w14:paraId="14853E5A"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56B5BEF0"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156AD887"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3F0176A1"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71AE7499" w14:textId="77777777">
        <w:trPr>
          <w:trHeight w:val="454"/>
          <w:jc w:val="center"/>
        </w:trPr>
        <w:tc>
          <w:tcPr>
            <w:tcW w:w="881" w:type="dxa"/>
            <w:shd w:val="clear" w:color="auto" w:fill="auto"/>
            <w:noWrap/>
            <w:vAlign w:val="center"/>
          </w:tcPr>
          <w:p w14:paraId="09FC2ACC"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2033" w:type="dxa"/>
            <w:shd w:val="clear" w:color="auto" w:fill="auto"/>
            <w:noWrap/>
            <w:vAlign w:val="center"/>
          </w:tcPr>
          <w:p w14:paraId="2A027FCB"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定制软件开发</w:t>
            </w:r>
          </w:p>
        </w:tc>
        <w:tc>
          <w:tcPr>
            <w:tcW w:w="4567" w:type="dxa"/>
            <w:shd w:val="clear" w:color="auto" w:fill="auto"/>
            <w:noWrap/>
            <w:vAlign w:val="center"/>
          </w:tcPr>
          <w:p w14:paraId="3CED649D"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7A39BB04"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13C87C72"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0D5ADBC9"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20DD9FDD" w14:textId="77777777">
        <w:trPr>
          <w:trHeight w:val="454"/>
          <w:jc w:val="center"/>
        </w:trPr>
        <w:tc>
          <w:tcPr>
            <w:tcW w:w="881" w:type="dxa"/>
            <w:shd w:val="clear" w:color="auto" w:fill="auto"/>
            <w:noWrap/>
            <w:vAlign w:val="center"/>
          </w:tcPr>
          <w:p w14:paraId="4CBC15D4"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1.1</w:t>
            </w:r>
          </w:p>
        </w:tc>
        <w:tc>
          <w:tcPr>
            <w:tcW w:w="2033" w:type="dxa"/>
            <w:shd w:val="clear" w:color="auto" w:fill="auto"/>
            <w:noWrap/>
            <w:vAlign w:val="center"/>
          </w:tcPr>
          <w:p w14:paraId="669E56C8"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应用系统</w:t>
            </w:r>
          </w:p>
        </w:tc>
        <w:tc>
          <w:tcPr>
            <w:tcW w:w="4567" w:type="dxa"/>
            <w:shd w:val="clear" w:color="auto" w:fill="auto"/>
            <w:noWrap/>
            <w:vAlign w:val="center"/>
          </w:tcPr>
          <w:p w14:paraId="63741EA8"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78C8F15D"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4FE070EC"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7058FC8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1179F651" w14:textId="77777777">
        <w:trPr>
          <w:trHeight w:val="454"/>
          <w:jc w:val="center"/>
        </w:trPr>
        <w:tc>
          <w:tcPr>
            <w:tcW w:w="881" w:type="dxa"/>
            <w:shd w:val="clear" w:color="auto" w:fill="auto"/>
            <w:noWrap/>
            <w:vAlign w:val="center"/>
          </w:tcPr>
          <w:p w14:paraId="714AB7D3"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1.1.1</w:t>
            </w:r>
          </w:p>
        </w:tc>
        <w:tc>
          <w:tcPr>
            <w:tcW w:w="2033" w:type="dxa"/>
            <w:shd w:val="clear" w:color="auto" w:fill="auto"/>
            <w:noWrap/>
            <w:vAlign w:val="center"/>
          </w:tcPr>
          <w:p w14:paraId="5A7B11FC"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市级中心城市大脑</w:t>
            </w:r>
          </w:p>
        </w:tc>
        <w:tc>
          <w:tcPr>
            <w:tcW w:w="4567" w:type="dxa"/>
            <w:shd w:val="clear" w:color="auto" w:fill="auto"/>
            <w:vAlign w:val="center"/>
          </w:tcPr>
          <w:p w14:paraId="3E6DE5F6"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市级中心城市大脑构建城市运行支撑体系，打造覆盖全市的监测预警、指挥调度、决策支持、事件流转能力，集成多跨协同应用，实现按需对市、区县、乡镇（街道）的精准调度。包括监测预警模块、指挥调度模块、事件流转模块、六大系统特色应用模块、数字重庆“1361”驾驶舱模块、移动驾驶舱模块。</w:t>
            </w:r>
          </w:p>
        </w:tc>
        <w:tc>
          <w:tcPr>
            <w:tcW w:w="850" w:type="dxa"/>
            <w:shd w:val="clear" w:color="auto" w:fill="auto"/>
            <w:noWrap/>
            <w:vAlign w:val="center"/>
          </w:tcPr>
          <w:p w14:paraId="191BDA0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5C88C35E"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5BBD228"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780F217C" w14:textId="77777777">
        <w:trPr>
          <w:trHeight w:val="454"/>
          <w:jc w:val="center"/>
        </w:trPr>
        <w:tc>
          <w:tcPr>
            <w:tcW w:w="881" w:type="dxa"/>
            <w:shd w:val="clear" w:color="auto" w:fill="auto"/>
            <w:noWrap/>
            <w:vAlign w:val="center"/>
          </w:tcPr>
          <w:p w14:paraId="0EEB343B"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1.1.2</w:t>
            </w:r>
          </w:p>
        </w:tc>
        <w:tc>
          <w:tcPr>
            <w:tcW w:w="2033" w:type="dxa"/>
            <w:shd w:val="clear" w:color="auto" w:fill="auto"/>
            <w:noWrap/>
            <w:vAlign w:val="center"/>
          </w:tcPr>
          <w:p w14:paraId="703F74C0"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区县中心实战枢纽</w:t>
            </w:r>
          </w:p>
        </w:tc>
        <w:tc>
          <w:tcPr>
            <w:tcW w:w="4567" w:type="dxa"/>
            <w:shd w:val="clear" w:color="auto" w:fill="auto"/>
            <w:vAlign w:val="center"/>
          </w:tcPr>
          <w:p w14:paraId="4D6EE83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区县中心实战枢纽承接市级应用，建设本级特色应用，支撑上传下达、监测预警、快速响应、行政问效，实现平时保障城市高效运行，紧急突发事件高效协同处置。包括监测预警模块、指挥调度模块、事件流转模块、六大系统特色应用模块等。</w:t>
            </w:r>
          </w:p>
        </w:tc>
        <w:tc>
          <w:tcPr>
            <w:tcW w:w="850" w:type="dxa"/>
            <w:shd w:val="clear" w:color="auto" w:fill="auto"/>
            <w:noWrap/>
            <w:vAlign w:val="center"/>
          </w:tcPr>
          <w:p w14:paraId="32CFEA4A"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6D5BDDF7"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785F38B3"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1E2BF8AD" w14:textId="77777777">
        <w:trPr>
          <w:trHeight w:val="454"/>
          <w:jc w:val="center"/>
        </w:trPr>
        <w:tc>
          <w:tcPr>
            <w:tcW w:w="881" w:type="dxa"/>
            <w:shd w:val="clear" w:color="auto" w:fill="auto"/>
            <w:noWrap/>
            <w:vAlign w:val="center"/>
          </w:tcPr>
          <w:p w14:paraId="778498FD"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1.1.3</w:t>
            </w:r>
          </w:p>
        </w:tc>
        <w:tc>
          <w:tcPr>
            <w:tcW w:w="2033" w:type="dxa"/>
            <w:shd w:val="clear" w:color="auto" w:fill="auto"/>
            <w:noWrap/>
            <w:vAlign w:val="center"/>
          </w:tcPr>
          <w:p w14:paraId="34EE275C"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城市运行和治理体征</w:t>
            </w:r>
          </w:p>
        </w:tc>
        <w:tc>
          <w:tcPr>
            <w:tcW w:w="4567" w:type="dxa"/>
            <w:shd w:val="clear" w:color="auto" w:fill="auto"/>
            <w:vAlign w:val="center"/>
          </w:tcPr>
          <w:p w14:paraId="2F68BB3B"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城市运行和治理体征梳理七大板块、52个跑道、4700个以上指标等城市运行和治理体征信息，展现市级/区县城市运行和治理-设施运行板块，支撑三级治理中心、基层智治、六大应用系统业务。包括城市体征展示和城市运行和治理体征一键查2个模块。</w:t>
            </w:r>
          </w:p>
        </w:tc>
        <w:tc>
          <w:tcPr>
            <w:tcW w:w="850" w:type="dxa"/>
            <w:shd w:val="clear" w:color="auto" w:fill="auto"/>
            <w:noWrap/>
            <w:vAlign w:val="center"/>
          </w:tcPr>
          <w:p w14:paraId="5FE392D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3885E64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3DF0769"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7B11A756" w14:textId="77777777">
        <w:trPr>
          <w:trHeight w:val="454"/>
          <w:jc w:val="center"/>
        </w:trPr>
        <w:tc>
          <w:tcPr>
            <w:tcW w:w="881" w:type="dxa"/>
            <w:shd w:val="clear" w:color="auto" w:fill="auto"/>
            <w:noWrap/>
            <w:vAlign w:val="center"/>
          </w:tcPr>
          <w:p w14:paraId="17EFBAC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1.1.4</w:t>
            </w:r>
          </w:p>
        </w:tc>
        <w:tc>
          <w:tcPr>
            <w:tcW w:w="2033" w:type="dxa"/>
            <w:shd w:val="clear" w:color="auto" w:fill="auto"/>
            <w:noWrap/>
            <w:vAlign w:val="center"/>
          </w:tcPr>
          <w:p w14:paraId="62DDF58E"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数字工作台</w:t>
            </w:r>
          </w:p>
        </w:tc>
        <w:tc>
          <w:tcPr>
            <w:tcW w:w="4567" w:type="dxa"/>
            <w:shd w:val="clear" w:color="auto" w:fill="auto"/>
            <w:vAlign w:val="center"/>
          </w:tcPr>
          <w:p w14:paraId="7822336E"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数字工作台是三级数字化城市运行和治理中心的数字化履职协同工具，主要提供给中心和相关委办工作人员使用，帮助工作人员快速高效协同处置多跨事项，并支持部分没有自建应用系统的部门完成相关待办事项的处理。包括PC版和移动版，提供工作台首页、事件单管理、业务事项配置、日常运行管理和数据本地化等模块。</w:t>
            </w:r>
          </w:p>
        </w:tc>
        <w:tc>
          <w:tcPr>
            <w:tcW w:w="850" w:type="dxa"/>
            <w:shd w:val="clear" w:color="auto" w:fill="auto"/>
            <w:noWrap/>
            <w:vAlign w:val="center"/>
          </w:tcPr>
          <w:p w14:paraId="531C03E9"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74CEF2B5"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42420DA1"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45C18C8" w14:textId="77777777">
        <w:trPr>
          <w:trHeight w:val="454"/>
          <w:jc w:val="center"/>
        </w:trPr>
        <w:tc>
          <w:tcPr>
            <w:tcW w:w="881" w:type="dxa"/>
            <w:shd w:val="clear" w:color="auto" w:fill="auto"/>
            <w:noWrap/>
            <w:vAlign w:val="center"/>
          </w:tcPr>
          <w:p w14:paraId="6F4D83E1"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1.1.5</w:t>
            </w:r>
          </w:p>
        </w:tc>
        <w:tc>
          <w:tcPr>
            <w:tcW w:w="2033" w:type="dxa"/>
            <w:shd w:val="clear" w:color="auto" w:fill="auto"/>
            <w:noWrap/>
            <w:vAlign w:val="center"/>
          </w:tcPr>
          <w:p w14:paraId="0BC92F79"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城市运行治理专报子系统</w:t>
            </w:r>
          </w:p>
        </w:tc>
        <w:tc>
          <w:tcPr>
            <w:tcW w:w="4567" w:type="dxa"/>
            <w:shd w:val="clear" w:color="auto" w:fill="auto"/>
            <w:vAlign w:val="center"/>
          </w:tcPr>
          <w:p w14:paraId="402EFB9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运营专报以专报呈报的方式，将重要数据和信息形成专报推送主要领导，为领导决策提供数据支撑，打造一个快速批阅通道，不定期向市级领导、区级领导、各委办局领导推送如生态景观、社会治理、应急动员等重点领域专报。包括模块化采编、动态可视化审批流程、批示管理、数据统计、数据配置等模块。</w:t>
            </w:r>
          </w:p>
        </w:tc>
        <w:tc>
          <w:tcPr>
            <w:tcW w:w="850" w:type="dxa"/>
            <w:shd w:val="clear" w:color="auto" w:fill="auto"/>
            <w:noWrap/>
            <w:vAlign w:val="center"/>
          </w:tcPr>
          <w:p w14:paraId="65779AE3"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387DE309"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507BB1A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07C0C95C" w14:textId="77777777">
        <w:trPr>
          <w:trHeight w:val="454"/>
          <w:jc w:val="center"/>
        </w:trPr>
        <w:tc>
          <w:tcPr>
            <w:tcW w:w="881" w:type="dxa"/>
            <w:shd w:val="clear" w:color="auto" w:fill="auto"/>
            <w:noWrap/>
            <w:vAlign w:val="center"/>
          </w:tcPr>
          <w:p w14:paraId="4C2F8FD1"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1.1.6</w:t>
            </w:r>
          </w:p>
        </w:tc>
        <w:tc>
          <w:tcPr>
            <w:tcW w:w="2033" w:type="dxa"/>
            <w:shd w:val="clear" w:color="auto" w:fill="auto"/>
            <w:noWrap/>
            <w:vAlign w:val="center"/>
          </w:tcPr>
          <w:p w14:paraId="57AD12A0"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业务事项编目子系统</w:t>
            </w:r>
          </w:p>
        </w:tc>
        <w:tc>
          <w:tcPr>
            <w:tcW w:w="4567" w:type="dxa"/>
            <w:shd w:val="clear" w:color="auto" w:fill="auto"/>
            <w:vAlign w:val="center"/>
          </w:tcPr>
          <w:p w14:paraId="25B06BD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撑开展业务事项编目工作，实现业务事项的管理、下发和认领等核心功能；汇聚市级部门、区县、镇街的业务事项数据，为各领域、各层级、各部门的多跨协同系统提供业务事项基础数据支撑。包括业务事项目录、业务事项编目、业务事项审核、业务事项下发等模块。</w:t>
            </w:r>
          </w:p>
        </w:tc>
        <w:tc>
          <w:tcPr>
            <w:tcW w:w="850" w:type="dxa"/>
            <w:shd w:val="clear" w:color="auto" w:fill="auto"/>
            <w:noWrap/>
            <w:vAlign w:val="center"/>
          </w:tcPr>
          <w:p w14:paraId="7C256679"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41D93495"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44C2FF16"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0FA81C58" w14:textId="77777777">
        <w:trPr>
          <w:trHeight w:val="454"/>
          <w:jc w:val="center"/>
        </w:trPr>
        <w:tc>
          <w:tcPr>
            <w:tcW w:w="881" w:type="dxa"/>
            <w:shd w:val="clear" w:color="auto" w:fill="auto"/>
            <w:noWrap/>
            <w:vAlign w:val="center"/>
          </w:tcPr>
          <w:p w14:paraId="09F98426"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1.1.7</w:t>
            </w:r>
          </w:p>
        </w:tc>
        <w:tc>
          <w:tcPr>
            <w:tcW w:w="2033" w:type="dxa"/>
            <w:shd w:val="clear" w:color="auto" w:fill="auto"/>
            <w:noWrap/>
            <w:vAlign w:val="center"/>
          </w:tcPr>
          <w:p w14:paraId="444F6259"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统一运维子系统</w:t>
            </w:r>
          </w:p>
        </w:tc>
        <w:tc>
          <w:tcPr>
            <w:tcW w:w="4567" w:type="dxa"/>
            <w:shd w:val="clear" w:color="auto" w:fill="auto"/>
            <w:vAlign w:val="center"/>
          </w:tcPr>
          <w:p w14:paraId="347CC12E"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用于管理、监控和维护IT基础设施及应用系统，提供高质量的运维服务。通过不同的概览视角提供全面的运维情况综合监测，支持对多个接入应用系统、云资源、服务、中间件、接口等监测对象的配置与实时监控以及告警处理，实现全面的运行环境和系统状态运维。包括运维概览、消息中心、项目管理、对象中心等模块。</w:t>
            </w:r>
          </w:p>
        </w:tc>
        <w:tc>
          <w:tcPr>
            <w:tcW w:w="850" w:type="dxa"/>
            <w:shd w:val="clear" w:color="auto" w:fill="auto"/>
            <w:noWrap/>
            <w:vAlign w:val="center"/>
          </w:tcPr>
          <w:p w14:paraId="310BDB2D"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2EE4228B"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10DF622"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0B3FFB77" w14:textId="77777777">
        <w:trPr>
          <w:trHeight w:val="454"/>
          <w:jc w:val="center"/>
        </w:trPr>
        <w:tc>
          <w:tcPr>
            <w:tcW w:w="881" w:type="dxa"/>
            <w:shd w:val="clear" w:color="auto" w:fill="auto"/>
            <w:noWrap/>
            <w:vAlign w:val="center"/>
          </w:tcPr>
          <w:p w14:paraId="3F5412F8"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1.2</w:t>
            </w:r>
          </w:p>
        </w:tc>
        <w:tc>
          <w:tcPr>
            <w:tcW w:w="2033" w:type="dxa"/>
            <w:shd w:val="clear" w:color="auto" w:fill="auto"/>
            <w:noWrap/>
            <w:vAlign w:val="center"/>
          </w:tcPr>
          <w:p w14:paraId="17687F83"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应用支撑平台</w:t>
            </w:r>
          </w:p>
        </w:tc>
        <w:tc>
          <w:tcPr>
            <w:tcW w:w="4567" w:type="dxa"/>
            <w:shd w:val="clear" w:color="auto" w:fill="auto"/>
            <w:noWrap/>
            <w:vAlign w:val="center"/>
          </w:tcPr>
          <w:p w14:paraId="1EF0846E"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0C154083"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26589F2F"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30DF8D6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66450A28" w14:textId="77777777">
        <w:trPr>
          <w:trHeight w:val="454"/>
          <w:jc w:val="center"/>
        </w:trPr>
        <w:tc>
          <w:tcPr>
            <w:tcW w:w="881" w:type="dxa"/>
            <w:shd w:val="clear" w:color="auto" w:fill="auto"/>
            <w:noWrap/>
            <w:vAlign w:val="center"/>
          </w:tcPr>
          <w:p w14:paraId="309EB84F"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1.2.1</w:t>
            </w:r>
          </w:p>
        </w:tc>
        <w:tc>
          <w:tcPr>
            <w:tcW w:w="2033" w:type="dxa"/>
            <w:shd w:val="clear" w:color="auto" w:fill="auto"/>
            <w:noWrap/>
            <w:vAlign w:val="center"/>
          </w:tcPr>
          <w:p w14:paraId="54116B6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业务应用模块化编辑子系统</w:t>
            </w:r>
          </w:p>
        </w:tc>
        <w:tc>
          <w:tcPr>
            <w:tcW w:w="4567" w:type="dxa"/>
            <w:shd w:val="clear" w:color="auto" w:fill="auto"/>
            <w:vAlign w:val="center"/>
          </w:tcPr>
          <w:p w14:paraId="3B51BA1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提供市级/区县中心及市级/区县城市运行和治理体征业务应用模块编辑工具，包括驾驶舱配置、驾驶舱配置审核、地图图层配置、驾驶舱贯通应用配置等模块。</w:t>
            </w:r>
          </w:p>
        </w:tc>
        <w:tc>
          <w:tcPr>
            <w:tcW w:w="850" w:type="dxa"/>
            <w:shd w:val="clear" w:color="auto" w:fill="auto"/>
            <w:noWrap/>
            <w:vAlign w:val="center"/>
          </w:tcPr>
          <w:p w14:paraId="495DBBC2"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2BF8D76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46D0AD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0E5739BC" w14:textId="77777777">
        <w:trPr>
          <w:trHeight w:val="454"/>
          <w:jc w:val="center"/>
        </w:trPr>
        <w:tc>
          <w:tcPr>
            <w:tcW w:w="881" w:type="dxa"/>
            <w:shd w:val="clear" w:color="auto" w:fill="auto"/>
            <w:noWrap/>
            <w:vAlign w:val="center"/>
          </w:tcPr>
          <w:p w14:paraId="01A381A4"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1.2.2</w:t>
            </w:r>
          </w:p>
        </w:tc>
        <w:tc>
          <w:tcPr>
            <w:tcW w:w="2033" w:type="dxa"/>
            <w:shd w:val="clear" w:color="auto" w:fill="auto"/>
            <w:noWrap/>
            <w:vAlign w:val="center"/>
          </w:tcPr>
          <w:p w14:paraId="78B133A3"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能力组件多租户服务子系统</w:t>
            </w:r>
          </w:p>
        </w:tc>
        <w:tc>
          <w:tcPr>
            <w:tcW w:w="4567" w:type="dxa"/>
            <w:shd w:val="clear" w:color="auto" w:fill="auto"/>
            <w:vAlign w:val="center"/>
          </w:tcPr>
          <w:p w14:paraId="4116E3DC"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为各市级部门和区县提供能力组件多租户应用能力，包括三级治理中心门户和组件权限、外部应用对接平台等模块。</w:t>
            </w:r>
          </w:p>
        </w:tc>
        <w:tc>
          <w:tcPr>
            <w:tcW w:w="850" w:type="dxa"/>
            <w:shd w:val="clear" w:color="auto" w:fill="auto"/>
            <w:noWrap/>
            <w:vAlign w:val="center"/>
          </w:tcPr>
          <w:p w14:paraId="263046AA"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2513B623"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03F100C"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66ED52CC" w14:textId="77777777">
        <w:trPr>
          <w:trHeight w:val="454"/>
          <w:jc w:val="center"/>
        </w:trPr>
        <w:tc>
          <w:tcPr>
            <w:tcW w:w="881" w:type="dxa"/>
            <w:shd w:val="clear" w:color="auto" w:fill="auto"/>
            <w:noWrap/>
            <w:vAlign w:val="center"/>
          </w:tcPr>
          <w:p w14:paraId="434E9C91"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2033" w:type="dxa"/>
            <w:shd w:val="clear" w:color="auto" w:fill="auto"/>
            <w:noWrap/>
            <w:vAlign w:val="center"/>
          </w:tcPr>
          <w:p w14:paraId="39D94285"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成品软件</w:t>
            </w:r>
          </w:p>
        </w:tc>
        <w:tc>
          <w:tcPr>
            <w:tcW w:w="4567" w:type="dxa"/>
            <w:shd w:val="clear" w:color="auto" w:fill="auto"/>
            <w:noWrap/>
            <w:vAlign w:val="center"/>
          </w:tcPr>
          <w:p w14:paraId="5ED9BE2F"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6261F10E"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62699A13"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0848ABA3"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782B4550" w14:textId="77777777">
        <w:trPr>
          <w:trHeight w:val="454"/>
          <w:jc w:val="center"/>
        </w:trPr>
        <w:tc>
          <w:tcPr>
            <w:tcW w:w="881" w:type="dxa"/>
            <w:shd w:val="clear" w:color="auto" w:fill="auto"/>
            <w:noWrap/>
            <w:vAlign w:val="center"/>
          </w:tcPr>
          <w:p w14:paraId="398E39FF"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2.1</w:t>
            </w:r>
          </w:p>
        </w:tc>
        <w:tc>
          <w:tcPr>
            <w:tcW w:w="2033" w:type="dxa"/>
            <w:shd w:val="clear" w:color="auto" w:fill="auto"/>
            <w:noWrap/>
            <w:vAlign w:val="center"/>
          </w:tcPr>
          <w:p w14:paraId="2053B5F8"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应用支撑平台</w:t>
            </w:r>
          </w:p>
        </w:tc>
        <w:tc>
          <w:tcPr>
            <w:tcW w:w="4567" w:type="dxa"/>
            <w:shd w:val="clear" w:color="auto" w:fill="auto"/>
            <w:noWrap/>
            <w:vAlign w:val="center"/>
          </w:tcPr>
          <w:p w14:paraId="4678A5C3"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1D7C0C4C"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3AF08D03"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395E77EB"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70C51933" w14:textId="77777777">
        <w:trPr>
          <w:trHeight w:val="454"/>
          <w:jc w:val="center"/>
        </w:trPr>
        <w:tc>
          <w:tcPr>
            <w:tcW w:w="881" w:type="dxa"/>
            <w:shd w:val="clear" w:color="auto" w:fill="auto"/>
            <w:noWrap/>
            <w:vAlign w:val="center"/>
          </w:tcPr>
          <w:p w14:paraId="2F0F113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2.1.1</w:t>
            </w:r>
          </w:p>
        </w:tc>
        <w:tc>
          <w:tcPr>
            <w:tcW w:w="2033" w:type="dxa"/>
            <w:shd w:val="clear" w:color="auto" w:fill="auto"/>
            <w:noWrap/>
            <w:vAlign w:val="center"/>
          </w:tcPr>
          <w:p w14:paraId="7013337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可视化渲染子系统</w:t>
            </w:r>
          </w:p>
        </w:tc>
        <w:tc>
          <w:tcPr>
            <w:tcW w:w="4567" w:type="dxa"/>
            <w:shd w:val="clear" w:color="auto" w:fill="auto"/>
            <w:vAlign w:val="center"/>
          </w:tcPr>
          <w:p w14:paraId="2BAAD5BE"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通过专业数据可视化模板为视觉框架的提供web服务，包括控制台基础功能、项目管理、大屏编辑操作台、组件、数据源等功能模块</w:t>
            </w:r>
          </w:p>
        </w:tc>
        <w:tc>
          <w:tcPr>
            <w:tcW w:w="850" w:type="dxa"/>
            <w:shd w:val="clear" w:color="auto" w:fill="auto"/>
            <w:noWrap/>
            <w:vAlign w:val="center"/>
          </w:tcPr>
          <w:p w14:paraId="53D6AEC4"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noWrap/>
            <w:vAlign w:val="center"/>
          </w:tcPr>
          <w:p w14:paraId="6DFB7FC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6460CDD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411DFFD" w14:textId="77777777">
        <w:trPr>
          <w:trHeight w:val="454"/>
          <w:jc w:val="center"/>
        </w:trPr>
        <w:tc>
          <w:tcPr>
            <w:tcW w:w="881" w:type="dxa"/>
            <w:shd w:val="clear" w:color="auto" w:fill="auto"/>
            <w:noWrap/>
            <w:vAlign w:val="center"/>
          </w:tcPr>
          <w:p w14:paraId="5464BBE7"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2.2</w:t>
            </w:r>
          </w:p>
        </w:tc>
        <w:tc>
          <w:tcPr>
            <w:tcW w:w="2033" w:type="dxa"/>
            <w:shd w:val="clear" w:color="auto" w:fill="auto"/>
            <w:noWrap/>
            <w:vAlign w:val="center"/>
          </w:tcPr>
          <w:p w14:paraId="378968DB"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能力组件</w:t>
            </w:r>
          </w:p>
        </w:tc>
        <w:tc>
          <w:tcPr>
            <w:tcW w:w="4567" w:type="dxa"/>
            <w:shd w:val="clear" w:color="auto" w:fill="auto"/>
            <w:noWrap/>
            <w:vAlign w:val="center"/>
          </w:tcPr>
          <w:p w14:paraId="2D886E87"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66050A21"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6A629310"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62B0CF69"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7D89DD69" w14:textId="77777777">
        <w:trPr>
          <w:trHeight w:val="454"/>
          <w:jc w:val="center"/>
        </w:trPr>
        <w:tc>
          <w:tcPr>
            <w:tcW w:w="881" w:type="dxa"/>
            <w:shd w:val="clear" w:color="auto" w:fill="auto"/>
            <w:noWrap/>
            <w:vAlign w:val="center"/>
          </w:tcPr>
          <w:p w14:paraId="2CCAB584"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2.2.1</w:t>
            </w:r>
          </w:p>
        </w:tc>
        <w:tc>
          <w:tcPr>
            <w:tcW w:w="2033" w:type="dxa"/>
            <w:shd w:val="clear" w:color="auto" w:fill="auto"/>
            <w:noWrap/>
            <w:vAlign w:val="center"/>
          </w:tcPr>
          <w:p w14:paraId="77A2632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业务协同网关</w:t>
            </w:r>
          </w:p>
        </w:tc>
        <w:tc>
          <w:tcPr>
            <w:tcW w:w="4567" w:type="dxa"/>
            <w:shd w:val="clear" w:color="auto" w:fill="auto"/>
            <w:vAlign w:val="center"/>
          </w:tcPr>
          <w:p w14:paraId="2BC336C6"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协同网关是六大系统、基层智治体系应用对接三级治理中心的技术和业务门户，在不改变、不替代原应用的情况下，以现有应用为载体，完成接口及界面的集成、审批和发布的功能，提供贯通市、区县、镇街的多跨业务协同的能力，实现对数据、组件、应用、业务、技术五大方面的融跨贯通。包括注册登录、数据市场、应用中心、流控管理、熔断管理和统一鉴权等模块。</w:t>
            </w:r>
          </w:p>
        </w:tc>
        <w:tc>
          <w:tcPr>
            <w:tcW w:w="850" w:type="dxa"/>
            <w:shd w:val="clear" w:color="auto" w:fill="auto"/>
            <w:noWrap/>
            <w:vAlign w:val="center"/>
          </w:tcPr>
          <w:p w14:paraId="7B190EC9"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noWrap/>
            <w:vAlign w:val="center"/>
          </w:tcPr>
          <w:p w14:paraId="0B593274"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77F14250"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4ADE3506" w14:textId="77777777">
        <w:trPr>
          <w:trHeight w:val="454"/>
          <w:jc w:val="center"/>
        </w:trPr>
        <w:tc>
          <w:tcPr>
            <w:tcW w:w="881" w:type="dxa"/>
            <w:shd w:val="clear" w:color="auto" w:fill="auto"/>
            <w:noWrap/>
            <w:vAlign w:val="center"/>
          </w:tcPr>
          <w:p w14:paraId="2D000A25"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2.2.2</w:t>
            </w:r>
          </w:p>
        </w:tc>
        <w:tc>
          <w:tcPr>
            <w:tcW w:w="2033" w:type="dxa"/>
            <w:shd w:val="clear" w:color="auto" w:fill="auto"/>
            <w:noWrap/>
            <w:vAlign w:val="center"/>
          </w:tcPr>
          <w:p w14:paraId="7591F0C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事项中心</w:t>
            </w:r>
          </w:p>
        </w:tc>
        <w:tc>
          <w:tcPr>
            <w:tcW w:w="4567" w:type="dxa"/>
            <w:shd w:val="clear" w:color="auto" w:fill="auto"/>
            <w:vAlign w:val="center"/>
          </w:tcPr>
          <w:p w14:paraId="7ACFCD9F"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用于管理和持续生成部门权责事项清单及处置要求的能力组件，提供配置和更新各级各部门事项权责、建立统一事项权责数据库、构建部门数字化权责围栏的能力。包括事项分类管理、事项管理、业务要素管理、事项表单服务配置、事项模板管理、事项权责配置、事项流程配置、运营配置及岗位调度等模块。</w:t>
            </w:r>
          </w:p>
        </w:tc>
        <w:tc>
          <w:tcPr>
            <w:tcW w:w="850" w:type="dxa"/>
            <w:shd w:val="clear" w:color="auto" w:fill="auto"/>
            <w:noWrap/>
            <w:vAlign w:val="center"/>
          </w:tcPr>
          <w:p w14:paraId="1110555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noWrap/>
            <w:vAlign w:val="center"/>
          </w:tcPr>
          <w:p w14:paraId="3AA762FE"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428D896F"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635C0E4E" w14:textId="77777777">
        <w:trPr>
          <w:trHeight w:val="454"/>
          <w:jc w:val="center"/>
        </w:trPr>
        <w:tc>
          <w:tcPr>
            <w:tcW w:w="881" w:type="dxa"/>
            <w:shd w:val="clear" w:color="auto" w:fill="auto"/>
            <w:vAlign w:val="center"/>
          </w:tcPr>
          <w:p w14:paraId="49A50EE1"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2.2.3</w:t>
            </w:r>
          </w:p>
        </w:tc>
        <w:tc>
          <w:tcPr>
            <w:tcW w:w="2033" w:type="dxa"/>
            <w:shd w:val="clear" w:color="auto" w:fill="auto"/>
            <w:vAlign w:val="center"/>
          </w:tcPr>
          <w:p w14:paraId="5C38B690"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任务中心</w:t>
            </w:r>
          </w:p>
        </w:tc>
        <w:tc>
          <w:tcPr>
            <w:tcW w:w="4567" w:type="dxa"/>
            <w:shd w:val="clear" w:color="auto" w:fill="auto"/>
            <w:vAlign w:val="center"/>
          </w:tcPr>
          <w:p w14:paraId="06C09093" w14:textId="77777777" w:rsidR="0022665C" w:rsidRDefault="00000000">
            <w:pPr>
              <w:widowControl/>
              <w:spacing w:line="36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任务中心是全市各级各部门均使用的多级数字化知识体系管理组件，按照市委市政府统一部署及重大综合场景需求，将业务事项、事件、体征指标等要素按板块、跑道等分级分类归集形成多级任务，达到体系化知识管理的目标。包括任务体系构建、重点任务设置及编排、任务看板、任务查询及统计、配置及数据处理等模块。</w:t>
            </w:r>
          </w:p>
        </w:tc>
        <w:tc>
          <w:tcPr>
            <w:tcW w:w="850" w:type="dxa"/>
            <w:shd w:val="clear" w:color="auto" w:fill="auto"/>
            <w:vAlign w:val="center"/>
          </w:tcPr>
          <w:p w14:paraId="24771E36"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vAlign w:val="center"/>
          </w:tcPr>
          <w:p w14:paraId="08CECA0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029EC5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48610986" w14:textId="77777777">
        <w:trPr>
          <w:trHeight w:val="454"/>
          <w:jc w:val="center"/>
        </w:trPr>
        <w:tc>
          <w:tcPr>
            <w:tcW w:w="881" w:type="dxa"/>
            <w:shd w:val="clear" w:color="auto" w:fill="auto"/>
            <w:vAlign w:val="center"/>
          </w:tcPr>
          <w:p w14:paraId="5D9DC497"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2.2.4</w:t>
            </w:r>
          </w:p>
        </w:tc>
        <w:tc>
          <w:tcPr>
            <w:tcW w:w="2033" w:type="dxa"/>
            <w:shd w:val="clear" w:color="auto" w:fill="auto"/>
            <w:vAlign w:val="center"/>
          </w:tcPr>
          <w:p w14:paraId="088BBF8F"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事件中心</w:t>
            </w:r>
          </w:p>
        </w:tc>
        <w:tc>
          <w:tcPr>
            <w:tcW w:w="4567" w:type="dxa"/>
            <w:shd w:val="clear" w:color="auto" w:fill="auto"/>
            <w:noWrap/>
            <w:vAlign w:val="center"/>
          </w:tcPr>
          <w:p w14:paraId="7440773C" w14:textId="77777777" w:rsidR="0022665C" w:rsidRDefault="00000000">
            <w:pPr>
              <w:widowControl/>
              <w:spacing w:line="36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件中心是全市一体建设、三级部署、多级使用的数字化业务流管理组件，将全市的业务流进行统一定义、统一管理并形成数字化业务知识库，并将全市各级各部门不同来源的内部和多跨事件统一进行标准化接入，进行统一的自动或人工业务分拨，构建事件接入、流转、处置全流程闭环能力，形成全量事件库，直观反映全市事件处置成效。包括事件类型管理、事件预案配置、事件运行管理、事件消息服务等模块。</w:t>
            </w:r>
          </w:p>
        </w:tc>
        <w:tc>
          <w:tcPr>
            <w:tcW w:w="850" w:type="dxa"/>
            <w:shd w:val="clear" w:color="auto" w:fill="auto"/>
            <w:vAlign w:val="center"/>
          </w:tcPr>
          <w:p w14:paraId="682B3207"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vAlign w:val="center"/>
          </w:tcPr>
          <w:p w14:paraId="5C2B32D9"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04A95C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A818725" w14:textId="77777777">
        <w:trPr>
          <w:trHeight w:val="454"/>
          <w:jc w:val="center"/>
        </w:trPr>
        <w:tc>
          <w:tcPr>
            <w:tcW w:w="881" w:type="dxa"/>
            <w:shd w:val="clear" w:color="auto" w:fill="auto"/>
            <w:noWrap/>
            <w:vAlign w:val="center"/>
          </w:tcPr>
          <w:p w14:paraId="4DB73ACA"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2.2.5</w:t>
            </w:r>
          </w:p>
        </w:tc>
        <w:tc>
          <w:tcPr>
            <w:tcW w:w="2033" w:type="dxa"/>
            <w:shd w:val="clear" w:color="auto" w:fill="auto"/>
            <w:noWrap/>
            <w:vAlign w:val="center"/>
          </w:tcPr>
          <w:p w14:paraId="095728D5"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智能预案</w:t>
            </w:r>
          </w:p>
        </w:tc>
        <w:tc>
          <w:tcPr>
            <w:tcW w:w="4567" w:type="dxa"/>
            <w:shd w:val="clear" w:color="auto" w:fill="auto"/>
            <w:vAlign w:val="center"/>
          </w:tcPr>
          <w:p w14:paraId="6FC637DC"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依据部门权责事项清单，按照事件处置流程或交办任务分工，配置事件处置流程的能力组件，提供流程可视化编排、数字资源精准化调度的能力。包括协同预案、调度引擎、处置工作流管理、平台时限配置、资源配置等模块。</w:t>
            </w:r>
          </w:p>
        </w:tc>
        <w:tc>
          <w:tcPr>
            <w:tcW w:w="850" w:type="dxa"/>
            <w:shd w:val="clear" w:color="auto" w:fill="auto"/>
            <w:noWrap/>
            <w:vAlign w:val="center"/>
          </w:tcPr>
          <w:p w14:paraId="2259F3E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noWrap/>
            <w:vAlign w:val="center"/>
          </w:tcPr>
          <w:p w14:paraId="6FEDA313"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A9613C8"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F9EC5D2" w14:textId="77777777">
        <w:trPr>
          <w:trHeight w:val="454"/>
          <w:jc w:val="center"/>
        </w:trPr>
        <w:tc>
          <w:tcPr>
            <w:tcW w:w="881" w:type="dxa"/>
            <w:shd w:val="clear" w:color="auto" w:fill="auto"/>
            <w:noWrap/>
            <w:vAlign w:val="center"/>
          </w:tcPr>
          <w:p w14:paraId="162A65B8"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2.2.6</w:t>
            </w:r>
          </w:p>
        </w:tc>
        <w:tc>
          <w:tcPr>
            <w:tcW w:w="2033" w:type="dxa"/>
            <w:shd w:val="clear" w:color="auto" w:fill="auto"/>
            <w:noWrap/>
            <w:vAlign w:val="center"/>
          </w:tcPr>
          <w:p w14:paraId="738CFE0F"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指标管理</w:t>
            </w:r>
          </w:p>
        </w:tc>
        <w:tc>
          <w:tcPr>
            <w:tcW w:w="4567" w:type="dxa"/>
            <w:shd w:val="clear" w:color="auto" w:fill="auto"/>
            <w:vAlign w:val="center"/>
          </w:tcPr>
          <w:p w14:paraId="02FB8AD3"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通过灵活可配置的指标定义及开发快速实现指标创建，为1个市级中心、41个区级中心创建七大板块指标体系，为各场景提供多维度的指标数据及指标管理服务，主要包括指标目录管理、指标数据挂接、指标服务、系统管理四大功能模块。</w:t>
            </w:r>
          </w:p>
        </w:tc>
        <w:tc>
          <w:tcPr>
            <w:tcW w:w="850" w:type="dxa"/>
            <w:shd w:val="clear" w:color="auto" w:fill="auto"/>
            <w:noWrap/>
            <w:vAlign w:val="center"/>
          </w:tcPr>
          <w:p w14:paraId="0709806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noWrap/>
            <w:vAlign w:val="center"/>
          </w:tcPr>
          <w:p w14:paraId="12905275"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45B804D9"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06FD121" w14:textId="77777777">
        <w:trPr>
          <w:trHeight w:val="454"/>
          <w:jc w:val="center"/>
        </w:trPr>
        <w:tc>
          <w:tcPr>
            <w:tcW w:w="881" w:type="dxa"/>
            <w:shd w:val="clear" w:color="auto" w:fill="auto"/>
            <w:noWrap/>
            <w:vAlign w:val="center"/>
          </w:tcPr>
          <w:p w14:paraId="4917E84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2.2.7</w:t>
            </w:r>
          </w:p>
        </w:tc>
        <w:tc>
          <w:tcPr>
            <w:tcW w:w="2033" w:type="dxa"/>
            <w:shd w:val="clear" w:color="auto" w:fill="auto"/>
            <w:noWrap/>
            <w:vAlign w:val="center"/>
          </w:tcPr>
          <w:p w14:paraId="353791B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考核管理</w:t>
            </w:r>
          </w:p>
        </w:tc>
        <w:tc>
          <w:tcPr>
            <w:tcW w:w="4567" w:type="dxa"/>
            <w:shd w:val="clear" w:color="auto" w:fill="auto"/>
            <w:vAlign w:val="center"/>
          </w:tcPr>
          <w:p w14:paraId="2FDEC93E"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通过灵活可配置的考核方案，以及公正、多维的评价方式为三级治理中心提供一次性以及周期性的高效便捷的考核服务，为各部门的考核评价提供了强大的支撑，确保了考核工作的顺利进行。包括考核方案、发布考核、我的考核、考核报告、考核评价等模块。</w:t>
            </w:r>
          </w:p>
        </w:tc>
        <w:tc>
          <w:tcPr>
            <w:tcW w:w="850" w:type="dxa"/>
            <w:shd w:val="clear" w:color="auto" w:fill="auto"/>
            <w:noWrap/>
            <w:vAlign w:val="center"/>
          </w:tcPr>
          <w:p w14:paraId="10DB113D"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noWrap/>
            <w:vAlign w:val="center"/>
          </w:tcPr>
          <w:p w14:paraId="3F31101A"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58437F19"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0A6C9502" w14:textId="77777777">
        <w:trPr>
          <w:trHeight w:val="454"/>
          <w:jc w:val="center"/>
        </w:trPr>
        <w:tc>
          <w:tcPr>
            <w:tcW w:w="881" w:type="dxa"/>
            <w:shd w:val="clear" w:color="auto" w:fill="auto"/>
            <w:noWrap/>
            <w:vAlign w:val="center"/>
          </w:tcPr>
          <w:p w14:paraId="4CB699CE"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2.2.8</w:t>
            </w:r>
          </w:p>
        </w:tc>
        <w:tc>
          <w:tcPr>
            <w:tcW w:w="2033" w:type="dxa"/>
            <w:shd w:val="clear" w:color="auto" w:fill="auto"/>
            <w:noWrap/>
            <w:vAlign w:val="center"/>
          </w:tcPr>
          <w:p w14:paraId="1437643B"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低代码开发</w:t>
            </w:r>
          </w:p>
        </w:tc>
        <w:tc>
          <w:tcPr>
            <w:tcW w:w="4567" w:type="dxa"/>
            <w:shd w:val="clear" w:color="auto" w:fill="auto"/>
            <w:vAlign w:val="center"/>
          </w:tcPr>
          <w:p w14:paraId="2C0CF098"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用于快速搭建轻量级应用，通过可视化开发方式，提供页面设计、表单设计、流程设计等功能，帮助各部门灵活高效开发，快速实现规模化业务创新，应对业务快速变化。包括表单设计器、业务数据模型模块、流程设计器、规则设计器、视图设计器、报表设计器、页面设计器、打印设计器等模块。</w:t>
            </w:r>
          </w:p>
        </w:tc>
        <w:tc>
          <w:tcPr>
            <w:tcW w:w="850" w:type="dxa"/>
            <w:shd w:val="clear" w:color="auto" w:fill="auto"/>
            <w:noWrap/>
            <w:vAlign w:val="center"/>
          </w:tcPr>
          <w:p w14:paraId="0776C3CD"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0" w:type="dxa"/>
            <w:shd w:val="clear" w:color="auto" w:fill="auto"/>
            <w:noWrap/>
            <w:vAlign w:val="center"/>
          </w:tcPr>
          <w:p w14:paraId="72423502"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70F88E00"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63D0AB4E" w14:textId="77777777">
        <w:trPr>
          <w:trHeight w:val="454"/>
          <w:jc w:val="center"/>
        </w:trPr>
        <w:tc>
          <w:tcPr>
            <w:tcW w:w="881" w:type="dxa"/>
            <w:shd w:val="clear" w:color="auto" w:fill="auto"/>
            <w:noWrap/>
            <w:vAlign w:val="center"/>
          </w:tcPr>
          <w:p w14:paraId="029D1CB6"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（二）</w:t>
            </w:r>
          </w:p>
        </w:tc>
        <w:tc>
          <w:tcPr>
            <w:tcW w:w="2033" w:type="dxa"/>
            <w:shd w:val="clear" w:color="auto" w:fill="auto"/>
            <w:noWrap/>
            <w:vAlign w:val="center"/>
          </w:tcPr>
          <w:p w14:paraId="60632152"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数据资源建设</w:t>
            </w:r>
          </w:p>
        </w:tc>
        <w:tc>
          <w:tcPr>
            <w:tcW w:w="4567" w:type="dxa"/>
            <w:shd w:val="clear" w:color="auto" w:fill="auto"/>
            <w:noWrap/>
            <w:vAlign w:val="center"/>
          </w:tcPr>
          <w:p w14:paraId="56023143"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2D28CC74"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11385450"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39073031"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54D52F17" w14:textId="77777777">
        <w:trPr>
          <w:trHeight w:val="454"/>
          <w:jc w:val="center"/>
        </w:trPr>
        <w:tc>
          <w:tcPr>
            <w:tcW w:w="881" w:type="dxa"/>
            <w:shd w:val="clear" w:color="auto" w:fill="auto"/>
            <w:noWrap/>
            <w:vAlign w:val="center"/>
          </w:tcPr>
          <w:p w14:paraId="5748B191"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2033" w:type="dxa"/>
            <w:shd w:val="clear" w:color="auto" w:fill="auto"/>
            <w:noWrap/>
            <w:vAlign w:val="center"/>
          </w:tcPr>
          <w:p w14:paraId="1AD0E68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数据治理</w:t>
            </w:r>
          </w:p>
        </w:tc>
        <w:tc>
          <w:tcPr>
            <w:tcW w:w="4567" w:type="dxa"/>
            <w:shd w:val="clear" w:color="auto" w:fill="auto"/>
            <w:vAlign w:val="center"/>
          </w:tcPr>
          <w:p w14:paraId="5B28EDF5"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包括市级城市运行和治理需求梳理、数据探查、数据汇聚、数据清洗、数据融合等。</w:t>
            </w:r>
          </w:p>
        </w:tc>
        <w:tc>
          <w:tcPr>
            <w:tcW w:w="850" w:type="dxa"/>
            <w:shd w:val="clear" w:color="auto" w:fill="auto"/>
            <w:noWrap/>
            <w:vAlign w:val="center"/>
          </w:tcPr>
          <w:p w14:paraId="4C3DC83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7935C0C3"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1E30E530"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5D5F6C97" w14:textId="77777777">
        <w:trPr>
          <w:trHeight w:val="454"/>
          <w:jc w:val="center"/>
        </w:trPr>
        <w:tc>
          <w:tcPr>
            <w:tcW w:w="881" w:type="dxa"/>
            <w:shd w:val="clear" w:color="auto" w:fill="auto"/>
            <w:noWrap/>
            <w:vAlign w:val="center"/>
          </w:tcPr>
          <w:p w14:paraId="117C583B"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w:t>
            </w:r>
          </w:p>
        </w:tc>
        <w:tc>
          <w:tcPr>
            <w:tcW w:w="2033" w:type="dxa"/>
            <w:shd w:val="clear" w:color="auto" w:fill="auto"/>
            <w:noWrap/>
            <w:vAlign w:val="center"/>
          </w:tcPr>
          <w:p w14:paraId="6A517EDC"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数据资源建库</w:t>
            </w:r>
          </w:p>
        </w:tc>
        <w:tc>
          <w:tcPr>
            <w:tcW w:w="4567" w:type="dxa"/>
            <w:shd w:val="clear" w:color="auto" w:fill="auto"/>
            <w:vAlign w:val="center"/>
          </w:tcPr>
          <w:p w14:paraId="537CBD4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业务库：根据业务系统需要，建立市级和区县业务库，包括事件流转业务库、任务业务库、事件预案业务库、日常运行业务库。</w:t>
            </w:r>
          </w:p>
          <w:p w14:paraId="737704B7"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专题库：建立市级和区县专题库，包括城市运行体征指标专题库和事项权责专题库。</w:t>
            </w:r>
          </w:p>
        </w:tc>
        <w:tc>
          <w:tcPr>
            <w:tcW w:w="850" w:type="dxa"/>
            <w:shd w:val="clear" w:color="auto" w:fill="auto"/>
            <w:noWrap/>
            <w:vAlign w:val="center"/>
          </w:tcPr>
          <w:p w14:paraId="37FCE734"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7C3E8024"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4C6E582"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0DD3C1F3" w14:textId="77777777">
        <w:trPr>
          <w:trHeight w:val="454"/>
          <w:jc w:val="center"/>
        </w:trPr>
        <w:tc>
          <w:tcPr>
            <w:tcW w:w="881" w:type="dxa"/>
            <w:shd w:val="clear" w:color="auto" w:fill="auto"/>
            <w:noWrap/>
            <w:vAlign w:val="center"/>
          </w:tcPr>
          <w:p w14:paraId="30D5B7D2"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w:t>
            </w:r>
          </w:p>
        </w:tc>
        <w:tc>
          <w:tcPr>
            <w:tcW w:w="2033" w:type="dxa"/>
            <w:shd w:val="clear" w:color="auto" w:fill="auto"/>
            <w:noWrap/>
            <w:vAlign w:val="center"/>
          </w:tcPr>
          <w:p w14:paraId="11F9BA66"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数据资源建仓</w:t>
            </w:r>
          </w:p>
        </w:tc>
        <w:tc>
          <w:tcPr>
            <w:tcW w:w="4567" w:type="dxa"/>
            <w:shd w:val="clear" w:color="auto" w:fill="auto"/>
            <w:vAlign w:val="center"/>
          </w:tcPr>
          <w:p w14:paraId="34709CFE"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包括模型设计、模型建设、模型测试验证、数据模型管理等。</w:t>
            </w:r>
          </w:p>
        </w:tc>
        <w:tc>
          <w:tcPr>
            <w:tcW w:w="850" w:type="dxa"/>
            <w:shd w:val="clear" w:color="auto" w:fill="auto"/>
            <w:noWrap/>
            <w:vAlign w:val="center"/>
          </w:tcPr>
          <w:p w14:paraId="5F43901E"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3DFCB28E"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225ABB6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651E385" w14:textId="77777777">
        <w:trPr>
          <w:trHeight w:val="454"/>
          <w:jc w:val="center"/>
        </w:trPr>
        <w:tc>
          <w:tcPr>
            <w:tcW w:w="881" w:type="dxa"/>
            <w:shd w:val="clear" w:color="auto" w:fill="auto"/>
            <w:noWrap/>
            <w:vAlign w:val="center"/>
          </w:tcPr>
          <w:p w14:paraId="0FC439DB"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（三）</w:t>
            </w:r>
          </w:p>
        </w:tc>
        <w:tc>
          <w:tcPr>
            <w:tcW w:w="2033" w:type="dxa"/>
            <w:shd w:val="clear" w:color="auto" w:fill="auto"/>
            <w:noWrap/>
            <w:vAlign w:val="center"/>
          </w:tcPr>
          <w:p w14:paraId="75EC5156"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开发期安全咨询服务</w:t>
            </w:r>
          </w:p>
        </w:tc>
        <w:tc>
          <w:tcPr>
            <w:tcW w:w="4567" w:type="dxa"/>
            <w:shd w:val="clear" w:color="auto" w:fill="auto"/>
            <w:vAlign w:val="center"/>
          </w:tcPr>
          <w:p w14:paraId="05F934B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包含基线核查、漏洞扫描、渗透测试等服务。</w:t>
            </w:r>
          </w:p>
        </w:tc>
        <w:tc>
          <w:tcPr>
            <w:tcW w:w="850" w:type="dxa"/>
            <w:shd w:val="clear" w:color="auto" w:fill="auto"/>
            <w:noWrap/>
            <w:vAlign w:val="center"/>
          </w:tcPr>
          <w:p w14:paraId="44686703"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7444B4B4"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AD55CB3"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64637F9B" w14:textId="77777777">
        <w:trPr>
          <w:trHeight w:val="454"/>
          <w:jc w:val="center"/>
        </w:trPr>
        <w:tc>
          <w:tcPr>
            <w:tcW w:w="881" w:type="dxa"/>
            <w:shd w:val="clear" w:color="auto" w:fill="auto"/>
            <w:noWrap/>
            <w:vAlign w:val="center"/>
          </w:tcPr>
          <w:p w14:paraId="7E922A66"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（四）</w:t>
            </w:r>
          </w:p>
        </w:tc>
        <w:tc>
          <w:tcPr>
            <w:tcW w:w="2033" w:type="dxa"/>
            <w:shd w:val="clear" w:color="auto" w:fill="auto"/>
            <w:noWrap/>
            <w:vAlign w:val="center"/>
          </w:tcPr>
          <w:p w14:paraId="48717707"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集成实施</w:t>
            </w:r>
          </w:p>
        </w:tc>
        <w:tc>
          <w:tcPr>
            <w:tcW w:w="4567" w:type="dxa"/>
            <w:shd w:val="clear" w:color="auto" w:fill="auto"/>
            <w:noWrap/>
            <w:vAlign w:val="center"/>
          </w:tcPr>
          <w:p w14:paraId="43F017A4" w14:textId="77777777" w:rsidR="0022665C" w:rsidRDefault="00000000">
            <w:pPr>
              <w:widowControl/>
              <w:spacing w:line="360" w:lineRule="exact"/>
              <w:ind w:firstLineChars="200" w:firstLine="420"/>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6CC7CF15"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48605708"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32F7B83B"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5390E711" w14:textId="77777777">
        <w:trPr>
          <w:trHeight w:val="454"/>
          <w:jc w:val="center"/>
        </w:trPr>
        <w:tc>
          <w:tcPr>
            <w:tcW w:w="881" w:type="dxa"/>
            <w:shd w:val="clear" w:color="auto" w:fill="auto"/>
            <w:noWrap/>
            <w:vAlign w:val="center"/>
          </w:tcPr>
          <w:p w14:paraId="582344C9"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（五）</w:t>
            </w:r>
          </w:p>
        </w:tc>
        <w:tc>
          <w:tcPr>
            <w:tcW w:w="2033" w:type="dxa"/>
            <w:shd w:val="clear" w:color="auto" w:fill="auto"/>
            <w:noWrap/>
            <w:vAlign w:val="center"/>
          </w:tcPr>
          <w:p w14:paraId="5C12A6F0"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标准规范编制</w:t>
            </w:r>
          </w:p>
        </w:tc>
        <w:tc>
          <w:tcPr>
            <w:tcW w:w="4567" w:type="dxa"/>
            <w:shd w:val="clear" w:color="auto" w:fill="auto"/>
            <w:vAlign w:val="center"/>
          </w:tcPr>
          <w:p w14:paraId="529B2FCF"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提供1个总体规范、11个技术类规范、20个安全类规范及1个管理类规范。</w:t>
            </w:r>
          </w:p>
        </w:tc>
        <w:tc>
          <w:tcPr>
            <w:tcW w:w="850" w:type="dxa"/>
            <w:shd w:val="clear" w:color="auto" w:fill="auto"/>
            <w:noWrap/>
            <w:vAlign w:val="center"/>
          </w:tcPr>
          <w:p w14:paraId="2686043F"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7E5DBBE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6CFD7C27"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6856FA52" w14:textId="77777777">
        <w:trPr>
          <w:trHeight w:val="454"/>
          <w:jc w:val="center"/>
        </w:trPr>
        <w:tc>
          <w:tcPr>
            <w:tcW w:w="881" w:type="dxa"/>
            <w:shd w:val="clear" w:color="auto" w:fill="auto"/>
            <w:noWrap/>
            <w:vAlign w:val="center"/>
          </w:tcPr>
          <w:p w14:paraId="78FD5D99"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（六）</w:t>
            </w:r>
          </w:p>
        </w:tc>
        <w:tc>
          <w:tcPr>
            <w:tcW w:w="2033" w:type="dxa"/>
            <w:shd w:val="clear" w:color="auto" w:fill="auto"/>
            <w:noWrap/>
            <w:vAlign w:val="center"/>
          </w:tcPr>
          <w:p w14:paraId="2AFCC266"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开发期其他情形</w:t>
            </w:r>
          </w:p>
        </w:tc>
        <w:tc>
          <w:tcPr>
            <w:tcW w:w="4567" w:type="dxa"/>
            <w:shd w:val="clear" w:color="auto" w:fill="auto"/>
            <w:noWrap/>
            <w:vAlign w:val="center"/>
          </w:tcPr>
          <w:p w14:paraId="3DBA9ACC"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3AD1527C"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0B5638BD"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05CB6E66"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4EE921EF" w14:textId="77777777">
        <w:trPr>
          <w:trHeight w:val="454"/>
          <w:jc w:val="center"/>
        </w:trPr>
        <w:tc>
          <w:tcPr>
            <w:tcW w:w="881" w:type="dxa"/>
            <w:shd w:val="clear" w:color="auto" w:fill="auto"/>
            <w:noWrap/>
            <w:vAlign w:val="center"/>
          </w:tcPr>
          <w:p w14:paraId="6BCE0FA0"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2033" w:type="dxa"/>
            <w:shd w:val="clear" w:color="auto" w:fill="auto"/>
            <w:noWrap/>
            <w:vAlign w:val="center"/>
          </w:tcPr>
          <w:p w14:paraId="5B3A6648"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市级治理中心保障和服务</w:t>
            </w:r>
          </w:p>
        </w:tc>
        <w:tc>
          <w:tcPr>
            <w:tcW w:w="4567" w:type="dxa"/>
            <w:shd w:val="clear" w:color="auto" w:fill="auto"/>
            <w:noWrap/>
            <w:vAlign w:val="center"/>
          </w:tcPr>
          <w:p w14:paraId="6A72CD6B"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513F65F9"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0837F513"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65C197CB"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5C384C66" w14:textId="77777777">
        <w:trPr>
          <w:trHeight w:val="454"/>
          <w:jc w:val="center"/>
        </w:trPr>
        <w:tc>
          <w:tcPr>
            <w:tcW w:w="881" w:type="dxa"/>
            <w:shd w:val="clear" w:color="auto" w:fill="auto"/>
            <w:noWrap/>
            <w:vAlign w:val="center"/>
          </w:tcPr>
          <w:p w14:paraId="60C7A9D6"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w:t>
            </w:r>
          </w:p>
        </w:tc>
        <w:tc>
          <w:tcPr>
            <w:tcW w:w="2033" w:type="dxa"/>
            <w:shd w:val="clear" w:color="auto" w:fill="auto"/>
            <w:noWrap/>
            <w:vAlign w:val="center"/>
          </w:tcPr>
          <w:p w14:paraId="66CB52A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业务专家服务</w:t>
            </w:r>
          </w:p>
        </w:tc>
        <w:tc>
          <w:tcPr>
            <w:tcW w:w="4567" w:type="dxa"/>
            <w:shd w:val="clear" w:color="auto" w:fill="auto"/>
            <w:vAlign w:val="center"/>
          </w:tcPr>
          <w:p w14:paraId="212FB22F"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提供80人次城市运行和治理业务专家服务。</w:t>
            </w:r>
          </w:p>
        </w:tc>
        <w:tc>
          <w:tcPr>
            <w:tcW w:w="850" w:type="dxa"/>
            <w:shd w:val="clear" w:color="auto" w:fill="auto"/>
            <w:noWrap/>
            <w:vAlign w:val="center"/>
          </w:tcPr>
          <w:p w14:paraId="3DD367CD"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7241FC2F"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687499AC"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0CFE0DE7" w14:textId="77777777">
        <w:trPr>
          <w:trHeight w:val="454"/>
          <w:jc w:val="center"/>
        </w:trPr>
        <w:tc>
          <w:tcPr>
            <w:tcW w:w="881" w:type="dxa"/>
            <w:shd w:val="clear" w:color="auto" w:fill="auto"/>
            <w:noWrap/>
            <w:vAlign w:val="center"/>
          </w:tcPr>
          <w:p w14:paraId="76D7DAFD"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1.2</w:t>
            </w:r>
          </w:p>
        </w:tc>
        <w:tc>
          <w:tcPr>
            <w:tcW w:w="2033" w:type="dxa"/>
            <w:shd w:val="clear" w:color="auto" w:fill="auto"/>
            <w:noWrap/>
            <w:vAlign w:val="center"/>
          </w:tcPr>
          <w:p w14:paraId="51F9185E"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系统使用技术支撑</w:t>
            </w:r>
          </w:p>
        </w:tc>
        <w:tc>
          <w:tcPr>
            <w:tcW w:w="4567" w:type="dxa"/>
            <w:shd w:val="clear" w:color="auto" w:fill="auto"/>
            <w:vAlign w:val="center"/>
          </w:tcPr>
          <w:p w14:paraId="5C289CBF"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为市级部门提供系统使用技术支撑，包括技术答疑、故障排查及处置、系统操作培训、应用现场使用指导等。</w:t>
            </w:r>
          </w:p>
        </w:tc>
        <w:tc>
          <w:tcPr>
            <w:tcW w:w="850" w:type="dxa"/>
            <w:shd w:val="clear" w:color="auto" w:fill="auto"/>
            <w:noWrap/>
            <w:vAlign w:val="center"/>
          </w:tcPr>
          <w:p w14:paraId="1D1239F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5F472FEB"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49062D20"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724BD67E" w14:textId="77777777">
        <w:trPr>
          <w:trHeight w:val="454"/>
          <w:jc w:val="center"/>
        </w:trPr>
        <w:tc>
          <w:tcPr>
            <w:tcW w:w="881" w:type="dxa"/>
            <w:shd w:val="clear" w:color="auto" w:fill="auto"/>
            <w:noWrap/>
            <w:vAlign w:val="center"/>
          </w:tcPr>
          <w:p w14:paraId="09681244"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1.3</w:t>
            </w:r>
          </w:p>
        </w:tc>
        <w:tc>
          <w:tcPr>
            <w:tcW w:w="2033" w:type="dxa"/>
            <w:shd w:val="clear" w:color="auto" w:fill="auto"/>
            <w:noWrap/>
            <w:vAlign w:val="center"/>
          </w:tcPr>
          <w:p w14:paraId="789168C8"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重点活动保障服务</w:t>
            </w:r>
          </w:p>
        </w:tc>
        <w:tc>
          <w:tcPr>
            <w:tcW w:w="4567" w:type="dxa"/>
            <w:shd w:val="clear" w:color="auto" w:fill="auto"/>
            <w:vAlign w:val="center"/>
          </w:tcPr>
          <w:p w14:paraId="7D6DB5B1"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提供6次市级重点活动保障服务，包括业务梳理、场景梳理、场景打造、组件配置等前期服务，以及现场技术支撑、汇报支撑等现场服务。</w:t>
            </w:r>
          </w:p>
        </w:tc>
        <w:tc>
          <w:tcPr>
            <w:tcW w:w="850" w:type="dxa"/>
            <w:shd w:val="clear" w:color="auto" w:fill="auto"/>
            <w:noWrap/>
            <w:vAlign w:val="center"/>
          </w:tcPr>
          <w:p w14:paraId="74E03D03"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599183B7"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3E76E56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70A25A10" w14:textId="77777777">
        <w:trPr>
          <w:trHeight w:val="454"/>
          <w:jc w:val="center"/>
        </w:trPr>
        <w:tc>
          <w:tcPr>
            <w:tcW w:w="881" w:type="dxa"/>
            <w:shd w:val="clear" w:color="auto" w:fill="auto"/>
            <w:noWrap/>
            <w:vAlign w:val="center"/>
          </w:tcPr>
          <w:p w14:paraId="62708872"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2033" w:type="dxa"/>
            <w:shd w:val="clear" w:color="auto" w:fill="auto"/>
            <w:noWrap/>
            <w:vAlign w:val="center"/>
          </w:tcPr>
          <w:p w14:paraId="122F742E"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区县治理中心保障和服务</w:t>
            </w:r>
          </w:p>
        </w:tc>
        <w:tc>
          <w:tcPr>
            <w:tcW w:w="4567" w:type="dxa"/>
            <w:shd w:val="clear" w:color="auto" w:fill="auto"/>
            <w:noWrap/>
            <w:vAlign w:val="center"/>
          </w:tcPr>
          <w:p w14:paraId="4188B85E"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850" w:type="dxa"/>
            <w:shd w:val="clear" w:color="auto" w:fill="auto"/>
            <w:noWrap/>
            <w:vAlign w:val="center"/>
          </w:tcPr>
          <w:p w14:paraId="3515B5B5"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1CE8A624"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243A6E33"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5414E603" w14:textId="77777777">
        <w:trPr>
          <w:trHeight w:val="454"/>
          <w:jc w:val="center"/>
        </w:trPr>
        <w:tc>
          <w:tcPr>
            <w:tcW w:w="881" w:type="dxa"/>
            <w:shd w:val="clear" w:color="auto" w:fill="auto"/>
            <w:noWrap/>
            <w:vAlign w:val="center"/>
          </w:tcPr>
          <w:p w14:paraId="1F661937"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w:t>
            </w:r>
          </w:p>
        </w:tc>
        <w:tc>
          <w:tcPr>
            <w:tcW w:w="2033" w:type="dxa"/>
            <w:shd w:val="clear" w:color="auto" w:fill="auto"/>
            <w:noWrap/>
            <w:vAlign w:val="center"/>
          </w:tcPr>
          <w:p w14:paraId="2AE22122"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指导推进区县治理中心建设</w:t>
            </w:r>
          </w:p>
        </w:tc>
        <w:tc>
          <w:tcPr>
            <w:tcW w:w="4567" w:type="dxa"/>
            <w:shd w:val="clear" w:color="auto" w:fill="auto"/>
            <w:vAlign w:val="center"/>
          </w:tcPr>
          <w:p w14:paraId="401DDA23"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提供区县治理中心基础情况摸排、应用建设情况摸排、培训指导、区级中心实施部署等指导服务。</w:t>
            </w:r>
          </w:p>
        </w:tc>
        <w:tc>
          <w:tcPr>
            <w:tcW w:w="850" w:type="dxa"/>
            <w:shd w:val="clear" w:color="auto" w:fill="auto"/>
            <w:noWrap/>
            <w:vAlign w:val="center"/>
          </w:tcPr>
          <w:p w14:paraId="544640D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26314C12"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4C40269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07C5C690" w14:textId="77777777">
        <w:trPr>
          <w:trHeight w:val="454"/>
          <w:jc w:val="center"/>
        </w:trPr>
        <w:tc>
          <w:tcPr>
            <w:tcW w:w="881" w:type="dxa"/>
            <w:shd w:val="clear" w:color="auto" w:fill="auto"/>
            <w:noWrap/>
            <w:vAlign w:val="center"/>
          </w:tcPr>
          <w:p w14:paraId="40C8F0A9"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w:t>
            </w:r>
          </w:p>
        </w:tc>
        <w:tc>
          <w:tcPr>
            <w:tcW w:w="2033" w:type="dxa"/>
            <w:shd w:val="clear" w:color="auto" w:fill="auto"/>
            <w:noWrap/>
            <w:vAlign w:val="center"/>
          </w:tcPr>
          <w:p w14:paraId="77C548A0"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指导推进区县治理中心常态化运行</w:t>
            </w:r>
          </w:p>
        </w:tc>
        <w:tc>
          <w:tcPr>
            <w:tcW w:w="4567" w:type="dxa"/>
            <w:shd w:val="clear" w:color="auto" w:fill="auto"/>
            <w:vAlign w:val="center"/>
          </w:tcPr>
          <w:p w14:paraId="66801C08"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提供日常技术答疑、市级应用贯通指导服务、体征指标编目指导服务和业务事项编目指导服务、事件协同处置和分拨操作培训指导、区县治理中心应用贯通检查。</w:t>
            </w:r>
          </w:p>
        </w:tc>
        <w:tc>
          <w:tcPr>
            <w:tcW w:w="850" w:type="dxa"/>
            <w:shd w:val="clear" w:color="auto" w:fill="auto"/>
            <w:noWrap/>
            <w:vAlign w:val="center"/>
          </w:tcPr>
          <w:p w14:paraId="5BC04D2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7B5BA5E1"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05F7A01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205E1CC6" w14:textId="77777777">
        <w:trPr>
          <w:trHeight w:val="454"/>
          <w:jc w:val="center"/>
        </w:trPr>
        <w:tc>
          <w:tcPr>
            <w:tcW w:w="881" w:type="dxa"/>
            <w:shd w:val="clear" w:color="auto" w:fill="auto"/>
            <w:noWrap/>
            <w:vAlign w:val="center"/>
          </w:tcPr>
          <w:p w14:paraId="495F2FDE"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2.3</w:t>
            </w:r>
          </w:p>
        </w:tc>
        <w:tc>
          <w:tcPr>
            <w:tcW w:w="2033" w:type="dxa"/>
            <w:shd w:val="clear" w:color="auto" w:fill="auto"/>
            <w:noWrap/>
            <w:vAlign w:val="center"/>
          </w:tcPr>
          <w:p w14:paraId="63BC4245"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重点活动保障服务</w:t>
            </w:r>
          </w:p>
        </w:tc>
        <w:tc>
          <w:tcPr>
            <w:tcW w:w="4567" w:type="dxa"/>
            <w:shd w:val="clear" w:color="auto" w:fill="auto"/>
            <w:vAlign w:val="center"/>
          </w:tcPr>
          <w:p w14:paraId="48473D1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提供6次区县重点活动保障服务，包括业务梳理、场景梳理、场景打造、组件配置等前期服务，以及现场技术支撑、汇报支撑等现场服务。</w:t>
            </w:r>
          </w:p>
        </w:tc>
        <w:tc>
          <w:tcPr>
            <w:tcW w:w="850" w:type="dxa"/>
            <w:shd w:val="clear" w:color="auto" w:fill="auto"/>
            <w:noWrap/>
            <w:vAlign w:val="center"/>
          </w:tcPr>
          <w:p w14:paraId="70005886"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58510876"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37BE7368"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2E5AEFB" w14:textId="77777777">
        <w:trPr>
          <w:trHeight w:val="454"/>
          <w:jc w:val="center"/>
        </w:trPr>
        <w:tc>
          <w:tcPr>
            <w:tcW w:w="881" w:type="dxa"/>
            <w:shd w:val="clear" w:color="auto" w:fill="auto"/>
            <w:noWrap/>
            <w:vAlign w:val="center"/>
          </w:tcPr>
          <w:p w14:paraId="5582900D"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3</w:t>
            </w:r>
          </w:p>
        </w:tc>
        <w:tc>
          <w:tcPr>
            <w:tcW w:w="2033" w:type="dxa"/>
            <w:shd w:val="clear" w:color="auto" w:fill="auto"/>
            <w:vAlign w:val="center"/>
          </w:tcPr>
          <w:p w14:paraId="0CDD1E70" w14:textId="77777777" w:rsidR="0022665C" w:rsidRDefault="00000000">
            <w:pPr>
              <w:widowControl/>
              <w:spacing w:line="360" w:lineRule="exact"/>
              <w:jc w:val="left"/>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事件贯通支撑服务</w:t>
            </w:r>
          </w:p>
        </w:tc>
        <w:tc>
          <w:tcPr>
            <w:tcW w:w="4567" w:type="dxa"/>
            <w:shd w:val="clear" w:color="auto" w:fill="auto"/>
            <w:vAlign w:val="center"/>
          </w:tcPr>
          <w:p w14:paraId="19E56EC1"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包含市级事件贯通服务和区县事件贯通服务</w:t>
            </w:r>
          </w:p>
        </w:tc>
        <w:tc>
          <w:tcPr>
            <w:tcW w:w="850" w:type="dxa"/>
            <w:shd w:val="clear" w:color="auto" w:fill="auto"/>
            <w:noWrap/>
            <w:vAlign w:val="center"/>
          </w:tcPr>
          <w:p w14:paraId="11D6A135"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700" w:type="dxa"/>
            <w:shd w:val="clear" w:color="auto" w:fill="auto"/>
            <w:noWrap/>
            <w:vAlign w:val="center"/>
          </w:tcPr>
          <w:p w14:paraId="71F31F7B" w14:textId="77777777" w:rsidR="0022665C" w:rsidRDefault="00000000">
            <w:pPr>
              <w:widowControl/>
              <w:spacing w:line="36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 xml:space="preserve">　</w:t>
            </w:r>
          </w:p>
        </w:tc>
        <w:tc>
          <w:tcPr>
            <w:tcW w:w="673" w:type="dxa"/>
            <w:shd w:val="clear" w:color="auto" w:fill="auto"/>
            <w:noWrap/>
            <w:vAlign w:val="center"/>
          </w:tcPr>
          <w:p w14:paraId="170B987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5C699E76" w14:textId="77777777">
        <w:trPr>
          <w:trHeight w:val="454"/>
          <w:jc w:val="center"/>
        </w:trPr>
        <w:tc>
          <w:tcPr>
            <w:tcW w:w="881" w:type="dxa"/>
            <w:shd w:val="clear" w:color="auto" w:fill="auto"/>
            <w:noWrap/>
            <w:vAlign w:val="center"/>
          </w:tcPr>
          <w:p w14:paraId="3076962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3.1</w:t>
            </w:r>
          </w:p>
        </w:tc>
        <w:tc>
          <w:tcPr>
            <w:tcW w:w="2033" w:type="dxa"/>
            <w:shd w:val="clear" w:color="auto" w:fill="auto"/>
            <w:noWrap/>
            <w:vAlign w:val="center"/>
          </w:tcPr>
          <w:p w14:paraId="506BD84C"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市级事件贯通支撑服务</w:t>
            </w:r>
          </w:p>
        </w:tc>
        <w:tc>
          <w:tcPr>
            <w:tcW w:w="4567" w:type="dxa"/>
            <w:shd w:val="clear" w:color="auto" w:fill="auto"/>
            <w:vAlign w:val="center"/>
          </w:tcPr>
          <w:p w14:paraId="5455ABEE"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提供32个市级事件贯通支撑服务，包含方法技术对接指导、事件梳理服务、事件配置服务、三级治理中心技术对接和联调服务、一体化平台技术对接和联调服务等。</w:t>
            </w:r>
          </w:p>
        </w:tc>
        <w:tc>
          <w:tcPr>
            <w:tcW w:w="850" w:type="dxa"/>
            <w:shd w:val="clear" w:color="auto" w:fill="auto"/>
            <w:noWrap/>
            <w:vAlign w:val="center"/>
          </w:tcPr>
          <w:p w14:paraId="75B1BEDF"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3EF4630E"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4088D53F"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4F0F6A7A" w14:textId="77777777">
        <w:trPr>
          <w:trHeight w:val="454"/>
          <w:jc w:val="center"/>
        </w:trPr>
        <w:tc>
          <w:tcPr>
            <w:tcW w:w="881" w:type="dxa"/>
            <w:shd w:val="clear" w:color="auto" w:fill="auto"/>
            <w:noWrap/>
            <w:vAlign w:val="center"/>
          </w:tcPr>
          <w:p w14:paraId="5AF10722"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3.2</w:t>
            </w:r>
          </w:p>
        </w:tc>
        <w:tc>
          <w:tcPr>
            <w:tcW w:w="2033" w:type="dxa"/>
            <w:shd w:val="clear" w:color="auto" w:fill="auto"/>
            <w:vAlign w:val="center"/>
          </w:tcPr>
          <w:p w14:paraId="6BAB7D43"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区县事件贯通支撑服务</w:t>
            </w:r>
          </w:p>
        </w:tc>
        <w:tc>
          <w:tcPr>
            <w:tcW w:w="4567" w:type="dxa"/>
            <w:shd w:val="clear" w:color="auto" w:fill="auto"/>
            <w:vAlign w:val="center"/>
          </w:tcPr>
          <w:p w14:paraId="2CF17258"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提供41个区县事件贯通支撑服务，包含方法技术对接指导、事件梳理服务、事件配置服务、三级治理中心技术对接和联调服务、一体化平台技术对接和联调服务等。</w:t>
            </w:r>
          </w:p>
        </w:tc>
        <w:tc>
          <w:tcPr>
            <w:tcW w:w="850" w:type="dxa"/>
            <w:shd w:val="clear" w:color="auto" w:fill="auto"/>
            <w:noWrap/>
            <w:vAlign w:val="center"/>
          </w:tcPr>
          <w:p w14:paraId="45BC6F5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690725A1"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523B7BF6"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64BB6B5E" w14:textId="77777777">
        <w:trPr>
          <w:trHeight w:val="454"/>
          <w:jc w:val="center"/>
        </w:trPr>
        <w:tc>
          <w:tcPr>
            <w:tcW w:w="881" w:type="dxa"/>
            <w:shd w:val="clear" w:color="auto" w:fill="auto"/>
            <w:noWrap/>
            <w:vAlign w:val="center"/>
          </w:tcPr>
          <w:p w14:paraId="1D74A98E"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b/>
                <w:bCs/>
                <w:kern w:val="0"/>
                <w:sz w:val="21"/>
                <w:szCs w:val="21"/>
              </w:rPr>
              <w:t>二</w:t>
            </w:r>
          </w:p>
        </w:tc>
        <w:tc>
          <w:tcPr>
            <w:tcW w:w="2033" w:type="dxa"/>
            <w:shd w:val="clear" w:color="auto" w:fill="auto"/>
            <w:noWrap/>
            <w:vAlign w:val="center"/>
          </w:tcPr>
          <w:p w14:paraId="1F998142"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应用开发设计</w:t>
            </w:r>
          </w:p>
        </w:tc>
        <w:tc>
          <w:tcPr>
            <w:tcW w:w="4567" w:type="dxa"/>
            <w:shd w:val="clear" w:color="auto" w:fill="auto"/>
            <w:noWrap/>
            <w:vAlign w:val="center"/>
          </w:tcPr>
          <w:p w14:paraId="5F007E31"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完成详细应用开发设计方案</w:t>
            </w:r>
          </w:p>
        </w:tc>
        <w:tc>
          <w:tcPr>
            <w:tcW w:w="850" w:type="dxa"/>
            <w:shd w:val="clear" w:color="auto" w:fill="auto"/>
            <w:noWrap/>
            <w:vAlign w:val="center"/>
          </w:tcPr>
          <w:p w14:paraId="30F60700"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697765BC"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2486DC3A"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1514CF5D" w14:textId="77777777">
        <w:trPr>
          <w:trHeight w:val="454"/>
          <w:jc w:val="center"/>
        </w:trPr>
        <w:tc>
          <w:tcPr>
            <w:tcW w:w="881" w:type="dxa"/>
            <w:shd w:val="clear" w:color="auto" w:fill="auto"/>
            <w:noWrap/>
            <w:vAlign w:val="center"/>
          </w:tcPr>
          <w:p w14:paraId="0512EE3D" w14:textId="77777777" w:rsidR="0022665C" w:rsidRDefault="00000000">
            <w:pPr>
              <w:widowControl/>
              <w:spacing w:line="360" w:lineRule="exact"/>
              <w:jc w:val="center"/>
              <w:rPr>
                <w:rFonts w:ascii="微软雅黑" w:eastAsia="微软雅黑" w:hAnsi="微软雅黑" w:cs="微软雅黑" w:hint="eastAsia"/>
                <w:b/>
                <w:kern w:val="0"/>
                <w:sz w:val="21"/>
                <w:szCs w:val="21"/>
              </w:rPr>
            </w:pPr>
            <w:r>
              <w:rPr>
                <w:rFonts w:ascii="微软雅黑" w:eastAsia="微软雅黑" w:hAnsi="微软雅黑" w:cs="微软雅黑" w:hint="eastAsia"/>
                <w:b/>
                <w:kern w:val="0"/>
                <w:sz w:val="21"/>
                <w:szCs w:val="21"/>
              </w:rPr>
              <w:t>三</w:t>
            </w:r>
          </w:p>
        </w:tc>
        <w:tc>
          <w:tcPr>
            <w:tcW w:w="2033" w:type="dxa"/>
            <w:shd w:val="clear" w:color="auto" w:fill="auto"/>
            <w:noWrap/>
            <w:vAlign w:val="center"/>
          </w:tcPr>
          <w:p w14:paraId="424A3BA7"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网络安全等级保护测评</w:t>
            </w:r>
          </w:p>
        </w:tc>
        <w:tc>
          <w:tcPr>
            <w:tcW w:w="4567" w:type="dxa"/>
            <w:shd w:val="clear" w:color="auto" w:fill="auto"/>
            <w:vAlign w:val="center"/>
          </w:tcPr>
          <w:p w14:paraId="34DF56ED"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对应用进行网络安全等级保护测评，验证应用系统是否满足应用安全保护等级</w:t>
            </w:r>
          </w:p>
        </w:tc>
        <w:tc>
          <w:tcPr>
            <w:tcW w:w="850" w:type="dxa"/>
            <w:shd w:val="clear" w:color="auto" w:fill="auto"/>
            <w:noWrap/>
            <w:vAlign w:val="center"/>
          </w:tcPr>
          <w:p w14:paraId="77169318"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3815E71F"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3B505D37"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r w:rsidR="0022665C" w14:paraId="3FC3098D" w14:textId="77777777">
        <w:trPr>
          <w:trHeight w:val="454"/>
          <w:jc w:val="center"/>
        </w:trPr>
        <w:tc>
          <w:tcPr>
            <w:tcW w:w="881" w:type="dxa"/>
            <w:shd w:val="clear" w:color="auto" w:fill="auto"/>
            <w:noWrap/>
            <w:vAlign w:val="center"/>
          </w:tcPr>
          <w:p w14:paraId="5A63E818" w14:textId="77777777" w:rsidR="0022665C" w:rsidRDefault="00000000">
            <w:pPr>
              <w:widowControl/>
              <w:spacing w:line="360" w:lineRule="exact"/>
              <w:jc w:val="center"/>
              <w:rPr>
                <w:rFonts w:ascii="微软雅黑" w:eastAsia="微软雅黑" w:hAnsi="微软雅黑" w:cs="微软雅黑" w:hint="eastAsia"/>
                <w:b/>
                <w:kern w:val="0"/>
                <w:sz w:val="21"/>
                <w:szCs w:val="21"/>
              </w:rPr>
            </w:pPr>
            <w:r>
              <w:rPr>
                <w:rFonts w:ascii="微软雅黑" w:eastAsia="微软雅黑" w:hAnsi="微软雅黑" w:cs="微软雅黑" w:hint="eastAsia"/>
                <w:b/>
                <w:kern w:val="0"/>
                <w:sz w:val="21"/>
                <w:szCs w:val="21"/>
              </w:rPr>
              <w:t>四</w:t>
            </w:r>
          </w:p>
        </w:tc>
        <w:tc>
          <w:tcPr>
            <w:tcW w:w="2033" w:type="dxa"/>
            <w:shd w:val="clear" w:color="auto" w:fill="auto"/>
            <w:noWrap/>
            <w:vAlign w:val="center"/>
          </w:tcPr>
          <w:p w14:paraId="45CBBB3B"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密码应用安全性评估</w:t>
            </w:r>
          </w:p>
        </w:tc>
        <w:tc>
          <w:tcPr>
            <w:tcW w:w="4567" w:type="dxa"/>
            <w:shd w:val="clear" w:color="auto" w:fill="auto"/>
            <w:vAlign w:val="center"/>
          </w:tcPr>
          <w:p w14:paraId="33DAB075"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对应用进行商用密码应用安全性测评</w:t>
            </w:r>
          </w:p>
        </w:tc>
        <w:tc>
          <w:tcPr>
            <w:tcW w:w="850" w:type="dxa"/>
            <w:shd w:val="clear" w:color="auto" w:fill="auto"/>
            <w:noWrap/>
            <w:vAlign w:val="center"/>
          </w:tcPr>
          <w:p w14:paraId="67B0532A"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项</w:t>
            </w:r>
          </w:p>
        </w:tc>
        <w:tc>
          <w:tcPr>
            <w:tcW w:w="700" w:type="dxa"/>
            <w:shd w:val="clear" w:color="auto" w:fill="auto"/>
            <w:noWrap/>
            <w:vAlign w:val="center"/>
          </w:tcPr>
          <w:p w14:paraId="72736A37" w14:textId="77777777" w:rsidR="0022665C" w:rsidRDefault="00000000">
            <w:pPr>
              <w:widowControl/>
              <w:spacing w:line="36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c>
          <w:tcPr>
            <w:tcW w:w="673" w:type="dxa"/>
            <w:shd w:val="clear" w:color="auto" w:fill="auto"/>
            <w:noWrap/>
            <w:vAlign w:val="center"/>
          </w:tcPr>
          <w:p w14:paraId="50BEB8C4" w14:textId="77777777" w:rsidR="0022665C" w:rsidRDefault="00000000">
            <w:pPr>
              <w:widowControl/>
              <w:spacing w:line="36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w:t>
            </w:r>
          </w:p>
        </w:tc>
      </w:tr>
    </w:tbl>
    <w:p w14:paraId="3852319A"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（二）建设目标</w:t>
      </w:r>
    </w:p>
    <w:p w14:paraId="4445B072"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1.总体目标</w:t>
      </w:r>
    </w:p>
    <w:p w14:paraId="408ED48A" w14:textId="77777777" w:rsidR="0022665C" w:rsidRDefault="00000000">
      <w:pPr>
        <w:spacing w:line="440" w:lineRule="exact"/>
        <w:ind w:firstLineChars="200" w:firstLine="420"/>
        <w:rPr>
          <w:rFonts w:ascii="微软雅黑" w:eastAsia="微软雅黑" w:hAnsi="微软雅黑" w:cs="微软雅黑" w:hint="eastAsia"/>
          <w:sz w:val="21"/>
          <w:szCs w:val="21"/>
        </w:rPr>
      </w:pPr>
      <w:bookmarkStart w:id="64" w:name="_Hlk166319588"/>
      <w:r>
        <w:rPr>
          <w:rFonts w:ascii="微软雅黑" w:eastAsia="微软雅黑" w:hAnsi="微软雅黑" w:cs="微软雅黑" w:hint="eastAsia"/>
          <w:sz w:val="21"/>
          <w:szCs w:val="21"/>
        </w:rPr>
        <w:t>按照“市级统建、三级贯通”的原则，基于一体化智能化公共数据平台，统一建设1个市级、41个区县级数字化城市运行和治理中心数字化平台，贯通基层智治体系、对接1031个基层治理中心，构建三级治理体系。以核心业务事项数字化为基础，推动“一网通办”“一网统管”“ 一网协同”多维融合，构建协同高效的数字化履职能力体系，促进城市治理理念、治理模式、治理手段变革重塑，全面提升重庆超大城市发展能力、服务能力、治理能力。</w:t>
      </w:r>
    </w:p>
    <w:bookmarkEnd w:id="64"/>
    <w:p w14:paraId="427C84C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按照“一年形成重点能力、三年形成基本能力、五年形成体系能力”目标，全力打造具有普遍意义的城市数字化样板、最具辨识度的数字重庆基石工程，建成引领数字文明新时代市域新范例，推动城市治理体系和治理能力现代化，全面支撑打造创新、开放、便捷、宜居、生态、智慧、人文之城。</w:t>
      </w:r>
    </w:p>
    <w:p w14:paraId="3DFEAD8B"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2.本项目应用目标</w:t>
      </w:r>
    </w:p>
    <w:p w14:paraId="6E5492D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本项目应用目标是形成三级数字化城市运行和治理中心的重点能力，构建基础平台和重大应用支撑能力，完成三级数字化城市运行和治理中心基本框架搭建，与一体化智能化公共数据平台进行衔接。数字化城市运行和治理中心系统实现市、区县、街镇三级贯通、一体部署，完成市级中心城市大脑、区县中心实战枢纽、城市运行和治理体征、数字工作台、能力组件、资源体系等相关内容建设，平台支撑多跨协同、一件事处置闭环，形成一批具有全国影响力的特别重大多跨应用场景。</w:t>
      </w:r>
    </w:p>
    <w:p w14:paraId="3D936C00"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3.规模目标</w:t>
      </w:r>
    </w:p>
    <w:p w14:paraId="5BA3008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本项目建设完成后供全市79个市级部门、41个区县，5万以上各类治理力量使用。完成32个市级事件贯通支撑服务、41个区县事件贯通支撑服务、市级6次重点活动保障服务、区县6次重点活动保障服务。</w:t>
      </w:r>
    </w:p>
    <w:p w14:paraId="17594F82"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4.功能目标</w:t>
      </w:r>
    </w:p>
    <w:p w14:paraId="584BF4B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本项目功能目标是形成三级数字化城市运行和治理中心的重点能力，构建基础平台和重大应用支撑能力，完成三级数字化城市运行和治理中心基本框架搭建，与一体化智能化公共数据平台进行衔接。数字化城市运行和治理中心系统实现市、区县、街镇三级贯通、一体部署，完成市级中心城市大脑、区县中心实战枢纽、城市运行和治理体征、数字工作台、能力组件、资源体系等相关内容建设，平台支撑多跨协同、一件事处置闭环，形成一批具有全国影响力的特别重大多跨应用场景。</w:t>
      </w:r>
    </w:p>
    <w:p w14:paraId="74F8A736"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（三）项目建设内容</w:t>
      </w:r>
    </w:p>
    <w:p w14:paraId="0233B76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本项目开发模式为自建，建设内容包括市级中心城市大脑、区县中心实战枢纽、城市运行和治理体征、数字工作台、城市运行治理专报子系统、业务事项编目子系统、统一运维子系统7个应用系统，业务协同网关、事项中心、任务中心、事件中心、智能预案、指标管理、考核管理、低代码开发等组件，可视化渲染子系统、业务应用模块化编辑子系统、能力组件多租户服务子系统3个应用支撑系统，数据资源体系，市级治理中心保障和服务，区县治理中心保障和服务，事件贯通支撑服务，标准规范体系，安全服务和云资源服务。具体建设内容如下：</w:t>
      </w:r>
    </w:p>
    <w:p w14:paraId="1510D7B2"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1.定制软件</w:t>
      </w:r>
    </w:p>
    <w:p w14:paraId="422F8E40"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（1）应用系统</w:t>
      </w:r>
    </w:p>
    <w:p w14:paraId="3570FBC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分为7部分，包含面向领导的市级中心城市大脑、区县中心实战枢纽、城市运行和治理体征、城市运行治理专报子系统，面向治理中心工作人员的数字工作台，面向各部门的业务事项编目子系统和面向运维人员的统一运维子系统。</w:t>
      </w:r>
    </w:p>
    <w:p w14:paraId="4A77C28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1.1市级中心城市大脑</w:t>
      </w:r>
    </w:p>
    <w:p w14:paraId="6F6FA371"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市级指挥中心城市大脑构建城市运行支撑体系，打造覆盖全市的监测预警、指挥调度、决策支持、事件流转能力，集成多跨协同应用，实现按需对市、区县、乡镇（街道）的精准调度。包括监测预警模块、指挥调度模块、事件流转模块、六大系统特色应用模块、市级移动驾驶舱。</w:t>
      </w:r>
    </w:p>
    <w:p w14:paraId="28DE086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1.1.1监控预警模块</w:t>
      </w:r>
    </w:p>
    <w:p w14:paraId="68F650D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监控预警模块是城市运行数据、监测预警各类指标信息及统计数据展示的载体，能够基于二维和三维地图提供：城市运行体征概览、经济生态体征概览、重点关注、应急响应、民呼我为、治理中心工作体系、数字党建、数字政务、数字经济、数字文化、数字社会、数字法治信息，提供事件详情弹窗、地图图层、基础地图展示功能。</w:t>
      </w:r>
    </w:p>
    <w:p w14:paraId="4C87D24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1.1.2指挥调度模块</w:t>
      </w:r>
    </w:p>
    <w:p w14:paraId="119B7C10"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该模块用于全面管理平战两种状态下指挥调度业务，实时呈现辖区内值班排班、物资仓库、应急场所、视频资源信息，帮助领导和工作人员及时掌握资源信息，满足城市运行管理日常调度工作，战时快速接入对应业务部门的应用，满足应急作战指挥中心的需要。实现三级治理中心联动联勤。</w:t>
      </w:r>
    </w:p>
    <w:p w14:paraId="14F32C1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指挥调度模块通过宽屏、窄屏满足不同办公环境的使用需求，实现城运大厅和pc端不同分辨率的差异化定制呈现。</w:t>
      </w:r>
    </w:p>
    <w:p w14:paraId="4FEFEDC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1.1.3事件流转模块</w:t>
      </w:r>
    </w:p>
    <w:p w14:paraId="42821A0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事件流转模块通过汇聚全市任务事件信息数据，全面展示市级范围内各类各领域任务及事件流转情况，实现事件态势分析与事件单流转情况的综合展示。</w:t>
      </w:r>
    </w:p>
    <w:p w14:paraId="142D4880"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事件流转模块基于宽屏、窄屏实现全市任务事件流转相关统计指标及事件明细信息，通过任务事件大屏进行呈现。</w:t>
      </w:r>
    </w:p>
    <w:p w14:paraId="284314B1"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1.1.4市级特色应用模块</w:t>
      </w:r>
    </w:p>
    <w:p w14:paraId="307D9B00"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市级专题特色应用模块实现对接入的应用按照数字党建、数字政务、数字经济、数字社会、数字文化、数字法治六大系统进行归类展示。应支持以弹窗嵌入、新标签页和渝快政标签页三种形式进行查看。</w:t>
      </w:r>
    </w:p>
    <w:p w14:paraId="5DB01A8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专题特色应用模块通过宽屏、窄屏满足不同办公环境的使用需求，实现城运大厅和pc端不同分辨率的差异化定制呈现。</w:t>
      </w:r>
    </w:p>
    <w:p w14:paraId="47F68A7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1.1.5数字重庆“1361”驾驶舱</w:t>
      </w:r>
    </w:p>
    <w:p w14:paraId="582B5791"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数字重庆“1361”驾驶舱根据数字重庆“1361”的整体框架布局，将城市运行相关指标数据进行整合及汇总分析，形成综合驾驶舱及专题库驾驶舱，最终在IOC大屏上实现可视化呈现，完成一体化智能化公共数据平台、三级数字化城市运行和治理中心、六大应用系统和一个基层治理体系的数据综合分析可视化呈现。</w:t>
      </w:r>
    </w:p>
    <w:p w14:paraId="11CB291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1.1.6市级移动驾驶舱</w:t>
      </w:r>
    </w:p>
    <w:p w14:paraId="39F377B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移动驾驶舱基于市级中心大脑数据支撑，采用一体化部署，分级使用的模式，通过数据的同步更新和展示，即时获取城市运行的最新数据，通过友好的交互界面和智能化的数据呈现方式，实现移动环境下城市运行和治理中心的各项模块内容呈现。领导可以更加清晰地了解城市运行的各项数据和指标，也可对突发事件进行快速响应，满足领导在移动环境下对城市运行情况的实时掌握和决策需求，确保城市运行的安全和稳定。</w:t>
      </w:r>
    </w:p>
    <w:p w14:paraId="4C45BCE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1.2区县中心实战枢纽</w:t>
      </w:r>
    </w:p>
    <w:p w14:paraId="2A6D57B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区县指挥中心实战枢纽承接市级应用，建设本级特色应用，支撑上传下达、监测预警、快速响应、行政问效，实现平时保障城市高效运行，紧急突发事件高效协同处置。包含监测预警模块、指挥调度模块、事件流转模块、专题特色应用模块。</w:t>
      </w:r>
    </w:p>
    <w:p w14:paraId="3FCBDBB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1.2.1监测预警模块</w:t>
      </w:r>
    </w:p>
    <w:p w14:paraId="0AB9684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监测预警模块是城市大脑系统中的重要组成部分，旨在通过宽屏和窄屏两种展示形式，对城市运行的核心指标和区级各部门的运行指标进行实时监测和预警。在区级层面，监测预警模块致力于监控各区部门的运行情况，提供指标信息展示功能，支持二维和三维地图切换，提供事件详情弹窗、地图图层信息的展示功能，以便及时发现和解决各种运行问题，发挥重要的监测和预警作用，为城市管理和运行提供可靠的数据支持和决策依据。</w:t>
      </w:r>
    </w:p>
    <w:p w14:paraId="05E15ED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1.2.2指挥调度模块</w:t>
      </w:r>
    </w:p>
    <w:p w14:paraId="3200B7D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该模块是一个全面管理平战两种状态下指挥调度业务的系统，可实时展示辖区内的值班排班、指挥要素、视频巡检等重要数据，帮助领导和工作人员及时掌握资源信息，满足区县的平时日常调度和战时应急指挥的需求，实现快速接入对应业务部门的应用以及三级治理中心的联动联勤，有效提升区县在突发事件应对上的快速响应与高效处置能力。同时通过定制开发宽屏和窄屏两种展示形式，实现城运大厅和PC端在不同分辨率下的定制化呈现，满足不同办公环境下的使用需求，提升了系统的灵活性和适用性。</w:t>
      </w:r>
    </w:p>
    <w:p w14:paraId="6099D3D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1.2.3事件流转模块</w:t>
      </w:r>
    </w:p>
    <w:p w14:paraId="0860373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事件流转模块通过汇聚全区事件信息数据，全面展示区县范围内各类各领域事件流转情况，实现事件态势分析与事件单流转情况的综合展示。</w:t>
      </w:r>
    </w:p>
    <w:p w14:paraId="6E342D7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事件流转模块基于宽屏、窄屏实现区县事件流转相关统计指标及事件明细信息，通过任务事件大屏进行呈现。</w:t>
      </w:r>
    </w:p>
    <w:p w14:paraId="62C06C2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1.2.4区县特色应用模块</w:t>
      </w:r>
    </w:p>
    <w:p w14:paraId="0B01997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区县特色应用模块实现对接入的应用按照数字党建、数字政务、数字经济、数字社会、数字文化、数字法治六大系统进行归类展示。应支持以弹窗嵌入、新标签页和渝快政标签页三种形式查看。</w:t>
      </w:r>
    </w:p>
    <w:p w14:paraId="576A264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1.3城市运行和治理体征</w:t>
      </w:r>
    </w:p>
    <w:p w14:paraId="1E4B51C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城市运行和治理体征梳理七大板块城市运行和治理体征信息，基于指标系统的指标数据，围绕党建统领、设施运行、生产生活服务、生态景观、社会治理、应急动员、文明创建7大板块进行可视化呈现，辅助用户进行决策。通过宽屏、窄屏两种形式实现城市运行和治理体征指标数据展示，提供城市体征一键查功能及指标订阅功能，用于实现关注指标的快速查询，帮助用户实时了解指标数据的变动。实现专题指数的呈现，帮助用户通过指数了解相应业务板块的运行状态。</w:t>
      </w:r>
    </w:p>
    <w:p w14:paraId="4A8D0CE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1.3.1体征展示模块</w:t>
      </w:r>
    </w:p>
    <w:p w14:paraId="2035741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城市运行和治理体征大屏基于指标系统的指标数据，围绕党建统领、设施运行、生产生活服务、生态景观、社会治理、应急动员、文明创建7大板块进行可视化呈现，按照接入数据和数据同步规则自动进行数据更新，实现读取驾驶舱配置信息对各类专题的体征数据进行集中展示，辅助用户进行决策。提供城市运行体征体系的设计、体征大屏指标设计和七大板块专题核心指标展示的配置功能。</w:t>
      </w:r>
    </w:p>
    <w:p w14:paraId="3DB3F66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1.3.2城市运行和治理体征一键查</w:t>
      </w:r>
    </w:p>
    <w:p w14:paraId="3C00383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汇聚用户权限内对所有指标数据，通过指标名称或跑道名称对系统指标进行模糊查询，快速定位到所需指标数据，协助其工作开展，提供指标订阅功能，使得用户能更便捷地了解其关注指标的实时状态。包括PC端及移动端。</w:t>
      </w:r>
    </w:p>
    <w:p w14:paraId="6F79604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1.4数字工作台</w:t>
      </w:r>
    </w:p>
    <w:p w14:paraId="1E7097B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数字工作台是三级数字化城市运行和治理中心的数字化履职协同工具，主要提供给中心和相关委办工作人员使用，帮助工作人员快速高效协同处置多跨事项，并支持部分没有自建应用系统的部门完成相关待办事项的处理。包括PC版和移动版，提供工作台首页、事件单管理、业务事项配置和系统集成定制开发等功能。</w:t>
      </w:r>
    </w:p>
    <w:p w14:paraId="6079C37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数字工作台作为一个集成化的数字化履职协同平台，为三级数字化城市运行和治理中心以及各相关委办提供全面且高效的工作支持。该平台涵盖了三级数字工作台首页门户的便捷访问、事件管理的智能化协同以及日常运行管理的精细化控制，确保城市运行治理的相关工作均可在统一的工作台上顺畅进行，极大地提升了工作效率与协同能力，助力城市治理体系和治理能力的现代化发展。数字工作台除赋能三级治理中心业务共享、流转外，也可在各业务部门没有数字化应用系统时，作为缺省应用使用，快速构建闭环基础应用体系（复杂数字化应用系统仍由各业务部门负责）。</w:t>
      </w:r>
    </w:p>
    <w:p w14:paraId="3A4C809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1.4.1工作台首页</w:t>
      </w:r>
    </w:p>
    <w:p w14:paraId="23EE5BA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PC端提供常用工作指标展示、集成应用的入口，包括：工作指标、我的待办、通知公告、常用应用；移动端提供业务工作处置和查看功能，包括：我的待办、通知公告。</w:t>
      </w:r>
    </w:p>
    <w:p w14:paraId="0A3EE8F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1.4.2事件单管理</w:t>
      </w:r>
    </w:p>
    <w:p w14:paraId="2A7D0B2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提供市级、区级用户事件单业务日常使用功能，包括：事件单发起、事件单暂存、事件单办理、我的已办、抄送我的、我发起的事件单、未结案事件单查询、已结案事件单查询、全部事件单查询、工作日管理、系统参数配置等。提供PC端和移动端。</w:t>
      </w:r>
    </w:p>
    <w:p w14:paraId="1A21977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1.4.3业务事项配置</w:t>
      </w:r>
    </w:p>
    <w:p w14:paraId="15BC3780"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依据从IRS编目系统获取的业务事项信息，进行责任对象及事项输入输出配置，为智能预案流程编排提供数据支持，同步支撑数字工作台等应用完成事项单页面渲染，并使得工作人员能够根据自身岗位获取对应事项单。包括业务事项管理、业务事项管理（管理员视角）、标准业务事项管理、业务事项分组管理等功能。</w:t>
      </w:r>
    </w:p>
    <w:p w14:paraId="70A9F4B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1.4.4日常运行管理</w:t>
      </w:r>
    </w:p>
    <w:p w14:paraId="431E6B7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提供日常运行管理功能，用户可进行值班排班、平战资源管理。</w:t>
      </w:r>
    </w:p>
    <w:p w14:paraId="010EBE95"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1.4.5数据本地化</w:t>
      </w:r>
    </w:p>
    <w:p w14:paraId="2DB20CA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将业务库的数据转换至本地库进行存储，实现读写分离，减少业务库的查询压力，满足复杂场景下的查询需求，基于离线统计，提升平台统计查询效率，带来更好的用户体验。</w:t>
      </w:r>
    </w:p>
    <w:p w14:paraId="229B66A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 xml:space="preserve">1.4.6系统集成定制开发 </w:t>
      </w:r>
    </w:p>
    <w:p w14:paraId="3EBE557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实现渝快政PC端、移动端的登录集成，完成渝快政消息对接。</w:t>
      </w:r>
    </w:p>
    <w:p w14:paraId="26E2C12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1.5城市运行治理专报子系统</w:t>
      </w:r>
    </w:p>
    <w:p w14:paraId="641855B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运营专报以专报呈报的方式，将重要数据和信息形成专报推送主要领导，为领导决策提供数据支撑，打造一个快速批阅通道，不定期向市级领导、区级领导、各委办局领导推送如生态景观、社会治理、应急动员等重点领域专报。包括模块化采编、动态可视化审批流程、批示管理、数据统计、数据配置等。</w:t>
      </w:r>
    </w:p>
    <w:p w14:paraId="149C82C8"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1.5.1模块化采编模块</w:t>
      </w:r>
    </w:p>
    <w:p w14:paraId="5351E27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具备模块化采编功能，支持多种类型内容样式，包含但不限于文字、图片，根据实际业务场景，可自由生成相应的呈报文件。呈报文件根据文件审批状态管理，编辑中的文件支持保存草稿，草稿支持再次编辑、提交审核。已发布的文件支持续推操作，可给其他成员再次发布，每个呈报对象每个呈报文件只能接收一次。</w:t>
      </w:r>
    </w:p>
    <w:p w14:paraId="07699E5D"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1.5.2动态可视化审批模块</w:t>
      </w:r>
    </w:p>
    <w:p w14:paraId="79ED12E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动态可视化审批流程利用图形化界面来建模和设计流程，使用事件、网关来自定义审核流程，包括流程编码、流程名称、流程描述，审核流程动态配置，可任意增删审核节点，自由增删节点审核人员。流程发起后审批人员根据自己的审批权限和职责，对待办任务进行审批处理，查看相关信息、审核细节、做出决策等。</w:t>
      </w:r>
    </w:p>
    <w:p w14:paraId="16FBF055"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1.5.3批示管理</w:t>
      </w:r>
    </w:p>
    <w:p w14:paraId="5A3FA57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已发布的文件查看，统计阅读数据、批示数据，具体呈报文件需支持按呈报对象查看阅读状态、批示状态，已批示的文件支持按权限查看、下载具体批件。已批示的文件支持转办给下级领导及工作人员，由其执行并线上进行反馈，形成闭环。分权分域配置接口人，接口人只能查看白名单列表中相关对象的批示文件，白名单支持动态配置。</w:t>
      </w:r>
    </w:p>
    <w:p w14:paraId="56BB0BE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1.5.4数据统计</w:t>
      </w:r>
    </w:p>
    <w:p w14:paraId="60C5C3E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为方便监控、管理，系统支持多种维度数据统计功能，包含但不限于：</w:t>
      </w:r>
    </w:p>
    <w:p w14:paraId="1DF8C32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1.呈报客户端：用户总数统计，激活数统计，用户有登录记录激活；</w:t>
      </w:r>
    </w:p>
    <w:p w14:paraId="6B640B15"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2.发布稿件总数：统计自系统上线运营之日起发布稿件总数；</w:t>
      </w:r>
    </w:p>
    <w:p w14:paraId="780A02E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3.批示总数：统计自系统上线运营之日起批示稿件总数；</w:t>
      </w:r>
    </w:p>
    <w:p w14:paraId="331DABC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4.呈报批示情况：按呈报稿件查看批示情况，主要按稿件查看批示总数及最新批示时间。</w:t>
      </w:r>
    </w:p>
    <w:p w14:paraId="1454187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1.5.5数据配置</w:t>
      </w:r>
    </w:p>
    <w:p w14:paraId="793B238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通过数据配置列表，规定不同人员或角色之间的权限关系，以确保只有具有相应权限的人员可以执行归档操作，同时限制了归档对象的范围，确保只有特定的数据对象可以被归档。</w:t>
      </w:r>
    </w:p>
    <w:p w14:paraId="6CD003B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1.5.6安卓客户端审批</w:t>
      </w:r>
    </w:p>
    <w:p w14:paraId="032C149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数据支持移动端审批，突破地域时空限制，提升呈报文件审批效率。具有审批权限的用户进入系统时，跳转审批管理模块。审批通过，如当前节点非终审节点，进入下一审批节点，通过后短信通知下一节点审批人员审批；如当前审批节点为终审，则通过后直接发布，发送短信通知所有呈报对象阅示。审批退回，需填写退回原因，直接退回至采编人员，并发送通知，提醒采编人员处理。</w:t>
      </w:r>
    </w:p>
    <w:p w14:paraId="4D1EE83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1.5.7安卓客户端圈注批示</w:t>
      </w:r>
    </w:p>
    <w:p w14:paraId="35BEFCB1"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拉起系统键盘，获取用户输入的批示信息。取消键盘输入内容并隐藏系统键盘，如果当前编辑为二次编辑内容，则退回到编辑之前的效果。编辑完成后把键盘输入的文字内容保存到文字识别区域，保存后把键盘输入到文字区域的内容，根据设备屏幕宽高比例，保存为适合当前设备的图片类型。</w:t>
      </w:r>
    </w:p>
    <w:p w14:paraId="7AF0EF0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1.6业务事项编目子系统</w:t>
      </w:r>
    </w:p>
    <w:p w14:paraId="08100DB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业务事项编目系统支撑全市进行编目使用，能同时支撑开展业务事项编目工作，实现业务事项的管理、下发和认领等核心功能。从梳理核心业务出发，运用“V”模型方法，逐层拆解到最底层事项，形成任务事项清单和应用、责任部门关系，汇聚全市政府机关的业务事项数据，是数字重庆建设的基础信息库之一。业务事项编目系统提供业务事项看板、业务事项编目、业务事项审核、业务事项查询、一键分发、编目用户体系、数据分析体系等功能，为各领域、各层级、各部门的多跨协同系统提供业务事项基础数据支撑。</w:t>
      </w:r>
    </w:p>
    <w:p w14:paraId="6AEAAAF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1.6.1业务事项目录</w:t>
      </w:r>
    </w:p>
    <w:p w14:paraId="47AD1015"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业务事项显示可用的业务事项，分为业务事项列表和下发事项列表两个子页面，在业务事项的列表概览中，用户可直接查看业务事项名称、所属层级、主管部门、实施主体、描述、所属已有应用、所属规划应用、板块\跑道等关键信息。</w:t>
      </w:r>
    </w:p>
    <w:p w14:paraId="554ECD5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通过主管部门和实施主体筛选查看部门下关联的已编目的业务事项列表，根据部门查询关联的业务事项列表。</w:t>
      </w:r>
    </w:p>
    <w:p w14:paraId="4B2983E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实现根据业务事项名称、业务事项类型、所属板块、所属场景等字段筛选查询。</w:t>
      </w:r>
    </w:p>
    <w:p w14:paraId="12B57528"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1.6.2业务事项编目</w:t>
      </w:r>
    </w:p>
    <w:p w14:paraId="565C434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业务事项编目以列表显示可用的业务事项。可根据业务事项名称、业务事项类型、编目状态、主管部门、实施主体、核心业务、一级业务、二级业务、所属板块、所属跑道、已有应用、规划应用、描述等字段筛选查询，便于用户快速找到目标事项，从而进行后续操作。</w:t>
      </w:r>
    </w:p>
    <w:p w14:paraId="2C8D695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业务事项审核状态共5种，分别为待提交、待完善、审核中、审核通过、审核驳回，各状态如下：</w:t>
      </w:r>
    </w:p>
    <w:p w14:paraId="480ED5B8"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待提交：业务编目员通过系统“新增”的方式，完成业务事项字段填写且保存填写内容，尚未提交审核时的状态。</w:t>
      </w:r>
    </w:p>
    <w:p w14:paraId="7C29C6A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待完善：业务编目员通过系统“导入”的方式，完成业务事项字段导入，尚未提交审核时的状态。</w:t>
      </w:r>
    </w:p>
    <w:p w14:paraId="69B6506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审核中：市级部门/区县部门/镇街管理员开展业务事项审核时的状态。</w:t>
      </w:r>
    </w:p>
    <w:p w14:paraId="12375C8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审核通过：管理员通过业务事项审核时的状态。</w:t>
      </w:r>
    </w:p>
    <w:p w14:paraId="70E684F5"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审核驳回：管理员驳回业务事项审核时的状态，驳回的业务事项可由编目员再次编辑后重新提交。</w:t>
      </w:r>
    </w:p>
    <w:p w14:paraId="56878EE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1.6.3业务事项审核</w:t>
      </w:r>
    </w:p>
    <w:p w14:paraId="298152E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审核人员对用户发布进行审核，可以进行通过或拒绝两种操作，若拒绝需要填写拒绝原因，原因将会显示在用户的申请单详情中。审核管理页面提供了搜索、筛选、排序、查看、通过、驳回、批量通过、批量驳回等功能。</w:t>
      </w:r>
    </w:p>
    <w:p w14:paraId="61559FA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1.6.4业务事项提交记录</w:t>
      </w:r>
    </w:p>
    <w:p w14:paraId="2CDBF8E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用户对自己提交过的所有业务事项进行查看，实现搜索、筛选、排序、查看功能。</w:t>
      </w:r>
    </w:p>
    <w:p w14:paraId="0DE7B6B1"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1.6.5业务事项下发</w:t>
      </w:r>
    </w:p>
    <w:p w14:paraId="0D586DC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各级管理员对审核通过的业务事项进行下发，下发的权限为市级管理员角色可以下发给其下级的区县管理员角色，区县管理员可以下发给区县部门管理员。</w:t>
      </w:r>
    </w:p>
    <w:p w14:paraId="147958F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1.6.6用户管理</w:t>
      </w:r>
    </w:p>
    <w:p w14:paraId="0E55FEF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对平台所有用户进行管理，显示用户的关键信息，实现搜索、筛选、导入、启用、禁用、删除、批量启用、批量禁用、批量删除、查看、分配角色等功能</w:t>
      </w:r>
    </w:p>
    <w:p w14:paraId="1423861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1.6.7角色管理</w:t>
      </w:r>
    </w:p>
    <w:p w14:paraId="31DC5FA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对平台所有角色进行管理，显示角色的关键信息，实现搜索、筛选、导入、启用、禁用、删除、批量启用、批量禁用、批量删除、查看功能</w:t>
      </w:r>
    </w:p>
    <w:p w14:paraId="6E4E32B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1.6.8数据面板</w:t>
      </w:r>
    </w:p>
    <w:p w14:paraId="48FCF81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数据面板功能基于系统已汇聚的数据进行统计分析，方便系统管理员查看数据分布状态，通过可视化的方式直观展示数据分布。</w:t>
      </w:r>
    </w:p>
    <w:p w14:paraId="2BC6613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1.6.9数据面板指标类型</w:t>
      </w:r>
    </w:p>
    <w:p w14:paraId="748BA90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通过事项总量、编目状态分布、审批时间、事项审批通过率、事项审批拒绝率、事项类型分布等指标类型，对系统中的数据进行数据分析及展示。</w:t>
      </w:r>
    </w:p>
    <w:p w14:paraId="2CDF968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1.6.10基层智治业务事项编目</w:t>
      </w:r>
    </w:p>
    <w:p w14:paraId="189DB88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该功能用于基层智治专班统一给镇街编目业务事项，统一编目的业务事项实现管理员单个和批量一键下发给所有镇街，统一编目的事项需审核。</w:t>
      </w:r>
    </w:p>
    <w:p w14:paraId="75BD72A0"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实现编辑、修改、删除功能，删除统一编目的业务事项只能由管理员完成。</w:t>
      </w:r>
    </w:p>
    <w:p w14:paraId="7FE364E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1.6.11系统对接外部接口</w:t>
      </w:r>
    </w:p>
    <w:p w14:paraId="51A3BB3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系统对接第三方系统接口，实现单点登录、应用列表展示、渝快政组织机构获取、渝快政用户信息获取等功能。</w:t>
      </w:r>
    </w:p>
    <w:p w14:paraId="115285E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1.7统一运维子系统</w:t>
      </w:r>
    </w:p>
    <w:p w14:paraId="25E79CA0"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统一运维子系统是实现数字化、一体化、现代化治理的重要工具，通过智能化、自动化的手段优化运维管理，为企业和政府的信息基础设施提供高效、稳定的运维服务，为企业和政府的数字化转型和可持续发展提供了有力支撑。</w:t>
      </w:r>
    </w:p>
    <w:p w14:paraId="4170785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1.7.1链路监控拓扑</w:t>
      </w:r>
    </w:p>
    <w:p w14:paraId="12C4C59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链路监控拓扑主要以系统维度进行展示，通过各个系统间的调用关系形成链路监控拓扑图，并通过告警监测实时展示系统的健康状态。</w:t>
      </w:r>
    </w:p>
    <w:p w14:paraId="21DD2FF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1.7.2运维概览</w:t>
      </w:r>
    </w:p>
    <w:p w14:paraId="3D85BEB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运维概况重要作用是通过该页面了解当前运维系统的整体运维情况，主要以项目、资源、告警、故障、工单、待办等维度进行统计展示，以达到帮助用户了解当前运维系统整体工作进度，同时帮助管理人员分析了解近期告警、故障、工单的转换率与转换趋势，以保障运维工作高效工作和业务系统运行环境的稳定运行。</w:t>
      </w:r>
    </w:p>
    <w:p w14:paraId="4EF358B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1.7.3消息中心</w:t>
      </w:r>
    </w:p>
    <w:p w14:paraId="689F283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消息中心集中管理各类消息，包括通知、公告、短信等。这有助于确保所有相关人员及时接收到相关信息，从而更好地协同工作，提高工作效率。能够根据不同的业务需求，定制化消息的发送规则和内容，以满足不同场景下的需求。</w:t>
      </w:r>
    </w:p>
    <w:p w14:paraId="3CD6A79D"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此外，消息中心还提供了丰富的统计和分析功能，能够追踪消息的发送情况、阅读情况等数据，以便对工作流程进行持续优化和改进。提升管理效率和服务质量，进一步推动数字化政务的发展。</w:t>
      </w:r>
    </w:p>
    <w:p w14:paraId="11E8FF8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1.7.4项目管理</w:t>
      </w:r>
    </w:p>
    <w:p w14:paraId="329F176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项目管理是以多系统、同类型或同团队的视角维度而进行的项目管理功能，其目的主要是将相同类型的运维系统以及针对运维需求方存在多系统运维等诉求将项目合并管理，以达到提高整体运维效率和运维质量的目的。</w:t>
      </w:r>
    </w:p>
    <w:p w14:paraId="1C50FFC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1.7.5对象中心</w:t>
      </w:r>
    </w:p>
    <w:p w14:paraId="6A71C58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对象中心是为整个运维系统提供运维服务的运维对象管理功能，运维对象管理是指对系统、云资源、中间件、服务以及接口服务的有效管理和维护。通过运维对象管理，可以确保业务系统稳定运行、安全可靠，并且能够及时满足业务需求。</w:t>
      </w:r>
    </w:p>
    <w:p w14:paraId="29B350B1"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1.7.6配置中心</w:t>
      </w:r>
    </w:p>
    <w:p w14:paraId="5F2B53D1"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配置中心为运维系统统一配置管理中心，主要是分为采集配置管理和告警配置管理两大类。通过采集配置再到告警配置的功能，实现运维系统的采集、分析、告警等需求。</w:t>
      </w:r>
    </w:p>
    <w:p w14:paraId="1C3B57A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1.7.7监控中心</w:t>
      </w:r>
    </w:p>
    <w:p w14:paraId="2B9DD278"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对系统的性能进行实时监控，包括系统的CPU占用率、内存使用情况、网络带宽等关键指标。管理员可以通过这些指标了解系统的运行状况，及时发现性能瓶颈和问题。监控中心提供实时的数据展示功能，展示了系统性能指标和运行状态。管理员可以直观地查看系统各项参数的变化趋势，便于分析和决策。</w:t>
      </w:r>
    </w:p>
    <w:p w14:paraId="60A01FA8"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1.7.8告警中心</w:t>
      </w:r>
    </w:p>
    <w:p w14:paraId="79EB569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告警中心是根据告警规则阀值触发后生成的告警记录，用户可通过告警中心针对每一条告警记录进行处理操作。通过集中式告警处理的方式来满足运维需求的同时提高整体运维的响应效率。</w:t>
      </w:r>
    </w:p>
    <w:p w14:paraId="54666BB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1.7.9处理中心</w:t>
      </w:r>
    </w:p>
    <w:p w14:paraId="783E8160"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处理中心在后台运维系统中扮演着核心的角色，承担了数据处理、监控管理、异常处理、报表生成和安全隐私保护等重要职责。通过高效的处理中心，确保运维系统的稳定运行和业务的顺畅进行。</w:t>
      </w:r>
    </w:p>
    <w:p w14:paraId="10F6276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1.7.10运维工具</w:t>
      </w:r>
    </w:p>
    <w:p w14:paraId="4E535BA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对应用进行实时监控，及时发现系统运行中的异常和问题，并进行预警和故障排除，确保应用的稳定性和可用性。</w:t>
      </w:r>
    </w:p>
    <w:p w14:paraId="6EEF4A4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1.7.11日志管理</w:t>
      </w:r>
    </w:p>
    <w:p w14:paraId="6D01DD0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具有记录操作历史、问题诊断与定位、安全审计、合规与监管、数据挖掘与分析、提高系统稳定性、简化运维工作、满足合规与审计要求、支持故障排查与恢复以及优化系统性能和配置等作用。通过合理利用这些功能，可以提高系统的可维护性、稳定性和安全性，满足用户的多样化需求，促进业务的持续发展。</w:t>
      </w:r>
    </w:p>
    <w:p w14:paraId="7B8A831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1.7.12预案中心</w:t>
      </w:r>
    </w:p>
    <w:p w14:paraId="0BD489FD"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通过预设的应急预案，可以在系统出现故障或异常时快速响应，减少系统停机时间，保证业务的连续性和稳定性。</w:t>
      </w:r>
    </w:p>
    <w:p w14:paraId="73BE670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1.7.13档案中心</w:t>
      </w:r>
    </w:p>
    <w:p w14:paraId="6A83799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在云资源管理、资源规划与分配、资源监控与日志分析、安全保障、资源调度与迁移、成本分析与优化、合规性与审计、资源整合与集成以及决策支持等方面都具有重要的作用。</w:t>
      </w:r>
    </w:p>
    <w:p w14:paraId="50DD88D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1.7.14系统管理</w:t>
      </w:r>
    </w:p>
    <w:p w14:paraId="5DD6EC1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主要起到确保系统正常运行、提供安全保障、提升用户体验和支撑数据分析的作用。通过系统管理的各项功能，前端应用得以稳定、高效地运行，为政务服务提供强大的技术支撑。</w:t>
      </w:r>
    </w:p>
    <w:p w14:paraId="192C9F67"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（2）应用支撑平台</w:t>
      </w:r>
    </w:p>
    <w:p w14:paraId="5FEBF2DB"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rPr>
        <w:t>1.1</w:t>
      </w:r>
      <w:r>
        <w:rPr>
          <w:rFonts w:ascii="微软雅黑" w:eastAsia="微软雅黑" w:hAnsi="微软雅黑" w:cs="微软雅黑" w:hint="eastAsia"/>
          <w:sz w:val="21"/>
          <w:szCs w:val="21"/>
          <w:lang w:bidi="ar"/>
        </w:rPr>
        <w:t>业务应用模块化编辑子系统</w:t>
      </w:r>
    </w:p>
    <w:p w14:paraId="79D09D7D"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业务应用模块化编辑平台子系统用于支撑三级平台业务应用的基础框架，提供驾驶舱接入配置：包括驾驶舱配置、驾驶舱配置审核、地图图层配置、驾驶舱贯通应用配置、任务事件屏任务中心模块业务配置、任务事件屏事件中心模块业务配置、驾驶舱事件单列表配置、综合大屏六大系统应用接入配置、驾驶舱标题栏自定义配置等功能。</w:t>
      </w:r>
    </w:p>
    <w:p w14:paraId="5336ADC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1.1.1驾驶舱配置</w:t>
      </w:r>
    </w:p>
    <w:p w14:paraId="73B4D44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提供市区两级驾驶舱配置功能。通过驾驶舱框架维护功能对驾驶舱框架进行定义，依据需求能够以图形化的方式进行驾驶舱外部模块、链接、指标、监控、贯通应用的配置，增加驾驶舱对不同需求场景的适配度，同步提升驾驶舱的调整效率，推进“硬编码向软编码转换”的目标。</w:t>
      </w:r>
    </w:p>
    <w:p w14:paraId="7B416C3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1.1.2驾驶舱配置审核</w:t>
      </w:r>
    </w:p>
    <w:p w14:paraId="17E200C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为保障驾驶舱呈现效果，提供驾驶舱配置审核功能，针对驾驶舱外部模块配置、链接配置、监控配置及指标配置信息进行上线审核。</w:t>
      </w:r>
    </w:p>
    <w:p w14:paraId="5443C68D"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1.1.3地图图层配置</w:t>
      </w:r>
    </w:p>
    <w:p w14:paraId="4724F247"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依据IRS提供的资源数据或规自局提供的底图能力，构建驾驶舱地图图层配置功能，包括图层类型维护及图层层级维护。</w:t>
      </w:r>
    </w:p>
    <w:p w14:paraId="6F6F6C9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1.1.4驾驶舱贯通应用配置</w:t>
      </w:r>
    </w:p>
    <w:p w14:paraId="20A53AFD"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因各区县贯通的应用以及关注的场景不同，针对驾驶舱贯通应用事件单模块提供专项配置功能，以实现贯通应用的自定义配置目标。</w:t>
      </w:r>
    </w:p>
    <w:p w14:paraId="7DD4D1D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1.1.5任务事件屏任务中心模块业务配置</w:t>
      </w:r>
    </w:p>
    <w:p w14:paraId="68837F25"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基于任务中心组件提供的任务列表数据，提供任务事件屏任务中心模块展示配置功能，以达到展示列表信息自定义配置目标。</w:t>
      </w:r>
    </w:p>
    <w:p w14:paraId="17B19E7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1.1.6任务事件屏事件中心模块业务配置</w:t>
      </w:r>
    </w:p>
    <w:p w14:paraId="1418DD8D"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基于事件中心组件提供的事件列表数据，提供任务事件屏事件中心模块展示配置功能，以达到展示列表信息自定义配置目标。</w:t>
      </w:r>
    </w:p>
    <w:p w14:paraId="18F8250B"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1.1.7驾驶舱事件单列表配置</w:t>
      </w:r>
    </w:p>
    <w:p w14:paraId="02B1E108"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针对驾驶舱内事件单列表组件提供事件单查询排序、固定事件类型事件单置顶的配置功能以满足关注事件重点显示的需求。</w:t>
      </w:r>
    </w:p>
    <w:p w14:paraId="7D128EB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1.1.8综合大屏六大系统应用接入配置</w:t>
      </w:r>
    </w:p>
    <w:p w14:paraId="4BF95BF8"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对综合大屏六大系统应用接入模块提供自定义配置功能，包括六大应用配置和接入应用配置。</w:t>
      </w:r>
    </w:p>
    <w:p w14:paraId="384A1C1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1.1.9驾驶舱标题栏自定义配置</w:t>
      </w:r>
    </w:p>
    <w:p w14:paraId="0E23DCB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提供驾驶舱标题栏自定义配置功能。</w:t>
      </w:r>
    </w:p>
    <w:p w14:paraId="10D75431"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rPr>
        <w:t>1.2</w:t>
      </w:r>
      <w:r>
        <w:rPr>
          <w:rFonts w:ascii="微软雅黑" w:eastAsia="微软雅黑" w:hAnsi="微软雅黑" w:cs="微软雅黑" w:hint="eastAsia"/>
          <w:sz w:val="21"/>
          <w:szCs w:val="21"/>
          <w:lang w:bidi="ar"/>
        </w:rPr>
        <w:t>能力组件多租户服务子系统</w:t>
      </w:r>
    </w:p>
    <w:p w14:paraId="2FC58B0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能力组件多租户服务子系统用于支撑三级平台多租户使用场景下的门户管理、组件权限管理，并建设外部应用对接平台，提供外部应用与三级平台的贯通测试环境。包括三级治理中心门户、组件权限管理、外部应用对接平台等功能。</w:t>
      </w:r>
    </w:p>
    <w:p w14:paraId="48728FD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1.2.1三级治理中心门户</w:t>
      </w:r>
    </w:p>
    <w:p w14:paraId="6E04E2D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 xml:space="preserve">城市运行和治理中心提供了统一的三级治理中心门户，提供专题接入技术指南，提供组件及基础应用的快捷跳转入口及其帮助文档的线上管理功能。 </w:t>
      </w:r>
    </w:p>
    <w:p w14:paraId="4C7FA46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1.2.2组件权限管理</w:t>
      </w:r>
    </w:p>
    <w:p w14:paraId="57D3E4B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实现渝快政用户信息的数据同步，提供组织查询、人员管理、角色管理、菜单管理、系统管理等功能。</w:t>
      </w:r>
    </w:p>
    <w:p w14:paraId="76F9B7F0"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1.2.3外部应用对接平台</w:t>
      </w:r>
    </w:p>
    <w:p w14:paraId="65125744"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提供模拟联调对接管理和应用系统对接查询功能，实现应用授权管理、模拟联调管理、事件单对接信息查询、日志查询、异常日志查询等功能。</w:t>
      </w:r>
    </w:p>
    <w:p w14:paraId="0BAAA6E5"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2.成品软件</w:t>
      </w:r>
    </w:p>
    <w:p w14:paraId="2CD154D7"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（1）应用支撑平台</w:t>
      </w:r>
    </w:p>
    <w:p w14:paraId="75B0980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可视化渲染子系统包括数据API、WEB客户端、服务端等多部分组成，采用B/S结构设计，核心内容是数据展现部分，实现绘制各类基础图表，接入ECharts等第三方图表库，实现地理信息可视化，配套丰富的行业模版，最终数据可视化引擎能实现快速搭建与适配，并呈现丰富的数据展现形式。</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1701"/>
        <w:gridCol w:w="5656"/>
        <w:gridCol w:w="724"/>
        <w:gridCol w:w="850"/>
      </w:tblGrid>
      <w:tr w:rsidR="0022665C" w14:paraId="456F86F8" w14:textId="77777777">
        <w:trPr>
          <w:trHeight w:val="300"/>
        </w:trPr>
        <w:tc>
          <w:tcPr>
            <w:tcW w:w="9498" w:type="dxa"/>
            <w:gridSpan w:val="5"/>
            <w:shd w:val="clear" w:color="auto" w:fill="auto"/>
            <w:vAlign w:val="center"/>
          </w:tcPr>
          <w:p w14:paraId="12C5B2F8"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可视化渲染子系统</w:t>
            </w:r>
          </w:p>
        </w:tc>
      </w:tr>
      <w:tr w:rsidR="0022665C" w14:paraId="4E386FD4" w14:textId="77777777">
        <w:trPr>
          <w:trHeight w:val="300"/>
        </w:trPr>
        <w:tc>
          <w:tcPr>
            <w:tcW w:w="567" w:type="dxa"/>
            <w:shd w:val="clear" w:color="auto" w:fill="auto"/>
            <w:vAlign w:val="center"/>
          </w:tcPr>
          <w:p w14:paraId="6299BEBE"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8931" w:type="dxa"/>
            <w:gridSpan w:val="4"/>
            <w:shd w:val="clear" w:color="auto" w:fill="auto"/>
            <w:vAlign w:val="center"/>
          </w:tcPr>
          <w:p w14:paraId="3F377962"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控制台基础功能</w:t>
            </w:r>
          </w:p>
        </w:tc>
      </w:tr>
      <w:tr w:rsidR="0022665C" w14:paraId="33B2FA72" w14:textId="77777777">
        <w:trPr>
          <w:trHeight w:val="330"/>
        </w:trPr>
        <w:tc>
          <w:tcPr>
            <w:tcW w:w="567" w:type="dxa"/>
            <w:shd w:val="clear" w:color="auto" w:fill="auto"/>
            <w:vAlign w:val="center"/>
          </w:tcPr>
          <w:p w14:paraId="6626FFF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w:t>
            </w:r>
          </w:p>
        </w:tc>
        <w:tc>
          <w:tcPr>
            <w:tcW w:w="1701" w:type="dxa"/>
            <w:shd w:val="clear" w:color="auto" w:fill="auto"/>
            <w:vAlign w:val="center"/>
          </w:tcPr>
          <w:p w14:paraId="013597E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控制台基础功能</w:t>
            </w:r>
          </w:p>
        </w:tc>
        <w:tc>
          <w:tcPr>
            <w:tcW w:w="5656" w:type="dxa"/>
            <w:shd w:val="clear" w:color="auto" w:fill="auto"/>
            <w:vAlign w:val="center"/>
          </w:tcPr>
          <w:p w14:paraId="0011E44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支持登录模块、用户权限、菜单。</w:t>
            </w:r>
          </w:p>
        </w:tc>
        <w:tc>
          <w:tcPr>
            <w:tcW w:w="724" w:type="dxa"/>
            <w:shd w:val="clear" w:color="auto" w:fill="auto"/>
            <w:vAlign w:val="center"/>
          </w:tcPr>
          <w:p w14:paraId="496EF30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406D145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29E14BE5" w14:textId="77777777">
        <w:trPr>
          <w:trHeight w:val="300"/>
        </w:trPr>
        <w:tc>
          <w:tcPr>
            <w:tcW w:w="567" w:type="dxa"/>
            <w:shd w:val="clear" w:color="auto" w:fill="auto"/>
            <w:vAlign w:val="center"/>
          </w:tcPr>
          <w:p w14:paraId="743EA5E7"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8931" w:type="dxa"/>
            <w:gridSpan w:val="4"/>
            <w:shd w:val="clear" w:color="auto" w:fill="auto"/>
            <w:vAlign w:val="center"/>
          </w:tcPr>
          <w:p w14:paraId="226F7B7E"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项目管理</w:t>
            </w:r>
          </w:p>
        </w:tc>
      </w:tr>
      <w:tr w:rsidR="0022665C" w14:paraId="49CB4240" w14:textId="77777777">
        <w:trPr>
          <w:trHeight w:val="660"/>
        </w:trPr>
        <w:tc>
          <w:tcPr>
            <w:tcW w:w="567" w:type="dxa"/>
            <w:shd w:val="clear" w:color="auto" w:fill="auto"/>
            <w:vAlign w:val="center"/>
          </w:tcPr>
          <w:p w14:paraId="43294FB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w:t>
            </w:r>
          </w:p>
        </w:tc>
        <w:tc>
          <w:tcPr>
            <w:tcW w:w="1701" w:type="dxa"/>
            <w:shd w:val="clear" w:color="auto" w:fill="auto"/>
            <w:vAlign w:val="center"/>
          </w:tcPr>
          <w:p w14:paraId="22E493F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我的项目</w:t>
            </w:r>
          </w:p>
        </w:tc>
        <w:tc>
          <w:tcPr>
            <w:tcW w:w="5656" w:type="dxa"/>
            <w:shd w:val="clear" w:color="auto" w:fill="auto"/>
            <w:vAlign w:val="center"/>
          </w:tcPr>
          <w:p w14:paraId="360D8589"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支持项目排序管理、项目搜索管理、项目预览、删除项目。</w:t>
            </w:r>
          </w:p>
        </w:tc>
        <w:tc>
          <w:tcPr>
            <w:tcW w:w="724" w:type="dxa"/>
            <w:shd w:val="clear" w:color="auto" w:fill="auto"/>
            <w:vAlign w:val="center"/>
          </w:tcPr>
          <w:p w14:paraId="3FC8969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0D45CCB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09F6206C" w14:textId="77777777">
        <w:trPr>
          <w:trHeight w:val="300"/>
        </w:trPr>
        <w:tc>
          <w:tcPr>
            <w:tcW w:w="567" w:type="dxa"/>
            <w:shd w:val="clear" w:color="auto" w:fill="auto"/>
            <w:vAlign w:val="center"/>
          </w:tcPr>
          <w:p w14:paraId="15B96CD1"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3</w:t>
            </w:r>
          </w:p>
        </w:tc>
        <w:tc>
          <w:tcPr>
            <w:tcW w:w="8931" w:type="dxa"/>
            <w:gridSpan w:val="4"/>
            <w:shd w:val="clear" w:color="auto" w:fill="auto"/>
            <w:vAlign w:val="center"/>
          </w:tcPr>
          <w:p w14:paraId="0590400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大屏编辑操作台</w:t>
            </w:r>
          </w:p>
        </w:tc>
      </w:tr>
      <w:tr w:rsidR="0022665C" w14:paraId="3E5A2B51" w14:textId="77777777">
        <w:trPr>
          <w:trHeight w:val="330"/>
        </w:trPr>
        <w:tc>
          <w:tcPr>
            <w:tcW w:w="567" w:type="dxa"/>
            <w:shd w:val="clear" w:color="auto" w:fill="auto"/>
            <w:vAlign w:val="center"/>
          </w:tcPr>
          <w:p w14:paraId="42467FB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3.1</w:t>
            </w:r>
          </w:p>
        </w:tc>
        <w:tc>
          <w:tcPr>
            <w:tcW w:w="1701" w:type="dxa"/>
            <w:shd w:val="clear" w:color="auto" w:fill="auto"/>
            <w:vAlign w:val="center"/>
          </w:tcPr>
          <w:p w14:paraId="259E56F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顶部导航栏</w:t>
            </w:r>
          </w:p>
        </w:tc>
        <w:tc>
          <w:tcPr>
            <w:tcW w:w="5656" w:type="dxa"/>
            <w:shd w:val="clear" w:color="auto" w:fill="auto"/>
            <w:vAlign w:val="center"/>
          </w:tcPr>
          <w:p w14:paraId="467B0025"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支持预览、保存、部署、发布、撤销/重做。</w:t>
            </w:r>
          </w:p>
        </w:tc>
        <w:tc>
          <w:tcPr>
            <w:tcW w:w="724" w:type="dxa"/>
            <w:shd w:val="clear" w:color="auto" w:fill="auto"/>
            <w:vAlign w:val="center"/>
          </w:tcPr>
          <w:p w14:paraId="77C1710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531A988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635E51F" w14:textId="77777777">
        <w:trPr>
          <w:trHeight w:val="330"/>
        </w:trPr>
        <w:tc>
          <w:tcPr>
            <w:tcW w:w="567" w:type="dxa"/>
            <w:shd w:val="clear" w:color="auto" w:fill="auto"/>
            <w:vAlign w:val="center"/>
          </w:tcPr>
          <w:p w14:paraId="243C85B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3.2</w:t>
            </w:r>
          </w:p>
        </w:tc>
        <w:tc>
          <w:tcPr>
            <w:tcW w:w="1701" w:type="dxa"/>
            <w:shd w:val="clear" w:color="auto" w:fill="auto"/>
            <w:vAlign w:val="center"/>
          </w:tcPr>
          <w:p w14:paraId="40E2754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左侧工具栏</w:t>
            </w:r>
          </w:p>
        </w:tc>
        <w:tc>
          <w:tcPr>
            <w:tcW w:w="5656" w:type="dxa"/>
            <w:shd w:val="clear" w:color="auto" w:fill="auto"/>
            <w:vAlign w:val="center"/>
          </w:tcPr>
          <w:p w14:paraId="4ABAF12D"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支持图表、信息、图片、列表、小组件、图标。</w:t>
            </w:r>
          </w:p>
        </w:tc>
        <w:tc>
          <w:tcPr>
            <w:tcW w:w="724" w:type="dxa"/>
            <w:shd w:val="clear" w:color="auto" w:fill="auto"/>
            <w:vAlign w:val="center"/>
          </w:tcPr>
          <w:p w14:paraId="00C31BE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5812042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5F4555E" w14:textId="77777777">
        <w:trPr>
          <w:trHeight w:val="330"/>
        </w:trPr>
        <w:tc>
          <w:tcPr>
            <w:tcW w:w="567" w:type="dxa"/>
            <w:shd w:val="clear" w:color="auto" w:fill="auto"/>
            <w:vAlign w:val="center"/>
          </w:tcPr>
          <w:p w14:paraId="1CA3A7D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3.3</w:t>
            </w:r>
          </w:p>
        </w:tc>
        <w:tc>
          <w:tcPr>
            <w:tcW w:w="1701" w:type="dxa"/>
            <w:shd w:val="clear" w:color="auto" w:fill="auto"/>
            <w:vAlign w:val="center"/>
          </w:tcPr>
          <w:p w14:paraId="4D6B755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底部工具栏</w:t>
            </w:r>
          </w:p>
        </w:tc>
        <w:tc>
          <w:tcPr>
            <w:tcW w:w="5656" w:type="dxa"/>
            <w:shd w:val="clear" w:color="auto" w:fill="auto"/>
            <w:vAlign w:val="center"/>
          </w:tcPr>
          <w:p w14:paraId="2E818351"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支持分屏、画布视图缩放。</w:t>
            </w:r>
          </w:p>
        </w:tc>
        <w:tc>
          <w:tcPr>
            <w:tcW w:w="724" w:type="dxa"/>
            <w:shd w:val="clear" w:color="auto" w:fill="auto"/>
            <w:vAlign w:val="center"/>
          </w:tcPr>
          <w:p w14:paraId="399785C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04F4FF5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75132435" w14:textId="77777777">
        <w:trPr>
          <w:trHeight w:val="330"/>
        </w:trPr>
        <w:tc>
          <w:tcPr>
            <w:tcW w:w="567" w:type="dxa"/>
            <w:shd w:val="clear" w:color="auto" w:fill="auto"/>
            <w:vAlign w:val="center"/>
          </w:tcPr>
          <w:p w14:paraId="497BC9C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3.4</w:t>
            </w:r>
          </w:p>
        </w:tc>
        <w:tc>
          <w:tcPr>
            <w:tcW w:w="1701" w:type="dxa"/>
            <w:shd w:val="clear" w:color="auto" w:fill="auto"/>
            <w:vAlign w:val="center"/>
          </w:tcPr>
          <w:p w14:paraId="2CF9580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画布</w:t>
            </w:r>
          </w:p>
        </w:tc>
        <w:tc>
          <w:tcPr>
            <w:tcW w:w="5656" w:type="dxa"/>
            <w:shd w:val="clear" w:color="auto" w:fill="auto"/>
            <w:vAlign w:val="center"/>
          </w:tcPr>
          <w:p w14:paraId="74B1B703"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支持画布渲染。</w:t>
            </w:r>
          </w:p>
        </w:tc>
        <w:tc>
          <w:tcPr>
            <w:tcW w:w="724" w:type="dxa"/>
            <w:shd w:val="clear" w:color="auto" w:fill="auto"/>
            <w:vAlign w:val="center"/>
          </w:tcPr>
          <w:p w14:paraId="60C6E51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494EF4D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4DA11EC" w14:textId="77777777">
        <w:trPr>
          <w:trHeight w:val="330"/>
        </w:trPr>
        <w:tc>
          <w:tcPr>
            <w:tcW w:w="567" w:type="dxa"/>
            <w:shd w:val="clear" w:color="auto" w:fill="auto"/>
            <w:vAlign w:val="center"/>
          </w:tcPr>
          <w:p w14:paraId="7A60F21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3.5</w:t>
            </w:r>
          </w:p>
        </w:tc>
        <w:tc>
          <w:tcPr>
            <w:tcW w:w="1701" w:type="dxa"/>
            <w:shd w:val="clear" w:color="auto" w:fill="auto"/>
            <w:vAlign w:val="center"/>
          </w:tcPr>
          <w:p w14:paraId="74358C9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右侧属性栏</w:t>
            </w:r>
          </w:p>
        </w:tc>
        <w:tc>
          <w:tcPr>
            <w:tcW w:w="5656" w:type="dxa"/>
            <w:shd w:val="clear" w:color="auto" w:fill="auto"/>
            <w:vAlign w:val="center"/>
          </w:tcPr>
          <w:p w14:paraId="45605EE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支持配置、数据、静态数据源、动态数据源、交互。</w:t>
            </w:r>
          </w:p>
        </w:tc>
        <w:tc>
          <w:tcPr>
            <w:tcW w:w="724" w:type="dxa"/>
            <w:shd w:val="clear" w:color="auto" w:fill="auto"/>
            <w:vAlign w:val="center"/>
          </w:tcPr>
          <w:p w14:paraId="1D25346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375862F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080A93B0" w14:textId="77777777">
        <w:trPr>
          <w:trHeight w:val="1320"/>
        </w:trPr>
        <w:tc>
          <w:tcPr>
            <w:tcW w:w="567" w:type="dxa"/>
            <w:shd w:val="clear" w:color="auto" w:fill="auto"/>
            <w:vAlign w:val="center"/>
          </w:tcPr>
          <w:p w14:paraId="4CEE634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3.6</w:t>
            </w:r>
          </w:p>
        </w:tc>
        <w:tc>
          <w:tcPr>
            <w:tcW w:w="1701" w:type="dxa"/>
            <w:shd w:val="clear" w:color="auto" w:fill="auto"/>
            <w:vAlign w:val="center"/>
          </w:tcPr>
          <w:p w14:paraId="70644F4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画布编辑</w:t>
            </w:r>
          </w:p>
        </w:tc>
        <w:tc>
          <w:tcPr>
            <w:tcW w:w="5656" w:type="dxa"/>
            <w:shd w:val="clear" w:color="auto" w:fill="auto"/>
            <w:vAlign w:val="center"/>
          </w:tcPr>
          <w:p w14:paraId="5342032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w:t>
            </w:r>
            <w:r>
              <w:rPr>
                <w:rFonts w:ascii="微软雅黑" w:eastAsia="微软雅黑" w:hAnsi="微软雅黑" w:cs="微软雅黑" w:hint="eastAsia"/>
                <w:sz w:val="21"/>
                <w:szCs w:val="21"/>
              </w:rPr>
              <w:t>支持一键美化功能，方便快速调整可视化应用的整体样式和布局设置，支持大标题、二级标题、二级背景、布局设置，支持排除类型（如地图）的设置，支持边距（含屏内边距、组外边距、组内边距）、对齐阈值等布局设置，支持一键美化效果预览。</w:t>
            </w:r>
            <w:r>
              <w:rPr>
                <w:rFonts w:ascii="微软雅黑" w:eastAsia="微软雅黑" w:hAnsi="微软雅黑" w:cs="微软雅黑" w:hint="eastAsia"/>
                <w:b/>
                <w:kern w:val="0"/>
                <w:sz w:val="21"/>
                <w:szCs w:val="21"/>
              </w:rPr>
              <w:t>（需提供系统功能截图或相关证明材料，并加盖投标人公章）</w:t>
            </w:r>
          </w:p>
        </w:tc>
        <w:tc>
          <w:tcPr>
            <w:tcW w:w="724" w:type="dxa"/>
            <w:shd w:val="clear" w:color="auto" w:fill="auto"/>
            <w:vAlign w:val="center"/>
          </w:tcPr>
          <w:p w14:paraId="267FB70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0C9D427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1262F88F" w14:textId="77777777">
        <w:trPr>
          <w:trHeight w:val="1980"/>
        </w:trPr>
        <w:tc>
          <w:tcPr>
            <w:tcW w:w="567" w:type="dxa"/>
            <w:shd w:val="clear" w:color="auto" w:fill="auto"/>
            <w:vAlign w:val="center"/>
          </w:tcPr>
          <w:p w14:paraId="18D087F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3.7</w:t>
            </w:r>
          </w:p>
        </w:tc>
        <w:tc>
          <w:tcPr>
            <w:tcW w:w="1701" w:type="dxa"/>
            <w:shd w:val="clear" w:color="auto" w:fill="auto"/>
            <w:vAlign w:val="center"/>
          </w:tcPr>
          <w:p w14:paraId="12FD4EC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交互开发</w:t>
            </w:r>
          </w:p>
        </w:tc>
        <w:tc>
          <w:tcPr>
            <w:tcW w:w="5656" w:type="dxa"/>
            <w:shd w:val="clear" w:color="auto" w:fill="auto"/>
            <w:vAlign w:val="center"/>
          </w:tcPr>
          <w:p w14:paraId="1AC3CA50"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支持通过可视化连线的方式，定义图层与图层之间的交互行为，方便自由管理大屏中多个组件之间的交互关系。</w:t>
            </w:r>
          </w:p>
          <w:p w14:paraId="6435245F"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★支持配置多种逻辑节点，可以设置组件和组件之间的交互逻辑，实现大屏内各个组件的交互。</w:t>
            </w:r>
            <w:r>
              <w:rPr>
                <w:rFonts w:ascii="微软雅黑" w:eastAsia="微软雅黑" w:hAnsi="微软雅黑" w:cs="微软雅黑" w:hint="eastAsia"/>
                <w:b/>
                <w:kern w:val="0"/>
                <w:sz w:val="21"/>
                <w:szCs w:val="21"/>
              </w:rPr>
              <w:t>（需提供系统功能截图或相关证明材料，并加盖投标人公章）</w:t>
            </w:r>
          </w:p>
        </w:tc>
        <w:tc>
          <w:tcPr>
            <w:tcW w:w="724" w:type="dxa"/>
            <w:shd w:val="clear" w:color="auto" w:fill="auto"/>
            <w:vAlign w:val="center"/>
          </w:tcPr>
          <w:p w14:paraId="65C12B0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3E9C6F3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1B0E9C7C" w14:textId="77777777">
        <w:trPr>
          <w:trHeight w:val="300"/>
        </w:trPr>
        <w:tc>
          <w:tcPr>
            <w:tcW w:w="567" w:type="dxa"/>
            <w:shd w:val="clear" w:color="auto" w:fill="auto"/>
            <w:vAlign w:val="center"/>
          </w:tcPr>
          <w:p w14:paraId="79E6312E"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4</w:t>
            </w:r>
          </w:p>
        </w:tc>
        <w:tc>
          <w:tcPr>
            <w:tcW w:w="8931" w:type="dxa"/>
            <w:gridSpan w:val="4"/>
            <w:shd w:val="clear" w:color="auto" w:fill="auto"/>
            <w:vAlign w:val="center"/>
          </w:tcPr>
          <w:p w14:paraId="0EF9AA8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组件</w:t>
            </w:r>
          </w:p>
        </w:tc>
      </w:tr>
      <w:tr w:rsidR="0022665C" w14:paraId="0A431C5E" w14:textId="77777777">
        <w:trPr>
          <w:trHeight w:val="1320"/>
        </w:trPr>
        <w:tc>
          <w:tcPr>
            <w:tcW w:w="567" w:type="dxa"/>
            <w:shd w:val="clear" w:color="auto" w:fill="auto"/>
            <w:vAlign w:val="center"/>
          </w:tcPr>
          <w:p w14:paraId="1A960C6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4.1</w:t>
            </w:r>
          </w:p>
        </w:tc>
        <w:tc>
          <w:tcPr>
            <w:tcW w:w="1701" w:type="dxa"/>
            <w:shd w:val="clear" w:color="auto" w:fill="auto"/>
            <w:vAlign w:val="center"/>
          </w:tcPr>
          <w:p w14:paraId="0967811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组件</w:t>
            </w:r>
          </w:p>
        </w:tc>
        <w:tc>
          <w:tcPr>
            <w:tcW w:w="5656" w:type="dxa"/>
            <w:shd w:val="clear" w:color="auto" w:fill="auto"/>
            <w:vAlign w:val="center"/>
          </w:tcPr>
          <w:p w14:paraId="62D06B3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图表组件-柱状图类、图表组件-折线类、图表组件-饼图类、图表组件-其他基础图表、图表组件-基础平面地图组件、图表组件-媒体、图表组件-文字、图表组件-素材、图表组件-基础交互、图表组件-高级交互。</w:t>
            </w:r>
          </w:p>
        </w:tc>
        <w:tc>
          <w:tcPr>
            <w:tcW w:w="724" w:type="dxa"/>
            <w:shd w:val="clear" w:color="auto" w:fill="auto"/>
            <w:vAlign w:val="center"/>
          </w:tcPr>
          <w:p w14:paraId="70ADA2E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504F38C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B9B969C" w14:textId="77777777">
        <w:trPr>
          <w:trHeight w:val="300"/>
        </w:trPr>
        <w:tc>
          <w:tcPr>
            <w:tcW w:w="567" w:type="dxa"/>
            <w:shd w:val="clear" w:color="auto" w:fill="auto"/>
            <w:vAlign w:val="center"/>
          </w:tcPr>
          <w:p w14:paraId="4BA3FA58"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5</w:t>
            </w:r>
          </w:p>
        </w:tc>
        <w:tc>
          <w:tcPr>
            <w:tcW w:w="8931" w:type="dxa"/>
            <w:gridSpan w:val="4"/>
            <w:shd w:val="clear" w:color="auto" w:fill="auto"/>
            <w:vAlign w:val="center"/>
          </w:tcPr>
          <w:p w14:paraId="6CC7E4A6"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数据源</w:t>
            </w:r>
          </w:p>
        </w:tc>
      </w:tr>
      <w:tr w:rsidR="0022665C" w14:paraId="092A3535" w14:textId="77777777">
        <w:trPr>
          <w:trHeight w:val="660"/>
        </w:trPr>
        <w:tc>
          <w:tcPr>
            <w:tcW w:w="567" w:type="dxa"/>
            <w:shd w:val="clear" w:color="auto" w:fill="auto"/>
            <w:vAlign w:val="center"/>
          </w:tcPr>
          <w:p w14:paraId="2AEDC48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5.1</w:t>
            </w:r>
          </w:p>
        </w:tc>
        <w:tc>
          <w:tcPr>
            <w:tcW w:w="1701" w:type="dxa"/>
            <w:shd w:val="clear" w:color="auto" w:fill="auto"/>
            <w:vAlign w:val="center"/>
          </w:tcPr>
          <w:p w14:paraId="7E98369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数据源</w:t>
            </w:r>
          </w:p>
        </w:tc>
        <w:tc>
          <w:tcPr>
            <w:tcW w:w="5656" w:type="dxa"/>
            <w:shd w:val="clear" w:color="auto" w:fill="auto"/>
            <w:vAlign w:val="center"/>
          </w:tcPr>
          <w:p w14:paraId="3072513D"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支持配置数据库白名单、添加数据源、编辑数据源、筛选数据源、排序数据源、删除数据源。</w:t>
            </w:r>
          </w:p>
        </w:tc>
        <w:tc>
          <w:tcPr>
            <w:tcW w:w="724" w:type="dxa"/>
            <w:shd w:val="clear" w:color="auto" w:fill="auto"/>
            <w:vAlign w:val="center"/>
          </w:tcPr>
          <w:p w14:paraId="2CA34EA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850" w:type="dxa"/>
            <w:shd w:val="clear" w:color="auto" w:fill="auto"/>
            <w:vAlign w:val="center"/>
          </w:tcPr>
          <w:p w14:paraId="100E218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063B3960" w14:textId="77777777">
        <w:trPr>
          <w:trHeight w:val="90"/>
        </w:trPr>
        <w:tc>
          <w:tcPr>
            <w:tcW w:w="567" w:type="dxa"/>
            <w:shd w:val="clear" w:color="auto" w:fill="auto"/>
            <w:vAlign w:val="center"/>
          </w:tcPr>
          <w:p w14:paraId="3347E5F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6</w:t>
            </w:r>
          </w:p>
        </w:tc>
        <w:tc>
          <w:tcPr>
            <w:tcW w:w="8931" w:type="dxa"/>
            <w:gridSpan w:val="4"/>
            <w:shd w:val="clear" w:color="auto" w:fill="auto"/>
            <w:vAlign w:val="center"/>
          </w:tcPr>
          <w:p w14:paraId="684DA837" w14:textId="77777777" w:rsidR="0022665C" w:rsidRDefault="00000000">
            <w:pPr>
              <w:widowControl/>
              <w:spacing w:line="440" w:lineRule="exact"/>
              <w:jc w:val="left"/>
              <w:rPr>
                <w:rFonts w:ascii="微软雅黑" w:eastAsia="微软雅黑" w:hAnsi="微软雅黑" w:cs="微软雅黑" w:hint="eastAsia"/>
                <w:b/>
                <w:kern w:val="0"/>
                <w:sz w:val="21"/>
                <w:szCs w:val="21"/>
              </w:rPr>
            </w:pPr>
            <w:r>
              <w:rPr>
                <w:rFonts w:ascii="微软雅黑" w:eastAsia="微软雅黑" w:hAnsi="微软雅黑" w:cs="微软雅黑" w:hint="eastAsia"/>
                <w:b/>
                <w:sz w:val="21"/>
                <w:szCs w:val="21"/>
              </w:rPr>
              <w:t>★所投产品的数据可视化能力通过第三方测评机构出具的专项评测证书，提供证书复印件并加盖投标人公章。</w:t>
            </w:r>
          </w:p>
        </w:tc>
      </w:tr>
    </w:tbl>
    <w:p w14:paraId="2914C0DD"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（2）能力组件</w:t>
      </w:r>
    </w:p>
    <w:p w14:paraId="1C379F7A"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sz w:val="21"/>
          <w:szCs w:val="21"/>
        </w:rPr>
        <w:t>在平台+大脑的框架下，建设三级数字化城市运行和治理中心的横向协同能力和纵向贯通能力，主要包括业务协同网关、事项中心、任务中心、事件中心、智能预案、指标管理、考核管理、低代码开发8个能力组件。</w:t>
      </w:r>
    </w:p>
    <w:p w14:paraId="1CEDBFD9"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1.1</w:t>
      </w:r>
      <w:r>
        <w:rPr>
          <w:rFonts w:ascii="微软雅黑" w:eastAsia="微软雅黑" w:hAnsi="微软雅黑" w:cs="微软雅黑" w:hint="eastAsia"/>
          <w:sz w:val="21"/>
          <w:szCs w:val="21"/>
        </w:rPr>
        <w:t>业务协同网关</w:t>
      </w:r>
    </w:p>
    <w:p w14:paraId="67E5A7F8"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sz w:val="21"/>
          <w:szCs w:val="21"/>
        </w:rPr>
        <w:t>业务协同网关是六大系统、基层智治体系应用对接本系统的技术和业务门户，遵循统建统管、协商一致、高效整合、无缝衔接的基本原则展开建设，可以在不改变、不替代原应用的情况下，实现接口及界面的集成、审批和发布，从数据源开始进行集中管控，能够快速帮助市区县跨部门进行API（等）服务治理，扮演着连接客户端和后端服务的关键角色。通过开发熔断管理、限流管理实现数据传输的全自动化智慧管控以保障接入服务的高可用性和稳定性，通过接入安全中心、鉴权中心提高 API 服务的安全性，提供对 API（等）的全生命周期管理以及流量管理和服务治理能力。</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1519"/>
        <w:gridCol w:w="6258"/>
        <w:gridCol w:w="521"/>
        <w:gridCol w:w="534"/>
      </w:tblGrid>
      <w:tr w:rsidR="0022665C" w14:paraId="2431B86D" w14:textId="77777777">
        <w:trPr>
          <w:trHeight w:val="295"/>
        </w:trPr>
        <w:tc>
          <w:tcPr>
            <w:tcW w:w="5000" w:type="pct"/>
            <w:gridSpan w:val="5"/>
            <w:shd w:val="clear" w:color="auto" w:fill="auto"/>
            <w:noWrap/>
            <w:vAlign w:val="center"/>
          </w:tcPr>
          <w:p w14:paraId="7069C18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业务协同网关</w:t>
            </w:r>
          </w:p>
        </w:tc>
      </w:tr>
      <w:tr w:rsidR="0022665C" w14:paraId="71BBC01C" w14:textId="77777777">
        <w:trPr>
          <w:trHeight w:val="295"/>
        </w:trPr>
        <w:tc>
          <w:tcPr>
            <w:tcW w:w="303" w:type="pct"/>
            <w:shd w:val="clear" w:color="auto" w:fill="auto"/>
            <w:noWrap/>
            <w:vAlign w:val="center"/>
          </w:tcPr>
          <w:p w14:paraId="227CEE9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4696" w:type="pct"/>
            <w:gridSpan w:val="4"/>
            <w:shd w:val="clear" w:color="auto" w:fill="auto"/>
            <w:noWrap/>
            <w:vAlign w:val="center"/>
          </w:tcPr>
          <w:p w14:paraId="2DD8D04C"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注册登录</w:t>
            </w:r>
          </w:p>
        </w:tc>
      </w:tr>
      <w:tr w:rsidR="0022665C" w14:paraId="2A68ECFC" w14:textId="77777777">
        <w:trPr>
          <w:trHeight w:val="295"/>
        </w:trPr>
        <w:tc>
          <w:tcPr>
            <w:tcW w:w="303" w:type="pct"/>
            <w:shd w:val="clear" w:color="auto" w:fill="auto"/>
            <w:noWrap/>
            <w:vAlign w:val="center"/>
          </w:tcPr>
          <w:p w14:paraId="4AC5DD7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w:t>
            </w:r>
          </w:p>
        </w:tc>
        <w:tc>
          <w:tcPr>
            <w:tcW w:w="808" w:type="pct"/>
            <w:shd w:val="clear" w:color="auto" w:fill="auto"/>
            <w:noWrap/>
            <w:vAlign w:val="center"/>
          </w:tcPr>
          <w:p w14:paraId="23CE22A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注册登录</w:t>
            </w:r>
          </w:p>
        </w:tc>
        <w:tc>
          <w:tcPr>
            <w:tcW w:w="3328" w:type="pct"/>
            <w:shd w:val="clear" w:color="auto" w:fill="auto"/>
            <w:vAlign w:val="center"/>
          </w:tcPr>
          <w:p w14:paraId="361352C1"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支持注册、登录、个人中心（包括基础信息、修改密码）。</w:t>
            </w:r>
          </w:p>
        </w:tc>
        <w:tc>
          <w:tcPr>
            <w:tcW w:w="277" w:type="pct"/>
            <w:shd w:val="clear" w:color="auto" w:fill="auto"/>
            <w:noWrap/>
            <w:vAlign w:val="center"/>
          </w:tcPr>
          <w:p w14:paraId="1E5A8EE8"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280" w:type="pct"/>
            <w:shd w:val="clear" w:color="auto" w:fill="auto"/>
            <w:noWrap/>
            <w:vAlign w:val="center"/>
          </w:tcPr>
          <w:p w14:paraId="13291720"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F2AC134" w14:textId="77777777">
        <w:trPr>
          <w:trHeight w:val="295"/>
        </w:trPr>
        <w:tc>
          <w:tcPr>
            <w:tcW w:w="303" w:type="pct"/>
            <w:shd w:val="clear" w:color="auto" w:fill="auto"/>
            <w:noWrap/>
            <w:vAlign w:val="center"/>
          </w:tcPr>
          <w:p w14:paraId="16584888"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4696" w:type="pct"/>
            <w:gridSpan w:val="4"/>
            <w:shd w:val="clear" w:color="auto" w:fill="auto"/>
            <w:noWrap/>
            <w:vAlign w:val="center"/>
          </w:tcPr>
          <w:p w14:paraId="53E339BC"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数据市场</w:t>
            </w:r>
          </w:p>
        </w:tc>
      </w:tr>
      <w:tr w:rsidR="0022665C" w14:paraId="2DCB8B2D" w14:textId="77777777">
        <w:trPr>
          <w:trHeight w:val="515"/>
        </w:trPr>
        <w:tc>
          <w:tcPr>
            <w:tcW w:w="303" w:type="pct"/>
            <w:shd w:val="clear" w:color="auto" w:fill="auto"/>
            <w:noWrap/>
            <w:vAlign w:val="center"/>
          </w:tcPr>
          <w:p w14:paraId="3642D4E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w:t>
            </w:r>
          </w:p>
        </w:tc>
        <w:tc>
          <w:tcPr>
            <w:tcW w:w="808" w:type="pct"/>
            <w:shd w:val="clear" w:color="auto" w:fill="auto"/>
            <w:noWrap/>
            <w:vAlign w:val="center"/>
          </w:tcPr>
          <w:p w14:paraId="3CEED38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数据市场</w:t>
            </w:r>
          </w:p>
        </w:tc>
        <w:tc>
          <w:tcPr>
            <w:tcW w:w="3328" w:type="pct"/>
            <w:shd w:val="clear" w:color="auto" w:fill="auto"/>
            <w:vAlign w:val="center"/>
          </w:tcPr>
          <w:p w14:paraId="31349BB6"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支持数据市场首页、发布应用、我的应用、发布数据、我的申请。</w:t>
            </w:r>
          </w:p>
        </w:tc>
        <w:tc>
          <w:tcPr>
            <w:tcW w:w="277" w:type="pct"/>
            <w:shd w:val="clear" w:color="auto" w:fill="auto"/>
            <w:noWrap/>
            <w:vAlign w:val="center"/>
          </w:tcPr>
          <w:p w14:paraId="4A465029"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280" w:type="pct"/>
            <w:shd w:val="clear" w:color="auto" w:fill="auto"/>
            <w:noWrap/>
            <w:vAlign w:val="center"/>
          </w:tcPr>
          <w:p w14:paraId="067E13D5"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D652F46" w14:textId="77777777">
        <w:trPr>
          <w:trHeight w:val="295"/>
        </w:trPr>
        <w:tc>
          <w:tcPr>
            <w:tcW w:w="303" w:type="pct"/>
            <w:shd w:val="clear" w:color="auto" w:fill="auto"/>
            <w:noWrap/>
            <w:vAlign w:val="center"/>
          </w:tcPr>
          <w:p w14:paraId="74A70B0C"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3</w:t>
            </w:r>
          </w:p>
        </w:tc>
        <w:tc>
          <w:tcPr>
            <w:tcW w:w="4696" w:type="pct"/>
            <w:gridSpan w:val="4"/>
            <w:shd w:val="clear" w:color="auto" w:fill="auto"/>
            <w:noWrap/>
            <w:vAlign w:val="center"/>
          </w:tcPr>
          <w:p w14:paraId="475FB30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应用中心</w:t>
            </w:r>
          </w:p>
        </w:tc>
      </w:tr>
      <w:tr w:rsidR="0022665C" w14:paraId="3EE3BE91" w14:textId="77777777">
        <w:trPr>
          <w:trHeight w:val="417"/>
        </w:trPr>
        <w:tc>
          <w:tcPr>
            <w:tcW w:w="303" w:type="pct"/>
            <w:shd w:val="clear" w:color="auto" w:fill="auto"/>
            <w:noWrap/>
            <w:vAlign w:val="center"/>
          </w:tcPr>
          <w:p w14:paraId="6DD36EB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3.1</w:t>
            </w:r>
          </w:p>
        </w:tc>
        <w:tc>
          <w:tcPr>
            <w:tcW w:w="808" w:type="pct"/>
            <w:shd w:val="clear" w:color="auto" w:fill="auto"/>
            <w:noWrap/>
            <w:vAlign w:val="center"/>
          </w:tcPr>
          <w:p w14:paraId="634A431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应用中心</w:t>
            </w:r>
          </w:p>
        </w:tc>
        <w:tc>
          <w:tcPr>
            <w:tcW w:w="3328" w:type="pct"/>
            <w:shd w:val="clear" w:color="auto" w:fill="auto"/>
            <w:vAlign w:val="center"/>
          </w:tcPr>
          <w:p w14:paraId="32FD55AD"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支持应用管理、应用分组。</w:t>
            </w:r>
          </w:p>
        </w:tc>
        <w:tc>
          <w:tcPr>
            <w:tcW w:w="277" w:type="pct"/>
            <w:shd w:val="clear" w:color="auto" w:fill="auto"/>
            <w:noWrap/>
            <w:vAlign w:val="center"/>
          </w:tcPr>
          <w:p w14:paraId="3BCC92C8"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280" w:type="pct"/>
            <w:shd w:val="clear" w:color="auto" w:fill="auto"/>
            <w:noWrap/>
            <w:vAlign w:val="center"/>
          </w:tcPr>
          <w:p w14:paraId="3227E0B1"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725880C" w14:textId="77777777">
        <w:trPr>
          <w:trHeight w:val="295"/>
        </w:trPr>
        <w:tc>
          <w:tcPr>
            <w:tcW w:w="303" w:type="pct"/>
            <w:shd w:val="clear" w:color="auto" w:fill="auto"/>
            <w:noWrap/>
            <w:vAlign w:val="center"/>
          </w:tcPr>
          <w:p w14:paraId="42129977"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4</w:t>
            </w:r>
          </w:p>
        </w:tc>
        <w:tc>
          <w:tcPr>
            <w:tcW w:w="4696" w:type="pct"/>
            <w:gridSpan w:val="4"/>
            <w:shd w:val="clear" w:color="auto" w:fill="auto"/>
            <w:noWrap/>
            <w:vAlign w:val="center"/>
          </w:tcPr>
          <w:p w14:paraId="5E964D6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流控管理</w:t>
            </w:r>
          </w:p>
        </w:tc>
      </w:tr>
      <w:tr w:rsidR="0022665C" w14:paraId="0CECC06C" w14:textId="77777777">
        <w:trPr>
          <w:trHeight w:val="391"/>
        </w:trPr>
        <w:tc>
          <w:tcPr>
            <w:tcW w:w="303" w:type="pct"/>
            <w:shd w:val="clear" w:color="auto" w:fill="auto"/>
            <w:noWrap/>
            <w:vAlign w:val="center"/>
          </w:tcPr>
          <w:p w14:paraId="05E0FD5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4.1</w:t>
            </w:r>
          </w:p>
        </w:tc>
        <w:tc>
          <w:tcPr>
            <w:tcW w:w="808" w:type="pct"/>
            <w:shd w:val="clear" w:color="auto" w:fill="auto"/>
            <w:noWrap/>
            <w:vAlign w:val="center"/>
          </w:tcPr>
          <w:p w14:paraId="2363C94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流控管理</w:t>
            </w:r>
          </w:p>
        </w:tc>
        <w:tc>
          <w:tcPr>
            <w:tcW w:w="3328" w:type="pct"/>
            <w:shd w:val="clear" w:color="auto" w:fill="auto"/>
            <w:vAlign w:val="center"/>
          </w:tcPr>
          <w:p w14:paraId="462E4884"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支持应用流控、IP流控。</w:t>
            </w:r>
          </w:p>
        </w:tc>
        <w:tc>
          <w:tcPr>
            <w:tcW w:w="277" w:type="pct"/>
            <w:shd w:val="clear" w:color="auto" w:fill="auto"/>
            <w:noWrap/>
            <w:vAlign w:val="center"/>
          </w:tcPr>
          <w:p w14:paraId="78A0DCF8"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280" w:type="pct"/>
            <w:shd w:val="clear" w:color="auto" w:fill="auto"/>
            <w:noWrap/>
            <w:vAlign w:val="center"/>
          </w:tcPr>
          <w:p w14:paraId="4E4A214F"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E3D6278" w14:textId="77777777">
        <w:trPr>
          <w:trHeight w:val="295"/>
        </w:trPr>
        <w:tc>
          <w:tcPr>
            <w:tcW w:w="303" w:type="pct"/>
            <w:shd w:val="clear" w:color="auto" w:fill="auto"/>
            <w:noWrap/>
            <w:vAlign w:val="center"/>
          </w:tcPr>
          <w:p w14:paraId="719EB836"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5</w:t>
            </w:r>
          </w:p>
        </w:tc>
        <w:tc>
          <w:tcPr>
            <w:tcW w:w="4696" w:type="pct"/>
            <w:gridSpan w:val="4"/>
            <w:shd w:val="clear" w:color="auto" w:fill="auto"/>
            <w:noWrap/>
            <w:vAlign w:val="center"/>
          </w:tcPr>
          <w:p w14:paraId="710DECAB"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熔断管理</w:t>
            </w:r>
          </w:p>
        </w:tc>
      </w:tr>
      <w:tr w:rsidR="0022665C" w14:paraId="6B050BA9" w14:textId="77777777">
        <w:trPr>
          <w:trHeight w:val="495"/>
        </w:trPr>
        <w:tc>
          <w:tcPr>
            <w:tcW w:w="303" w:type="pct"/>
            <w:shd w:val="clear" w:color="auto" w:fill="auto"/>
            <w:noWrap/>
            <w:vAlign w:val="center"/>
          </w:tcPr>
          <w:p w14:paraId="53F7634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5.1</w:t>
            </w:r>
          </w:p>
        </w:tc>
        <w:tc>
          <w:tcPr>
            <w:tcW w:w="808" w:type="pct"/>
            <w:shd w:val="clear" w:color="auto" w:fill="auto"/>
            <w:noWrap/>
            <w:vAlign w:val="center"/>
          </w:tcPr>
          <w:p w14:paraId="54A91BF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熔断管理</w:t>
            </w:r>
          </w:p>
        </w:tc>
        <w:tc>
          <w:tcPr>
            <w:tcW w:w="3328" w:type="pct"/>
            <w:shd w:val="clear" w:color="auto" w:fill="auto"/>
            <w:vAlign w:val="center"/>
          </w:tcPr>
          <w:p w14:paraId="76A1FBBC"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支持全局策略、分组策略。</w:t>
            </w:r>
          </w:p>
        </w:tc>
        <w:tc>
          <w:tcPr>
            <w:tcW w:w="277" w:type="pct"/>
            <w:shd w:val="clear" w:color="auto" w:fill="auto"/>
            <w:noWrap/>
            <w:vAlign w:val="center"/>
          </w:tcPr>
          <w:p w14:paraId="3F435FEC"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280" w:type="pct"/>
            <w:shd w:val="clear" w:color="auto" w:fill="auto"/>
            <w:noWrap/>
            <w:vAlign w:val="center"/>
          </w:tcPr>
          <w:p w14:paraId="16C3A7B2"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3BFA498" w14:textId="77777777">
        <w:trPr>
          <w:trHeight w:val="295"/>
        </w:trPr>
        <w:tc>
          <w:tcPr>
            <w:tcW w:w="303" w:type="pct"/>
            <w:shd w:val="clear" w:color="auto" w:fill="auto"/>
            <w:noWrap/>
            <w:vAlign w:val="center"/>
          </w:tcPr>
          <w:p w14:paraId="3B9D54D8"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6</w:t>
            </w:r>
          </w:p>
        </w:tc>
        <w:tc>
          <w:tcPr>
            <w:tcW w:w="4696" w:type="pct"/>
            <w:gridSpan w:val="4"/>
            <w:shd w:val="clear" w:color="auto" w:fill="auto"/>
            <w:noWrap/>
            <w:vAlign w:val="center"/>
          </w:tcPr>
          <w:p w14:paraId="1DCCC574"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统一鉴权</w:t>
            </w:r>
          </w:p>
        </w:tc>
      </w:tr>
      <w:tr w:rsidR="0022665C" w14:paraId="146909EA" w14:textId="77777777">
        <w:trPr>
          <w:trHeight w:val="825"/>
        </w:trPr>
        <w:tc>
          <w:tcPr>
            <w:tcW w:w="303" w:type="pct"/>
            <w:shd w:val="clear" w:color="auto" w:fill="auto"/>
            <w:noWrap/>
            <w:vAlign w:val="center"/>
          </w:tcPr>
          <w:p w14:paraId="7A1A308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6.1</w:t>
            </w:r>
          </w:p>
        </w:tc>
        <w:tc>
          <w:tcPr>
            <w:tcW w:w="808" w:type="pct"/>
            <w:shd w:val="clear" w:color="auto" w:fill="auto"/>
            <w:noWrap/>
            <w:vAlign w:val="center"/>
          </w:tcPr>
          <w:p w14:paraId="59C5D9E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统一鉴权</w:t>
            </w:r>
          </w:p>
        </w:tc>
        <w:tc>
          <w:tcPr>
            <w:tcW w:w="3328" w:type="pct"/>
            <w:shd w:val="clear" w:color="auto" w:fill="auto"/>
            <w:vAlign w:val="center"/>
          </w:tcPr>
          <w:p w14:paraId="1644775D"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支持身份令牌管理、身份令牌生命周期管理、统一鉴权JSSDK、统一鉴权API、渝快政对接、角色管理列表和详情、用户管理列表和详情。</w:t>
            </w:r>
          </w:p>
        </w:tc>
        <w:tc>
          <w:tcPr>
            <w:tcW w:w="277" w:type="pct"/>
            <w:shd w:val="clear" w:color="auto" w:fill="auto"/>
            <w:noWrap/>
            <w:vAlign w:val="center"/>
          </w:tcPr>
          <w:p w14:paraId="5BA3F078"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280" w:type="pct"/>
            <w:shd w:val="clear" w:color="auto" w:fill="auto"/>
            <w:noWrap/>
            <w:vAlign w:val="center"/>
          </w:tcPr>
          <w:p w14:paraId="3B4D0296"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8E56F4C" w14:textId="77777777">
        <w:trPr>
          <w:trHeight w:val="295"/>
        </w:trPr>
        <w:tc>
          <w:tcPr>
            <w:tcW w:w="303" w:type="pct"/>
            <w:shd w:val="clear" w:color="auto" w:fill="auto"/>
            <w:noWrap/>
            <w:vAlign w:val="center"/>
          </w:tcPr>
          <w:p w14:paraId="1CAE0C2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7</w:t>
            </w:r>
          </w:p>
        </w:tc>
        <w:tc>
          <w:tcPr>
            <w:tcW w:w="4696" w:type="pct"/>
            <w:gridSpan w:val="4"/>
            <w:shd w:val="clear" w:color="auto" w:fill="auto"/>
            <w:noWrap/>
            <w:vAlign w:val="center"/>
          </w:tcPr>
          <w:p w14:paraId="5C16271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系统管理</w:t>
            </w:r>
          </w:p>
        </w:tc>
      </w:tr>
      <w:tr w:rsidR="0022665C" w14:paraId="0FF7FC69" w14:textId="77777777">
        <w:trPr>
          <w:trHeight w:val="353"/>
        </w:trPr>
        <w:tc>
          <w:tcPr>
            <w:tcW w:w="303" w:type="pct"/>
            <w:shd w:val="clear" w:color="auto" w:fill="auto"/>
            <w:noWrap/>
            <w:vAlign w:val="center"/>
          </w:tcPr>
          <w:p w14:paraId="74EB925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7.1</w:t>
            </w:r>
          </w:p>
        </w:tc>
        <w:tc>
          <w:tcPr>
            <w:tcW w:w="808" w:type="pct"/>
            <w:shd w:val="clear" w:color="auto" w:fill="auto"/>
            <w:noWrap/>
            <w:vAlign w:val="center"/>
          </w:tcPr>
          <w:p w14:paraId="0C593A3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系统管理</w:t>
            </w:r>
          </w:p>
        </w:tc>
        <w:tc>
          <w:tcPr>
            <w:tcW w:w="3328" w:type="pct"/>
            <w:shd w:val="clear" w:color="auto" w:fill="auto"/>
            <w:vAlign w:val="center"/>
          </w:tcPr>
          <w:p w14:paraId="561B3582"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支持用户管理、角色管理、菜单管理。</w:t>
            </w:r>
          </w:p>
        </w:tc>
        <w:tc>
          <w:tcPr>
            <w:tcW w:w="277" w:type="pct"/>
            <w:shd w:val="clear" w:color="auto" w:fill="auto"/>
            <w:noWrap/>
            <w:vAlign w:val="center"/>
          </w:tcPr>
          <w:p w14:paraId="6CE09AC9"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280" w:type="pct"/>
            <w:shd w:val="clear" w:color="auto" w:fill="auto"/>
            <w:noWrap/>
            <w:vAlign w:val="center"/>
          </w:tcPr>
          <w:p w14:paraId="7F9EF3B2" w14:textId="77777777" w:rsidR="0022665C" w:rsidRDefault="00000000">
            <w:pPr>
              <w:widowControl/>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bl>
    <w:p w14:paraId="379B0EA7" w14:textId="77777777" w:rsidR="0022665C" w:rsidRDefault="00000000">
      <w:pPr>
        <w:spacing w:line="440" w:lineRule="exact"/>
        <w:ind w:firstLineChars="200" w:firstLine="420"/>
        <w:rPr>
          <w:rFonts w:ascii="微软雅黑" w:eastAsia="微软雅黑" w:hAnsi="微软雅黑" w:cs="微软雅黑" w:hint="eastAsia"/>
          <w:sz w:val="22"/>
          <w:szCs w:val="22"/>
        </w:rPr>
      </w:pPr>
      <w:r>
        <w:rPr>
          <w:rFonts w:ascii="微软雅黑" w:eastAsia="微软雅黑" w:hAnsi="微软雅黑" w:cs="微软雅黑" w:hint="eastAsia"/>
          <w:b/>
          <w:bCs/>
          <w:sz w:val="21"/>
          <w:szCs w:val="21"/>
        </w:rPr>
        <w:t>1.</w:t>
      </w:r>
      <w:r>
        <w:rPr>
          <w:rFonts w:ascii="微软雅黑" w:eastAsia="微软雅黑" w:hAnsi="微软雅黑" w:cs="微软雅黑"/>
          <w:b/>
          <w:bCs/>
          <w:sz w:val="21"/>
          <w:szCs w:val="21"/>
        </w:rPr>
        <w:t>2</w:t>
      </w:r>
      <w:r>
        <w:rPr>
          <w:rFonts w:ascii="微软雅黑" w:eastAsia="微软雅黑" w:hAnsi="微软雅黑" w:cs="微软雅黑" w:hint="eastAsia"/>
          <w:sz w:val="22"/>
          <w:szCs w:val="22"/>
        </w:rPr>
        <w:t>事项中心</w:t>
      </w:r>
    </w:p>
    <w:p w14:paraId="528DF395"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sz w:val="21"/>
          <w:szCs w:val="21"/>
        </w:rPr>
        <w:t>事项中心作为核心能力组件，其核心价值在于提供全面且强大的事项运营基础能力，涵盖了多个关键功能模块。首先，事项中心强调事项的科学分类，通过严谨的逻辑划分，确保每一类事项都能被精准归类，便于后续的管理和运营。其次，它实现了对各类事项的精细化管理，包括事项的创建、修改、查询、跟踪等全流程管控，确保每个事项的生命周期得到有序、透明的执行。</w:t>
      </w:r>
    </w:p>
    <w:tbl>
      <w:tblPr>
        <w:tblW w:w="9586" w:type="dxa"/>
        <w:tblInd w:w="-5" w:type="dxa"/>
        <w:tblLayout w:type="fixed"/>
        <w:tblLook w:val="04A0" w:firstRow="1" w:lastRow="0" w:firstColumn="1" w:lastColumn="0" w:noHBand="0" w:noVBand="1"/>
      </w:tblPr>
      <w:tblGrid>
        <w:gridCol w:w="616"/>
        <w:gridCol w:w="1499"/>
        <w:gridCol w:w="6414"/>
        <w:gridCol w:w="546"/>
        <w:gridCol w:w="511"/>
      </w:tblGrid>
      <w:tr w:rsidR="0022665C" w14:paraId="1E8CF136" w14:textId="77777777">
        <w:trPr>
          <w:trHeight w:val="330"/>
        </w:trPr>
        <w:tc>
          <w:tcPr>
            <w:tcW w:w="9586"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tcPr>
          <w:p w14:paraId="2AC68FF2"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事项中心</w:t>
            </w:r>
          </w:p>
        </w:tc>
      </w:tr>
      <w:tr w:rsidR="0022665C" w14:paraId="12987202"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200E643C"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63280D7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事项分类管理</w:t>
            </w:r>
          </w:p>
        </w:tc>
      </w:tr>
      <w:tr w:rsidR="0022665C" w14:paraId="27D226F9" w14:textId="77777777">
        <w:trPr>
          <w:trHeight w:val="474"/>
        </w:trPr>
        <w:tc>
          <w:tcPr>
            <w:tcW w:w="616" w:type="dxa"/>
            <w:tcBorders>
              <w:top w:val="nil"/>
              <w:left w:val="single" w:sz="4" w:space="0" w:color="auto"/>
              <w:bottom w:val="single" w:sz="4" w:space="0" w:color="auto"/>
              <w:right w:val="single" w:sz="4" w:space="0" w:color="auto"/>
            </w:tcBorders>
            <w:shd w:val="clear" w:color="auto" w:fill="auto"/>
            <w:noWrap/>
            <w:vAlign w:val="center"/>
          </w:tcPr>
          <w:p w14:paraId="7D5A74E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w:t>
            </w:r>
          </w:p>
        </w:tc>
        <w:tc>
          <w:tcPr>
            <w:tcW w:w="1499" w:type="dxa"/>
            <w:tcBorders>
              <w:top w:val="nil"/>
              <w:left w:val="nil"/>
              <w:bottom w:val="single" w:sz="4" w:space="0" w:color="auto"/>
              <w:right w:val="single" w:sz="4" w:space="0" w:color="auto"/>
            </w:tcBorders>
            <w:shd w:val="clear" w:color="auto" w:fill="auto"/>
            <w:noWrap/>
            <w:vAlign w:val="center"/>
          </w:tcPr>
          <w:p w14:paraId="12442C1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事项分类管理</w:t>
            </w:r>
          </w:p>
        </w:tc>
        <w:tc>
          <w:tcPr>
            <w:tcW w:w="6414" w:type="dxa"/>
            <w:tcBorders>
              <w:top w:val="nil"/>
              <w:left w:val="nil"/>
              <w:bottom w:val="single" w:sz="4" w:space="0" w:color="auto"/>
              <w:right w:val="single" w:sz="4" w:space="0" w:color="auto"/>
            </w:tcBorders>
            <w:shd w:val="clear" w:color="auto" w:fill="auto"/>
            <w:vAlign w:val="center"/>
          </w:tcPr>
          <w:p w14:paraId="5C5B7A2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支持事项分类初始化、事项分类维护、分类事项树、事项信息统计。</w:t>
            </w:r>
          </w:p>
        </w:tc>
        <w:tc>
          <w:tcPr>
            <w:tcW w:w="546" w:type="dxa"/>
            <w:tcBorders>
              <w:top w:val="nil"/>
              <w:left w:val="nil"/>
              <w:bottom w:val="single" w:sz="4" w:space="0" w:color="auto"/>
              <w:right w:val="single" w:sz="4" w:space="0" w:color="auto"/>
            </w:tcBorders>
            <w:shd w:val="clear" w:color="auto" w:fill="auto"/>
            <w:noWrap/>
            <w:vAlign w:val="center"/>
          </w:tcPr>
          <w:p w14:paraId="3C699B7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3A7EA6C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C908C5F"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442DD4C8"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2D48CA95"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事项管理</w:t>
            </w:r>
          </w:p>
        </w:tc>
      </w:tr>
      <w:tr w:rsidR="0022665C" w14:paraId="02DE900E" w14:textId="77777777">
        <w:trPr>
          <w:trHeight w:val="938"/>
        </w:trPr>
        <w:tc>
          <w:tcPr>
            <w:tcW w:w="616" w:type="dxa"/>
            <w:tcBorders>
              <w:top w:val="nil"/>
              <w:left w:val="single" w:sz="4" w:space="0" w:color="auto"/>
              <w:bottom w:val="single" w:sz="4" w:space="0" w:color="auto"/>
              <w:right w:val="single" w:sz="4" w:space="0" w:color="auto"/>
            </w:tcBorders>
            <w:shd w:val="clear" w:color="auto" w:fill="auto"/>
            <w:noWrap/>
            <w:vAlign w:val="center"/>
          </w:tcPr>
          <w:p w14:paraId="3065F4F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w:t>
            </w:r>
          </w:p>
        </w:tc>
        <w:tc>
          <w:tcPr>
            <w:tcW w:w="1499" w:type="dxa"/>
            <w:tcBorders>
              <w:top w:val="nil"/>
              <w:left w:val="nil"/>
              <w:bottom w:val="single" w:sz="4" w:space="0" w:color="auto"/>
              <w:right w:val="single" w:sz="4" w:space="0" w:color="auto"/>
            </w:tcBorders>
            <w:shd w:val="clear" w:color="auto" w:fill="auto"/>
            <w:noWrap/>
            <w:vAlign w:val="center"/>
          </w:tcPr>
          <w:p w14:paraId="5273D3D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事项管理</w:t>
            </w:r>
          </w:p>
        </w:tc>
        <w:tc>
          <w:tcPr>
            <w:tcW w:w="6414" w:type="dxa"/>
            <w:tcBorders>
              <w:top w:val="nil"/>
              <w:left w:val="nil"/>
              <w:bottom w:val="single" w:sz="4" w:space="0" w:color="auto"/>
              <w:right w:val="single" w:sz="4" w:space="0" w:color="auto"/>
            </w:tcBorders>
            <w:shd w:val="clear" w:color="auto" w:fill="auto"/>
            <w:vAlign w:val="center"/>
          </w:tcPr>
          <w:p w14:paraId="4092C1B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支持事项初始化、事项查询、事项维护、事项详情、事项清单、业务事项管理、业务事项分组管理、事项主协办管辖清单。</w:t>
            </w:r>
          </w:p>
        </w:tc>
        <w:tc>
          <w:tcPr>
            <w:tcW w:w="546" w:type="dxa"/>
            <w:tcBorders>
              <w:top w:val="nil"/>
              <w:left w:val="nil"/>
              <w:bottom w:val="single" w:sz="4" w:space="0" w:color="auto"/>
              <w:right w:val="single" w:sz="4" w:space="0" w:color="auto"/>
            </w:tcBorders>
            <w:shd w:val="clear" w:color="auto" w:fill="auto"/>
            <w:noWrap/>
            <w:vAlign w:val="center"/>
          </w:tcPr>
          <w:p w14:paraId="591E3E7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784ED21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CE80AD8"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2F491884"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3</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223E58F9"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部门权责</w:t>
            </w:r>
          </w:p>
        </w:tc>
      </w:tr>
      <w:tr w:rsidR="0022665C" w14:paraId="2F7EF111" w14:textId="77777777">
        <w:trPr>
          <w:trHeight w:val="718"/>
        </w:trPr>
        <w:tc>
          <w:tcPr>
            <w:tcW w:w="616" w:type="dxa"/>
            <w:tcBorders>
              <w:top w:val="nil"/>
              <w:left w:val="single" w:sz="4" w:space="0" w:color="auto"/>
              <w:bottom w:val="single" w:sz="4" w:space="0" w:color="auto"/>
              <w:right w:val="single" w:sz="4" w:space="0" w:color="auto"/>
            </w:tcBorders>
            <w:shd w:val="clear" w:color="auto" w:fill="auto"/>
            <w:noWrap/>
            <w:vAlign w:val="center"/>
          </w:tcPr>
          <w:p w14:paraId="7CF4D7C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3.1</w:t>
            </w:r>
          </w:p>
        </w:tc>
        <w:tc>
          <w:tcPr>
            <w:tcW w:w="1499" w:type="dxa"/>
            <w:tcBorders>
              <w:top w:val="nil"/>
              <w:left w:val="nil"/>
              <w:bottom w:val="single" w:sz="4" w:space="0" w:color="auto"/>
              <w:right w:val="single" w:sz="4" w:space="0" w:color="auto"/>
            </w:tcBorders>
            <w:shd w:val="clear" w:color="auto" w:fill="auto"/>
            <w:noWrap/>
            <w:vAlign w:val="center"/>
          </w:tcPr>
          <w:p w14:paraId="58061EC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部门权责</w:t>
            </w:r>
          </w:p>
        </w:tc>
        <w:tc>
          <w:tcPr>
            <w:tcW w:w="6414" w:type="dxa"/>
            <w:tcBorders>
              <w:top w:val="nil"/>
              <w:left w:val="nil"/>
              <w:bottom w:val="single" w:sz="4" w:space="0" w:color="auto"/>
              <w:right w:val="single" w:sz="4" w:space="0" w:color="auto"/>
            </w:tcBorders>
            <w:shd w:val="clear" w:color="auto" w:fill="auto"/>
            <w:vAlign w:val="center"/>
          </w:tcPr>
          <w:p w14:paraId="7DD7379D"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支持权责清单规则、权责清单列表、权责清单联动、岗位角色数据管理、自定义属地权责。</w:t>
            </w:r>
          </w:p>
        </w:tc>
        <w:tc>
          <w:tcPr>
            <w:tcW w:w="546" w:type="dxa"/>
            <w:tcBorders>
              <w:top w:val="nil"/>
              <w:left w:val="nil"/>
              <w:bottom w:val="single" w:sz="4" w:space="0" w:color="auto"/>
              <w:right w:val="single" w:sz="4" w:space="0" w:color="auto"/>
            </w:tcBorders>
            <w:shd w:val="clear" w:color="auto" w:fill="auto"/>
            <w:noWrap/>
            <w:vAlign w:val="center"/>
          </w:tcPr>
          <w:p w14:paraId="447D904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2013B7C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639CE1B8"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33F2D87E"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4</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06681FE9"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业务要素管理</w:t>
            </w:r>
          </w:p>
        </w:tc>
      </w:tr>
      <w:tr w:rsidR="0022665C" w14:paraId="5ED21561" w14:textId="77777777">
        <w:trPr>
          <w:trHeight w:val="305"/>
        </w:trPr>
        <w:tc>
          <w:tcPr>
            <w:tcW w:w="616" w:type="dxa"/>
            <w:tcBorders>
              <w:top w:val="nil"/>
              <w:left w:val="single" w:sz="4" w:space="0" w:color="auto"/>
              <w:bottom w:val="single" w:sz="4" w:space="0" w:color="auto"/>
              <w:right w:val="single" w:sz="4" w:space="0" w:color="auto"/>
            </w:tcBorders>
            <w:shd w:val="clear" w:color="auto" w:fill="auto"/>
            <w:noWrap/>
            <w:vAlign w:val="center"/>
          </w:tcPr>
          <w:p w14:paraId="148C32E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4.1</w:t>
            </w:r>
          </w:p>
        </w:tc>
        <w:tc>
          <w:tcPr>
            <w:tcW w:w="1499" w:type="dxa"/>
            <w:tcBorders>
              <w:top w:val="nil"/>
              <w:left w:val="nil"/>
              <w:bottom w:val="single" w:sz="4" w:space="0" w:color="auto"/>
              <w:right w:val="single" w:sz="4" w:space="0" w:color="auto"/>
            </w:tcBorders>
            <w:shd w:val="clear" w:color="auto" w:fill="auto"/>
            <w:noWrap/>
            <w:vAlign w:val="center"/>
          </w:tcPr>
          <w:p w14:paraId="6189805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业务要素管理</w:t>
            </w:r>
          </w:p>
        </w:tc>
        <w:tc>
          <w:tcPr>
            <w:tcW w:w="6414" w:type="dxa"/>
            <w:tcBorders>
              <w:top w:val="nil"/>
              <w:left w:val="nil"/>
              <w:bottom w:val="single" w:sz="4" w:space="0" w:color="auto"/>
              <w:right w:val="single" w:sz="4" w:space="0" w:color="auto"/>
            </w:tcBorders>
            <w:shd w:val="clear" w:color="auto" w:fill="auto"/>
            <w:vAlign w:val="center"/>
          </w:tcPr>
          <w:p w14:paraId="730D5AD3"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支持业务要素分组管理、业务要素字段管理、全量业务要素查询服务。</w:t>
            </w:r>
          </w:p>
        </w:tc>
        <w:tc>
          <w:tcPr>
            <w:tcW w:w="546" w:type="dxa"/>
            <w:tcBorders>
              <w:top w:val="nil"/>
              <w:left w:val="nil"/>
              <w:bottom w:val="single" w:sz="4" w:space="0" w:color="auto"/>
              <w:right w:val="single" w:sz="4" w:space="0" w:color="auto"/>
            </w:tcBorders>
            <w:shd w:val="clear" w:color="auto" w:fill="auto"/>
            <w:noWrap/>
            <w:vAlign w:val="center"/>
          </w:tcPr>
          <w:p w14:paraId="62624CF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702F3A0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6403B7C4"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3C8B076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5</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3CA6BF3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事项表单服务配置</w:t>
            </w:r>
          </w:p>
        </w:tc>
      </w:tr>
      <w:tr w:rsidR="0022665C" w14:paraId="5721044F" w14:textId="77777777">
        <w:trPr>
          <w:trHeight w:val="3284"/>
        </w:trPr>
        <w:tc>
          <w:tcPr>
            <w:tcW w:w="616" w:type="dxa"/>
            <w:tcBorders>
              <w:top w:val="nil"/>
              <w:left w:val="single" w:sz="4" w:space="0" w:color="auto"/>
              <w:bottom w:val="single" w:sz="4" w:space="0" w:color="auto"/>
              <w:right w:val="single" w:sz="4" w:space="0" w:color="auto"/>
            </w:tcBorders>
            <w:shd w:val="clear" w:color="auto" w:fill="auto"/>
            <w:noWrap/>
            <w:vAlign w:val="center"/>
          </w:tcPr>
          <w:p w14:paraId="7DADB8E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5.1</w:t>
            </w:r>
          </w:p>
        </w:tc>
        <w:tc>
          <w:tcPr>
            <w:tcW w:w="1499" w:type="dxa"/>
            <w:tcBorders>
              <w:top w:val="nil"/>
              <w:left w:val="nil"/>
              <w:bottom w:val="single" w:sz="4" w:space="0" w:color="auto"/>
              <w:right w:val="single" w:sz="4" w:space="0" w:color="auto"/>
            </w:tcBorders>
            <w:shd w:val="clear" w:color="auto" w:fill="auto"/>
            <w:noWrap/>
            <w:vAlign w:val="center"/>
          </w:tcPr>
          <w:p w14:paraId="0C9BB34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事项表单服务配置</w:t>
            </w:r>
          </w:p>
        </w:tc>
        <w:tc>
          <w:tcPr>
            <w:tcW w:w="6414" w:type="dxa"/>
            <w:tcBorders>
              <w:top w:val="nil"/>
              <w:left w:val="nil"/>
              <w:bottom w:val="single" w:sz="4" w:space="0" w:color="auto"/>
              <w:right w:val="single" w:sz="4" w:space="0" w:color="auto"/>
            </w:tcBorders>
            <w:shd w:val="clear" w:color="auto" w:fill="auto"/>
            <w:vAlign w:val="center"/>
          </w:tcPr>
          <w:p w14:paraId="4C38EB7A"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自定义表单编排、单行文本框组件、单选框组件、复选框组件、下拉框组件、多选下拉框组件、区域组件、时间组件、时间区间组件、卡片列表组件、普通表格组件、车牌控件组件、省市县地址组件、上下标输入框组件、附件组件、小数输入框组件、整数输入框组件、数值最小值校验、数值最大值校验、文本最大长度校验、字段值等于校验、正则表达式校验、须为整数校验、脚本规则校验、隐藏字段配置、设定默认值配置、移除字段配置、字段强制赋值配置、过滤枚举项配置、设置字段标题配置、设置字段只读配置、布局组件、非提交控件、数据源管理、联动管理、自定义源码配置。</w:t>
            </w:r>
          </w:p>
        </w:tc>
        <w:tc>
          <w:tcPr>
            <w:tcW w:w="546" w:type="dxa"/>
            <w:tcBorders>
              <w:top w:val="nil"/>
              <w:left w:val="nil"/>
              <w:bottom w:val="single" w:sz="4" w:space="0" w:color="auto"/>
              <w:right w:val="single" w:sz="4" w:space="0" w:color="auto"/>
            </w:tcBorders>
            <w:shd w:val="clear" w:color="auto" w:fill="auto"/>
            <w:noWrap/>
            <w:vAlign w:val="center"/>
          </w:tcPr>
          <w:p w14:paraId="3EAE94D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4A91D18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1FB0605C"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28AF2EBB"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6</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63A08237"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事项模版管理</w:t>
            </w:r>
          </w:p>
        </w:tc>
      </w:tr>
      <w:tr w:rsidR="0022665C" w14:paraId="265C2397" w14:textId="77777777">
        <w:trPr>
          <w:trHeight w:val="741"/>
        </w:trPr>
        <w:tc>
          <w:tcPr>
            <w:tcW w:w="616" w:type="dxa"/>
            <w:tcBorders>
              <w:top w:val="nil"/>
              <w:left w:val="single" w:sz="4" w:space="0" w:color="auto"/>
              <w:bottom w:val="single" w:sz="4" w:space="0" w:color="auto"/>
              <w:right w:val="single" w:sz="4" w:space="0" w:color="auto"/>
            </w:tcBorders>
            <w:shd w:val="clear" w:color="auto" w:fill="auto"/>
            <w:noWrap/>
            <w:vAlign w:val="center"/>
          </w:tcPr>
          <w:p w14:paraId="4C6D5DD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6.1</w:t>
            </w:r>
          </w:p>
        </w:tc>
        <w:tc>
          <w:tcPr>
            <w:tcW w:w="1499" w:type="dxa"/>
            <w:tcBorders>
              <w:top w:val="nil"/>
              <w:left w:val="nil"/>
              <w:bottom w:val="single" w:sz="4" w:space="0" w:color="auto"/>
              <w:right w:val="single" w:sz="4" w:space="0" w:color="auto"/>
            </w:tcBorders>
            <w:shd w:val="clear" w:color="auto" w:fill="auto"/>
            <w:noWrap/>
            <w:vAlign w:val="center"/>
          </w:tcPr>
          <w:p w14:paraId="1AB7138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事项模版管理</w:t>
            </w:r>
          </w:p>
        </w:tc>
        <w:tc>
          <w:tcPr>
            <w:tcW w:w="6414" w:type="dxa"/>
            <w:tcBorders>
              <w:top w:val="nil"/>
              <w:left w:val="nil"/>
              <w:bottom w:val="single" w:sz="4" w:space="0" w:color="auto"/>
              <w:right w:val="single" w:sz="4" w:space="0" w:color="auto"/>
            </w:tcBorders>
            <w:shd w:val="clear" w:color="auto" w:fill="auto"/>
            <w:vAlign w:val="center"/>
          </w:tcPr>
          <w:p w14:paraId="7C75AC09"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支持新增事项模板、事项模版信息分组管理、事项模版引用事项要素、事项模板列表展示、事件模版取消、事件模版启用。</w:t>
            </w:r>
          </w:p>
        </w:tc>
        <w:tc>
          <w:tcPr>
            <w:tcW w:w="546" w:type="dxa"/>
            <w:tcBorders>
              <w:top w:val="nil"/>
              <w:left w:val="nil"/>
              <w:bottom w:val="single" w:sz="4" w:space="0" w:color="auto"/>
              <w:right w:val="single" w:sz="4" w:space="0" w:color="auto"/>
            </w:tcBorders>
            <w:shd w:val="clear" w:color="auto" w:fill="auto"/>
            <w:noWrap/>
            <w:vAlign w:val="center"/>
          </w:tcPr>
          <w:p w14:paraId="4955CEB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7BE8A05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2E82C3D1"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37CE269B"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7</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7AABDE79"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事项权责配置</w:t>
            </w:r>
          </w:p>
        </w:tc>
      </w:tr>
      <w:tr w:rsidR="0022665C" w14:paraId="083F5DF1" w14:textId="77777777">
        <w:trPr>
          <w:trHeight w:val="96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699EE62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7.1</w:t>
            </w:r>
          </w:p>
        </w:tc>
        <w:tc>
          <w:tcPr>
            <w:tcW w:w="1499" w:type="dxa"/>
            <w:tcBorders>
              <w:top w:val="nil"/>
              <w:left w:val="nil"/>
              <w:bottom w:val="single" w:sz="4" w:space="0" w:color="auto"/>
              <w:right w:val="single" w:sz="4" w:space="0" w:color="auto"/>
            </w:tcBorders>
            <w:shd w:val="clear" w:color="auto" w:fill="auto"/>
            <w:noWrap/>
            <w:vAlign w:val="center"/>
          </w:tcPr>
          <w:p w14:paraId="0FEFDC4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事项权责配置</w:t>
            </w:r>
          </w:p>
        </w:tc>
        <w:tc>
          <w:tcPr>
            <w:tcW w:w="6414" w:type="dxa"/>
            <w:tcBorders>
              <w:top w:val="nil"/>
              <w:left w:val="nil"/>
              <w:bottom w:val="single" w:sz="4" w:space="0" w:color="auto"/>
              <w:right w:val="single" w:sz="4" w:space="0" w:color="auto"/>
            </w:tcBorders>
            <w:shd w:val="clear" w:color="auto" w:fill="auto"/>
            <w:vAlign w:val="center"/>
          </w:tcPr>
          <w:p w14:paraId="7FE26A87"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支持事项权责信息配置、事项处置时限配置、立案条件配置、处置说明配置、结案条件配置、法律法规依据配置、事项场景关键字配置。</w:t>
            </w:r>
          </w:p>
        </w:tc>
        <w:tc>
          <w:tcPr>
            <w:tcW w:w="546" w:type="dxa"/>
            <w:tcBorders>
              <w:top w:val="nil"/>
              <w:left w:val="nil"/>
              <w:bottom w:val="single" w:sz="4" w:space="0" w:color="auto"/>
              <w:right w:val="single" w:sz="4" w:space="0" w:color="auto"/>
            </w:tcBorders>
            <w:shd w:val="clear" w:color="auto" w:fill="auto"/>
            <w:noWrap/>
            <w:vAlign w:val="center"/>
          </w:tcPr>
          <w:p w14:paraId="2C1DBBF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0BC10DE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6A27A9A8"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0203A62B"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8</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610A7B4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事项流程配置</w:t>
            </w:r>
          </w:p>
        </w:tc>
      </w:tr>
      <w:tr w:rsidR="0022665C" w14:paraId="5F1F325A" w14:textId="77777777">
        <w:trPr>
          <w:trHeight w:val="608"/>
        </w:trPr>
        <w:tc>
          <w:tcPr>
            <w:tcW w:w="616" w:type="dxa"/>
            <w:tcBorders>
              <w:top w:val="nil"/>
              <w:left w:val="single" w:sz="4" w:space="0" w:color="auto"/>
              <w:bottom w:val="single" w:sz="4" w:space="0" w:color="auto"/>
              <w:right w:val="single" w:sz="4" w:space="0" w:color="auto"/>
            </w:tcBorders>
            <w:shd w:val="clear" w:color="auto" w:fill="auto"/>
            <w:noWrap/>
            <w:vAlign w:val="center"/>
          </w:tcPr>
          <w:p w14:paraId="0EA48D9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8.1</w:t>
            </w:r>
          </w:p>
        </w:tc>
        <w:tc>
          <w:tcPr>
            <w:tcW w:w="1499" w:type="dxa"/>
            <w:tcBorders>
              <w:top w:val="nil"/>
              <w:left w:val="nil"/>
              <w:bottom w:val="single" w:sz="4" w:space="0" w:color="auto"/>
              <w:right w:val="single" w:sz="4" w:space="0" w:color="auto"/>
            </w:tcBorders>
            <w:shd w:val="clear" w:color="auto" w:fill="auto"/>
            <w:noWrap/>
            <w:vAlign w:val="center"/>
          </w:tcPr>
          <w:p w14:paraId="59D8A17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事项流程配置</w:t>
            </w:r>
          </w:p>
        </w:tc>
        <w:tc>
          <w:tcPr>
            <w:tcW w:w="6414" w:type="dxa"/>
            <w:tcBorders>
              <w:top w:val="nil"/>
              <w:left w:val="nil"/>
              <w:bottom w:val="single" w:sz="4" w:space="0" w:color="auto"/>
              <w:right w:val="single" w:sz="4" w:space="0" w:color="auto"/>
            </w:tcBorders>
            <w:shd w:val="clear" w:color="auto" w:fill="auto"/>
            <w:vAlign w:val="center"/>
          </w:tcPr>
          <w:p w14:paraId="66B804C3"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支持事项默认流程、事项流程编排、事项流程存档、事项流程上线、个性化流程定义、事项流程升级。</w:t>
            </w:r>
          </w:p>
        </w:tc>
        <w:tc>
          <w:tcPr>
            <w:tcW w:w="546" w:type="dxa"/>
            <w:tcBorders>
              <w:top w:val="nil"/>
              <w:left w:val="nil"/>
              <w:bottom w:val="single" w:sz="4" w:space="0" w:color="auto"/>
              <w:right w:val="single" w:sz="4" w:space="0" w:color="auto"/>
            </w:tcBorders>
            <w:shd w:val="clear" w:color="auto" w:fill="auto"/>
            <w:noWrap/>
            <w:vAlign w:val="center"/>
          </w:tcPr>
          <w:p w14:paraId="3C9B8A3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3611ACC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D5AF1FB" w14:textId="77777777">
        <w:trPr>
          <w:trHeight w:val="1518"/>
        </w:trPr>
        <w:tc>
          <w:tcPr>
            <w:tcW w:w="616" w:type="dxa"/>
            <w:tcBorders>
              <w:top w:val="nil"/>
              <w:left w:val="single" w:sz="4" w:space="0" w:color="auto"/>
              <w:bottom w:val="single" w:sz="4" w:space="0" w:color="auto"/>
              <w:right w:val="single" w:sz="4" w:space="0" w:color="auto"/>
            </w:tcBorders>
            <w:shd w:val="clear" w:color="auto" w:fill="auto"/>
            <w:noWrap/>
            <w:vAlign w:val="center"/>
          </w:tcPr>
          <w:p w14:paraId="4ADB868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8.2</w:t>
            </w:r>
          </w:p>
        </w:tc>
        <w:tc>
          <w:tcPr>
            <w:tcW w:w="1499" w:type="dxa"/>
            <w:tcBorders>
              <w:top w:val="nil"/>
              <w:left w:val="nil"/>
              <w:bottom w:val="single" w:sz="4" w:space="0" w:color="auto"/>
              <w:right w:val="single" w:sz="4" w:space="0" w:color="auto"/>
            </w:tcBorders>
            <w:shd w:val="clear" w:color="auto" w:fill="auto"/>
            <w:noWrap/>
            <w:vAlign w:val="center"/>
          </w:tcPr>
          <w:p w14:paraId="62C4CF1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事项流程编排</w:t>
            </w:r>
          </w:p>
        </w:tc>
        <w:tc>
          <w:tcPr>
            <w:tcW w:w="6414" w:type="dxa"/>
            <w:tcBorders>
              <w:top w:val="nil"/>
              <w:left w:val="nil"/>
              <w:bottom w:val="single" w:sz="4" w:space="0" w:color="auto"/>
              <w:right w:val="single" w:sz="4" w:space="0" w:color="auto"/>
            </w:tcBorders>
            <w:shd w:val="clear" w:color="auto" w:fill="auto"/>
            <w:vAlign w:val="center"/>
          </w:tcPr>
          <w:p w14:paraId="3349B4B2" w14:textId="77777777" w:rsidR="0022665C" w:rsidRDefault="00000000">
            <w:pPr>
              <w:spacing w:line="440" w:lineRule="exac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rPr>
              <w:t>★</w:t>
            </w:r>
            <w:r>
              <w:rPr>
                <w:rFonts w:ascii="微软雅黑" w:eastAsia="微软雅黑" w:hAnsi="微软雅黑" w:cs="微软雅黑" w:hint="eastAsia"/>
                <w:sz w:val="21"/>
                <w:szCs w:val="21"/>
              </w:rPr>
              <w:t>事项流程编排是对事项权责部门的处置流程进行编排的模块，支持通过流程编辑器的组件，编排一个或多个部门的串并行处置流程，包含了流程编排组件、节点操作配置、流程编排上线、流程编排升级，支持对流程节点的节点类型、调度系统、调度部门、部门条线、节点是否可以跳过、可执行的操作等进行操作配置。</w:t>
            </w:r>
          </w:p>
          <w:p w14:paraId="2DA5D680"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b/>
                <w:kern w:val="0"/>
                <w:sz w:val="21"/>
                <w:szCs w:val="21"/>
              </w:rPr>
              <w:t>（需提供系统功能截图或相关证明材料，并加盖投标人公章）</w:t>
            </w:r>
          </w:p>
        </w:tc>
        <w:tc>
          <w:tcPr>
            <w:tcW w:w="546" w:type="dxa"/>
            <w:tcBorders>
              <w:top w:val="nil"/>
              <w:left w:val="nil"/>
              <w:bottom w:val="single" w:sz="4" w:space="0" w:color="auto"/>
              <w:right w:val="single" w:sz="4" w:space="0" w:color="auto"/>
            </w:tcBorders>
            <w:shd w:val="clear" w:color="auto" w:fill="auto"/>
            <w:noWrap/>
            <w:vAlign w:val="center"/>
          </w:tcPr>
          <w:p w14:paraId="4E22AB1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2309785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1F0559B"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6502097E"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9</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1A33026A"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运营配置</w:t>
            </w:r>
          </w:p>
        </w:tc>
      </w:tr>
      <w:tr w:rsidR="0022665C" w14:paraId="3A47E371" w14:textId="77777777">
        <w:trPr>
          <w:trHeight w:val="519"/>
        </w:trPr>
        <w:tc>
          <w:tcPr>
            <w:tcW w:w="616" w:type="dxa"/>
            <w:tcBorders>
              <w:top w:val="nil"/>
              <w:left w:val="single" w:sz="4" w:space="0" w:color="auto"/>
              <w:bottom w:val="single" w:sz="4" w:space="0" w:color="auto"/>
              <w:right w:val="single" w:sz="4" w:space="0" w:color="auto"/>
            </w:tcBorders>
            <w:shd w:val="clear" w:color="auto" w:fill="auto"/>
            <w:noWrap/>
            <w:vAlign w:val="center"/>
          </w:tcPr>
          <w:p w14:paraId="6C10DE8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9.1</w:t>
            </w:r>
          </w:p>
        </w:tc>
        <w:tc>
          <w:tcPr>
            <w:tcW w:w="1499" w:type="dxa"/>
            <w:tcBorders>
              <w:top w:val="nil"/>
              <w:left w:val="nil"/>
              <w:bottom w:val="single" w:sz="4" w:space="0" w:color="auto"/>
              <w:right w:val="single" w:sz="4" w:space="0" w:color="auto"/>
            </w:tcBorders>
            <w:shd w:val="clear" w:color="auto" w:fill="auto"/>
            <w:noWrap/>
            <w:vAlign w:val="center"/>
          </w:tcPr>
          <w:p w14:paraId="5E356B8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运营配置</w:t>
            </w:r>
          </w:p>
        </w:tc>
        <w:tc>
          <w:tcPr>
            <w:tcW w:w="6414" w:type="dxa"/>
            <w:tcBorders>
              <w:top w:val="nil"/>
              <w:left w:val="nil"/>
              <w:bottom w:val="single" w:sz="4" w:space="0" w:color="auto"/>
              <w:right w:val="single" w:sz="4" w:space="0" w:color="auto"/>
            </w:tcBorders>
            <w:shd w:val="clear" w:color="auto" w:fill="auto"/>
            <w:vAlign w:val="center"/>
          </w:tcPr>
          <w:p w14:paraId="426B2ABB"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支持事项上线配置、事项下线配置、事项批量导入。</w:t>
            </w:r>
          </w:p>
        </w:tc>
        <w:tc>
          <w:tcPr>
            <w:tcW w:w="546" w:type="dxa"/>
            <w:tcBorders>
              <w:top w:val="nil"/>
              <w:left w:val="nil"/>
              <w:bottom w:val="single" w:sz="4" w:space="0" w:color="auto"/>
              <w:right w:val="single" w:sz="4" w:space="0" w:color="auto"/>
            </w:tcBorders>
            <w:shd w:val="clear" w:color="auto" w:fill="auto"/>
            <w:noWrap/>
            <w:vAlign w:val="center"/>
          </w:tcPr>
          <w:p w14:paraId="2453181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22D0AB4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A2BEA87" w14:textId="77777777">
        <w:trPr>
          <w:trHeight w:val="33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72ED2A4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10</w:t>
            </w:r>
          </w:p>
        </w:tc>
        <w:tc>
          <w:tcPr>
            <w:tcW w:w="8970" w:type="dxa"/>
            <w:gridSpan w:val="4"/>
            <w:tcBorders>
              <w:top w:val="single" w:sz="4" w:space="0" w:color="auto"/>
              <w:left w:val="nil"/>
              <w:bottom w:val="single" w:sz="4" w:space="0" w:color="auto"/>
              <w:right w:val="single" w:sz="4" w:space="0" w:color="000000"/>
            </w:tcBorders>
            <w:shd w:val="clear" w:color="auto" w:fill="auto"/>
            <w:noWrap/>
            <w:vAlign w:val="center"/>
          </w:tcPr>
          <w:p w14:paraId="0F7D04C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岗位调度</w:t>
            </w:r>
          </w:p>
        </w:tc>
      </w:tr>
      <w:tr w:rsidR="0022665C" w14:paraId="43134D59" w14:textId="77777777">
        <w:trPr>
          <w:trHeight w:val="970"/>
        </w:trPr>
        <w:tc>
          <w:tcPr>
            <w:tcW w:w="616" w:type="dxa"/>
            <w:tcBorders>
              <w:top w:val="nil"/>
              <w:left w:val="single" w:sz="4" w:space="0" w:color="auto"/>
              <w:bottom w:val="single" w:sz="4" w:space="0" w:color="auto"/>
              <w:right w:val="single" w:sz="4" w:space="0" w:color="auto"/>
            </w:tcBorders>
            <w:shd w:val="clear" w:color="auto" w:fill="auto"/>
            <w:noWrap/>
            <w:vAlign w:val="center"/>
          </w:tcPr>
          <w:p w14:paraId="11D1206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10.1</w:t>
            </w:r>
          </w:p>
        </w:tc>
        <w:tc>
          <w:tcPr>
            <w:tcW w:w="1499" w:type="dxa"/>
            <w:tcBorders>
              <w:top w:val="nil"/>
              <w:left w:val="nil"/>
              <w:bottom w:val="single" w:sz="4" w:space="0" w:color="auto"/>
              <w:right w:val="single" w:sz="4" w:space="0" w:color="auto"/>
            </w:tcBorders>
            <w:shd w:val="clear" w:color="auto" w:fill="auto"/>
            <w:noWrap/>
            <w:vAlign w:val="center"/>
          </w:tcPr>
          <w:p w14:paraId="1ED4BD5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岗位调度</w:t>
            </w:r>
          </w:p>
        </w:tc>
        <w:tc>
          <w:tcPr>
            <w:tcW w:w="6414" w:type="dxa"/>
            <w:tcBorders>
              <w:top w:val="nil"/>
              <w:left w:val="nil"/>
              <w:bottom w:val="single" w:sz="4" w:space="0" w:color="auto"/>
              <w:right w:val="single" w:sz="4" w:space="0" w:color="auto"/>
            </w:tcBorders>
            <w:shd w:val="clear" w:color="auto" w:fill="auto"/>
            <w:vAlign w:val="center"/>
          </w:tcPr>
          <w:p w14:paraId="6270E66E"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支持条线岗位管理、条线添加岗位、条线岗位查询、编辑条线岗位、绑定岗位人员、全部岗位人员管理、查询岗位人员、解绑岗位人员。</w:t>
            </w:r>
          </w:p>
        </w:tc>
        <w:tc>
          <w:tcPr>
            <w:tcW w:w="546" w:type="dxa"/>
            <w:tcBorders>
              <w:top w:val="nil"/>
              <w:left w:val="nil"/>
              <w:bottom w:val="single" w:sz="4" w:space="0" w:color="auto"/>
              <w:right w:val="single" w:sz="4" w:space="0" w:color="auto"/>
            </w:tcBorders>
            <w:shd w:val="clear" w:color="auto" w:fill="auto"/>
            <w:noWrap/>
            <w:vAlign w:val="center"/>
          </w:tcPr>
          <w:p w14:paraId="204507C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511" w:type="dxa"/>
            <w:tcBorders>
              <w:top w:val="nil"/>
              <w:left w:val="nil"/>
              <w:bottom w:val="single" w:sz="4" w:space="0" w:color="auto"/>
              <w:right w:val="single" w:sz="4" w:space="0" w:color="auto"/>
            </w:tcBorders>
            <w:shd w:val="clear" w:color="auto" w:fill="auto"/>
            <w:noWrap/>
            <w:vAlign w:val="center"/>
          </w:tcPr>
          <w:p w14:paraId="1347C31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bl>
    <w:p w14:paraId="568B37EE"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1.3任务中心</w:t>
      </w:r>
    </w:p>
    <w:p w14:paraId="35ED952E"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sz w:val="21"/>
          <w:szCs w:val="21"/>
        </w:rPr>
        <w:t>任务中心是全市各级各部门均使用的多级数字化知识体系管理组件，按照市委市政府统一部署及重大综合场景需求，将业务事项、事件、体征指标等要素按板块、跑道等分级分类归集形成多级任务，达到体系化知识管理的目标。</w:t>
      </w:r>
    </w:p>
    <w:tbl>
      <w:tblPr>
        <w:tblW w:w="9356" w:type="dxa"/>
        <w:tblInd w:w="-5" w:type="dxa"/>
        <w:tblLook w:val="04A0" w:firstRow="1" w:lastRow="0" w:firstColumn="1" w:lastColumn="0" w:noHBand="0" w:noVBand="1"/>
      </w:tblPr>
      <w:tblGrid>
        <w:gridCol w:w="687"/>
        <w:gridCol w:w="1603"/>
        <w:gridCol w:w="5670"/>
        <w:gridCol w:w="709"/>
        <w:gridCol w:w="709"/>
      </w:tblGrid>
      <w:tr w:rsidR="0022665C" w14:paraId="480D2168" w14:textId="77777777">
        <w:trPr>
          <w:trHeight w:val="345"/>
        </w:trPr>
        <w:tc>
          <w:tcPr>
            <w:tcW w:w="9356"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tcPr>
          <w:p w14:paraId="7680D8E1"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任务中心</w:t>
            </w:r>
          </w:p>
        </w:tc>
      </w:tr>
      <w:tr w:rsidR="0022665C" w14:paraId="49F815DC" w14:textId="77777777">
        <w:trPr>
          <w:trHeight w:val="345"/>
        </w:trPr>
        <w:tc>
          <w:tcPr>
            <w:tcW w:w="665" w:type="dxa"/>
            <w:tcBorders>
              <w:top w:val="nil"/>
              <w:left w:val="single" w:sz="4" w:space="0" w:color="auto"/>
              <w:bottom w:val="single" w:sz="4" w:space="0" w:color="auto"/>
              <w:right w:val="single" w:sz="4" w:space="0" w:color="auto"/>
            </w:tcBorders>
            <w:shd w:val="clear" w:color="auto" w:fill="auto"/>
            <w:noWrap/>
            <w:vAlign w:val="center"/>
          </w:tcPr>
          <w:p w14:paraId="3AC75B6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8691" w:type="dxa"/>
            <w:gridSpan w:val="4"/>
            <w:tcBorders>
              <w:top w:val="single" w:sz="4" w:space="0" w:color="auto"/>
              <w:left w:val="nil"/>
              <w:bottom w:val="single" w:sz="4" w:space="0" w:color="auto"/>
              <w:right w:val="single" w:sz="4" w:space="0" w:color="000000"/>
            </w:tcBorders>
            <w:shd w:val="clear" w:color="auto" w:fill="auto"/>
            <w:noWrap/>
            <w:vAlign w:val="center"/>
          </w:tcPr>
          <w:p w14:paraId="0D09BF2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任务体系构建</w:t>
            </w:r>
          </w:p>
        </w:tc>
      </w:tr>
      <w:tr w:rsidR="0022665C" w14:paraId="49ECC712" w14:textId="77777777">
        <w:trPr>
          <w:trHeight w:val="99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4D6B841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w:t>
            </w:r>
          </w:p>
        </w:tc>
        <w:tc>
          <w:tcPr>
            <w:tcW w:w="1603" w:type="dxa"/>
            <w:tcBorders>
              <w:top w:val="nil"/>
              <w:left w:val="nil"/>
              <w:bottom w:val="single" w:sz="4" w:space="0" w:color="auto"/>
              <w:right w:val="single" w:sz="4" w:space="0" w:color="auto"/>
            </w:tcBorders>
            <w:shd w:val="clear" w:color="auto" w:fill="auto"/>
            <w:noWrap/>
            <w:vAlign w:val="center"/>
          </w:tcPr>
          <w:p w14:paraId="30B676A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任务创建</w:t>
            </w:r>
          </w:p>
        </w:tc>
        <w:tc>
          <w:tcPr>
            <w:tcW w:w="5670" w:type="dxa"/>
            <w:tcBorders>
              <w:top w:val="nil"/>
              <w:left w:val="nil"/>
              <w:bottom w:val="single" w:sz="4" w:space="0" w:color="auto"/>
              <w:right w:val="single" w:sz="4" w:space="0" w:color="auto"/>
            </w:tcBorders>
            <w:shd w:val="clear" w:color="auto" w:fill="auto"/>
            <w:vAlign w:val="center"/>
          </w:tcPr>
          <w:p w14:paraId="62F22BB8"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支持任务属性配置、任务类型配置、任务附件上传、任务协同配置（包含牵头部门设定、协同部门设定）。</w:t>
            </w:r>
          </w:p>
        </w:tc>
        <w:tc>
          <w:tcPr>
            <w:tcW w:w="709" w:type="dxa"/>
            <w:tcBorders>
              <w:top w:val="nil"/>
              <w:left w:val="nil"/>
              <w:bottom w:val="single" w:sz="4" w:space="0" w:color="auto"/>
              <w:right w:val="single" w:sz="4" w:space="0" w:color="auto"/>
            </w:tcBorders>
            <w:shd w:val="clear" w:color="auto" w:fill="auto"/>
            <w:noWrap/>
            <w:vAlign w:val="center"/>
          </w:tcPr>
          <w:p w14:paraId="7F84303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0D3BCB2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2085322" w14:textId="77777777">
        <w:trPr>
          <w:trHeight w:val="198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1B9DD0B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1.2</w:t>
            </w:r>
          </w:p>
        </w:tc>
        <w:tc>
          <w:tcPr>
            <w:tcW w:w="1603" w:type="dxa"/>
            <w:tcBorders>
              <w:top w:val="nil"/>
              <w:left w:val="nil"/>
              <w:bottom w:val="single" w:sz="4" w:space="0" w:color="auto"/>
              <w:right w:val="single" w:sz="4" w:space="0" w:color="auto"/>
            </w:tcBorders>
            <w:shd w:val="clear" w:color="auto" w:fill="auto"/>
            <w:noWrap/>
            <w:vAlign w:val="center"/>
          </w:tcPr>
          <w:p w14:paraId="105CA16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任务维护</w:t>
            </w:r>
          </w:p>
        </w:tc>
        <w:tc>
          <w:tcPr>
            <w:tcW w:w="5670" w:type="dxa"/>
            <w:tcBorders>
              <w:top w:val="nil"/>
              <w:left w:val="nil"/>
              <w:bottom w:val="single" w:sz="4" w:space="0" w:color="auto"/>
              <w:right w:val="single" w:sz="4" w:space="0" w:color="auto"/>
            </w:tcBorders>
            <w:shd w:val="clear" w:color="auto" w:fill="auto"/>
            <w:vAlign w:val="center"/>
          </w:tcPr>
          <w:p w14:paraId="4CA974C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任务调整（包含任务基本信息调整、任务指标信息调整、任务事件信息调整、任务事项信息调整）、任务停用、任务删除、任务复制、任务搜索（包含复合搜索、单一要素搜索）、任务展开与收起、区间节点展开、任务跳转。</w:t>
            </w:r>
          </w:p>
        </w:tc>
        <w:tc>
          <w:tcPr>
            <w:tcW w:w="709" w:type="dxa"/>
            <w:tcBorders>
              <w:top w:val="nil"/>
              <w:left w:val="nil"/>
              <w:bottom w:val="single" w:sz="4" w:space="0" w:color="auto"/>
              <w:right w:val="single" w:sz="4" w:space="0" w:color="auto"/>
            </w:tcBorders>
            <w:shd w:val="clear" w:color="auto" w:fill="auto"/>
            <w:noWrap/>
            <w:vAlign w:val="center"/>
          </w:tcPr>
          <w:p w14:paraId="1BF1567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148E4C0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1C865EA" w14:textId="77777777">
        <w:trPr>
          <w:trHeight w:val="4062"/>
        </w:trPr>
        <w:tc>
          <w:tcPr>
            <w:tcW w:w="665" w:type="dxa"/>
            <w:tcBorders>
              <w:top w:val="nil"/>
              <w:left w:val="single" w:sz="4" w:space="0" w:color="auto"/>
              <w:bottom w:val="single" w:sz="4" w:space="0" w:color="auto"/>
              <w:right w:val="single" w:sz="4" w:space="0" w:color="auto"/>
            </w:tcBorders>
            <w:shd w:val="clear" w:color="auto" w:fill="auto"/>
            <w:noWrap/>
            <w:vAlign w:val="center"/>
          </w:tcPr>
          <w:p w14:paraId="046A12F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1.3</w:t>
            </w:r>
          </w:p>
        </w:tc>
        <w:tc>
          <w:tcPr>
            <w:tcW w:w="1603" w:type="dxa"/>
            <w:tcBorders>
              <w:top w:val="nil"/>
              <w:left w:val="nil"/>
              <w:bottom w:val="single" w:sz="4" w:space="0" w:color="auto"/>
              <w:right w:val="single" w:sz="4" w:space="0" w:color="auto"/>
            </w:tcBorders>
            <w:shd w:val="clear" w:color="auto" w:fill="auto"/>
            <w:noWrap/>
            <w:vAlign w:val="center"/>
          </w:tcPr>
          <w:p w14:paraId="7466A93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任务编排</w:t>
            </w:r>
          </w:p>
        </w:tc>
        <w:tc>
          <w:tcPr>
            <w:tcW w:w="5670" w:type="dxa"/>
            <w:tcBorders>
              <w:top w:val="nil"/>
              <w:left w:val="nil"/>
              <w:bottom w:val="single" w:sz="4" w:space="0" w:color="auto"/>
              <w:right w:val="single" w:sz="4" w:space="0" w:color="auto"/>
            </w:tcBorders>
            <w:shd w:val="clear" w:color="auto" w:fill="auto"/>
            <w:vAlign w:val="center"/>
          </w:tcPr>
          <w:p w14:paraId="21762C6C"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任务相关信息预览（包含任务信息预览、任务关联指标预览、任务关联事件预览、任务关联事项预览）、任务层级编排（包含子任务区间顺序调整、子任务拖拽到节点、节点拖拽到子任务、任务整体拖拽到节点）、任务树构建编排（包含任务总节点构建编排、任务层级构建编排、任务赛道构建编排）、任务关联事件（包含事件新增、事件搜索、任务关联事件关系建立、事件中心互联互通）、任务关联指标（包含任务关联指标关系建立）、任务关联事项（包含事项搜索、事项列表展示、事项选择、任务关联事项关系建立）</w:t>
            </w:r>
          </w:p>
        </w:tc>
        <w:tc>
          <w:tcPr>
            <w:tcW w:w="709" w:type="dxa"/>
            <w:tcBorders>
              <w:top w:val="nil"/>
              <w:left w:val="nil"/>
              <w:bottom w:val="single" w:sz="4" w:space="0" w:color="auto"/>
              <w:right w:val="single" w:sz="4" w:space="0" w:color="auto"/>
            </w:tcBorders>
            <w:shd w:val="clear" w:color="auto" w:fill="auto"/>
            <w:noWrap/>
            <w:vAlign w:val="center"/>
          </w:tcPr>
          <w:p w14:paraId="4D9300E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1B9582D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0011B8B3" w14:textId="77777777">
        <w:trPr>
          <w:trHeight w:val="345"/>
        </w:trPr>
        <w:tc>
          <w:tcPr>
            <w:tcW w:w="665" w:type="dxa"/>
            <w:tcBorders>
              <w:top w:val="nil"/>
              <w:left w:val="single" w:sz="4" w:space="0" w:color="auto"/>
              <w:bottom w:val="single" w:sz="4" w:space="0" w:color="auto"/>
              <w:right w:val="single" w:sz="4" w:space="0" w:color="auto"/>
            </w:tcBorders>
            <w:shd w:val="clear" w:color="auto" w:fill="auto"/>
            <w:noWrap/>
            <w:vAlign w:val="center"/>
          </w:tcPr>
          <w:p w14:paraId="0FFAA19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1.4</w:t>
            </w:r>
          </w:p>
        </w:tc>
        <w:tc>
          <w:tcPr>
            <w:tcW w:w="1603" w:type="dxa"/>
            <w:tcBorders>
              <w:top w:val="nil"/>
              <w:left w:val="nil"/>
              <w:bottom w:val="single" w:sz="4" w:space="0" w:color="auto"/>
              <w:right w:val="single" w:sz="4" w:space="0" w:color="auto"/>
            </w:tcBorders>
            <w:shd w:val="clear" w:color="auto" w:fill="auto"/>
            <w:noWrap/>
            <w:vAlign w:val="center"/>
          </w:tcPr>
          <w:p w14:paraId="1D16FB8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任务鉴权</w:t>
            </w:r>
          </w:p>
        </w:tc>
        <w:tc>
          <w:tcPr>
            <w:tcW w:w="5670" w:type="dxa"/>
            <w:tcBorders>
              <w:top w:val="nil"/>
              <w:left w:val="nil"/>
              <w:bottom w:val="single" w:sz="4" w:space="0" w:color="auto"/>
              <w:right w:val="single" w:sz="4" w:space="0" w:color="auto"/>
            </w:tcBorders>
            <w:shd w:val="clear" w:color="auto" w:fill="auto"/>
            <w:vAlign w:val="center"/>
          </w:tcPr>
          <w:p w14:paraId="15BCF8D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支持页面鉴权、功能鉴权。</w:t>
            </w:r>
          </w:p>
        </w:tc>
        <w:tc>
          <w:tcPr>
            <w:tcW w:w="709" w:type="dxa"/>
            <w:tcBorders>
              <w:top w:val="nil"/>
              <w:left w:val="nil"/>
              <w:bottom w:val="single" w:sz="4" w:space="0" w:color="auto"/>
              <w:right w:val="single" w:sz="4" w:space="0" w:color="auto"/>
            </w:tcBorders>
            <w:shd w:val="clear" w:color="auto" w:fill="auto"/>
            <w:noWrap/>
            <w:vAlign w:val="center"/>
          </w:tcPr>
          <w:p w14:paraId="0DA2EE7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3EA2A14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7880BF8" w14:textId="77777777">
        <w:trPr>
          <w:trHeight w:val="345"/>
        </w:trPr>
        <w:tc>
          <w:tcPr>
            <w:tcW w:w="665" w:type="dxa"/>
            <w:tcBorders>
              <w:top w:val="nil"/>
              <w:left w:val="single" w:sz="4" w:space="0" w:color="auto"/>
              <w:bottom w:val="single" w:sz="4" w:space="0" w:color="auto"/>
              <w:right w:val="single" w:sz="4" w:space="0" w:color="auto"/>
            </w:tcBorders>
            <w:shd w:val="clear" w:color="auto" w:fill="auto"/>
            <w:noWrap/>
            <w:vAlign w:val="center"/>
          </w:tcPr>
          <w:p w14:paraId="42E75C55"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8691" w:type="dxa"/>
            <w:gridSpan w:val="4"/>
            <w:tcBorders>
              <w:top w:val="single" w:sz="4" w:space="0" w:color="auto"/>
              <w:left w:val="nil"/>
              <w:bottom w:val="single" w:sz="4" w:space="0" w:color="auto"/>
              <w:right w:val="single" w:sz="4" w:space="0" w:color="000000"/>
            </w:tcBorders>
            <w:shd w:val="clear" w:color="auto" w:fill="auto"/>
            <w:noWrap/>
            <w:vAlign w:val="center"/>
          </w:tcPr>
          <w:p w14:paraId="40CDF04A"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重点任务设置及编排</w:t>
            </w:r>
          </w:p>
        </w:tc>
      </w:tr>
      <w:tr w:rsidR="0022665C" w14:paraId="715D9F86" w14:textId="77777777">
        <w:trPr>
          <w:trHeight w:val="66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793FEEB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w:t>
            </w:r>
          </w:p>
        </w:tc>
        <w:tc>
          <w:tcPr>
            <w:tcW w:w="1603" w:type="dxa"/>
            <w:tcBorders>
              <w:top w:val="nil"/>
              <w:left w:val="nil"/>
              <w:bottom w:val="single" w:sz="4" w:space="0" w:color="auto"/>
              <w:right w:val="single" w:sz="4" w:space="0" w:color="auto"/>
            </w:tcBorders>
            <w:shd w:val="clear" w:color="auto" w:fill="auto"/>
            <w:noWrap/>
            <w:vAlign w:val="center"/>
          </w:tcPr>
          <w:p w14:paraId="24B53F6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重点任务设置及编排</w:t>
            </w:r>
          </w:p>
        </w:tc>
        <w:tc>
          <w:tcPr>
            <w:tcW w:w="5670" w:type="dxa"/>
            <w:tcBorders>
              <w:top w:val="nil"/>
              <w:left w:val="nil"/>
              <w:bottom w:val="single" w:sz="4" w:space="0" w:color="auto"/>
              <w:right w:val="single" w:sz="4" w:space="0" w:color="auto"/>
            </w:tcBorders>
            <w:shd w:val="clear" w:color="auto" w:fill="auto"/>
            <w:vAlign w:val="center"/>
          </w:tcPr>
          <w:p w14:paraId="584E9F0C"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支持重点任务导入、重点任务查看、重点任务置顶、重点任务移除、重点任务上屏。</w:t>
            </w:r>
          </w:p>
        </w:tc>
        <w:tc>
          <w:tcPr>
            <w:tcW w:w="709" w:type="dxa"/>
            <w:tcBorders>
              <w:top w:val="nil"/>
              <w:left w:val="nil"/>
              <w:bottom w:val="single" w:sz="4" w:space="0" w:color="auto"/>
              <w:right w:val="single" w:sz="4" w:space="0" w:color="auto"/>
            </w:tcBorders>
            <w:shd w:val="clear" w:color="auto" w:fill="auto"/>
            <w:noWrap/>
            <w:vAlign w:val="center"/>
          </w:tcPr>
          <w:p w14:paraId="5B386B8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1E81B73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75E5C730" w14:textId="77777777">
        <w:trPr>
          <w:trHeight w:val="345"/>
        </w:trPr>
        <w:tc>
          <w:tcPr>
            <w:tcW w:w="665" w:type="dxa"/>
            <w:tcBorders>
              <w:top w:val="nil"/>
              <w:left w:val="single" w:sz="4" w:space="0" w:color="auto"/>
              <w:bottom w:val="single" w:sz="4" w:space="0" w:color="auto"/>
              <w:right w:val="single" w:sz="4" w:space="0" w:color="auto"/>
            </w:tcBorders>
            <w:shd w:val="clear" w:color="auto" w:fill="auto"/>
            <w:noWrap/>
            <w:vAlign w:val="center"/>
          </w:tcPr>
          <w:p w14:paraId="2FBDD7E2"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3</w:t>
            </w:r>
          </w:p>
        </w:tc>
        <w:tc>
          <w:tcPr>
            <w:tcW w:w="8691" w:type="dxa"/>
            <w:gridSpan w:val="4"/>
            <w:tcBorders>
              <w:top w:val="single" w:sz="4" w:space="0" w:color="auto"/>
              <w:left w:val="nil"/>
              <w:bottom w:val="single" w:sz="4" w:space="0" w:color="auto"/>
              <w:right w:val="single" w:sz="4" w:space="0" w:color="000000"/>
            </w:tcBorders>
            <w:shd w:val="clear" w:color="auto" w:fill="auto"/>
            <w:noWrap/>
            <w:vAlign w:val="center"/>
          </w:tcPr>
          <w:p w14:paraId="210FCADA"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任务看板</w:t>
            </w:r>
          </w:p>
        </w:tc>
      </w:tr>
      <w:tr w:rsidR="0022665C" w14:paraId="5FD8BDD9" w14:textId="77777777">
        <w:trPr>
          <w:trHeight w:val="345"/>
        </w:trPr>
        <w:tc>
          <w:tcPr>
            <w:tcW w:w="665" w:type="dxa"/>
            <w:tcBorders>
              <w:top w:val="nil"/>
              <w:left w:val="single" w:sz="4" w:space="0" w:color="auto"/>
              <w:bottom w:val="single" w:sz="4" w:space="0" w:color="auto"/>
              <w:right w:val="single" w:sz="4" w:space="0" w:color="auto"/>
            </w:tcBorders>
            <w:shd w:val="clear" w:color="auto" w:fill="auto"/>
            <w:noWrap/>
            <w:vAlign w:val="center"/>
          </w:tcPr>
          <w:p w14:paraId="0B176CE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3.1</w:t>
            </w:r>
          </w:p>
        </w:tc>
        <w:tc>
          <w:tcPr>
            <w:tcW w:w="1603" w:type="dxa"/>
            <w:tcBorders>
              <w:top w:val="nil"/>
              <w:left w:val="nil"/>
              <w:bottom w:val="single" w:sz="4" w:space="0" w:color="auto"/>
              <w:right w:val="single" w:sz="4" w:space="0" w:color="auto"/>
            </w:tcBorders>
            <w:shd w:val="clear" w:color="auto" w:fill="auto"/>
            <w:noWrap/>
            <w:vAlign w:val="center"/>
          </w:tcPr>
          <w:p w14:paraId="1CB9CC7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协同视角</w:t>
            </w:r>
          </w:p>
        </w:tc>
        <w:tc>
          <w:tcPr>
            <w:tcW w:w="5670" w:type="dxa"/>
            <w:tcBorders>
              <w:top w:val="nil"/>
              <w:left w:val="nil"/>
              <w:bottom w:val="single" w:sz="4" w:space="0" w:color="auto"/>
              <w:right w:val="single" w:sz="4" w:space="0" w:color="auto"/>
            </w:tcBorders>
            <w:shd w:val="clear" w:color="auto" w:fill="auto"/>
            <w:vAlign w:val="center"/>
          </w:tcPr>
          <w:p w14:paraId="1EE68079"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支持协同全息看板、查询统计看板。</w:t>
            </w:r>
          </w:p>
        </w:tc>
        <w:tc>
          <w:tcPr>
            <w:tcW w:w="709" w:type="dxa"/>
            <w:tcBorders>
              <w:top w:val="nil"/>
              <w:left w:val="nil"/>
              <w:bottom w:val="single" w:sz="4" w:space="0" w:color="auto"/>
              <w:right w:val="single" w:sz="4" w:space="0" w:color="auto"/>
            </w:tcBorders>
            <w:shd w:val="clear" w:color="auto" w:fill="auto"/>
            <w:noWrap/>
            <w:vAlign w:val="center"/>
          </w:tcPr>
          <w:p w14:paraId="0BDB6A1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7B82B14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25EF667E" w14:textId="77777777">
        <w:trPr>
          <w:trHeight w:val="66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18F816C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3.2</w:t>
            </w:r>
          </w:p>
        </w:tc>
        <w:tc>
          <w:tcPr>
            <w:tcW w:w="1603" w:type="dxa"/>
            <w:tcBorders>
              <w:top w:val="nil"/>
              <w:left w:val="nil"/>
              <w:bottom w:val="single" w:sz="4" w:space="0" w:color="auto"/>
              <w:right w:val="single" w:sz="4" w:space="0" w:color="auto"/>
            </w:tcBorders>
            <w:shd w:val="clear" w:color="auto" w:fill="auto"/>
            <w:noWrap/>
            <w:vAlign w:val="center"/>
          </w:tcPr>
          <w:p w14:paraId="008FC90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协同链路</w:t>
            </w:r>
          </w:p>
        </w:tc>
        <w:tc>
          <w:tcPr>
            <w:tcW w:w="5670" w:type="dxa"/>
            <w:tcBorders>
              <w:top w:val="nil"/>
              <w:left w:val="nil"/>
              <w:bottom w:val="single" w:sz="4" w:space="0" w:color="auto"/>
              <w:right w:val="single" w:sz="4" w:space="0" w:color="auto"/>
            </w:tcBorders>
            <w:shd w:val="clear" w:color="auto" w:fill="auto"/>
            <w:vAlign w:val="center"/>
          </w:tcPr>
          <w:p w14:paraId="27201CD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支持任务名称、关联指标、关联事件、事项详情、关联事项。</w:t>
            </w:r>
          </w:p>
        </w:tc>
        <w:tc>
          <w:tcPr>
            <w:tcW w:w="709" w:type="dxa"/>
            <w:tcBorders>
              <w:top w:val="nil"/>
              <w:left w:val="nil"/>
              <w:bottom w:val="single" w:sz="4" w:space="0" w:color="auto"/>
              <w:right w:val="single" w:sz="4" w:space="0" w:color="auto"/>
            </w:tcBorders>
            <w:shd w:val="clear" w:color="auto" w:fill="auto"/>
            <w:noWrap/>
            <w:vAlign w:val="center"/>
          </w:tcPr>
          <w:p w14:paraId="15FF0AE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7452C22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0DF0EE87" w14:textId="77777777">
        <w:trPr>
          <w:trHeight w:val="99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6C3BA57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3.3</w:t>
            </w:r>
          </w:p>
        </w:tc>
        <w:tc>
          <w:tcPr>
            <w:tcW w:w="1603" w:type="dxa"/>
            <w:tcBorders>
              <w:top w:val="nil"/>
              <w:left w:val="nil"/>
              <w:bottom w:val="single" w:sz="4" w:space="0" w:color="auto"/>
              <w:right w:val="single" w:sz="4" w:space="0" w:color="auto"/>
            </w:tcBorders>
            <w:shd w:val="clear" w:color="auto" w:fill="auto"/>
            <w:noWrap/>
            <w:vAlign w:val="center"/>
          </w:tcPr>
          <w:p w14:paraId="4748DC0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协同操作</w:t>
            </w:r>
          </w:p>
        </w:tc>
        <w:tc>
          <w:tcPr>
            <w:tcW w:w="5670" w:type="dxa"/>
            <w:tcBorders>
              <w:top w:val="nil"/>
              <w:left w:val="nil"/>
              <w:bottom w:val="single" w:sz="4" w:space="0" w:color="auto"/>
              <w:right w:val="single" w:sz="4" w:space="0" w:color="auto"/>
            </w:tcBorders>
            <w:shd w:val="clear" w:color="auto" w:fill="auto"/>
            <w:vAlign w:val="center"/>
          </w:tcPr>
          <w:p w14:paraId="512E62D8"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支持看板搜索（包含任务层级、牵头部门、任务名称）、自定义画布、看板拖拽、看板缩放、全局定位、全屏视角。</w:t>
            </w:r>
          </w:p>
        </w:tc>
        <w:tc>
          <w:tcPr>
            <w:tcW w:w="709" w:type="dxa"/>
            <w:tcBorders>
              <w:top w:val="nil"/>
              <w:left w:val="nil"/>
              <w:bottom w:val="single" w:sz="4" w:space="0" w:color="auto"/>
              <w:right w:val="single" w:sz="4" w:space="0" w:color="auto"/>
            </w:tcBorders>
            <w:shd w:val="clear" w:color="auto" w:fill="auto"/>
            <w:noWrap/>
            <w:vAlign w:val="center"/>
          </w:tcPr>
          <w:p w14:paraId="7B92D1E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4A8C930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0B9ADE3" w14:textId="77777777">
        <w:trPr>
          <w:trHeight w:val="33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6EFB5DF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3.4</w:t>
            </w:r>
          </w:p>
        </w:tc>
        <w:tc>
          <w:tcPr>
            <w:tcW w:w="8691" w:type="dxa"/>
            <w:gridSpan w:val="4"/>
            <w:tcBorders>
              <w:top w:val="single" w:sz="4" w:space="0" w:color="auto"/>
              <w:left w:val="nil"/>
              <w:bottom w:val="single" w:sz="4" w:space="0" w:color="auto"/>
              <w:right w:val="single" w:sz="4" w:space="0" w:color="000000"/>
            </w:tcBorders>
            <w:shd w:val="clear" w:color="auto" w:fill="auto"/>
            <w:noWrap/>
            <w:vAlign w:val="center"/>
          </w:tcPr>
          <w:p w14:paraId="3C51FF3D"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指挥总览</w:t>
            </w:r>
          </w:p>
        </w:tc>
      </w:tr>
      <w:tr w:rsidR="0022665C" w14:paraId="17B4DBD1" w14:textId="77777777">
        <w:trPr>
          <w:trHeight w:val="99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5E50B86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3.4.1</w:t>
            </w:r>
          </w:p>
        </w:tc>
        <w:tc>
          <w:tcPr>
            <w:tcW w:w="1603" w:type="dxa"/>
            <w:tcBorders>
              <w:top w:val="nil"/>
              <w:left w:val="nil"/>
              <w:bottom w:val="single" w:sz="4" w:space="0" w:color="auto"/>
              <w:right w:val="single" w:sz="4" w:space="0" w:color="auto"/>
            </w:tcBorders>
            <w:shd w:val="clear" w:color="auto" w:fill="auto"/>
            <w:noWrap/>
            <w:vAlign w:val="center"/>
          </w:tcPr>
          <w:p w14:paraId="59C01B1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指挥透视能力</w:t>
            </w:r>
          </w:p>
        </w:tc>
        <w:tc>
          <w:tcPr>
            <w:tcW w:w="5670" w:type="dxa"/>
            <w:tcBorders>
              <w:top w:val="nil"/>
              <w:left w:val="nil"/>
              <w:bottom w:val="single" w:sz="4" w:space="0" w:color="auto"/>
              <w:right w:val="single" w:sz="4" w:space="0" w:color="auto"/>
            </w:tcBorders>
            <w:shd w:val="clear" w:color="auto" w:fill="auto"/>
            <w:vAlign w:val="center"/>
          </w:tcPr>
          <w:p w14:paraId="39DB437A"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支持任务总览、多级管理、市任务看板、区县任务看板、部门任务看板、单一任务看板、任务看板大屏</w:t>
            </w:r>
          </w:p>
        </w:tc>
        <w:tc>
          <w:tcPr>
            <w:tcW w:w="709" w:type="dxa"/>
            <w:tcBorders>
              <w:top w:val="nil"/>
              <w:left w:val="nil"/>
              <w:bottom w:val="single" w:sz="4" w:space="0" w:color="auto"/>
              <w:right w:val="single" w:sz="4" w:space="0" w:color="auto"/>
            </w:tcBorders>
            <w:shd w:val="clear" w:color="auto" w:fill="auto"/>
            <w:noWrap/>
            <w:vAlign w:val="center"/>
          </w:tcPr>
          <w:p w14:paraId="2BB8732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5E26F5E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0C859F55" w14:textId="77777777">
        <w:trPr>
          <w:trHeight w:val="132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1061912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3.4.2</w:t>
            </w:r>
          </w:p>
        </w:tc>
        <w:tc>
          <w:tcPr>
            <w:tcW w:w="1603" w:type="dxa"/>
            <w:tcBorders>
              <w:top w:val="nil"/>
              <w:left w:val="nil"/>
              <w:bottom w:val="single" w:sz="4" w:space="0" w:color="auto"/>
              <w:right w:val="single" w:sz="4" w:space="0" w:color="auto"/>
            </w:tcBorders>
            <w:shd w:val="clear" w:color="auto" w:fill="auto"/>
            <w:noWrap/>
            <w:vAlign w:val="center"/>
          </w:tcPr>
          <w:p w14:paraId="0A0B6AA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市级指挥透视</w:t>
            </w:r>
          </w:p>
        </w:tc>
        <w:tc>
          <w:tcPr>
            <w:tcW w:w="5670" w:type="dxa"/>
            <w:tcBorders>
              <w:top w:val="nil"/>
              <w:left w:val="nil"/>
              <w:bottom w:val="single" w:sz="4" w:space="0" w:color="auto"/>
              <w:right w:val="single" w:sz="4" w:space="0" w:color="auto"/>
            </w:tcBorders>
            <w:shd w:val="clear" w:color="auto" w:fill="auto"/>
            <w:vAlign w:val="center"/>
          </w:tcPr>
          <w:p w14:paraId="73075372"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支持知识体系展示、任务数据统计、任务数据展示、任务看板展示、任务关联数据展示（包含事件数据展示、事件详情、事项数据展示、指标数据展示）</w:t>
            </w:r>
          </w:p>
        </w:tc>
        <w:tc>
          <w:tcPr>
            <w:tcW w:w="709" w:type="dxa"/>
            <w:tcBorders>
              <w:top w:val="nil"/>
              <w:left w:val="nil"/>
              <w:bottom w:val="single" w:sz="4" w:space="0" w:color="auto"/>
              <w:right w:val="single" w:sz="4" w:space="0" w:color="auto"/>
            </w:tcBorders>
            <w:shd w:val="clear" w:color="auto" w:fill="auto"/>
            <w:noWrap/>
            <w:vAlign w:val="center"/>
          </w:tcPr>
          <w:p w14:paraId="7B1920E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0E0FBB0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6C29CFDF" w14:textId="77777777">
        <w:trPr>
          <w:trHeight w:val="132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7D3E396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3.4.3</w:t>
            </w:r>
          </w:p>
        </w:tc>
        <w:tc>
          <w:tcPr>
            <w:tcW w:w="1603" w:type="dxa"/>
            <w:tcBorders>
              <w:top w:val="nil"/>
              <w:left w:val="nil"/>
              <w:bottom w:val="single" w:sz="4" w:space="0" w:color="auto"/>
              <w:right w:val="single" w:sz="4" w:space="0" w:color="auto"/>
            </w:tcBorders>
            <w:shd w:val="clear" w:color="auto" w:fill="auto"/>
            <w:noWrap/>
            <w:vAlign w:val="center"/>
          </w:tcPr>
          <w:p w14:paraId="572DD14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区县指挥透视</w:t>
            </w:r>
          </w:p>
        </w:tc>
        <w:tc>
          <w:tcPr>
            <w:tcW w:w="5670" w:type="dxa"/>
            <w:tcBorders>
              <w:top w:val="nil"/>
              <w:left w:val="nil"/>
              <w:bottom w:val="single" w:sz="4" w:space="0" w:color="auto"/>
              <w:right w:val="single" w:sz="4" w:space="0" w:color="auto"/>
            </w:tcBorders>
            <w:shd w:val="clear" w:color="auto" w:fill="auto"/>
            <w:vAlign w:val="center"/>
          </w:tcPr>
          <w:p w14:paraId="13C18F8B"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支持知识体系展示、任务数据统计、任务数据展示、任务看板展示、任务关联数据展示（包含事件数据展示、事件详情、事项数据展示、指标数据展示）</w:t>
            </w:r>
          </w:p>
        </w:tc>
        <w:tc>
          <w:tcPr>
            <w:tcW w:w="709" w:type="dxa"/>
            <w:tcBorders>
              <w:top w:val="nil"/>
              <w:left w:val="nil"/>
              <w:bottom w:val="single" w:sz="4" w:space="0" w:color="auto"/>
              <w:right w:val="single" w:sz="4" w:space="0" w:color="auto"/>
            </w:tcBorders>
            <w:shd w:val="clear" w:color="auto" w:fill="auto"/>
            <w:noWrap/>
            <w:vAlign w:val="center"/>
          </w:tcPr>
          <w:p w14:paraId="03AC94A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0ED067C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D9D2E4E" w14:textId="77777777">
        <w:trPr>
          <w:trHeight w:val="345"/>
        </w:trPr>
        <w:tc>
          <w:tcPr>
            <w:tcW w:w="665" w:type="dxa"/>
            <w:tcBorders>
              <w:top w:val="nil"/>
              <w:left w:val="single" w:sz="4" w:space="0" w:color="auto"/>
              <w:bottom w:val="single" w:sz="4" w:space="0" w:color="auto"/>
              <w:right w:val="single" w:sz="4" w:space="0" w:color="auto"/>
            </w:tcBorders>
            <w:shd w:val="clear" w:color="auto" w:fill="auto"/>
            <w:noWrap/>
            <w:vAlign w:val="center"/>
          </w:tcPr>
          <w:p w14:paraId="1B18A004"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4</w:t>
            </w:r>
          </w:p>
        </w:tc>
        <w:tc>
          <w:tcPr>
            <w:tcW w:w="8691" w:type="dxa"/>
            <w:gridSpan w:val="4"/>
            <w:tcBorders>
              <w:top w:val="single" w:sz="4" w:space="0" w:color="auto"/>
              <w:left w:val="nil"/>
              <w:bottom w:val="single" w:sz="4" w:space="0" w:color="auto"/>
              <w:right w:val="single" w:sz="4" w:space="0" w:color="000000"/>
            </w:tcBorders>
            <w:shd w:val="clear" w:color="auto" w:fill="auto"/>
            <w:noWrap/>
            <w:vAlign w:val="center"/>
          </w:tcPr>
          <w:p w14:paraId="1ABF72A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任务查询及统计</w:t>
            </w:r>
          </w:p>
        </w:tc>
      </w:tr>
      <w:tr w:rsidR="0022665C" w14:paraId="7BE8E515" w14:textId="77777777">
        <w:trPr>
          <w:trHeight w:val="1980"/>
        </w:trPr>
        <w:tc>
          <w:tcPr>
            <w:tcW w:w="665" w:type="dxa"/>
            <w:tcBorders>
              <w:top w:val="nil"/>
              <w:left w:val="single" w:sz="4" w:space="0" w:color="auto"/>
              <w:bottom w:val="single" w:sz="4" w:space="0" w:color="auto"/>
              <w:right w:val="single" w:sz="4" w:space="0" w:color="auto"/>
            </w:tcBorders>
            <w:shd w:val="clear" w:color="auto" w:fill="auto"/>
            <w:noWrap/>
            <w:vAlign w:val="center"/>
          </w:tcPr>
          <w:p w14:paraId="5206396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4.1</w:t>
            </w:r>
          </w:p>
        </w:tc>
        <w:tc>
          <w:tcPr>
            <w:tcW w:w="1603" w:type="dxa"/>
            <w:tcBorders>
              <w:top w:val="nil"/>
              <w:left w:val="nil"/>
              <w:bottom w:val="single" w:sz="4" w:space="0" w:color="auto"/>
              <w:right w:val="single" w:sz="4" w:space="0" w:color="auto"/>
            </w:tcBorders>
            <w:shd w:val="clear" w:color="auto" w:fill="auto"/>
            <w:noWrap/>
            <w:vAlign w:val="center"/>
          </w:tcPr>
          <w:p w14:paraId="53D61BA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任务查询及统计</w:t>
            </w:r>
          </w:p>
        </w:tc>
        <w:tc>
          <w:tcPr>
            <w:tcW w:w="5670" w:type="dxa"/>
            <w:tcBorders>
              <w:top w:val="nil"/>
              <w:left w:val="nil"/>
              <w:bottom w:val="single" w:sz="4" w:space="0" w:color="auto"/>
              <w:right w:val="single" w:sz="4" w:space="0" w:color="auto"/>
            </w:tcBorders>
            <w:shd w:val="clear" w:color="auto" w:fill="auto"/>
            <w:vAlign w:val="center"/>
          </w:tcPr>
          <w:p w14:paraId="57EFEF0C"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任务知识体系、任务知识查询（包含按照任务层级查询、按照牵头部门查询、按照任务状态查询、按照任务周期查询、按照任务类型查询、按照任务事件反查、按照任务事项反查、按照任务指标反查）、任务知识统计、任务知识导出。</w:t>
            </w:r>
          </w:p>
        </w:tc>
        <w:tc>
          <w:tcPr>
            <w:tcW w:w="709" w:type="dxa"/>
            <w:tcBorders>
              <w:top w:val="nil"/>
              <w:left w:val="nil"/>
              <w:bottom w:val="single" w:sz="4" w:space="0" w:color="auto"/>
              <w:right w:val="single" w:sz="4" w:space="0" w:color="auto"/>
            </w:tcBorders>
            <w:shd w:val="clear" w:color="auto" w:fill="auto"/>
            <w:noWrap/>
            <w:vAlign w:val="center"/>
          </w:tcPr>
          <w:p w14:paraId="2AB2723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1AD5173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7C1E2ECA" w14:textId="77777777">
        <w:trPr>
          <w:trHeight w:val="345"/>
        </w:trPr>
        <w:tc>
          <w:tcPr>
            <w:tcW w:w="665" w:type="dxa"/>
            <w:tcBorders>
              <w:top w:val="nil"/>
              <w:left w:val="single" w:sz="4" w:space="0" w:color="auto"/>
              <w:bottom w:val="single" w:sz="4" w:space="0" w:color="auto"/>
              <w:right w:val="single" w:sz="4" w:space="0" w:color="auto"/>
            </w:tcBorders>
            <w:shd w:val="clear" w:color="auto" w:fill="auto"/>
            <w:noWrap/>
            <w:vAlign w:val="center"/>
          </w:tcPr>
          <w:p w14:paraId="30A94EBD"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5</w:t>
            </w:r>
          </w:p>
        </w:tc>
        <w:tc>
          <w:tcPr>
            <w:tcW w:w="8691" w:type="dxa"/>
            <w:gridSpan w:val="4"/>
            <w:tcBorders>
              <w:top w:val="single" w:sz="4" w:space="0" w:color="auto"/>
              <w:left w:val="nil"/>
              <w:bottom w:val="single" w:sz="4" w:space="0" w:color="auto"/>
              <w:right w:val="single" w:sz="4" w:space="0" w:color="000000"/>
            </w:tcBorders>
            <w:shd w:val="clear" w:color="auto" w:fill="auto"/>
            <w:noWrap/>
            <w:vAlign w:val="center"/>
          </w:tcPr>
          <w:p w14:paraId="6A3E8917"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配置及数据处理</w:t>
            </w:r>
          </w:p>
        </w:tc>
      </w:tr>
      <w:tr w:rsidR="0022665C" w14:paraId="6F5AAA81" w14:textId="77777777">
        <w:trPr>
          <w:trHeight w:val="345"/>
        </w:trPr>
        <w:tc>
          <w:tcPr>
            <w:tcW w:w="665" w:type="dxa"/>
            <w:tcBorders>
              <w:top w:val="nil"/>
              <w:left w:val="single" w:sz="4" w:space="0" w:color="auto"/>
              <w:bottom w:val="single" w:sz="4" w:space="0" w:color="auto"/>
              <w:right w:val="single" w:sz="4" w:space="0" w:color="auto"/>
            </w:tcBorders>
            <w:shd w:val="clear" w:color="auto" w:fill="auto"/>
            <w:noWrap/>
            <w:vAlign w:val="center"/>
          </w:tcPr>
          <w:p w14:paraId="2CF5E9C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5.1</w:t>
            </w:r>
          </w:p>
        </w:tc>
        <w:tc>
          <w:tcPr>
            <w:tcW w:w="1603" w:type="dxa"/>
            <w:tcBorders>
              <w:top w:val="nil"/>
              <w:left w:val="nil"/>
              <w:bottom w:val="single" w:sz="4" w:space="0" w:color="auto"/>
              <w:right w:val="single" w:sz="4" w:space="0" w:color="auto"/>
            </w:tcBorders>
            <w:shd w:val="clear" w:color="auto" w:fill="auto"/>
            <w:noWrap/>
            <w:vAlign w:val="center"/>
          </w:tcPr>
          <w:p w14:paraId="71155A0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账号管理</w:t>
            </w:r>
          </w:p>
        </w:tc>
        <w:tc>
          <w:tcPr>
            <w:tcW w:w="5670" w:type="dxa"/>
            <w:tcBorders>
              <w:top w:val="nil"/>
              <w:left w:val="nil"/>
              <w:bottom w:val="single" w:sz="4" w:space="0" w:color="auto"/>
              <w:right w:val="single" w:sz="4" w:space="0" w:color="auto"/>
            </w:tcBorders>
            <w:shd w:val="clear" w:color="auto" w:fill="auto"/>
            <w:vAlign w:val="center"/>
          </w:tcPr>
          <w:p w14:paraId="5B2B418A"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支持用户管理、用户组织机构管理。</w:t>
            </w:r>
          </w:p>
        </w:tc>
        <w:tc>
          <w:tcPr>
            <w:tcW w:w="709" w:type="dxa"/>
            <w:tcBorders>
              <w:top w:val="nil"/>
              <w:left w:val="nil"/>
              <w:bottom w:val="single" w:sz="4" w:space="0" w:color="auto"/>
              <w:right w:val="single" w:sz="4" w:space="0" w:color="auto"/>
            </w:tcBorders>
            <w:shd w:val="clear" w:color="auto" w:fill="auto"/>
            <w:noWrap/>
            <w:vAlign w:val="center"/>
          </w:tcPr>
          <w:p w14:paraId="257E2F2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套</w:t>
            </w:r>
          </w:p>
        </w:tc>
        <w:tc>
          <w:tcPr>
            <w:tcW w:w="709" w:type="dxa"/>
            <w:tcBorders>
              <w:top w:val="nil"/>
              <w:left w:val="nil"/>
              <w:bottom w:val="single" w:sz="4" w:space="0" w:color="auto"/>
              <w:right w:val="single" w:sz="4" w:space="0" w:color="auto"/>
            </w:tcBorders>
            <w:shd w:val="clear" w:color="auto" w:fill="auto"/>
            <w:noWrap/>
            <w:vAlign w:val="center"/>
          </w:tcPr>
          <w:p w14:paraId="74E4248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bl>
    <w:p w14:paraId="044C181E"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w:t>
      </w:r>
      <w:r>
        <w:rPr>
          <w:rFonts w:ascii="微软雅黑" w:eastAsia="微软雅黑" w:hAnsi="微软雅黑" w:cs="微软雅黑"/>
          <w:b/>
          <w:bCs/>
          <w:sz w:val="21"/>
          <w:szCs w:val="21"/>
        </w:rPr>
        <w:t>.4</w:t>
      </w:r>
      <w:r>
        <w:rPr>
          <w:rFonts w:ascii="微软雅黑" w:eastAsia="微软雅黑" w:hAnsi="微软雅黑" w:cs="微软雅黑" w:hint="eastAsia"/>
          <w:b/>
          <w:bCs/>
          <w:sz w:val="21"/>
          <w:szCs w:val="21"/>
        </w:rPr>
        <w:t>事件中心</w:t>
      </w:r>
    </w:p>
    <w:p w14:paraId="7645F71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sz w:val="21"/>
          <w:szCs w:val="21"/>
        </w:rPr>
        <w:t>事件中心是全市一体建设、三级部署、多级使用的数字化业务流管理组件，将全市的业务流进行统一定义、统一管理并形成数字化业务知识库，并将全市各级各部门不同来源的内部和多跨事件统一进行标准化接入，进行统一的自动或人工业务分拨，构建事件接入、流转、处置全流程闭环能力，形成全量事件库，直观反映全市事件处置成效。</w:t>
      </w:r>
    </w:p>
    <w:tbl>
      <w:tblPr>
        <w:tblW w:w="94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841"/>
        <w:gridCol w:w="5651"/>
        <w:gridCol w:w="666"/>
        <w:gridCol w:w="600"/>
      </w:tblGrid>
      <w:tr w:rsidR="0022665C" w14:paraId="4924C3A9" w14:textId="77777777">
        <w:trPr>
          <w:trHeight w:val="330"/>
        </w:trPr>
        <w:tc>
          <w:tcPr>
            <w:tcW w:w="9467" w:type="dxa"/>
            <w:gridSpan w:val="5"/>
            <w:shd w:val="clear" w:color="auto" w:fill="auto"/>
            <w:noWrap/>
            <w:vAlign w:val="center"/>
          </w:tcPr>
          <w:p w14:paraId="7525E08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事件中心</w:t>
            </w:r>
          </w:p>
        </w:tc>
      </w:tr>
      <w:tr w:rsidR="0022665C" w14:paraId="63A347DD" w14:textId="77777777">
        <w:trPr>
          <w:trHeight w:val="330"/>
        </w:trPr>
        <w:tc>
          <w:tcPr>
            <w:tcW w:w="709" w:type="dxa"/>
            <w:shd w:val="clear" w:color="auto" w:fill="auto"/>
            <w:noWrap/>
            <w:vAlign w:val="center"/>
          </w:tcPr>
          <w:p w14:paraId="22731206"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8758" w:type="dxa"/>
            <w:gridSpan w:val="4"/>
            <w:shd w:val="clear" w:color="auto" w:fill="auto"/>
            <w:noWrap/>
            <w:vAlign w:val="center"/>
          </w:tcPr>
          <w:p w14:paraId="33872BAD"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事件关联预案配置</w:t>
            </w:r>
          </w:p>
        </w:tc>
      </w:tr>
      <w:tr w:rsidR="0022665C" w14:paraId="639438F5" w14:textId="77777777">
        <w:trPr>
          <w:trHeight w:val="2053"/>
        </w:trPr>
        <w:tc>
          <w:tcPr>
            <w:tcW w:w="709" w:type="dxa"/>
            <w:shd w:val="clear" w:color="auto" w:fill="auto"/>
            <w:noWrap/>
            <w:vAlign w:val="center"/>
          </w:tcPr>
          <w:p w14:paraId="0A08D61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w:t>
            </w:r>
          </w:p>
        </w:tc>
        <w:tc>
          <w:tcPr>
            <w:tcW w:w="1841" w:type="dxa"/>
            <w:shd w:val="clear" w:color="auto" w:fill="auto"/>
            <w:noWrap/>
            <w:vAlign w:val="center"/>
          </w:tcPr>
          <w:p w14:paraId="1009B39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事件关联预案配置</w:t>
            </w:r>
          </w:p>
        </w:tc>
        <w:tc>
          <w:tcPr>
            <w:tcW w:w="5651" w:type="dxa"/>
            <w:shd w:val="clear" w:color="auto" w:fill="auto"/>
            <w:vAlign w:val="center"/>
          </w:tcPr>
          <w:p w14:paraId="5F3B075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件管理（包含事件列表、事件搜索、事件新增、事件关联预案配置、事件编辑、事件删除、事件上下线、事件详情页面查看）、事件查询权限控制、任务中心数据对接（包含事件新增接口、事件查询接口、权限控制接口、事件关联信息查询接口、事件单查询接口、事件数据看板）</w:t>
            </w:r>
          </w:p>
        </w:tc>
        <w:tc>
          <w:tcPr>
            <w:tcW w:w="666" w:type="dxa"/>
            <w:shd w:val="clear" w:color="auto" w:fill="auto"/>
            <w:noWrap/>
            <w:vAlign w:val="center"/>
          </w:tcPr>
          <w:p w14:paraId="76954E8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58F2542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6C1F9666" w14:textId="77777777">
        <w:trPr>
          <w:trHeight w:val="330"/>
        </w:trPr>
        <w:tc>
          <w:tcPr>
            <w:tcW w:w="709" w:type="dxa"/>
            <w:shd w:val="clear" w:color="auto" w:fill="auto"/>
            <w:noWrap/>
            <w:vAlign w:val="center"/>
          </w:tcPr>
          <w:p w14:paraId="4859FD7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8758" w:type="dxa"/>
            <w:gridSpan w:val="4"/>
            <w:shd w:val="clear" w:color="auto" w:fill="auto"/>
            <w:noWrap/>
            <w:vAlign w:val="center"/>
          </w:tcPr>
          <w:p w14:paraId="3F5CF494"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支撑配置</w:t>
            </w:r>
          </w:p>
        </w:tc>
      </w:tr>
      <w:tr w:rsidR="0022665C" w14:paraId="1890260B" w14:textId="77777777">
        <w:trPr>
          <w:trHeight w:val="660"/>
        </w:trPr>
        <w:tc>
          <w:tcPr>
            <w:tcW w:w="709" w:type="dxa"/>
            <w:shd w:val="clear" w:color="auto" w:fill="auto"/>
            <w:noWrap/>
            <w:vAlign w:val="center"/>
          </w:tcPr>
          <w:p w14:paraId="12D9AF9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w:t>
            </w:r>
          </w:p>
        </w:tc>
        <w:tc>
          <w:tcPr>
            <w:tcW w:w="1841" w:type="dxa"/>
            <w:shd w:val="clear" w:color="auto" w:fill="auto"/>
            <w:noWrap/>
            <w:vAlign w:val="center"/>
          </w:tcPr>
          <w:p w14:paraId="4431A99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支撑配置</w:t>
            </w:r>
          </w:p>
        </w:tc>
        <w:tc>
          <w:tcPr>
            <w:tcW w:w="5651" w:type="dxa"/>
            <w:shd w:val="clear" w:color="auto" w:fill="auto"/>
            <w:vAlign w:val="center"/>
          </w:tcPr>
          <w:p w14:paraId="4043E41E"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支持事件类型管理、表单配置功能、智能预案参数配置、智能预案参数接口。</w:t>
            </w:r>
          </w:p>
        </w:tc>
        <w:tc>
          <w:tcPr>
            <w:tcW w:w="666" w:type="dxa"/>
            <w:shd w:val="clear" w:color="auto" w:fill="auto"/>
            <w:noWrap/>
            <w:vAlign w:val="center"/>
          </w:tcPr>
          <w:p w14:paraId="079319B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314E012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272EAED8" w14:textId="77777777">
        <w:trPr>
          <w:trHeight w:val="1367"/>
        </w:trPr>
        <w:tc>
          <w:tcPr>
            <w:tcW w:w="709" w:type="dxa"/>
            <w:shd w:val="clear" w:color="auto" w:fill="auto"/>
            <w:noWrap/>
            <w:vAlign w:val="center"/>
          </w:tcPr>
          <w:p w14:paraId="6D102FC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w:t>
            </w:r>
          </w:p>
        </w:tc>
        <w:tc>
          <w:tcPr>
            <w:tcW w:w="1841" w:type="dxa"/>
            <w:shd w:val="clear" w:color="auto" w:fill="auto"/>
            <w:noWrap/>
            <w:vAlign w:val="center"/>
          </w:tcPr>
          <w:p w14:paraId="2106304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表单配置功能</w:t>
            </w:r>
          </w:p>
        </w:tc>
        <w:tc>
          <w:tcPr>
            <w:tcW w:w="5651" w:type="dxa"/>
            <w:shd w:val="clear" w:color="auto" w:fill="auto"/>
            <w:vAlign w:val="center"/>
          </w:tcPr>
          <w:p w14:paraId="0576C9D2"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★支持事件单信息配置功能，支持依据事件类型使用平台提供的组件，添加所需的字段、设置表单的字段展示顺序。</w:t>
            </w:r>
            <w:r>
              <w:rPr>
                <w:rFonts w:ascii="微软雅黑" w:eastAsia="微软雅黑" w:hAnsi="微软雅黑" w:cs="微软雅黑" w:hint="eastAsia"/>
                <w:b/>
                <w:kern w:val="0"/>
                <w:sz w:val="21"/>
                <w:szCs w:val="21"/>
              </w:rPr>
              <w:t>（需提供系统功能截图或相关证明材料，并加盖投标人公章）</w:t>
            </w:r>
          </w:p>
        </w:tc>
        <w:tc>
          <w:tcPr>
            <w:tcW w:w="666" w:type="dxa"/>
            <w:shd w:val="clear" w:color="auto" w:fill="auto"/>
            <w:noWrap/>
            <w:vAlign w:val="center"/>
          </w:tcPr>
          <w:p w14:paraId="39292F5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7C0A035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6E7BE704" w14:textId="77777777">
        <w:trPr>
          <w:trHeight w:val="330"/>
        </w:trPr>
        <w:tc>
          <w:tcPr>
            <w:tcW w:w="709" w:type="dxa"/>
            <w:shd w:val="clear" w:color="auto" w:fill="auto"/>
            <w:noWrap/>
            <w:vAlign w:val="center"/>
          </w:tcPr>
          <w:p w14:paraId="44F65BB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b/>
                <w:bCs/>
                <w:kern w:val="0"/>
                <w:sz w:val="21"/>
                <w:szCs w:val="21"/>
              </w:rPr>
              <w:t>3</w:t>
            </w:r>
          </w:p>
        </w:tc>
        <w:tc>
          <w:tcPr>
            <w:tcW w:w="8758" w:type="dxa"/>
            <w:gridSpan w:val="4"/>
            <w:shd w:val="clear" w:color="auto" w:fill="auto"/>
            <w:noWrap/>
            <w:vAlign w:val="center"/>
          </w:tcPr>
          <w:p w14:paraId="3A29BE7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b/>
                <w:bCs/>
                <w:kern w:val="0"/>
                <w:sz w:val="21"/>
                <w:szCs w:val="21"/>
              </w:rPr>
              <w:t>事件运行</w:t>
            </w:r>
          </w:p>
        </w:tc>
      </w:tr>
      <w:tr w:rsidR="0022665C" w14:paraId="1DE08191" w14:textId="77777777">
        <w:trPr>
          <w:trHeight w:val="1480"/>
        </w:trPr>
        <w:tc>
          <w:tcPr>
            <w:tcW w:w="709" w:type="dxa"/>
            <w:shd w:val="clear" w:color="auto" w:fill="auto"/>
            <w:noWrap/>
            <w:vAlign w:val="center"/>
          </w:tcPr>
          <w:p w14:paraId="225A68D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3.1</w:t>
            </w:r>
          </w:p>
        </w:tc>
        <w:tc>
          <w:tcPr>
            <w:tcW w:w="1841" w:type="dxa"/>
            <w:shd w:val="clear" w:color="auto" w:fill="auto"/>
            <w:noWrap/>
            <w:vAlign w:val="center"/>
          </w:tcPr>
          <w:p w14:paraId="017582B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事件接入</w:t>
            </w:r>
          </w:p>
        </w:tc>
        <w:tc>
          <w:tcPr>
            <w:tcW w:w="5651" w:type="dxa"/>
            <w:shd w:val="clear" w:color="auto" w:fill="auto"/>
            <w:vAlign w:val="center"/>
          </w:tcPr>
          <w:p w14:paraId="14234759"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支持外系统接入管理（包含外部系统管理、接口调用权限管理、接口调用权限校验记录、资源系统管理）、外系统接口校验、外系统事件接入、同一事件单多次上报处理、事件更新、外系统撤回。</w:t>
            </w:r>
          </w:p>
          <w:p w14:paraId="2874D7A8"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kern w:val="0"/>
                <w:sz w:val="21"/>
                <w:szCs w:val="21"/>
              </w:rPr>
              <w:t>★外系统接入管理需支持对不同应用的接入管理，支持新增、编辑外部系统接入配置信息，包括是否可交办配置、是否有办结权限配置、关联组织配置、是否推送日志配置、是否查询日志通知配置；支持根据系统名称、代码、用户状态筛选查询外部系统接入配置信息并可启用、停用对应配置。</w:t>
            </w:r>
            <w:r>
              <w:rPr>
                <w:rFonts w:ascii="微软雅黑" w:eastAsia="微软雅黑" w:hAnsi="微软雅黑" w:cs="微软雅黑"/>
                <w:b/>
                <w:bCs/>
                <w:kern w:val="0"/>
                <w:sz w:val="21"/>
                <w:szCs w:val="21"/>
              </w:rPr>
              <w:t>（</w:t>
            </w:r>
            <w:r>
              <w:rPr>
                <w:rFonts w:ascii="微软雅黑" w:eastAsia="微软雅黑" w:hAnsi="微软雅黑" w:cs="微软雅黑" w:hint="eastAsia"/>
                <w:b/>
                <w:kern w:val="0"/>
                <w:sz w:val="21"/>
                <w:szCs w:val="21"/>
              </w:rPr>
              <w:t>需提供系统功能截图或相关证明材料，并加盖投标人公章</w:t>
            </w:r>
            <w:r>
              <w:rPr>
                <w:rFonts w:ascii="微软雅黑" w:eastAsia="微软雅黑" w:hAnsi="微软雅黑" w:cs="微软雅黑"/>
                <w:kern w:val="0"/>
                <w:sz w:val="21"/>
                <w:szCs w:val="21"/>
              </w:rPr>
              <w:t>）</w:t>
            </w:r>
          </w:p>
        </w:tc>
        <w:tc>
          <w:tcPr>
            <w:tcW w:w="666" w:type="dxa"/>
            <w:shd w:val="clear" w:color="auto" w:fill="auto"/>
            <w:noWrap/>
            <w:vAlign w:val="center"/>
          </w:tcPr>
          <w:p w14:paraId="2582217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0C4A6A6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D10F644" w14:textId="77777777">
        <w:trPr>
          <w:trHeight w:val="3919"/>
        </w:trPr>
        <w:tc>
          <w:tcPr>
            <w:tcW w:w="709" w:type="dxa"/>
            <w:shd w:val="clear" w:color="auto" w:fill="auto"/>
            <w:noWrap/>
            <w:vAlign w:val="center"/>
          </w:tcPr>
          <w:p w14:paraId="48D763D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3.2</w:t>
            </w:r>
          </w:p>
        </w:tc>
        <w:tc>
          <w:tcPr>
            <w:tcW w:w="1841" w:type="dxa"/>
            <w:shd w:val="clear" w:color="auto" w:fill="auto"/>
            <w:noWrap/>
            <w:vAlign w:val="center"/>
          </w:tcPr>
          <w:p w14:paraId="0A1E0E3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事件流转</w:t>
            </w:r>
          </w:p>
        </w:tc>
        <w:tc>
          <w:tcPr>
            <w:tcW w:w="5651" w:type="dxa"/>
            <w:shd w:val="clear" w:color="auto" w:fill="auto"/>
            <w:vAlign w:val="center"/>
          </w:tcPr>
          <w:p w14:paraId="3E14A46E" w14:textId="77777777" w:rsidR="0022665C" w:rsidRDefault="00000000">
            <w:pPr>
              <w:spacing w:line="440" w:lineRule="exac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需提供流转配置功能，以支撑多场景下的对接业务需求。支持以列表形式展示配置信息，支持配置事件流转的基本信息，支持以api和kafka两种配置模式，支持入口处理方式的配置，包括入口链路配置和入参映射配置，支持业务处理链路配置能力，支持出口配置，包括新增、编辑出口配置信息。</w:t>
            </w:r>
          </w:p>
          <w:p w14:paraId="38F4F63D"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b/>
                <w:kern w:val="0"/>
                <w:sz w:val="21"/>
                <w:szCs w:val="21"/>
              </w:rPr>
              <w:t>（需提供系统功能截图或相关证明材料，并加盖投标人公章）</w:t>
            </w:r>
          </w:p>
        </w:tc>
        <w:tc>
          <w:tcPr>
            <w:tcW w:w="666" w:type="dxa"/>
            <w:shd w:val="clear" w:color="auto" w:fill="auto"/>
            <w:noWrap/>
            <w:vAlign w:val="center"/>
          </w:tcPr>
          <w:p w14:paraId="289759A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515821A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39BCCB2" w14:textId="77777777">
        <w:trPr>
          <w:trHeight w:val="660"/>
        </w:trPr>
        <w:tc>
          <w:tcPr>
            <w:tcW w:w="709" w:type="dxa"/>
            <w:shd w:val="clear" w:color="auto" w:fill="auto"/>
            <w:noWrap/>
            <w:vAlign w:val="center"/>
          </w:tcPr>
          <w:p w14:paraId="4EC4515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3.3</w:t>
            </w:r>
          </w:p>
        </w:tc>
        <w:tc>
          <w:tcPr>
            <w:tcW w:w="1841" w:type="dxa"/>
            <w:shd w:val="clear" w:color="auto" w:fill="auto"/>
            <w:noWrap/>
            <w:vAlign w:val="center"/>
          </w:tcPr>
          <w:p w14:paraId="5C70564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事件处置</w:t>
            </w:r>
          </w:p>
        </w:tc>
        <w:tc>
          <w:tcPr>
            <w:tcW w:w="5651" w:type="dxa"/>
            <w:shd w:val="clear" w:color="auto" w:fill="auto"/>
            <w:vAlign w:val="center"/>
          </w:tcPr>
          <w:p w14:paraId="5CAA06E7"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支持处置过程回传解析器配置、处置过程回传、外系统接口调用。</w:t>
            </w:r>
          </w:p>
        </w:tc>
        <w:tc>
          <w:tcPr>
            <w:tcW w:w="666" w:type="dxa"/>
            <w:shd w:val="clear" w:color="auto" w:fill="auto"/>
            <w:noWrap/>
            <w:vAlign w:val="center"/>
          </w:tcPr>
          <w:p w14:paraId="01D7BF7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4CD8C8C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235E2492" w14:textId="77777777">
        <w:trPr>
          <w:trHeight w:val="660"/>
        </w:trPr>
        <w:tc>
          <w:tcPr>
            <w:tcW w:w="709" w:type="dxa"/>
            <w:shd w:val="clear" w:color="auto" w:fill="auto"/>
            <w:noWrap/>
            <w:vAlign w:val="center"/>
          </w:tcPr>
          <w:p w14:paraId="7B0894F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3.4</w:t>
            </w:r>
          </w:p>
        </w:tc>
        <w:tc>
          <w:tcPr>
            <w:tcW w:w="1841" w:type="dxa"/>
            <w:shd w:val="clear" w:color="auto" w:fill="auto"/>
            <w:noWrap/>
            <w:vAlign w:val="center"/>
          </w:tcPr>
          <w:p w14:paraId="1346B7F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全量事件汇聚</w:t>
            </w:r>
          </w:p>
        </w:tc>
        <w:tc>
          <w:tcPr>
            <w:tcW w:w="5651" w:type="dxa"/>
            <w:shd w:val="clear" w:color="auto" w:fill="auto"/>
            <w:vAlign w:val="center"/>
          </w:tcPr>
          <w:p w14:paraId="1B0B8307"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支持全量事件汇聚、全量事件处置过程汇聚。</w:t>
            </w:r>
          </w:p>
        </w:tc>
        <w:tc>
          <w:tcPr>
            <w:tcW w:w="666" w:type="dxa"/>
            <w:shd w:val="clear" w:color="auto" w:fill="auto"/>
            <w:noWrap/>
            <w:vAlign w:val="center"/>
          </w:tcPr>
          <w:p w14:paraId="23AE5B4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72F1051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7ED0756" w14:textId="77777777">
        <w:trPr>
          <w:trHeight w:val="330"/>
        </w:trPr>
        <w:tc>
          <w:tcPr>
            <w:tcW w:w="709" w:type="dxa"/>
            <w:shd w:val="clear" w:color="auto" w:fill="auto"/>
            <w:noWrap/>
            <w:vAlign w:val="center"/>
          </w:tcPr>
          <w:p w14:paraId="6DADB26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3.5</w:t>
            </w:r>
          </w:p>
        </w:tc>
        <w:tc>
          <w:tcPr>
            <w:tcW w:w="1841" w:type="dxa"/>
            <w:shd w:val="clear" w:color="auto" w:fill="auto"/>
            <w:noWrap/>
            <w:vAlign w:val="center"/>
          </w:tcPr>
          <w:p w14:paraId="3BA2108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事件单数据维护</w:t>
            </w:r>
          </w:p>
        </w:tc>
        <w:tc>
          <w:tcPr>
            <w:tcW w:w="5651" w:type="dxa"/>
            <w:shd w:val="clear" w:color="auto" w:fill="auto"/>
            <w:vAlign w:val="center"/>
          </w:tcPr>
          <w:p w14:paraId="5361EA3B"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支持数据订正、事件单删除。</w:t>
            </w:r>
          </w:p>
        </w:tc>
        <w:tc>
          <w:tcPr>
            <w:tcW w:w="666" w:type="dxa"/>
            <w:shd w:val="clear" w:color="auto" w:fill="auto"/>
            <w:noWrap/>
            <w:vAlign w:val="center"/>
          </w:tcPr>
          <w:p w14:paraId="6E63C0A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03E3DEF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B61016A" w14:textId="77777777">
        <w:trPr>
          <w:trHeight w:val="1320"/>
        </w:trPr>
        <w:tc>
          <w:tcPr>
            <w:tcW w:w="709" w:type="dxa"/>
            <w:shd w:val="clear" w:color="auto" w:fill="auto"/>
            <w:noWrap/>
            <w:vAlign w:val="center"/>
          </w:tcPr>
          <w:p w14:paraId="3B3F602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3.6</w:t>
            </w:r>
          </w:p>
        </w:tc>
        <w:tc>
          <w:tcPr>
            <w:tcW w:w="1841" w:type="dxa"/>
            <w:shd w:val="clear" w:color="auto" w:fill="auto"/>
            <w:noWrap/>
            <w:vAlign w:val="center"/>
          </w:tcPr>
          <w:p w14:paraId="0957D5C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事件查询</w:t>
            </w:r>
          </w:p>
        </w:tc>
        <w:tc>
          <w:tcPr>
            <w:tcW w:w="5651" w:type="dxa"/>
            <w:shd w:val="clear" w:color="auto" w:fill="auto"/>
            <w:vAlign w:val="center"/>
          </w:tcPr>
          <w:p w14:paraId="09B16D45"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支持事件单信息查询接口、处置过程查询接口、区划信息查询接口、对接日志查询、外部系统事件及待办查询接口、对接日志查询接口。</w:t>
            </w:r>
          </w:p>
        </w:tc>
        <w:tc>
          <w:tcPr>
            <w:tcW w:w="666" w:type="dxa"/>
            <w:shd w:val="clear" w:color="auto" w:fill="auto"/>
            <w:noWrap/>
            <w:vAlign w:val="center"/>
          </w:tcPr>
          <w:p w14:paraId="76B99D1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49CCA84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C71F6BC" w14:textId="77777777">
        <w:trPr>
          <w:trHeight w:val="330"/>
        </w:trPr>
        <w:tc>
          <w:tcPr>
            <w:tcW w:w="709" w:type="dxa"/>
            <w:shd w:val="clear" w:color="auto" w:fill="auto"/>
            <w:noWrap/>
            <w:vAlign w:val="center"/>
          </w:tcPr>
          <w:p w14:paraId="638013E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4</w:t>
            </w:r>
          </w:p>
        </w:tc>
        <w:tc>
          <w:tcPr>
            <w:tcW w:w="8758" w:type="dxa"/>
            <w:gridSpan w:val="4"/>
            <w:shd w:val="clear" w:color="auto" w:fill="auto"/>
            <w:noWrap/>
            <w:vAlign w:val="center"/>
          </w:tcPr>
          <w:p w14:paraId="43876672"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消息服务</w:t>
            </w:r>
          </w:p>
        </w:tc>
      </w:tr>
      <w:tr w:rsidR="0022665C" w14:paraId="4209E6A3" w14:textId="77777777">
        <w:trPr>
          <w:trHeight w:val="647"/>
        </w:trPr>
        <w:tc>
          <w:tcPr>
            <w:tcW w:w="709" w:type="dxa"/>
            <w:shd w:val="clear" w:color="auto" w:fill="auto"/>
            <w:noWrap/>
            <w:vAlign w:val="center"/>
          </w:tcPr>
          <w:p w14:paraId="7B13638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4.1</w:t>
            </w:r>
          </w:p>
        </w:tc>
        <w:tc>
          <w:tcPr>
            <w:tcW w:w="1841" w:type="dxa"/>
            <w:shd w:val="clear" w:color="auto" w:fill="auto"/>
            <w:noWrap/>
            <w:vAlign w:val="center"/>
          </w:tcPr>
          <w:p w14:paraId="31DE656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支持消息接口管理</w:t>
            </w:r>
          </w:p>
        </w:tc>
        <w:tc>
          <w:tcPr>
            <w:tcW w:w="5651" w:type="dxa"/>
            <w:shd w:val="clear" w:color="auto" w:fill="auto"/>
            <w:vAlign w:val="center"/>
          </w:tcPr>
          <w:p w14:paraId="3BE5B461"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支持消息发送接口、消息发送状态查询接口、消息列表查询接口、消息撤回接口。</w:t>
            </w:r>
          </w:p>
        </w:tc>
        <w:tc>
          <w:tcPr>
            <w:tcW w:w="666" w:type="dxa"/>
            <w:shd w:val="clear" w:color="auto" w:fill="auto"/>
            <w:noWrap/>
            <w:vAlign w:val="center"/>
          </w:tcPr>
          <w:p w14:paraId="7645C66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6DD93D1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A10C6F5" w14:textId="77777777">
        <w:trPr>
          <w:trHeight w:val="331"/>
        </w:trPr>
        <w:tc>
          <w:tcPr>
            <w:tcW w:w="709" w:type="dxa"/>
            <w:shd w:val="clear" w:color="auto" w:fill="auto"/>
            <w:noWrap/>
            <w:vAlign w:val="center"/>
          </w:tcPr>
          <w:p w14:paraId="10E1CD1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4.2</w:t>
            </w:r>
          </w:p>
        </w:tc>
        <w:tc>
          <w:tcPr>
            <w:tcW w:w="1841" w:type="dxa"/>
            <w:shd w:val="clear" w:color="auto" w:fill="auto"/>
            <w:noWrap/>
            <w:vAlign w:val="center"/>
          </w:tcPr>
          <w:p w14:paraId="4186997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消息路由</w:t>
            </w:r>
          </w:p>
        </w:tc>
        <w:tc>
          <w:tcPr>
            <w:tcW w:w="5651" w:type="dxa"/>
            <w:shd w:val="clear" w:color="auto" w:fill="auto"/>
            <w:vAlign w:val="center"/>
          </w:tcPr>
          <w:p w14:paraId="63BA527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支持通过路由规则动态规划消息的传输路径。</w:t>
            </w:r>
          </w:p>
        </w:tc>
        <w:tc>
          <w:tcPr>
            <w:tcW w:w="666" w:type="dxa"/>
            <w:shd w:val="clear" w:color="auto" w:fill="auto"/>
            <w:noWrap/>
            <w:vAlign w:val="center"/>
          </w:tcPr>
          <w:p w14:paraId="7DFA1F6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7F92B40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1D169FCF" w14:textId="77777777">
        <w:trPr>
          <w:trHeight w:val="404"/>
        </w:trPr>
        <w:tc>
          <w:tcPr>
            <w:tcW w:w="709" w:type="dxa"/>
            <w:shd w:val="clear" w:color="auto" w:fill="auto"/>
            <w:noWrap/>
            <w:vAlign w:val="center"/>
          </w:tcPr>
          <w:p w14:paraId="30AD863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4.3</w:t>
            </w:r>
          </w:p>
        </w:tc>
        <w:tc>
          <w:tcPr>
            <w:tcW w:w="1841" w:type="dxa"/>
            <w:shd w:val="clear" w:color="auto" w:fill="auto"/>
            <w:noWrap/>
            <w:vAlign w:val="center"/>
          </w:tcPr>
          <w:p w14:paraId="0C01A97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消息重试</w:t>
            </w:r>
          </w:p>
        </w:tc>
        <w:tc>
          <w:tcPr>
            <w:tcW w:w="5651" w:type="dxa"/>
            <w:shd w:val="clear" w:color="auto" w:fill="auto"/>
            <w:vAlign w:val="center"/>
          </w:tcPr>
          <w:p w14:paraId="36CF25C1"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支持对发送失败的消息进行重新发送的机制。</w:t>
            </w:r>
          </w:p>
        </w:tc>
        <w:tc>
          <w:tcPr>
            <w:tcW w:w="666" w:type="dxa"/>
            <w:shd w:val="clear" w:color="auto" w:fill="auto"/>
            <w:noWrap/>
            <w:vAlign w:val="center"/>
          </w:tcPr>
          <w:p w14:paraId="43E829B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3C94373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600C68AA" w14:textId="77777777">
        <w:trPr>
          <w:trHeight w:val="445"/>
        </w:trPr>
        <w:tc>
          <w:tcPr>
            <w:tcW w:w="709" w:type="dxa"/>
            <w:shd w:val="clear" w:color="auto" w:fill="auto"/>
            <w:noWrap/>
            <w:vAlign w:val="center"/>
          </w:tcPr>
          <w:p w14:paraId="07FD7A7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4.4</w:t>
            </w:r>
          </w:p>
        </w:tc>
        <w:tc>
          <w:tcPr>
            <w:tcW w:w="1841" w:type="dxa"/>
            <w:shd w:val="clear" w:color="auto" w:fill="auto"/>
            <w:noWrap/>
            <w:vAlign w:val="center"/>
          </w:tcPr>
          <w:p w14:paraId="22506F9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消息限流</w:t>
            </w:r>
          </w:p>
        </w:tc>
        <w:tc>
          <w:tcPr>
            <w:tcW w:w="5651" w:type="dxa"/>
            <w:shd w:val="clear" w:color="auto" w:fill="auto"/>
            <w:vAlign w:val="center"/>
          </w:tcPr>
          <w:p w14:paraId="02D5C27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支持采用限流策略进行处理</w:t>
            </w:r>
          </w:p>
        </w:tc>
        <w:tc>
          <w:tcPr>
            <w:tcW w:w="666" w:type="dxa"/>
            <w:shd w:val="clear" w:color="auto" w:fill="auto"/>
            <w:noWrap/>
            <w:vAlign w:val="center"/>
          </w:tcPr>
          <w:p w14:paraId="5D91CAB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3D1B6C0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7E414B2" w14:textId="77777777">
        <w:trPr>
          <w:trHeight w:val="1039"/>
        </w:trPr>
        <w:tc>
          <w:tcPr>
            <w:tcW w:w="709" w:type="dxa"/>
            <w:shd w:val="clear" w:color="auto" w:fill="auto"/>
            <w:noWrap/>
            <w:vAlign w:val="center"/>
          </w:tcPr>
          <w:p w14:paraId="571821F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4.5</w:t>
            </w:r>
          </w:p>
        </w:tc>
        <w:tc>
          <w:tcPr>
            <w:tcW w:w="1841" w:type="dxa"/>
            <w:shd w:val="clear" w:color="auto" w:fill="auto"/>
            <w:noWrap/>
            <w:vAlign w:val="center"/>
          </w:tcPr>
          <w:p w14:paraId="53DBE34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消息通知配置</w:t>
            </w:r>
          </w:p>
        </w:tc>
        <w:tc>
          <w:tcPr>
            <w:tcW w:w="5651" w:type="dxa"/>
            <w:shd w:val="clear" w:color="auto" w:fill="auto"/>
            <w:vAlign w:val="center"/>
          </w:tcPr>
          <w:p w14:paraId="35AA55B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支持推送配置管理、黑名单管理、消息统计管理（包含消息发送列表展示、渠道发送统计、系统发送统计、拦截记录列表、拦截记录统计分析）</w:t>
            </w:r>
          </w:p>
        </w:tc>
        <w:tc>
          <w:tcPr>
            <w:tcW w:w="666" w:type="dxa"/>
            <w:shd w:val="clear" w:color="auto" w:fill="auto"/>
            <w:noWrap/>
            <w:vAlign w:val="center"/>
          </w:tcPr>
          <w:p w14:paraId="62A6EED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3924E7F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A3CDB6E" w14:textId="77777777">
        <w:trPr>
          <w:trHeight w:val="849"/>
        </w:trPr>
        <w:tc>
          <w:tcPr>
            <w:tcW w:w="709" w:type="dxa"/>
            <w:shd w:val="clear" w:color="auto" w:fill="auto"/>
            <w:noWrap/>
            <w:vAlign w:val="center"/>
          </w:tcPr>
          <w:p w14:paraId="63FAD75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4.6</w:t>
            </w:r>
          </w:p>
        </w:tc>
        <w:tc>
          <w:tcPr>
            <w:tcW w:w="1841" w:type="dxa"/>
            <w:shd w:val="clear" w:color="auto" w:fill="auto"/>
            <w:noWrap/>
            <w:vAlign w:val="center"/>
          </w:tcPr>
          <w:p w14:paraId="2923126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渠道对接服务</w:t>
            </w:r>
          </w:p>
        </w:tc>
        <w:tc>
          <w:tcPr>
            <w:tcW w:w="5651" w:type="dxa"/>
            <w:shd w:val="clear" w:color="auto" w:fill="auto"/>
            <w:vAlign w:val="center"/>
          </w:tcPr>
          <w:p w14:paraId="4186847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支持渝快政对接、数字工作台通知对接。</w:t>
            </w:r>
          </w:p>
        </w:tc>
        <w:tc>
          <w:tcPr>
            <w:tcW w:w="666" w:type="dxa"/>
            <w:shd w:val="clear" w:color="auto" w:fill="auto"/>
            <w:noWrap/>
            <w:vAlign w:val="center"/>
          </w:tcPr>
          <w:p w14:paraId="60948AC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600" w:type="dxa"/>
            <w:shd w:val="clear" w:color="auto" w:fill="auto"/>
            <w:noWrap/>
            <w:vAlign w:val="center"/>
          </w:tcPr>
          <w:p w14:paraId="3D9D651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bl>
    <w:p w14:paraId="6BBAF941"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1.5智能预案</w:t>
      </w:r>
    </w:p>
    <w:p w14:paraId="7EF91AD6"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sz w:val="21"/>
          <w:szCs w:val="21"/>
        </w:rPr>
        <w:t>智能预案系统作为现代城市治理中的核心技术组件，其核心价值在于通过一系列精细化的功能设计和高效运作机制，实现对复杂事件的全面、协同和智能化管理。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559"/>
        <w:gridCol w:w="5966"/>
        <w:gridCol w:w="644"/>
        <w:gridCol w:w="478"/>
      </w:tblGrid>
      <w:tr w:rsidR="0022665C" w14:paraId="28EF42E8" w14:textId="77777777">
        <w:trPr>
          <w:trHeight w:val="330"/>
        </w:trPr>
        <w:tc>
          <w:tcPr>
            <w:tcW w:w="9356" w:type="dxa"/>
            <w:gridSpan w:val="5"/>
            <w:shd w:val="clear" w:color="auto" w:fill="auto"/>
            <w:noWrap/>
            <w:vAlign w:val="center"/>
          </w:tcPr>
          <w:p w14:paraId="3587770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智能预案</w:t>
            </w:r>
          </w:p>
        </w:tc>
      </w:tr>
      <w:tr w:rsidR="0022665C" w14:paraId="10890215" w14:textId="77777777">
        <w:trPr>
          <w:trHeight w:val="330"/>
        </w:trPr>
        <w:tc>
          <w:tcPr>
            <w:tcW w:w="709" w:type="dxa"/>
            <w:shd w:val="clear" w:color="auto" w:fill="auto"/>
            <w:noWrap/>
            <w:vAlign w:val="center"/>
          </w:tcPr>
          <w:p w14:paraId="7DE68A8E"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8647" w:type="dxa"/>
            <w:gridSpan w:val="4"/>
            <w:shd w:val="clear" w:color="auto" w:fill="auto"/>
            <w:noWrap/>
            <w:vAlign w:val="center"/>
          </w:tcPr>
          <w:p w14:paraId="105E6658"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协同预案</w:t>
            </w:r>
          </w:p>
        </w:tc>
      </w:tr>
      <w:tr w:rsidR="0022665C" w14:paraId="14E42EE0" w14:textId="77777777">
        <w:trPr>
          <w:trHeight w:val="330"/>
        </w:trPr>
        <w:tc>
          <w:tcPr>
            <w:tcW w:w="709" w:type="dxa"/>
            <w:shd w:val="clear" w:color="auto" w:fill="auto"/>
            <w:noWrap/>
            <w:vAlign w:val="center"/>
          </w:tcPr>
          <w:p w14:paraId="7321975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w:t>
            </w:r>
          </w:p>
        </w:tc>
        <w:tc>
          <w:tcPr>
            <w:tcW w:w="1559" w:type="dxa"/>
            <w:shd w:val="clear" w:color="auto" w:fill="auto"/>
            <w:noWrap/>
            <w:vAlign w:val="center"/>
          </w:tcPr>
          <w:p w14:paraId="6AB91D1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协同预案视图</w:t>
            </w:r>
          </w:p>
        </w:tc>
        <w:tc>
          <w:tcPr>
            <w:tcW w:w="5966" w:type="dxa"/>
            <w:shd w:val="clear" w:color="auto" w:fill="auto"/>
            <w:vAlign w:val="center"/>
          </w:tcPr>
          <w:p w14:paraId="5A9E8FEA"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支持协同预案列表、协同预案查询。</w:t>
            </w:r>
          </w:p>
        </w:tc>
        <w:tc>
          <w:tcPr>
            <w:tcW w:w="644" w:type="dxa"/>
            <w:shd w:val="clear" w:color="auto" w:fill="auto"/>
            <w:noWrap/>
            <w:vAlign w:val="center"/>
          </w:tcPr>
          <w:p w14:paraId="1003EE8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01E3A2A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6EAB4F7" w14:textId="77777777">
        <w:trPr>
          <w:trHeight w:val="1320"/>
        </w:trPr>
        <w:tc>
          <w:tcPr>
            <w:tcW w:w="709" w:type="dxa"/>
            <w:shd w:val="clear" w:color="auto" w:fill="auto"/>
            <w:noWrap/>
            <w:vAlign w:val="center"/>
          </w:tcPr>
          <w:p w14:paraId="10E6F61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1.2</w:t>
            </w:r>
          </w:p>
        </w:tc>
        <w:tc>
          <w:tcPr>
            <w:tcW w:w="1559" w:type="dxa"/>
            <w:shd w:val="clear" w:color="auto" w:fill="auto"/>
            <w:noWrap/>
            <w:vAlign w:val="center"/>
          </w:tcPr>
          <w:p w14:paraId="077A6E2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协同预案管理</w:t>
            </w:r>
          </w:p>
        </w:tc>
        <w:tc>
          <w:tcPr>
            <w:tcW w:w="5966" w:type="dxa"/>
            <w:shd w:val="clear" w:color="auto" w:fill="auto"/>
            <w:vAlign w:val="center"/>
          </w:tcPr>
          <w:p w14:paraId="7EE0735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支持创建协同预案、编辑协同预案、协同预案导出、协同预案导入、复制协同预案、调试协同预案、新增调试事件、删除协同预案。</w:t>
            </w:r>
          </w:p>
        </w:tc>
        <w:tc>
          <w:tcPr>
            <w:tcW w:w="644" w:type="dxa"/>
            <w:shd w:val="clear" w:color="auto" w:fill="auto"/>
            <w:noWrap/>
            <w:vAlign w:val="center"/>
          </w:tcPr>
          <w:p w14:paraId="03B5615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6063276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03A0CF5E" w14:textId="77777777">
        <w:trPr>
          <w:trHeight w:val="660"/>
        </w:trPr>
        <w:tc>
          <w:tcPr>
            <w:tcW w:w="709" w:type="dxa"/>
            <w:shd w:val="clear" w:color="auto" w:fill="auto"/>
            <w:noWrap/>
            <w:vAlign w:val="center"/>
          </w:tcPr>
          <w:p w14:paraId="052D43D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1.3</w:t>
            </w:r>
          </w:p>
        </w:tc>
        <w:tc>
          <w:tcPr>
            <w:tcW w:w="1559" w:type="dxa"/>
            <w:shd w:val="clear" w:color="auto" w:fill="auto"/>
            <w:noWrap/>
            <w:vAlign w:val="center"/>
          </w:tcPr>
          <w:p w14:paraId="348F8BD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协同预案状态管理</w:t>
            </w:r>
          </w:p>
        </w:tc>
        <w:tc>
          <w:tcPr>
            <w:tcW w:w="5966" w:type="dxa"/>
            <w:shd w:val="clear" w:color="auto" w:fill="auto"/>
            <w:vAlign w:val="center"/>
          </w:tcPr>
          <w:p w14:paraId="01F43B3B"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支持协同预案上线、协同预案下线、协同预案升级。</w:t>
            </w:r>
          </w:p>
        </w:tc>
        <w:tc>
          <w:tcPr>
            <w:tcW w:w="644" w:type="dxa"/>
            <w:shd w:val="clear" w:color="auto" w:fill="auto"/>
            <w:noWrap/>
            <w:vAlign w:val="center"/>
          </w:tcPr>
          <w:p w14:paraId="1190F98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01C1D1F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153F71B7" w14:textId="77777777">
        <w:trPr>
          <w:trHeight w:val="660"/>
        </w:trPr>
        <w:tc>
          <w:tcPr>
            <w:tcW w:w="709" w:type="dxa"/>
            <w:shd w:val="clear" w:color="auto" w:fill="auto"/>
            <w:noWrap/>
            <w:vAlign w:val="center"/>
          </w:tcPr>
          <w:p w14:paraId="4B400C7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1.4</w:t>
            </w:r>
          </w:p>
        </w:tc>
        <w:tc>
          <w:tcPr>
            <w:tcW w:w="1559" w:type="dxa"/>
            <w:shd w:val="clear" w:color="auto" w:fill="auto"/>
            <w:noWrap/>
            <w:vAlign w:val="center"/>
          </w:tcPr>
          <w:p w14:paraId="7329F38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协同预案驱动协议</w:t>
            </w:r>
          </w:p>
        </w:tc>
        <w:tc>
          <w:tcPr>
            <w:tcW w:w="5966" w:type="dxa"/>
            <w:shd w:val="clear" w:color="auto" w:fill="auto"/>
            <w:vAlign w:val="center"/>
          </w:tcPr>
          <w:p w14:paraId="2B6F69B7"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支持协议标准参数、协议扩展参数、编辑协议扩展参数、删除协议扩展参数。</w:t>
            </w:r>
          </w:p>
        </w:tc>
        <w:tc>
          <w:tcPr>
            <w:tcW w:w="644" w:type="dxa"/>
            <w:shd w:val="clear" w:color="auto" w:fill="auto"/>
            <w:noWrap/>
            <w:vAlign w:val="center"/>
          </w:tcPr>
          <w:p w14:paraId="6C3760D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238A8C9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2053277B" w14:textId="77777777">
        <w:trPr>
          <w:trHeight w:val="1650"/>
        </w:trPr>
        <w:tc>
          <w:tcPr>
            <w:tcW w:w="709" w:type="dxa"/>
            <w:shd w:val="clear" w:color="auto" w:fill="auto"/>
            <w:noWrap/>
            <w:vAlign w:val="center"/>
          </w:tcPr>
          <w:p w14:paraId="3DFA478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1.5</w:t>
            </w:r>
          </w:p>
        </w:tc>
        <w:tc>
          <w:tcPr>
            <w:tcW w:w="1559" w:type="dxa"/>
            <w:shd w:val="clear" w:color="auto" w:fill="auto"/>
            <w:noWrap/>
            <w:vAlign w:val="center"/>
          </w:tcPr>
          <w:p w14:paraId="4597F6C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协同预案流程编排</w:t>
            </w:r>
          </w:p>
        </w:tc>
        <w:tc>
          <w:tcPr>
            <w:tcW w:w="5966" w:type="dxa"/>
            <w:shd w:val="clear" w:color="auto" w:fill="auto"/>
            <w:vAlign w:val="center"/>
          </w:tcPr>
          <w:p w14:paraId="71E2916B"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支持流程开始组件、流程结束组件、流程线组件、派发节点组件、自动节点组件、排他网关组件、并行网关组件、包容网关组件、泳道组件、预案编排操作。</w:t>
            </w:r>
          </w:p>
        </w:tc>
        <w:tc>
          <w:tcPr>
            <w:tcW w:w="644" w:type="dxa"/>
            <w:shd w:val="clear" w:color="auto" w:fill="auto"/>
            <w:noWrap/>
            <w:vAlign w:val="center"/>
          </w:tcPr>
          <w:p w14:paraId="1BF1BC5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23D43DC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441ACC34" w14:textId="77777777">
        <w:trPr>
          <w:trHeight w:val="1916"/>
        </w:trPr>
        <w:tc>
          <w:tcPr>
            <w:tcW w:w="709" w:type="dxa"/>
            <w:shd w:val="clear" w:color="auto" w:fill="auto"/>
            <w:noWrap/>
            <w:vAlign w:val="center"/>
          </w:tcPr>
          <w:p w14:paraId="311E5CE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1.6</w:t>
            </w:r>
          </w:p>
        </w:tc>
        <w:tc>
          <w:tcPr>
            <w:tcW w:w="1559" w:type="dxa"/>
            <w:shd w:val="clear" w:color="auto" w:fill="auto"/>
            <w:noWrap/>
            <w:vAlign w:val="center"/>
          </w:tcPr>
          <w:p w14:paraId="74DE946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协同预案调度规则</w:t>
            </w:r>
          </w:p>
        </w:tc>
        <w:tc>
          <w:tcPr>
            <w:tcW w:w="5966" w:type="dxa"/>
            <w:shd w:val="clear" w:color="auto" w:fill="auto"/>
            <w:vAlign w:val="center"/>
          </w:tcPr>
          <w:p w14:paraId="19F0441B"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协同预案调度规则引擎、自动签派功能包、分派功能包、受理功能包、通用处置功能包、批量处置功能包、复核功能包、事项流程处置功能包、基于事项组织获取包、评价功能包、等待同步节点、自定义功能包、业务事项同步功能包、业务事项异步功能包、自动批量抄送办件功能包、自定义线规则配置、业务事项输出线规则配置、支持节点扩展属性配置。</w:t>
            </w:r>
          </w:p>
        </w:tc>
        <w:tc>
          <w:tcPr>
            <w:tcW w:w="644" w:type="dxa"/>
            <w:shd w:val="clear" w:color="auto" w:fill="auto"/>
            <w:noWrap/>
            <w:vAlign w:val="center"/>
          </w:tcPr>
          <w:p w14:paraId="3171900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6CB0578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6D103C7F" w14:textId="77777777">
        <w:trPr>
          <w:trHeight w:val="990"/>
        </w:trPr>
        <w:tc>
          <w:tcPr>
            <w:tcW w:w="709" w:type="dxa"/>
            <w:shd w:val="clear" w:color="auto" w:fill="auto"/>
            <w:noWrap/>
            <w:vAlign w:val="center"/>
          </w:tcPr>
          <w:p w14:paraId="5318D1F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1.7</w:t>
            </w:r>
          </w:p>
        </w:tc>
        <w:tc>
          <w:tcPr>
            <w:tcW w:w="1559" w:type="dxa"/>
            <w:shd w:val="clear" w:color="auto" w:fill="auto"/>
            <w:noWrap/>
            <w:vAlign w:val="center"/>
          </w:tcPr>
          <w:p w14:paraId="7A3BB9D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协同预案时限配置</w:t>
            </w:r>
          </w:p>
        </w:tc>
        <w:tc>
          <w:tcPr>
            <w:tcW w:w="5966" w:type="dxa"/>
            <w:shd w:val="clear" w:color="auto" w:fill="auto"/>
            <w:vAlign w:val="center"/>
          </w:tcPr>
          <w:p w14:paraId="6056118D"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支持预案内全局时限配置、预案内分派时限配置、预案内处置时限配置、预案内复核时限配置。</w:t>
            </w:r>
          </w:p>
        </w:tc>
        <w:tc>
          <w:tcPr>
            <w:tcW w:w="644" w:type="dxa"/>
            <w:shd w:val="clear" w:color="auto" w:fill="auto"/>
            <w:noWrap/>
            <w:vAlign w:val="center"/>
          </w:tcPr>
          <w:p w14:paraId="60EC25F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5E79431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7C45425" w14:textId="77777777">
        <w:trPr>
          <w:trHeight w:val="660"/>
        </w:trPr>
        <w:tc>
          <w:tcPr>
            <w:tcW w:w="709" w:type="dxa"/>
            <w:shd w:val="clear" w:color="auto" w:fill="auto"/>
            <w:noWrap/>
            <w:vAlign w:val="center"/>
          </w:tcPr>
          <w:p w14:paraId="22EDBE3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1.8</w:t>
            </w:r>
          </w:p>
        </w:tc>
        <w:tc>
          <w:tcPr>
            <w:tcW w:w="1559" w:type="dxa"/>
            <w:shd w:val="clear" w:color="auto" w:fill="auto"/>
            <w:noWrap/>
            <w:vAlign w:val="center"/>
          </w:tcPr>
          <w:p w14:paraId="15A7E56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协同预案关联事件源</w:t>
            </w:r>
          </w:p>
        </w:tc>
        <w:tc>
          <w:tcPr>
            <w:tcW w:w="5966" w:type="dxa"/>
            <w:shd w:val="clear" w:color="auto" w:fill="auto"/>
            <w:vAlign w:val="center"/>
          </w:tcPr>
          <w:p w14:paraId="65197A6F"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支持事件源绑定、事件源解绑、事件情形条件、协议参数映射。</w:t>
            </w:r>
          </w:p>
        </w:tc>
        <w:tc>
          <w:tcPr>
            <w:tcW w:w="644" w:type="dxa"/>
            <w:shd w:val="clear" w:color="auto" w:fill="auto"/>
            <w:noWrap/>
            <w:vAlign w:val="center"/>
          </w:tcPr>
          <w:p w14:paraId="1D7AED7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0FF57CE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20831455" w14:textId="77777777">
        <w:trPr>
          <w:trHeight w:val="660"/>
        </w:trPr>
        <w:tc>
          <w:tcPr>
            <w:tcW w:w="709" w:type="dxa"/>
            <w:shd w:val="clear" w:color="auto" w:fill="auto"/>
            <w:noWrap/>
            <w:vAlign w:val="center"/>
          </w:tcPr>
          <w:p w14:paraId="21DD072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1.9</w:t>
            </w:r>
          </w:p>
        </w:tc>
        <w:tc>
          <w:tcPr>
            <w:tcW w:w="1559" w:type="dxa"/>
            <w:shd w:val="clear" w:color="auto" w:fill="auto"/>
            <w:noWrap/>
            <w:vAlign w:val="center"/>
          </w:tcPr>
          <w:p w14:paraId="37692D3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异常数据统计</w:t>
            </w:r>
          </w:p>
        </w:tc>
        <w:tc>
          <w:tcPr>
            <w:tcW w:w="5966" w:type="dxa"/>
            <w:shd w:val="clear" w:color="auto" w:fill="auto"/>
            <w:vAlign w:val="center"/>
          </w:tcPr>
          <w:p w14:paraId="58F8E8C7"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支持异常任务统计视图、查询异常任务信息、异常任务发起重试。</w:t>
            </w:r>
          </w:p>
        </w:tc>
        <w:tc>
          <w:tcPr>
            <w:tcW w:w="644" w:type="dxa"/>
            <w:shd w:val="clear" w:color="auto" w:fill="auto"/>
            <w:noWrap/>
            <w:vAlign w:val="center"/>
          </w:tcPr>
          <w:p w14:paraId="60070AE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093A66B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7916B420" w14:textId="77777777">
        <w:trPr>
          <w:trHeight w:val="1320"/>
        </w:trPr>
        <w:tc>
          <w:tcPr>
            <w:tcW w:w="709" w:type="dxa"/>
            <w:shd w:val="clear" w:color="auto" w:fill="auto"/>
            <w:noWrap/>
            <w:vAlign w:val="center"/>
          </w:tcPr>
          <w:p w14:paraId="5FAFCDE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1.10 </w:t>
            </w:r>
          </w:p>
        </w:tc>
        <w:tc>
          <w:tcPr>
            <w:tcW w:w="1559" w:type="dxa"/>
            <w:shd w:val="clear" w:color="auto" w:fill="auto"/>
            <w:noWrap/>
            <w:vAlign w:val="center"/>
          </w:tcPr>
          <w:p w14:paraId="767B0CA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调试协同预案</w:t>
            </w:r>
          </w:p>
        </w:tc>
        <w:tc>
          <w:tcPr>
            <w:tcW w:w="5966" w:type="dxa"/>
            <w:shd w:val="clear" w:color="auto" w:fill="auto"/>
            <w:vAlign w:val="center"/>
          </w:tcPr>
          <w:p w14:paraId="69A06409"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★支持通过选择协同预案已绑定的事件源中接入的事件，对当前预案配置进行调试。</w:t>
            </w:r>
            <w:r>
              <w:rPr>
                <w:rFonts w:ascii="微软雅黑" w:eastAsia="微软雅黑" w:hAnsi="微软雅黑" w:cs="微软雅黑" w:hint="eastAsia"/>
                <w:b/>
                <w:kern w:val="0"/>
                <w:sz w:val="21"/>
                <w:szCs w:val="21"/>
              </w:rPr>
              <w:t>（需提供系统功能截图或相关证明材料，并加盖投标人公章）</w:t>
            </w:r>
          </w:p>
        </w:tc>
        <w:tc>
          <w:tcPr>
            <w:tcW w:w="644" w:type="dxa"/>
            <w:shd w:val="clear" w:color="auto" w:fill="auto"/>
            <w:noWrap/>
            <w:vAlign w:val="center"/>
          </w:tcPr>
          <w:p w14:paraId="492AAEA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057BCA9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2FC105F2" w14:textId="77777777">
        <w:trPr>
          <w:trHeight w:val="3296"/>
        </w:trPr>
        <w:tc>
          <w:tcPr>
            <w:tcW w:w="709" w:type="dxa"/>
            <w:shd w:val="clear" w:color="auto" w:fill="auto"/>
            <w:noWrap/>
            <w:vAlign w:val="center"/>
          </w:tcPr>
          <w:p w14:paraId="77092A3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1.11 </w:t>
            </w:r>
          </w:p>
        </w:tc>
        <w:tc>
          <w:tcPr>
            <w:tcW w:w="1559" w:type="dxa"/>
            <w:shd w:val="clear" w:color="auto" w:fill="auto"/>
            <w:noWrap/>
            <w:vAlign w:val="center"/>
          </w:tcPr>
          <w:p w14:paraId="35A5136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协同预案组件</w:t>
            </w:r>
          </w:p>
        </w:tc>
        <w:tc>
          <w:tcPr>
            <w:tcW w:w="5966" w:type="dxa"/>
            <w:shd w:val="clear" w:color="auto" w:fill="auto"/>
            <w:vAlign w:val="center"/>
          </w:tcPr>
          <w:p w14:paraId="18E5989B"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流程线组件，支持将流程中各节点进行串联，定义了处置流程的先后顺序。</w:t>
            </w:r>
          </w:p>
          <w:p w14:paraId="3B1C2B68"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★派发节点组件，可通过节点类型选择派发任务类型（包含等待分拨、等待处置、等待复核、等待同步及自定义节点），支持通过调度部门策略确定调度系统、处置系统和调度部门。（</w:t>
            </w:r>
            <w:r>
              <w:rPr>
                <w:rFonts w:ascii="微软雅黑" w:eastAsia="微软雅黑" w:hAnsi="微软雅黑" w:cs="微软雅黑" w:hint="eastAsia"/>
                <w:b/>
                <w:bCs/>
                <w:kern w:val="0"/>
                <w:sz w:val="21"/>
                <w:szCs w:val="21"/>
              </w:rPr>
              <w:t>需提供</w:t>
            </w:r>
            <w:r>
              <w:rPr>
                <w:rFonts w:ascii="微软雅黑" w:eastAsia="微软雅黑" w:hAnsi="微软雅黑" w:cs="微软雅黑" w:hint="eastAsia"/>
                <w:b/>
                <w:kern w:val="0"/>
                <w:sz w:val="21"/>
                <w:szCs w:val="21"/>
              </w:rPr>
              <w:t>系统功能截图或相关证明材料，并加盖投标人公章）</w:t>
            </w:r>
          </w:p>
          <w:p w14:paraId="42B9F7FE"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排他网关组件，支持通过输入线规则，排除不满足规则的流程，仅选择一条符合规则的流程向下驱动。</w:t>
            </w:r>
          </w:p>
          <w:p w14:paraId="736BA27D"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并行网关组件，支持同时驱动网关后编排的所有流程向下驱动。</w:t>
            </w:r>
          </w:p>
        </w:tc>
        <w:tc>
          <w:tcPr>
            <w:tcW w:w="644" w:type="dxa"/>
            <w:shd w:val="clear" w:color="auto" w:fill="auto"/>
            <w:noWrap/>
            <w:vAlign w:val="center"/>
          </w:tcPr>
          <w:p w14:paraId="03457FB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1C421F8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CCA467A" w14:textId="77777777">
        <w:trPr>
          <w:trHeight w:val="330"/>
        </w:trPr>
        <w:tc>
          <w:tcPr>
            <w:tcW w:w="709" w:type="dxa"/>
            <w:shd w:val="clear" w:color="auto" w:fill="auto"/>
            <w:noWrap/>
            <w:vAlign w:val="center"/>
          </w:tcPr>
          <w:p w14:paraId="1B0DD55B"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8647" w:type="dxa"/>
            <w:gridSpan w:val="4"/>
            <w:shd w:val="clear" w:color="auto" w:fill="auto"/>
            <w:noWrap/>
            <w:vAlign w:val="center"/>
          </w:tcPr>
          <w:p w14:paraId="7CBEBFA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调度引擎</w:t>
            </w:r>
          </w:p>
        </w:tc>
      </w:tr>
      <w:tr w:rsidR="0022665C" w14:paraId="6121FC27" w14:textId="77777777">
        <w:trPr>
          <w:trHeight w:val="330"/>
        </w:trPr>
        <w:tc>
          <w:tcPr>
            <w:tcW w:w="709" w:type="dxa"/>
            <w:shd w:val="clear" w:color="auto" w:fill="auto"/>
            <w:noWrap/>
            <w:vAlign w:val="center"/>
          </w:tcPr>
          <w:p w14:paraId="36FE78C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w:t>
            </w:r>
          </w:p>
        </w:tc>
        <w:tc>
          <w:tcPr>
            <w:tcW w:w="1559" w:type="dxa"/>
            <w:shd w:val="clear" w:color="auto" w:fill="auto"/>
            <w:noWrap/>
            <w:vAlign w:val="center"/>
          </w:tcPr>
          <w:p w14:paraId="5B6C6EE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调度引擎</w:t>
            </w:r>
          </w:p>
        </w:tc>
        <w:tc>
          <w:tcPr>
            <w:tcW w:w="5966" w:type="dxa"/>
            <w:shd w:val="clear" w:color="auto" w:fill="auto"/>
            <w:vAlign w:val="center"/>
          </w:tcPr>
          <w:p w14:paraId="69E7F42D"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支持调度原子能力、调度业务事项能力。</w:t>
            </w:r>
          </w:p>
        </w:tc>
        <w:tc>
          <w:tcPr>
            <w:tcW w:w="644" w:type="dxa"/>
            <w:shd w:val="clear" w:color="auto" w:fill="auto"/>
            <w:noWrap/>
            <w:vAlign w:val="center"/>
          </w:tcPr>
          <w:p w14:paraId="028F552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4FC2040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703FF1CB" w14:textId="77777777">
        <w:trPr>
          <w:trHeight w:val="330"/>
        </w:trPr>
        <w:tc>
          <w:tcPr>
            <w:tcW w:w="709" w:type="dxa"/>
            <w:shd w:val="clear" w:color="auto" w:fill="auto"/>
            <w:noWrap/>
            <w:vAlign w:val="center"/>
          </w:tcPr>
          <w:p w14:paraId="6FD3530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3</w:t>
            </w:r>
          </w:p>
        </w:tc>
        <w:tc>
          <w:tcPr>
            <w:tcW w:w="8647" w:type="dxa"/>
            <w:gridSpan w:val="4"/>
            <w:shd w:val="clear" w:color="auto" w:fill="auto"/>
            <w:noWrap/>
            <w:vAlign w:val="center"/>
          </w:tcPr>
          <w:p w14:paraId="1926600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处置工作流管理</w:t>
            </w:r>
          </w:p>
        </w:tc>
      </w:tr>
      <w:tr w:rsidR="0022665C" w14:paraId="11371FC5" w14:textId="77777777">
        <w:trPr>
          <w:trHeight w:val="660"/>
        </w:trPr>
        <w:tc>
          <w:tcPr>
            <w:tcW w:w="709" w:type="dxa"/>
            <w:shd w:val="clear" w:color="auto" w:fill="auto"/>
            <w:noWrap/>
            <w:vAlign w:val="center"/>
          </w:tcPr>
          <w:p w14:paraId="602BEA7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3.1</w:t>
            </w:r>
          </w:p>
        </w:tc>
        <w:tc>
          <w:tcPr>
            <w:tcW w:w="1559" w:type="dxa"/>
            <w:shd w:val="clear" w:color="auto" w:fill="auto"/>
            <w:noWrap/>
            <w:vAlign w:val="center"/>
          </w:tcPr>
          <w:p w14:paraId="0FCF8D1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处置工作流管理</w:t>
            </w:r>
          </w:p>
        </w:tc>
        <w:tc>
          <w:tcPr>
            <w:tcW w:w="5966" w:type="dxa"/>
            <w:shd w:val="clear" w:color="auto" w:fill="auto"/>
            <w:vAlign w:val="center"/>
          </w:tcPr>
          <w:p w14:paraId="28635583"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支持待我处理任务管理、我已处理任务管理、任务查询服务。</w:t>
            </w:r>
          </w:p>
        </w:tc>
        <w:tc>
          <w:tcPr>
            <w:tcW w:w="644" w:type="dxa"/>
            <w:shd w:val="clear" w:color="auto" w:fill="auto"/>
            <w:noWrap/>
            <w:vAlign w:val="center"/>
          </w:tcPr>
          <w:p w14:paraId="05D44CF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3C9A944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550781D" w14:textId="77777777">
        <w:trPr>
          <w:trHeight w:val="330"/>
        </w:trPr>
        <w:tc>
          <w:tcPr>
            <w:tcW w:w="709" w:type="dxa"/>
            <w:shd w:val="clear" w:color="auto" w:fill="auto"/>
            <w:noWrap/>
            <w:vAlign w:val="center"/>
          </w:tcPr>
          <w:p w14:paraId="0ACA6FFB"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4</w:t>
            </w:r>
          </w:p>
        </w:tc>
        <w:tc>
          <w:tcPr>
            <w:tcW w:w="8647" w:type="dxa"/>
            <w:gridSpan w:val="4"/>
            <w:shd w:val="clear" w:color="auto" w:fill="auto"/>
            <w:noWrap/>
            <w:vAlign w:val="center"/>
          </w:tcPr>
          <w:p w14:paraId="1336B87E"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平台时限管理</w:t>
            </w:r>
          </w:p>
        </w:tc>
      </w:tr>
      <w:tr w:rsidR="0022665C" w14:paraId="390B2A4C" w14:textId="77777777">
        <w:trPr>
          <w:trHeight w:val="660"/>
        </w:trPr>
        <w:tc>
          <w:tcPr>
            <w:tcW w:w="709" w:type="dxa"/>
            <w:shd w:val="clear" w:color="auto" w:fill="auto"/>
            <w:noWrap/>
            <w:vAlign w:val="center"/>
          </w:tcPr>
          <w:p w14:paraId="6B1CCF2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4.1</w:t>
            </w:r>
          </w:p>
        </w:tc>
        <w:tc>
          <w:tcPr>
            <w:tcW w:w="1559" w:type="dxa"/>
            <w:shd w:val="clear" w:color="auto" w:fill="auto"/>
            <w:noWrap/>
            <w:vAlign w:val="center"/>
          </w:tcPr>
          <w:p w14:paraId="4B448E4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平台时限管理</w:t>
            </w:r>
          </w:p>
        </w:tc>
        <w:tc>
          <w:tcPr>
            <w:tcW w:w="5966" w:type="dxa"/>
            <w:shd w:val="clear" w:color="auto" w:fill="auto"/>
            <w:vAlign w:val="center"/>
          </w:tcPr>
          <w:p w14:paraId="2012CB67"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支持平台全局时限配置、平台分派时限配置、平台处置时限配置、平台复核时限配置。</w:t>
            </w:r>
          </w:p>
        </w:tc>
        <w:tc>
          <w:tcPr>
            <w:tcW w:w="644" w:type="dxa"/>
            <w:shd w:val="clear" w:color="auto" w:fill="auto"/>
            <w:noWrap/>
            <w:vAlign w:val="center"/>
          </w:tcPr>
          <w:p w14:paraId="0C11FC3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2904D27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1EA9FE52" w14:textId="77777777">
        <w:trPr>
          <w:trHeight w:val="330"/>
        </w:trPr>
        <w:tc>
          <w:tcPr>
            <w:tcW w:w="709" w:type="dxa"/>
            <w:shd w:val="clear" w:color="auto" w:fill="auto"/>
            <w:noWrap/>
            <w:vAlign w:val="center"/>
          </w:tcPr>
          <w:p w14:paraId="7C62843E"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5</w:t>
            </w:r>
          </w:p>
        </w:tc>
        <w:tc>
          <w:tcPr>
            <w:tcW w:w="8647" w:type="dxa"/>
            <w:gridSpan w:val="4"/>
            <w:shd w:val="clear" w:color="auto" w:fill="auto"/>
            <w:noWrap/>
            <w:vAlign w:val="center"/>
          </w:tcPr>
          <w:p w14:paraId="6A78282C"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资源配置</w:t>
            </w:r>
          </w:p>
        </w:tc>
      </w:tr>
      <w:tr w:rsidR="0022665C" w14:paraId="10303753" w14:textId="77777777">
        <w:trPr>
          <w:trHeight w:val="330"/>
        </w:trPr>
        <w:tc>
          <w:tcPr>
            <w:tcW w:w="709" w:type="dxa"/>
            <w:shd w:val="clear" w:color="auto" w:fill="auto"/>
            <w:noWrap/>
            <w:vAlign w:val="center"/>
          </w:tcPr>
          <w:p w14:paraId="7A8E5D9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5.1</w:t>
            </w:r>
          </w:p>
        </w:tc>
        <w:tc>
          <w:tcPr>
            <w:tcW w:w="1559" w:type="dxa"/>
            <w:shd w:val="clear" w:color="auto" w:fill="auto"/>
            <w:noWrap/>
            <w:vAlign w:val="center"/>
          </w:tcPr>
          <w:p w14:paraId="42A84BF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组织管理集成</w:t>
            </w:r>
          </w:p>
        </w:tc>
        <w:tc>
          <w:tcPr>
            <w:tcW w:w="5966" w:type="dxa"/>
            <w:shd w:val="clear" w:color="auto" w:fill="auto"/>
            <w:vAlign w:val="center"/>
          </w:tcPr>
          <w:p w14:paraId="4D77C0F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支持组织数据接入、组织视图、条线管理。</w:t>
            </w:r>
          </w:p>
        </w:tc>
        <w:tc>
          <w:tcPr>
            <w:tcW w:w="644" w:type="dxa"/>
            <w:shd w:val="clear" w:color="auto" w:fill="auto"/>
            <w:noWrap/>
            <w:vAlign w:val="center"/>
          </w:tcPr>
          <w:p w14:paraId="063282F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5AD7499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35C26317" w14:textId="77777777">
        <w:trPr>
          <w:trHeight w:val="330"/>
        </w:trPr>
        <w:tc>
          <w:tcPr>
            <w:tcW w:w="709" w:type="dxa"/>
            <w:shd w:val="clear" w:color="auto" w:fill="auto"/>
            <w:noWrap/>
            <w:vAlign w:val="center"/>
          </w:tcPr>
          <w:p w14:paraId="24C7277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5.2</w:t>
            </w:r>
          </w:p>
        </w:tc>
        <w:tc>
          <w:tcPr>
            <w:tcW w:w="1559" w:type="dxa"/>
            <w:shd w:val="clear" w:color="auto" w:fill="auto"/>
            <w:noWrap/>
            <w:vAlign w:val="center"/>
          </w:tcPr>
          <w:p w14:paraId="074208E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人员管理集成</w:t>
            </w:r>
          </w:p>
        </w:tc>
        <w:tc>
          <w:tcPr>
            <w:tcW w:w="5966" w:type="dxa"/>
            <w:shd w:val="clear" w:color="auto" w:fill="auto"/>
            <w:vAlign w:val="center"/>
          </w:tcPr>
          <w:p w14:paraId="0B5C4563"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支持人员对接。</w:t>
            </w:r>
          </w:p>
        </w:tc>
        <w:tc>
          <w:tcPr>
            <w:tcW w:w="644" w:type="dxa"/>
            <w:shd w:val="clear" w:color="auto" w:fill="auto"/>
            <w:noWrap/>
            <w:vAlign w:val="center"/>
          </w:tcPr>
          <w:p w14:paraId="6DDE94A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0EFA5CA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525B792D" w14:textId="77777777">
        <w:trPr>
          <w:trHeight w:val="330"/>
        </w:trPr>
        <w:tc>
          <w:tcPr>
            <w:tcW w:w="709" w:type="dxa"/>
            <w:shd w:val="clear" w:color="auto" w:fill="auto"/>
            <w:noWrap/>
            <w:vAlign w:val="center"/>
          </w:tcPr>
          <w:p w14:paraId="7D60481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5.3</w:t>
            </w:r>
          </w:p>
        </w:tc>
        <w:tc>
          <w:tcPr>
            <w:tcW w:w="1559" w:type="dxa"/>
            <w:shd w:val="clear" w:color="auto" w:fill="auto"/>
            <w:noWrap/>
            <w:vAlign w:val="center"/>
          </w:tcPr>
          <w:p w14:paraId="71B97E6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外部系统对接</w:t>
            </w:r>
          </w:p>
        </w:tc>
        <w:tc>
          <w:tcPr>
            <w:tcW w:w="5966" w:type="dxa"/>
            <w:shd w:val="clear" w:color="auto" w:fill="auto"/>
            <w:vAlign w:val="center"/>
          </w:tcPr>
          <w:p w14:paraId="74341C19"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支持系统管理、接口管理。</w:t>
            </w:r>
          </w:p>
        </w:tc>
        <w:tc>
          <w:tcPr>
            <w:tcW w:w="644" w:type="dxa"/>
            <w:shd w:val="clear" w:color="auto" w:fill="auto"/>
            <w:noWrap/>
            <w:vAlign w:val="center"/>
          </w:tcPr>
          <w:p w14:paraId="0E26D8B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0354415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r w:rsidR="0022665C" w14:paraId="725EAAAD" w14:textId="77777777">
        <w:trPr>
          <w:trHeight w:val="660"/>
        </w:trPr>
        <w:tc>
          <w:tcPr>
            <w:tcW w:w="709" w:type="dxa"/>
            <w:shd w:val="clear" w:color="auto" w:fill="auto"/>
            <w:noWrap/>
            <w:vAlign w:val="center"/>
          </w:tcPr>
          <w:p w14:paraId="1A4493A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5.4</w:t>
            </w:r>
          </w:p>
        </w:tc>
        <w:tc>
          <w:tcPr>
            <w:tcW w:w="1559" w:type="dxa"/>
            <w:shd w:val="clear" w:color="auto" w:fill="auto"/>
            <w:noWrap/>
            <w:vAlign w:val="center"/>
          </w:tcPr>
          <w:p w14:paraId="53E087F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支撑管理</w:t>
            </w:r>
          </w:p>
        </w:tc>
        <w:tc>
          <w:tcPr>
            <w:tcW w:w="5966" w:type="dxa"/>
            <w:shd w:val="clear" w:color="auto" w:fill="auto"/>
            <w:vAlign w:val="center"/>
          </w:tcPr>
          <w:p w14:paraId="67CDE27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支持菜单管理、权限管理、角色管理、授权管理。</w:t>
            </w:r>
          </w:p>
        </w:tc>
        <w:tc>
          <w:tcPr>
            <w:tcW w:w="644" w:type="dxa"/>
            <w:shd w:val="clear" w:color="auto" w:fill="auto"/>
            <w:noWrap/>
            <w:vAlign w:val="center"/>
          </w:tcPr>
          <w:p w14:paraId="60756B6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478" w:type="dxa"/>
            <w:shd w:val="clear" w:color="auto" w:fill="auto"/>
            <w:noWrap/>
            <w:vAlign w:val="center"/>
          </w:tcPr>
          <w:p w14:paraId="13A66AD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w:t>
            </w:r>
          </w:p>
        </w:tc>
      </w:tr>
    </w:tbl>
    <w:p w14:paraId="34C69B7F"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b/>
          <w:bCs/>
          <w:sz w:val="21"/>
          <w:szCs w:val="21"/>
        </w:rPr>
        <w:t>1.6</w:t>
      </w:r>
      <w:r>
        <w:rPr>
          <w:rFonts w:ascii="微软雅黑" w:eastAsia="微软雅黑" w:hAnsi="微软雅黑" w:cs="微软雅黑" w:hint="eastAsia"/>
          <w:b/>
          <w:bCs/>
          <w:sz w:val="21"/>
          <w:szCs w:val="21"/>
        </w:rPr>
        <w:t>指标管理</w:t>
      </w:r>
    </w:p>
    <w:p w14:paraId="4248194C"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sz w:val="21"/>
          <w:szCs w:val="21"/>
          <w:lang w:bidi="ar"/>
        </w:rPr>
        <w:t>通过灵活可配置的指标定义及开发快速实现指标创建，为1个市级中心、41个区级中心创建七大板块指标体系，为各场景提供多维度的指标数据及指标管理服务，主要包括指标目录管理、指标数据挂接、指标服务、系统管理四大功能模块。</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3"/>
        <w:gridCol w:w="2386"/>
        <w:gridCol w:w="5737"/>
        <w:gridCol w:w="389"/>
        <w:gridCol w:w="307"/>
      </w:tblGrid>
      <w:tr w:rsidR="0022665C" w14:paraId="7A46DDB6" w14:textId="77777777">
        <w:trPr>
          <w:trHeight w:val="295"/>
        </w:trPr>
        <w:tc>
          <w:tcPr>
            <w:tcW w:w="5000" w:type="pct"/>
            <w:gridSpan w:val="5"/>
            <w:shd w:val="clear" w:color="auto" w:fill="auto"/>
            <w:noWrap/>
            <w:vAlign w:val="center"/>
          </w:tcPr>
          <w:p w14:paraId="62FF615B"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指标管理</w:t>
            </w:r>
          </w:p>
        </w:tc>
      </w:tr>
      <w:tr w:rsidR="0022665C" w14:paraId="23DA4E04" w14:textId="77777777">
        <w:trPr>
          <w:trHeight w:val="295"/>
        </w:trPr>
        <w:tc>
          <w:tcPr>
            <w:tcW w:w="310" w:type="pct"/>
            <w:shd w:val="clear" w:color="auto" w:fill="auto"/>
            <w:noWrap/>
            <w:vAlign w:val="center"/>
          </w:tcPr>
          <w:p w14:paraId="0BB4806A"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1</w:t>
            </w:r>
          </w:p>
        </w:tc>
        <w:tc>
          <w:tcPr>
            <w:tcW w:w="4689" w:type="pct"/>
            <w:gridSpan w:val="4"/>
            <w:shd w:val="clear" w:color="auto" w:fill="auto"/>
            <w:noWrap/>
            <w:vAlign w:val="center"/>
          </w:tcPr>
          <w:p w14:paraId="26AF0833"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指标目录管理</w:t>
            </w:r>
          </w:p>
        </w:tc>
      </w:tr>
      <w:tr w:rsidR="0022665C" w14:paraId="6317DF1E" w14:textId="77777777">
        <w:trPr>
          <w:trHeight w:val="365"/>
        </w:trPr>
        <w:tc>
          <w:tcPr>
            <w:tcW w:w="310" w:type="pct"/>
            <w:shd w:val="clear" w:color="auto" w:fill="auto"/>
            <w:noWrap/>
            <w:vAlign w:val="center"/>
          </w:tcPr>
          <w:p w14:paraId="08EFBFDB"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1.1</w:t>
            </w:r>
          </w:p>
        </w:tc>
        <w:tc>
          <w:tcPr>
            <w:tcW w:w="1269" w:type="pct"/>
            <w:shd w:val="clear" w:color="auto" w:fill="auto"/>
            <w:noWrap/>
            <w:vAlign w:val="center"/>
          </w:tcPr>
          <w:p w14:paraId="709FE436"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指标目录管理</w:t>
            </w:r>
          </w:p>
        </w:tc>
        <w:tc>
          <w:tcPr>
            <w:tcW w:w="3051" w:type="pct"/>
            <w:shd w:val="clear" w:color="auto" w:fill="auto"/>
            <w:noWrap/>
            <w:vAlign w:val="center"/>
          </w:tcPr>
          <w:p w14:paraId="4102D98A" w14:textId="77777777" w:rsidR="0022665C" w:rsidRDefault="00000000">
            <w:pPr>
              <w:widowControl/>
              <w:spacing w:line="440" w:lineRule="exac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支持指标目录（包括指标目录查询、指标目录节点编辑和删除、指标目录子节点新增和删除）、指标基础配置（包括指标检索、指标导入模版下载、指标批量导出、指标批量导入、指标新建和删除、指标基本信息配置、指标数据信息配置、指标统计信息配置、指标挂接数据切换、指标标签分组管理、指标标签管理、指标标签标记功能、子指标管理）。</w:t>
            </w:r>
          </w:p>
        </w:tc>
        <w:tc>
          <w:tcPr>
            <w:tcW w:w="207" w:type="pct"/>
            <w:shd w:val="clear" w:color="auto" w:fill="auto"/>
            <w:noWrap/>
            <w:vAlign w:val="center"/>
          </w:tcPr>
          <w:p w14:paraId="25604898"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套</w:t>
            </w:r>
          </w:p>
        </w:tc>
        <w:tc>
          <w:tcPr>
            <w:tcW w:w="160" w:type="pct"/>
            <w:shd w:val="clear" w:color="auto" w:fill="auto"/>
            <w:noWrap/>
            <w:vAlign w:val="center"/>
          </w:tcPr>
          <w:p w14:paraId="79CDB14D"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1</w:t>
            </w:r>
          </w:p>
        </w:tc>
      </w:tr>
      <w:tr w:rsidR="0022665C" w14:paraId="27B636DD" w14:textId="77777777">
        <w:trPr>
          <w:trHeight w:val="295"/>
        </w:trPr>
        <w:tc>
          <w:tcPr>
            <w:tcW w:w="310" w:type="pct"/>
            <w:shd w:val="clear" w:color="auto" w:fill="auto"/>
            <w:noWrap/>
            <w:vAlign w:val="center"/>
          </w:tcPr>
          <w:p w14:paraId="25D75D63"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2</w:t>
            </w:r>
          </w:p>
        </w:tc>
        <w:tc>
          <w:tcPr>
            <w:tcW w:w="4689" w:type="pct"/>
            <w:gridSpan w:val="4"/>
            <w:shd w:val="clear" w:color="auto" w:fill="auto"/>
            <w:noWrap/>
            <w:vAlign w:val="center"/>
          </w:tcPr>
          <w:p w14:paraId="5226707C"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指标数据挂接</w:t>
            </w:r>
          </w:p>
        </w:tc>
      </w:tr>
      <w:tr w:rsidR="0022665C" w14:paraId="4F93ADD7" w14:textId="77777777">
        <w:trPr>
          <w:trHeight w:val="555"/>
        </w:trPr>
        <w:tc>
          <w:tcPr>
            <w:tcW w:w="310" w:type="pct"/>
            <w:shd w:val="clear" w:color="auto" w:fill="auto"/>
            <w:noWrap/>
            <w:vAlign w:val="center"/>
          </w:tcPr>
          <w:p w14:paraId="146392C1"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2.1</w:t>
            </w:r>
          </w:p>
        </w:tc>
        <w:tc>
          <w:tcPr>
            <w:tcW w:w="1269" w:type="pct"/>
            <w:shd w:val="clear" w:color="auto" w:fill="auto"/>
            <w:noWrap/>
            <w:vAlign w:val="center"/>
          </w:tcPr>
          <w:p w14:paraId="4B01C11E"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指标数据挂接</w:t>
            </w:r>
          </w:p>
        </w:tc>
        <w:tc>
          <w:tcPr>
            <w:tcW w:w="3051" w:type="pct"/>
            <w:shd w:val="clear" w:color="auto" w:fill="auto"/>
            <w:noWrap/>
            <w:vAlign w:val="center"/>
          </w:tcPr>
          <w:p w14:paraId="1D5A6EEC" w14:textId="77777777" w:rsidR="0022665C" w:rsidRDefault="00000000">
            <w:pPr>
              <w:widowControl/>
              <w:spacing w:line="440" w:lineRule="exac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支持指标静态数据挂接（包括静态数据录入、静态数据集录入、静态数据挂接设置）、指标SQL数据挂接（SQL挂接数据源管理、SQL语句编辑、SQL语句预览、SQL执行记录查询、SQL定时执行、SQL数据挂接设置）。</w:t>
            </w:r>
          </w:p>
        </w:tc>
        <w:tc>
          <w:tcPr>
            <w:tcW w:w="207" w:type="pct"/>
            <w:shd w:val="clear" w:color="auto" w:fill="auto"/>
            <w:noWrap/>
            <w:vAlign w:val="center"/>
          </w:tcPr>
          <w:p w14:paraId="315E111A"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套</w:t>
            </w:r>
          </w:p>
        </w:tc>
        <w:tc>
          <w:tcPr>
            <w:tcW w:w="160" w:type="pct"/>
            <w:shd w:val="clear" w:color="auto" w:fill="auto"/>
            <w:noWrap/>
            <w:vAlign w:val="center"/>
          </w:tcPr>
          <w:p w14:paraId="00C2E339"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1</w:t>
            </w:r>
          </w:p>
        </w:tc>
      </w:tr>
      <w:tr w:rsidR="0022665C" w14:paraId="11DA95DD" w14:textId="77777777">
        <w:trPr>
          <w:trHeight w:val="295"/>
        </w:trPr>
        <w:tc>
          <w:tcPr>
            <w:tcW w:w="310" w:type="pct"/>
            <w:shd w:val="clear" w:color="auto" w:fill="auto"/>
            <w:noWrap/>
            <w:vAlign w:val="center"/>
          </w:tcPr>
          <w:p w14:paraId="6F80EA6B"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3</w:t>
            </w:r>
          </w:p>
        </w:tc>
        <w:tc>
          <w:tcPr>
            <w:tcW w:w="4689" w:type="pct"/>
            <w:gridSpan w:val="4"/>
            <w:shd w:val="clear" w:color="auto" w:fill="auto"/>
            <w:noWrap/>
            <w:vAlign w:val="center"/>
          </w:tcPr>
          <w:p w14:paraId="3FAE03F5"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指标服务</w:t>
            </w:r>
          </w:p>
        </w:tc>
      </w:tr>
      <w:tr w:rsidR="0022665C" w14:paraId="0250C746" w14:textId="77777777">
        <w:trPr>
          <w:trHeight w:val="555"/>
        </w:trPr>
        <w:tc>
          <w:tcPr>
            <w:tcW w:w="310" w:type="pct"/>
            <w:shd w:val="clear" w:color="auto" w:fill="auto"/>
            <w:noWrap/>
            <w:vAlign w:val="center"/>
          </w:tcPr>
          <w:p w14:paraId="09B3FA2F"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3.1</w:t>
            </w:r>
          </w:p>
        </w:tc>
        <w:tc>
          <w:tcPr>
            <w:tcW w:w="1269" w:type="pct"/>
            <w:shd w:val="clear" w:color="auto" w:fill="auto"/>
            <w:noWrap/>
            <w:vAlign w:val="center"/>
          </w:tcPr>
          <w:p w14:paraId="589187B5"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指标服务</w:t>
            </w:r>
          </w:p>
        </w:tc>
        <w:tc>
          <w:tcPr>
            <w:tcW w:w="3051" w:type="pct"/>
            <w:shd w:val="clear" w:color="auto" w:fill="auto"/>
            <w:noWrap/>
            <w:vAlign w:val="center"/>
          </w:tcPr>
          <w:p w14:paraId="62101227" w14:textId="77777777" w:rsidR="0022665C" w:rsidRDefault="00000000">
            <w:pPr>
              <w:widowControl/>
              <w:spacing w:line="440" w:lineRule="exac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支持服务应用对象管理（包括服务应用对象新增和删除、服务应用对象密钥授权、服务应用对象服务鉴权）、指标服务接口（包括接口文档在线展示、指标列表查询接口、指标值查询接口）。</w:t>
            </w:r>
          </w:p>
        </w:tc>
        <w:tc>
          <w:tcPr>
            <w:tcW w:w="207" w:type="pct"/>
            <w:shd w:val="clear" w:color="auto" w:fill="auto"/>
            <w:noWrap/>
            <w:vAlign w:val="center"/>
          </w:tcPr>
          <w:p w14:paraId="1D95557C"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套</w:t>
            </w:r>
          </w:p>
        </w:tc>
        <w:tc>
          <w:tcPr>
            <w:tcW w:w="160" w:type="pct"/>
            <w:shd w:val="clear" w:color="auto" w:fill="auto"/>
            <w:noWrap/>
            <w:vAlign w:val="center"/>
          </w:tcPr>
          <w:p w14:paraId="04FD3E6E"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1</w:t>
            </w:r>
          </w:p>
        </w:tc>
      </w:tr>
      <w:tr w:rsidR="0022665C" w14:paraId="4BC2EE0C" w14:textId="77777777">
        <w:trPr>
          <w:trHeight w:val="295"/>
        </w:trPr>
        <w:tc>
          <w:tcPr>
            <w:tcW w:w="310" w:type="pct"/>
            <w:shd w:val="clear" w:color="auto" w:fill="auto"/>
            <w:noWrap/>
            <w:vAlign w:val="center"/>
          </w:tcPr>
          <w:p w14:paraId="6FF97C94"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4</w:t>
            </w:r>
          </w:p>
        </w:tc>
        <w:tc>
          <w:tcPr>
            <w:tcW w:w="4689" w:type="pct"/>
            <w:gridSpan w:val="4"/>
            <w:shd w:val="clear" w:color="auto" w:fill="auto"/>
            <w:noWrap/>
            <w:vAlign w:val="center"/>
          </w:tcPr>
          <w:p w14:paraId="512D23CA"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系统管理</w:t>
            </w:r>
          </w:p>
        </w:tc>
      </w:tr>
      <w:tr w:rsidR="0022665C" w14:paraId="7B4BF4ED" w14:textId="77777777">
        <w:trPr>
          <w:trHeight w:val="295"/>
        </w:trPr>
        <w:tc>
          <w:tcPr>
            <w:tcW w:w="310" w:type="pct"/>
            <w:shd w:val="clear" w:color="auto" w:fill="auto"/>
            <w:noWrap/>
            <w:vAlign w:val="center"/>
          </w:tcPr>
          <w:p w14:paraId="10333142"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4.1</w:t>
            </w:r>
          </w:p>
        </w:tc>
        <w:tc>
          <w:tcPr>
            <w:tcW w:w="1269" w:type="pct"/>
            <w:shd w:val="clear" w:color="auto" w:fill="auto"/>
            <w:noWrap/>
            <w:vAlign w:val="center"/>
          </w:tcPr>
          <w:p w14:paraId="16F55DDD"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系统管理</w:t>
            </w:r>
          </w:p>
        </w:tc>
        <w:tc>
          <w:tcPr>
            <w:tcW w:w="3051" w:type="pct"/>
            <w:shd w:val="clear" w:color="auto" w:fill="auto"/>
            <w:noWrap/>
            <w:vAlign w:val="center"/>
          </w:tcPr>
          <w:p w14:paraId="5E1E9331" w14:textId="77777777" w:rsidR="0022665C" w:rsidRDefault="00000000">
            <w:pPr>
              <w:widowControl/>
              <w:spacing w:line="440" w:lineRule="exac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支持应用免接登录、指标用户对接（包括指标用户检索、指标用户信息维护、指标用户冻结、指标用户数据权限管理、渝快政用户接入）、指标菜单管理（包括指标菜单新增和删除、指标菜单下级菜单管理）、指标角色管理（包括角色新增和删除、角色用户管理、角色授权管理、角色导出和导入）、指标数据字典管理（字典新增和删除、字典配置导出和导入、字典缓存刷新功能）。</w:t>
            </w:r>
          </w:p>
        </w:tc>
        <w:tc>
          <w:tcPr>
            <w:tcW w:w="207" w:type="pct"/>
            <w:shd w:val="clear" w:color="auto" w:fill="auto"/>
            <w:noWrap/>
            <w:vAlign w:val="center"/>
          </w:tcPr>
          <w:p w14:paraId="5601A993"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套</w:t>
            </w:r>
          </w:p>
        </w:tc>
        <w:tc>
          <w:tcPr>
            <w:tcW w:w="160" w:type="pct"/>
            <w:shd w:val="clear" w:color="auto" w:fill="auto"/>
            <w:noWrap/>
            <w:vAlign w:val="center"/>
          </w:tcPr>
          <w:p w14:paraId="18D34006"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1</w:t>
            </w:r>
          </w:p>
        </w:tc>
      </w:tr>
    </w:tbl>
    <w:p w14:paraId="2C0024A1"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1.7考核管理</w:t>
      </w:r>
    </w:p>
    <w:p w14:paraId="1C8A0A22"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sz w:val="21"/>
          <w:szCs w:val="21"/>
          <w:lang w:bidi="ar"/>
        </w:rPr>
        <w:t>考核</w:t>
      </w:r>
      <w:r>
        <w:rPr>
          <w:rFonts w:ascii="微软雅黑" w:eastAsia="微软雅黑" w:hAnsi="微软雅黑" w:cs="微软雅黑" w:hint="eastAsia"/>
          <w:sz w:val="21"/>
          <w:szCs w:val="21"/>
          <w:lang w:bidi="ar"/>
        </w:rPr>
        <w:t>管理</w:t>
      </w:r>
      <w:r>
        <w:rPr>
          <w:rFonts w:ascii="微软雅黑" w:eastAsia="微软雅黑" w:hAnsi="微软雅黑" w:cs="微软雅黑"/>
          <w:sz w:val="21"/>
          <w:szCs w:val="21"/>
          <w:lang w:bidi="ar"/>
        </w:rPr>
        <w:t>系统指在帮助组织进行全面、高效的单位指标评估和管理。该系统具有良好的灵活性，该系统具有目标设定与追踪，实时反馈、考核、数据分析等功能</w:t>
      </w:r>
      <w:r>
        <w:rPr>
          <w:rFonts w:ascii="微软雅黑" w:eastAsia="微软雅黑" w:hAnsi="微软雅黑" w:cs="微软雅黑" w:hint="eastAsia"/>
          <w:sz w:val="21"/>
          <w:szCs w:val="21"/>
          <w:lang w:bidi="ar"/>
        </w:rPr>
        <w:t>，</w:t>
      </w:r>
      <w:r>
        <w:rPr>
          <w:rFonts w:ascii="微软雅黑" w:eastAsia="微软雅黑" w:hAnsi="微软雅黑" w:cs="微软雅黑"/>
          <w:sz w:val="21"/>
          <w:szCs w:val="21"/>
          <w:lang w:bidi="ar"/>
        </w:rPr>
        <w:t>系统适应各种规模和类型的组织。。</w:t>
      </w:r>
    </w:p>
    <w:p w14:paraId="76B3856D"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sz w:val="21"/>
          <w:szCs w:val="21"/>
          <w:lang w:bidi="ar"/>
        </w:rPr>
        <w:t>考核</w:t>
      </w:r>
      <w:r>
        <w:rPr>
          <w:rFonts w:ascii="微软雅黑" w:eastAsia="微软雅黑" w:hAnsi="微软雅黑" w:cs="微软雅黑" w:hint="eastAsia"/>
          <w:sz w:val="21"/>
          <w:szCs w:val="21"/>
          <w:lang w:bidi="ar"/>
        </w:rPr>
        <w:t>管理</w:t>
      </w:r>
      <w:r>
        <w:rPr>
          <w:rFonts w:ascii="微软雅黑" w:eastAsia="微软雅黑" w:hAnsi="微软雅黑" w:cs="微软雅黑"/>
          <w:sz w:val="21"/>
          <w:szCs w:val="21"/>
          <w:lang w:bidi="ar"/>
        </w:rPr>
        <w:t>系统实现关联指标，反映考核完成情况；实现考核任务、考核监控、考核反馈的一体化管理。</w:t>
      </w:r>
    </w:p>
    <w:p w14:paraId="6012A6F3"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sz w:val="21"/>
          <w:szCs w:val="21"/>
          <w:lang w:bidi="ar"/>
        </w:rPr>
        <w:t>通过考核系统将考核流程复杂等问题梳理成“考核任务”方式进行数字化管理，协同各业务部门过程可跟踪、有记录，实现考核数字化。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0"/>
        <w:gridCol w:w="2382"/>
        <w:gridCol w:w="5644"/>
        <w:gridCol w:w="426"/>
        <w:gridCol w:w="340"/>
      </w:tblGrid>
      <w:tr w:rsidR="0022665C" w14:paraId="5A21907B" w14:textId="77777777">
        <w:trPr>
          <w:trHeight w:val="295"/>
        </w:trPr>
        <w:tc>
          <w:tcPr>
            <w:tcW w:w="5000" w:type="pct"/>
            <w:gridSpan w:val="5"/>
            <w:shd w:val="clear" w:color="auto" w:fill="auto"/>
            <w:noWrap/>
            <w:vAlign w:val="center"/>
          </w:tcPr>
          <w:p w14:paraId="469B97F6"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考核管理</w:t>
            </w:r>
          </w:p>
        </w:tc>
      </w:tr>
      <w:tr w:rsidR="0022665C" w14:paraId="04E249FA" w14:textId="77777777">
        <w:trPr>
          <w:trHeight w:val="295"/>
        </w:trPr>
        <w:tc>
          <w:tcPr>
            <w:tcW w:w="330" w:type="pct"/>
            <w:shd w:val="clear" w:color="auto" w:fill="auto"/>
            <w:noWrap/>
            <w:vAlign w:val="center"/>
          </w:tcPr>
          <w:p w14:paraId="54B0AFE6"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1</w:t>
            </w:r>
          </w:p>
        </w:tc>
        <w:tc>
          <w:tcPr>
            <w:tcW w:w="4669" w:type="pct"/>
            <w:gridSpan w:val="4"/>
            <w:shd w:val="clear" w:color="auto" w:fill="auto"/>
            <w:noWrap/>
            <w:vAlign w:val="center"/>
          </w:tcPr>
          <w:p w14:paraId="1958F601" w14:textId="77777777" w:rsidR="0022665C" w:rsidRDefault="00000000">
            <w:pPr>
              <w:widowControl/>
              <w:spacing w:line="440" w:lineRule="exact"/>
              <w:jc w:val="center"/>
              <w:rPr>
                <w:rFonts w:ascii="微软雅黑" w:eastAsia="微软雅黑" w:hAnsi="微软雅黑" w:cs="宋体" w:hint="eastAsia"/>
                <w:b/>
                <w:bCs/>
                <w:kern w:val="0"/>
                <w:sz w:val="21"/>
                <w:szCs w:val="21"/>
              </w:rPr>
            </w:pPr>
            <w:r>
              <w:rPr>
                <w:rFonts w:ascii="微软雅黑" w:eastAsia="微软雅黑" w:hAnsi="微软雅黑" w:cs="宋体" w:hint="eastAsia"/>
                <w:b/>
                <w:bCs/>
                <w:kern w:val="0"/>
                <w:sz w:val="21"/>
                <w:szCs w:val="21"/>
              </w:rPr>
              <w:t>考核方案</w:t>
            </w:r>
          </w:p>
        </w:tc>
      </w:tr>
      <w:tr w:rsidR="0022665C" w14:paraId="26E621E6" w14:textId="77777777">
        <w:trPr>
          <w:trHeight w:val="350"/>
        </w:trPr>
        <w:tc>
          <w:tcPr>
            <w:tcW w:w="330" w:type="pct"/>
            <w:shd w:val="clear" w:color="auto" w:fill="auto"/>
            <w:noWrap/>
            <w:vAlign w:val="center"/>
          </w:tcPr>
          <w:p w14:paraId="783CA57A"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1.1</w:t>
            </w:r>
          </w:p>
        </w:tc>
        <w:tc>
          <w:tcPr>
            <w:tcW w:w="1272" w:type="pct"/>
            <w:shd w:val="clear" w:color="auto" w:fill="auto"/>
            <w:noWrap/>
            <w:vAlign w:val="center"/>
          </w:tcPr>
          <w:p w14:paraId="49A53939" w14:textId="77777777" w:rsidR="0022665C" w:rsidRDefault="00000000">
            <w:pPr>
              <w:widowControl/>
              <w:spacing w:line="440" w:lineRule="exact"/>
              <w:jc w:val="center"/>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考核方案</w:t>
            </w:r>
          </w:p>
        </w:tc>
        <w:tc>
          <w:tcPr>
            <w:tcW w:w="3007" w:type="pct"/>
            <w:shd w:val="clear" w:color="auto" w:fill="auto"/>
            <w:vAlign w:val="center"/>
          </w:tcPr>
          <w:p w14:paraId="62911BF1" w14:textId="77777777" w:rsidR="0022665C" w:rsidRDefault="00000000">
            <w:pPr>
              <w:widowControl/>
              <w:spacing w:line="440" w:lineRule="exact"/>
              <w:jc w:val="lef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支持考核方案(包括考核方案分类、考核方案列表)、发布考核、我的考核、考核报告、考核评价、指标系统对接、可视化对接、接口对接。</w:t>
            </w:r>
          </w:p>
        </w:tc>
        <w:tc>
          <w:tcPr>
            <w:tcW w:w="221" w:type="pct"/>
            <w:shd w:val="clear" w:color="auto" w:fill="auto"/>
            <w:noWrap/>
            <w:vAlign w:val="center"/>
          </w:tcPr>
          <w:p w14:paraId="73E9DD64" w14:textId="77777777" w:rsidR="0022665C" w:rsidRDefault="00000000">
            <w:pPr>
              <w:widowControl/>
              <w:spacing w:line="440" w:lineRule="exac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套</w:t>
            </w:r>
          </w:p>
        </w:tc>
        <w:tc>
          <w:tcPr>
            <w:tcW w:w="167" w:type="pct"/>
            <w:shd w:val="clear" w:color="auto" w:fill="auto"/>
            <w:noWrap/>
            <w:vAlign w:val="center"/>
          </w:tcPr>
          <w:p w14:paraId="6DDF344B" w14:textId="77777777" w:rsidR="0022665C" w:rsidRDefault="00000000">
            <w:pPr>
              <w:widowControl/>
              <w:spacing w:line="440" w:lineRule="exac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1</w:t>
            </w:r>
          </w:p>
        </w:tc>
      </w:tr>
    </w:tbl>
    <w:p w14:paraId="65AF49BF" w14:textId="77777777" w:rsidR="0022665C" w:rsidRDefault="00000000">
      <w:pPr>
        <w:spacing w:line="440" w:lineRule="exac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1.8低代码开发</w:t>
      </w:r>
    </w:p>
    <w:p w14:paraId="10AD1262"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sz w:val="21"/>
          <w:szCs w:val="21"/>
          <w:lang w:bidi="ar"/>
        </w:rPr>
        <w:t>低代码开发需要提供流程引擎、规则引擎、页面引擎、报表引擎、集成引擎、数据中心等核心引擎，并提供表单设计器、流程设计器、规则设计器、视图设计器、页面设计器、报表设计器、集成管理服务、组织管理服务、权限管理服务等全方位可视化设计器。</w:t>
      </w:r>
    </w:p>
    <w:tbl>
      <w:tblPr>
        <w:tblW w:w="9498" w:type="dxa"/>
        <w:tblInd w:w="-5" w:type="dxa"/>
        <w:tblLook w:val="04A0" w:firstRow="1" w:lastRow="0" w:firstColumn="1" w:lastColumn="0" w:noHBand="0" w:noVBand="1"/>
      </w:tblPr>
      <w:tblGrid>
        <w:gridCol w:w="636"/>
        <w:gridCol w:w="2361"/>
        <w:gridCol w:w="5387"/>
        <w:gridCol w:w="587"/>
        <w:gridCol w:w="547"/>
      </w:tblGrid>
      <w:tr w:rsidR="0022665C" w14:paraId="549C3F00" w14:textId="77777777">
        <w:trPr>
          <w:trHeight w:val="330"/>
        </w:trPr>
        <w:tc>
          <w:tcPr>
            <w:tcW w:w="949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5AA705F4"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低代码开发</w:t>
            </w:r>
          </w:p>
        </w:tc>
      </w:tr>
      <w:tr w:rsidR="0022665C" w14:paraId="71163688"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0929C948"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231B805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核心引擎</w:t>
            </w:r>
          </w:p>
        </w:tc>
      </w:tr>
      <w:tr w:rsidR="0022665C" w14:paraId="7529F104"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7C36E57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w:t>
            </w:r>
          </w:p>
        </w:tc>
        <w:tc>
          <w:tcPr>
            <w:tcW w:w="2361" w:type="dxa"/>
            <w:tcBorders>
              <w:top w:val="single" w:sz="4" w:space="0" w:color="auto"/>
              <w:left w:val="nil"/>
              <w:bottom w:val="single" w:sz="4" w:space="0" w:color="auto"/>
              <w:right w:val="single" w:sz="4" w:space="0" w:color="auto"/>
            </w:tcBorders>
            <w:shd w:val="clear" w:color="auto" w:fill="auto"/>
            <w:vAlign w:val="center"/>
          </w:tcPr>
          <w:p w14:paraId="610DA2A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核心引擎</w:t>
            </w:r>
          </w:p>
        </w:tc>
        <w:tc>
          <w:tcPr>
            <w:tcW w:w="5387" w:type="dxa"/>
            <w:tcBorders>
              <w:top w:val="single" w:sz="4" w:space="0" w:color="auto"/>
              <w:left w:val="nil"/>
              <w:bottom w:val="single" w:sz="4" w:space="0" w:color="auto"/>
              <w:right w:val="single" w:sz="4" w:space="0" w:color="auto"/>
            </w:tcBorders>
            <w:shd w:val="clear" w:color="auto" w:fill="auto"/>
            <w:vAlign w:val="center"/>
          </w:tcPr>
          <w:p w14:paraId="6324CE55"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支持业务模型核心引擎、应用支撑核心引擎。</w:t>
            </w:r>
          </w:p>
        </w:tc>
        <w:tc>
          <w:tcPr>
            <w:tcW w:w="587" w:type="dxa"/>
            <w:tcBorders>
              <w:top w:val="single" w:sz="4" w:space="0" w:color="auto"/>
              <w:left w:val="nil"/>
              <w:bottom w:val="single" w:sz="4" w:space="0" w:color="auto"/>
              <w:right w:val="single" w:sz="4" w:space="0" w:color="auto"/>
            </w:tcBorders>
            <w:shd w:val="clear" w:color="auto" w:fill="auto"/>
            <w:vAlign w:val="center"/>
          </w:tcPr>
          <w:p w14:paraId="160C768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772C2F9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59B8D307" w14:textId="77777777">
        <w:trPr>
          <w:trHeight w:val="99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651025C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1.2</w:t>
            </w:r>
          </w:p>
        </w:tc>
        <w:tc>
          <w:tcPr>
            <w:tcW w:w="2361" w:type="dxa"/>
            <w:tcBorders>
              <w:top w:val="single" w:sz="4" w:space="0" w:color="auto"/>
              <w:left w:val="nil"/>
              <w:bottom w:val="single" w:sz="4" w:space="0" w:color="auto"/>
              <w:right w:val="single" w:sz="4" w:space="0" w:color="auto"/>
            </w:tcBorders>
            <w:shd w:val="clear" w:color="auto" w:fill="auto"/>
            <w:vAlign w:val="center"/>
          </w:tcPr>
          <w:p w14:paraId="37854E5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应用支撑核心引擎</w:t>
            </w:r>
          </w:p>
        </w:tc>
        <w:tc>
          <w:tcPr>
            <w:tcW w:w="5387" w:type="dxa"/>
            <w:tcBorders>
              <w:top w:val="single" w:sz="4" w:space="0" w:color="auto"/>
              <w:left w:val="nil"/>
              <w:bottom w:val="single" w:sz="4" w:space="0" w:color="auto"/>
              <w:right w:val="single" w:sz="4" w:space="0" w:color="auto"/>
            </w:tcBorders>
            <w:shd w:val="clear" w:color="auto" w:fill="auto"/>
            <w:vAlign w:val="center"/>
          </w:tcPr>
          <w:p w14:paraId="101AD7F7"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系统支持通过AI智能实现业务数字化，开发人员通过对话或拍照即可快速构建业务应用，业务人员通过AI智能实现业务数据分析。</w:t>
            </w:r>
          </w:p>
        </w:tc>
        <w:tc>
          <w:tcPr>
            <w:tcW w:w="587" w:type="dxa"/>
            <w:tcBorders>
              <w:top w:val="single" w:sz="4" w:space="0" w:color="auto"/>
              <w:left w:val="nil"/>
              <w:bottom w:val="single" w:sz="4" w:space="0" w:color="auto"/>
              <w:right w:val="single" w:sz="4" w:space="0" w:color="auto"/>
            </w:tcBorders>
            <w:shd w:val="clear" w:color="auto" w:fill="auto"/>
            <w:vAlign w:val="center"/>
          </w:tcPr>
          <w:p w14:paraId="70DBE45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3ED3ADA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0CEDBB6F"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22848FB5"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2</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5289D64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表单设计器</w:t>
            </w:r>
          </w:p>
        </w:tc>
      </w:tr>
      <w:tr w:rsidR="0022665C" w14:paraId="614A9CAE" w14:textId="77777777">
        <w:trPr>
          <w:trHeight w:val="99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173C44C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2.1</w:t>
            </w:r>
          </w:p>
        </w:tc>
        <w:tc>
          <w:tcPr>
            <w:tcW w:w="2361" w:type="dxa"/>
            <w:tcBorders>
              <w:top w:val="single" w:sz="4" w:space="0" w:color="auto"/>
              <w:left w:val="nil"/>
              <w:bottom w:val="single" w:sz="4" w:space="0" w:color="auto"/>
              <w:right w:val="single" w:sz="4" w:space="0" w:color="auto"/>
            </w:tcBorders>
            <w:shd w:val="clear" w:color="auto" w:fill="auto"/>
            <w:vAlign w:val="center"/>
          </w:tcPr>
          <w:p w14:paraId="7E283E2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表单设计器</w:t>
            </w:r>
          </w:p>
        </w:tc>
        <w:tc>
          <w:tcPr>
            <w:tcW w:w="5387" w:type="dxa"/>
            <w:tcBorders>
              <w:top w:val="single" w:sz="4" w:space="0" w:color="auto"/>
              <w:left w:val="nil"/>
              <w:bottom w:val="single" w:sz="4" w:space="0" w:color="auto"/>
              <w:right w:val="single" w:sz="4" w:space="0" w:color="auto"/>
            </w:tcBorders>
            <w:shd w:val="clear" w:color="auto" w:fill="auto"/>
            <w:vAlign w:val="center"/>
          </w:tcPr>
          <w:p w14:paraId="68E4EAD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支持基础控件包、布局控件包、系统控件包、高级控件包、多表单模块、多端支持、自定义控件扩展、自定义按钮扩展、表单版本控制、表单外链。</w:t>
            </w:r>
          </w:p>
        </w:tc>
        <w:tc>
          <w:tcPr>
            <w:tcW w:w="587" w:type="dxa"/>
            <w:tcBorders>
              <w:top w:val="single" w:sz="4" w:space="0" w:color="auto"/>
              <w:left w:val="nil"/>
              <w:bottom w:val="single" w:sz="4" w:space="0" w:color="auto"/>
              <w:right w:val="single" w:sz="4" w:space="0" w:color="auto"/>
            </w:tcBorders>
            <w:shd w:val="clear" w:color="auto" w:fill="auto"/>
            <w:vAlign w:val="center"/>
          </w:tcPr>
          <w:p w14:paraId="3111BBA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1059D4E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2CE8F1B9" w14:textId="77777777">
        <w:trPr>
          <w:trHeight w:val="132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0669A07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2.2</w:t>
            </w:r>
          </w:p>
        </w:tc>
        <w:tc>
          <w:tcPr>
            <w:tcW w:w="2361" w:type="dxa"/>
            <w:tcBorders>
              <w:top w:val="single" w:sz="4" w:space="0" w:color="auto"/>
              <w:left w:val="nil"/>
              <w:bottom w:val="single" w:sz="4" w:space="0" w:color="auto"/>
              <w:right w:val="single" w:sz="4" w:space="0" w:color="auto"/>
            </w:tcBorders>
            <w:shd w:val="clear" w:color="auto" w:fill="auto"/>
            <w:vAlign w:val="center"/>
          </w:tcPr>
          <w:p w14:paraId="1D3DEC9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系统控件包</w:t>
            </w:r>
          </w:p>
        </w:tc>
        <w:tc>
          <w:tcPr>
            <w:tcW w:w="5387" w:type="dxa"/>
            <w:tcBorders>
              <w:top w:val="single" w:sz="4" w:space="0" w:color="auto"/>
              <w:left w:val="nil"/>
              <w:bottom w:val="single" w:sz="4" w:space="0" w:color="auto"/>
              <w:right w:val="single" w:sz="4" w:space="0" w:color="auto"/>
            </w:tcBorders>
            <w:shd w:val="clear" w:color="auto" w:fill="auto"/>
            <w:vAlign w:val="center"/>
          </w:tcPr>
          <w:p w14:paraId="6BAA4441"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业务流程支持多表单，支持通过基于一个模型构建多种展现形式表单，表单可来源于系统自有模型构建，也支持外挂第三方系统表单，并支持在流程阶段选择不同场景用不同表单。</w:t>
            </w:r>
          </w:p>
        </w:tc>
        <w:tc>
          <w:tcPr>
            <w:tcW w:w="587" w:type="dxa"/>
            <w:tcBorders>
              <w:top w:val="single" w:sz="4" w:space="0" w:color="auto"/>
              <w:left w:val="nil"/>
              <w:bottom w:val="single" w:sz="4" w:space="0" w:color="auto"/>
              <w:right w:val="single" w:sz="4" w:space="0" w:color="auto"/>
            </w:tcBorders>
            <w:shd w:val="clear" w:color="auto" w:fill="auto"/>
            <w:vAlign w:val="center"/>
          </w:tcPr>
          <w:p w14:paraId="7E0964E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4971C6E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4DF6033B"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7F8E239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3</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0AF757F5"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业务数据模型模块</w:t>
            </w:r>
          </w:p>
        </w:tc>
      </w:tr>
      <w:tr w:rsidR="0022665C" w14:paraId="21180CA5"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71E6D53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3.1</w:t>
            </w:r>
          </w:p>
        </w:tc>
        <w:tc>
          <w:tcPr>
            <w:tcW w:w="2361" w:type="dxa"/>
            <w:tcBorders>
              <w:top w:val="single" w:sz="4" w:space="0" w:color="auto"/>
              <w:left w:val="nil"/>
              <w:bottom w:val="single" w:sz="4" w:space="0" w:color="auto"/>
              <w:right w:val="single" w:sz="4" w:space="0" w:color="auto"/>
            </w:tcBorders>
            <w:shd w:val="clear" w:color="auto" w:fill="auto"/>
            <w:vAlign w:val="center"/>
          </w:tcPr>
          <w:p w14:paraId="3F8F40B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业务数据模型模块</w:t>
            </w:r>
          </w:p>
        </w:tc>
        <w:tc>
          <w:tcPr>
            <w:tcW w:w="5387" w:type="dxa"/>
            <w:tcBorders>
              <w:top w:val="single" w:sz="4" w:space="0" w:color="auto"/>
              <w:left w:val="nil"/>
              <w:bottom w:val="single" w:sz="4" w:space="0" w:color="auto"/>
              <w:right w:val="single" w:sz="4" w:space="0" w:color="auto"/>
            </w:tcBorders>
            <w:shd w:val="clear" w:color="auto" w:fill="auto"/>
            <w:vAlign w:val="center"/>
          </w:tcPr>
          <w:p w14:paraId="75B308FE"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支持数据建模模块、业务方法模块、数据校验模块。</w:t>
            </w:r>
          </w:p>
        </w:tc>
        <w:tc>
          <w:tcPr>
            <w:tcW w:w="587" w:type="dxa"/>
            <w:tcBorders>
              <w:top w:val="single" w:sz="4" w:space="0" w:color="auto"/>
              <w:left w:val="nil"/>
              <w:bottom w:val="single" w:sz="4" w:space="0" w:color="auto"/>
              <w:right w:val="single" w:sz="4" w:space="0" w:color="auto"/>
            </w:tcBorders>
            <w:shd w:val="clear" w:color="auto" w:fill="auto"/>
            <w:vAlign w:val="center"/>
          </w:tcPr>
          <w:p w14:paraId="706CE7E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1D09EEB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65E9D291"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32A9DCD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4</w:t>
            </w:r>
          </w:p>
        </w:tc>
        <w:tc>
          <w:tcPr>
            <w:tcW w:w="8882" w:type="dxa"/>
            <w:gridSpan w:val="4"/>
            <w:tcBorders>
              <w:top w:val="single" w:sz="4" w:space="0" w:color="auto"/>
              <w:left w:val="nil"/>
              <w:bottom w:val="single" w:sz="4" w:space="0" w:color="auto"/>
              <w:right w:val="single" w:sz="4" w:space="0" w:color="auto"/>
            </w:tcBorders>
            <w:shd w:val="clear" w:color="auto" w:fill="auto"/>
            <w:noWrap/>
            <w:vAlign w:val="center"/>
          </w:tcPr>
          <w:p w14:paraId="39895E0C"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流程设计器</w:t>
            </w:r>
          </w:p>
        </w:tc>
      </w:tr>
      <w:tr w:rsidR="0022665C" w14:paraId="1C3AA040" w14:textId="77777777">
        <w:trPr>
          <w:trHeight w:val="132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563FE73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4.1</w:t>
            </w:r>
          </w:p>
        </w:tc>
        <w:tc>
          <w:tcPr>
            <w:tcW w:w="2361" w:type="dxa"/>
            <w:tcBorders>
              <w:top w:val="single" w:sz="4" w:space="0" w:color="auto"/>
              <w:left w:val="nil"/>
              <w:bottom w:val="single" w:sz="4" w:space="0" w:color="auto"/>
              <w:right w:val="single" w:sz="4" w:space="0" w:color="auto"/>
            </w:tcBorders>
            <w:shd w:val="clear" w:color="auto" w:fill="auto"/>
            <w:noWrap/>
            <w:vAlign w:val="center"/>
          </w:tcPr>
          <w:p w14:paraId="6C95B09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流程设计器</w:t>
            </w:r>
          </w:p>
        </w:tc>
        <w:tc>
          <w:tcPr>
            <w:tcW w:w="5387" w:type="dxa"/>
            <w:tcBorders>
              <w:top w:val="single" w:sz="4" w:space="0" w:color="auto"/>
              <w:left w:val="nil"/>
              <w:bottom w:val="single" w:sz="4" w:space="0" w:color="auto"/>
              <w:right w:val="single" w:sz="4" w:space="0" w:color="auto"/>
            </w:tcBorders>
            <w:shd w:val="clear" w:color="auto" w:fill="auto"/>
            <w:vAlign w:val="center"/>
          </w:tcPr>
          <w:p w14:paraId="45A5B1D5"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流程建模、流程建模可视化工具、流程版本管理、流程路由、父子流程、系统活动、流程内置系统接口与事件、流程时限控制、流程消息、流程日志与留痕、业务流程拓展、流程模版、流程运行模拟、流程预警提示、流程效率分析。</w:t>
            </w:r>
          </w:p>
        </w:tc>
        <w:tc>
          <w:tcPr>
            <w:tcW w:w="587" w:type="dxa"/>
            <w:tcBorders>
              <w:top w:val="single" w:sz="4" w:space="0" w:color="auto"/>
              <w:left w:val="nil"/>
              <w:bottom w:val="single" w:sz="4" w:space="0" w:color="auto"/>
              <w:right w:val="single" w:sz="4" w:space="0" w:color="auto"/>
            </w:tcBorders>
            <w:shd w:val="clear" w:color="auto" w:fill="auto"/>
            <w:vAlign w:val="center"/>
          </w:tcPr>
          <w:p w14:paraId="00A40BC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30648B2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1238D560" w14:textId="77777777">
        <w:trPr>
          <w:trHeight w:val="151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102270C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4.2</w:t>
            </w:r>
          </w:p>
        </w:tc>
        <w:tc>
          <w:tcPr>
            <w:tcW w:w="2361" w:type="dxa"/>
            <w:tcBorders>
              <w:top w:val="single" w:sz="4" w:space="0" w:color="auto"/>
              <w:left w:val="nil"/>
              <w:bottom w:val="single" w:sz="4" w:space="0" w:color="auto"/>
              <w:right w:val="single" w:sz="4" w:space="0" w:color="auto"/>
            </w:tcBorders>
            <w:shd w:val="clear" w:color="auto" w:fill="auto"/>
            <w:noWrap/>
            <w:vAlign w:val="center"/>
          </w:tcPr>
          <w:p w14:paraId="144C98D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流程建模可视化工具</w:t>
            </w:r>
          </w:p>
        </w:tc>
        <w:tc>
          <w:tcPr>
            <w:tcW w:w="5387" w:type="dxa"/>
            <w:tcBorders>
              <w:top w:val="single" w:sz="4" w:space="0" w:color="auto"/>
              <w:left w:val="nil"/>
              <w:bottom w:val="single" w:sz="4" w:space="0" w:color="auto"/>
              <w:right w:val="single" w:sz="4" w:space="0" w:color="auto"/>
            </w:tcBorders>
            <w:shd w:val="clear" w:color="auto" w:fill="auto"/>
            <w:vAlign w:val="center"/>
          </w:tcPr>
          <w:p w14:paraId="598FF71C"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设计系统支持通过拖拉拽方式配置流程，在业务流程设计完成之后，设计人员可直接通过流程设计工具、无需在前台发起流程即可完成流程仿真测试。进行仿真运行测试时，测试模式支持手工运行、自动运行模式，在确定模式之后，可模拟填报数据，填报完成之后系统可查看流程执行全过程。</w:t>
            </w:r>
          </w:p>
          <w:p w14:paraId="0307D98F"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流程支持父子流程，用户可通过图形化页面配置父流程到子流程的启动方式、发起环节是否自动提交，父流程数据映射到子流程中，支持通过主表、子表进行映射，在数据映射时支持父流程数据单向映射到子流程，也支持父子流程数据双向映射配置。</w:t>
            </w:r>
          </w:p>
          <w:p w14:paraId="5F31FFCA"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在业务流程审批中，存在一人多岗在流程中重复出现需要多次审批，通过可视化配置重复审批节点自动化批复策略，支持判断是否“发起人”、是否“前一活动处理”、是否“处理过流程”，并在重复审批时可选择是否启用后审批自动处理策略。</w:t>
            </w:r>
          </w:p>
        </w:tc>
        <w:tc>
          <w:tcPr>
            <w:tcW w:w="587" w:type="dxa"/>
            <w:tcBorders>
              <w:top w:val="single" w:sz="4" w:space="0" w:color="auto"/>
              <w:left w:val="nil"/>
              <w:bottom w:val="single" w:sz="4" w:space="0" w:color="auto"/>
              <w:right w:val="single" w:sz="4" w:space="0" w:color="auto"/>
            </w:tcBorders>
            <w:shd w:val="clear" w:color="auto" w:fill="auto"/>
            <w:vAlign w:val="center"/>
          </w:tcPr>
          <w:p w14:paraId="1C2ED51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4BB24CC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7E91C27A"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295E7E3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5</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291DFD79"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规则设计器</w:t>
            </w:r>
          </w:p>
        </w:tc>
      </w:tr>
      <w:tr w:rsidR="0022665C" w14:paraId="4CD4596D"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38DEB30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5.1</w:t>
            </w:r>
          </w:p>
        </w:tc>
        <w:tc>
          <w:tcPr>
            <w:tcW w:w="2361" w:type="dxa"/>
            <w:tcBorders>
              <w:top w:val="single" w:sz="4" w:space="0" w:color="auto"/>
              <w:left w:val="nil"/>
              <w:bottom w:val="single" w:sz="4" w:space="0" w:color="auto"/>
              <w:right w:val="single" w:sz="4" w:space="0" w:color="auto"/>
            </w:tcBorders>
            <w:shd w:val="clear" w:color="auto" w:fill="auto"/>
            <w:vAlign w:val="center"/>
          </w:tcPr>
          <w:p w14:paraId="52865B1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规则设计器</w:t>
            </w:r>
          </w:p>
        </w:tc>
        <w:tc>
          <w:tcPr>
            <w:tcW w:w="5387" w:type="dxa"/>
            <w:tcBorders>
              <w:top w:val="single" w:sz="4" w:space="0" w:color="auto"/>
              <w:left w:val="nil"/>
              <w:bottom w:val="single" w:sz="4" w:space="0" w:color="auto"/>
              <w:right w:val="single" w:sz="4" w:space="0" w:color="auto"/>
            </w:tcBorders>
            <w:shd w:val="clear" w:color="auto" w:fill="auto"/>
            <w:vAlign w:val="center"/>
          </w:tcPr>
          <w:p w14:paraId="076296B9"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支持业务规则设计、规则状态跟踪、数据操作规则、定时作业、异常终止节点、业务规则日志、触发映射联动规则。</w:t>
            </w:r>
          </w:p>
        </w:tc>
        <w:tc>
          <w:tcPr>
            <w:tcW w:w="587" w:type="dxa"/>
            <w:tcBorders>
              <w:top w:val="single" w:sz="4" w:space="0" w:color="auto"/>
              <w:left w:val="nil"/>
              <w:bottom w:val="single" w:sz="4" w:space="0" w:color="auto"/>
              <w:right w:val="single" w:sz="4" w:space="0" w:color="auto"/>
            </w:tcBorders>
            <w:shd w:val="clear" w:color="auto" w:fill="auto"/>
            <w:vAlign w:val="center"/>
          </w:tcPr>
          <w:p w14:paraId="6C3CDE3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7626E2B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3C02C470"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0977877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6</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4993893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视图设计器</w:t>
            </w:r>
          </w:p>
        </w:tc>
      </w:tr>
      <w:tr w:rsidR="0022665C" w14:paraId="236776C7"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5136D9E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6.1</w:t>
            </w:r>
          </w:p>
        </w:tc>
        <w:tc>
          <w:tcPr>
            <w:tcW w:w="2361" w:type="dxa"/>
            <w:tcBorders>
              <w:top w:val="single" w:sz="4" w:space="0" w:color="auto"/>
              <w:left w:val="nil"/>
              <w:bottom w:val="single" w:sz="4" w:space="0" w:color="auto"/>
              <w:right w:val="single" w:sz="4" w:space="0" w:color="auto"/>
            </w:tcBorders>
            <w:shd w:val="clear" w:color="auto" w:fill="auto"/>
            <w:vAlign w:val="center"/>
          </w:tcPr>
          <w:p w14:paraId="405224E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视图设计器</w:t>
            </w:r>
          </w:p>
        </w:tc>
        <w:tc>
          <w:tcPr>
            <w:tcW w:w="5387" w:type="dxa"/>
            <w:tcBorders>
              <w:top w:val="single" w:sz="4" w:space="0" w:color="auto"/>
              <w:left w:val="nil"/>
              <w:bottom w:val="single" w:sz="4" w:space="0" w:color="auto"/>
              <w:right w:val="single" w:sz="4" w:space="0" w:color="auto"/>
            </w:tcBorders>
            <w:shd w:val="clear" w:color="auto" w:fill="auto"/>
            <w:vAlign w:val="center"/>
          </w:tcPr>
          <w:p w14:paraId="2A5E44F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支持数据视图功能、多视图功能、多表联动展示。</w:t>
            </w:r>
          </w:p>
        </w:tc>
        <w:tc>
          <w:tcPr>
            <w:tcW w:w="587" w:type="dxa"/>
            <w:tcBorders>
              <w:top w:val="single" w:sz="4" w:space="0" w:color="auto"/>
              <w:left w:val="nil"/>
              <w:bottom w:val="single" w:sz="4" w:space="0" w:color="auto"/>
              <w:right w:val="single" w:sz="4" w:space="0" w:color="auto"/>
            </w:tcBorders>
            <w:shd w:val="clear" w:color="auto" w:fill="auto"/>
            <w:vAlign w:val="center"/>
          </w:tcPr>
          <w:p w14:paraId="7D87FD5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650F9F8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7CCCFC3A"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53447261"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7</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03E4D506"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报表设计器</w:t>
            </w:r>
          </w:p>
        </w:tc>
      </w:tr>
      <w:tr w:rsidR="0022665C" w14:paraId="7CA9710B"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5EF52DF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7.1</w:t>
            </w:r>
          </w:p>
        </w:tc>
        <w:tc>
          <w:tcPr>
            <w:tcW w:w="2361" w:type="dxa"/>
            <w:tcBorders>
              <w:top w:val="single" w:sz="4" w:space="0" w:color="auto"/>
              <w:left w:val="nil"/>
              <w:bottom w:val="single" w:sz="4" w:space="0" w:color="auto"/>
              <w:right w:val="single" w:sz="4" w:space="0" w:color="auto"/>
            </w:tcBorders>
            <w:shd w:val="clear" w:color="auto" w:fill="auto"/>
            <w:vAlign w:val="center"/>
          </w:tcPr>
          <w:p w14:paraId="7EF2128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报表设计器</w:t>
            </w:r>
          </w:p>
        </w:tc>
        <w:tc>
          <w:tcPr>
            <w:tcW w:w="5387" w:type="dxa"/>
            <w:tcBorders>
              <w:top w:val="single" w:sz="4" w:space="0" w:color="auto"/>
              <w:left w:val="nil"/>
              <w:bottom w:val="single" w:sz="4" w:space="0" w:color="auto"/>
              <w:right w:val="single" w:sz="4" w:space="0" w:color="auto"/>
            </w:tcBorders>
            <w:shd w:val="clear" w:color="auto" w:fill="auto"/>
            <w:vAlign w:val="center"/>
          </w:tcPr>
          <w:p w14:paraId="27BED503"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支持报表模版、报表设计可视化、数据台账、业务数据报表、报表集成。</w:t>
            </w:r>
          </w:p>
        </w:tc>
        <w:tc>
          <w:tcPr>
            <w:tcW w:w="587" w:type="dxa"/>
            <w:tcBorders>
              <w:top w:val="single" w:sz="4" w:space="0" w:color="auto"/>
              <w:left w:val="nil"/>
              <w:bottom w:val="single" w:sz="4" w:space="0" w:color="auto"/>
              <w:right w:val="single" w:sz="4" w:space="0" w:color="auto"/>
            </w:tcBorders>
            <w:shd w:val="clear" w:color="auto" w:fill="auto"/>
            <w:vAlign w:val="center"/>
          </w:tcPr>
          <w:p w14:paraId="5EFE9EA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6918EF8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4B24716D"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0B62A7E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8</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62CF70BA"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页面设计器</w:t>
            </w:r>
          </w:p>
        </w:tc>
      </w:tr>
      <w:tr w:rsidR="0022665C" w14:paraId="7AFAA01B"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502044F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8.1</w:t>
            </w:r>
          </w:p>
        </w:tc>
        <w:tc>
          <w:tcPr>
            <w:tcW w:w="2361" w:type="dxa"/>
            <w:tcBorders>
              <w:top w:val="single" w:sz="4" w:space="0" w:color="auto"/>
              <w:left w:val="nil"/>
              <w:bottom w:val="single" w:sz="4" w:space="0" w:color="auto"/>
              <w:right w:val="single" w:sz="4" w:space="0" w:color="auto"/>
            </w:tcBorders>
            <w:shd w:val="clear" w:color="auto" w:fill="auto"/>
            <w:vAlign w:val="center"/>
          </w:tcPr>
          <w:p w14:paraId="0103179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页面设计器</w:t>
            </w:r>
          </w:p>
        </w:tc>
        <w:tc>
          <w:tcPr>
            <w:tcW w:w="5387" w:type="dxa"/>
            <w:tcBorders>
              <w:top w:val="single" w:sz="4" w:space="0" w:color="auto"/>
              <w:left w:val="nil"/>
              <w:bottom w:val="single" w:sz="4" w:space="0" w:color="auto"/>
              <w:right w:val="single" w:sz="4" w:space="0" w:color="auto"/>
            </w:tcBorders>
            <w:shd w:val="clear" w:color="auto" w:fill="auto"/>
            <w:vAlign w:val="center"/>
          </w:tcPr>
          <w:p w14:paraId="6EADD858"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支持组件化页面设计器、页面单点登录、自定义页面组件、第三方页面组件支持。</w:t>
            </w:r>
          </w:p>
        </w:tc>
        <w:tc>
          <w:tcPr>
            <w:tcW w:w="587" w:type="dxa"/>
            <w:tcBorders>
              <w:top w:val="single" w:sz="4" w:space="0" w:color="auto"/>
              <w:left w:val="nil"/>
              <w:bottom w:val="single" w:sz="4" w:space="0" w:color="auto"/>
              <w:right w:val="single" w:sz="4" w:space="0" w:color="auto"/>
            </w:tcBorders>
            <w:shd w:val="clear" w:color="auto" w:fill="auto"/>
            <w:vAlign w:val="center"/>
          </w:tcPr>
          <w:p w14:paraId="1E51A0E8"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3C96A9B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6E620A95"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7BDD33F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9</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701EF32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打印设计器</w:t>
            </w:r>
          </w:p>
        </w:tc>
      </w:tr>
      <w:tr w:rsidR="0022665C" w14:paraId="46F3A862"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423CEEF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9.1</w:t>
            </w:r>
          </w:p>
        </w:tc>
        <w:tc>
          <w:tcPr>
            <w:tcW w:w="2361" w:type="dxa"/>
            <w:tcBorders>
              <w:top w:val="single" w:sz="4" w:space="0" w:color="auto"/>
              <w:left w:val="nil"/>
              <w:bottom w:val="single" w:sz="4" w:space="0" w:color="auto"/>
              <w:right w:val="single" w:sz="4" w:space="0" w:color="auto"/>
            </w:tcBorders>
            <w:shd w:val="clear" w:color="auto" w:fill="auto"/>
            <w:vAlign w:val="center"/>
          </w:tcPr>
          <w:p w14:paraId="36A9394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打印设计器</w:t>
            </w:r>
          </w:p>
        </w:tc>
        <w:tc>
          <w:tcPr>
            <w:tcW w:w="5387" w:type="dxa"/>
            <w:tcBorders>
              <w:top w:val="single" w:sz="4" w:space="0" w:color="auto"/>
              <w:left w:val="nil"/>
              <w:bottom w:val="single" w:sz="4" w:space="0" w:color="auto"/>
              <w:right w:val="single" w:sz="4" w:space="0" w:color="auto"/>
            </w:tcBorders>
            <w:shd w:val="clear" w:color="auto" w:fill="auto"/>
            <w:vAlign w:val="center"/>
          </w:tcPr>
          <w:p w14:paraId="15080D33"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支持打印模版、打印模版自定义、套打功能、批量打印二维码、多打印模版支持。</w:t>
            </w:r>
          </w:p>
        </w:tc>
        <w:tc>
          <w:tcPr>
            <w:tcW w:w="587" w:type="dxa"/>
            <w:tcBorders>
              <w:top w:val="single" w:sz="4" w:space="0" w:color="auto"/>
              <w:left w:val="nil"/>
              <w:bottom w:val="single" w:sz="4" w:space="0" w:color="auto"/>
              <w:right w:val="single" w:sz="4" w:space="0" w:color="auto"/>
            </w:tcBorders>
            <w:shd w:val="clear" w:color="auto" w:fill="auto"/>
            <w:vAlign w:val="center"/>
          </w:tcPr>
          <w:p w14:paraId="70EF294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220F7B2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72DEBD05"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0C8F9A10"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10</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7C15FED9"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业务集成模块</w:t>
            </w:r>
          </w:p>
        </w:tc>
      </w:tr>
      <w:tr w:rsidR="0022665C" w14:paraId="2EB4867B"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6606622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10.1</w:t>
            </w:r>
          </w:p>
        </w:tc>
        <w:tc>
          <w:tcPr>
            <w:tcW w:w="2361" w:type="dxa"/>
            <w:tcBorders>
              <w:top w:val="single" w:sz="4" w:space="0" w:color="auto"/>
              <w:left w:val="nil"/>
              <w:bottom w:val="single" w:sz="4" w:space="0" w:color="auto"/>
              <w:right w:val="single" w:sz="4" w:space="0" w:color="auto"/>
            </w:tcBorders>
            <w:shd w:val="clear" w:color="auto" w:fill="auto"/>
            <w:vAlign w:val="center"/>
          </w:tcPr>
          <w:p w14:paraId="1DEF427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业务集成模块</w:t>
            </w:r>
          </w:p>
        </w:tc>
        <w:tc>
          <w:tcPr>
            <w:tcW w:w="5387" w:type="dxa"/>
            <w:tcBorders>
              <w:top w:val="single" w:sz="4" w:space="0" w:color="auto"/>
              <w:left w:val="nil"/>
              <w:bottom w:val="single" w:sz="4" w:space="0" w:color="auto"/>
              <w:right w:val="single" w:sz="4" w:space="0" w:color="auto"/>
            </w:tcBorders>
            <w:shd w:val="clear" w:color="auto" w:fill="auto"/>
            <w:vAlign w:val="center"/>
          </w:tcPr>
          <w:p w14:paraId="7ED584BA"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支持集成适配器、自定义拓展适配器、跨系统调用、集成调试、第三方系统事件。</w:t>
            </w:r>
          </w:p>
        </w:tc>
        <w:tc>
          <w:tcPr>
            <w:tcW w:w="587" w:type="dxa"/>
            <w:tcBorders>
              <w:top w:val="single" w:sz="4" w:space="0" w:color="auto"/>
              <w:left w:val="nil"/>
              <w:bottom w:val="single" w:sz="4" w:space="0" w:color="auto"/>
              <w:right w:val="single" w:sz="4" w:space="0" w:color="auto"/>
            </w:tcBorders>
            <w:shd w:val="clear" w:color="auto" w:fill="auto"/>
            <w:vAlign w:val="center"/>
          </w:tcPr>
          <w:p w14:paraId="6051C7E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3C6FF91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67BFDCD0" w14:textId="77777777">
        <w:trPr>
          <w:trHeight w:val="297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5E97F85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10.2</w:t>
            </w:r>
          </w:p>
        </w:tc>
        <w:tc>
          <w:tcPr>
            <w:tcW w:w="2361" w:type="dxa"/>
            <w:tcBorders>
              <w:top w:val="single" w:sz="4" w:space="0" w:color="auto"/>
              <w:left w:val="nil"/>
              <w:bottom w:val="single" w:sz="4" w:space="0" w:color="auto"/>
              <w:right w:val="single" w:sz="4" w:space="0" w:color="auto"/>
            </w:tcBorders>
            <w:shd w:val="clear" w:color="auto" w:fill="auto"/>
            <w:vAlign w:val="center"/>
          </w:tcPr>
          <w:p w14:paraId="071E4140"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集成适配器</w:t>
            </w:r>
          </w:p>
        </w:tc>
        <w:tc>
          <w:tcPr>
            <w:tcW w:w="5387" w:type="dxa"/>
            <w:tcBorders>
              <w:top w:val="single" w:sz="4" w:space="0" w:color="auto"/>
              <w:left w:val="nil"/>
              <w:bottom w:val="single" w:sz="4" w:space="0" w:color="auto"/>
              <w:right w:val="single" w:sz="4" w:space="0" w:color="auto"/>
            </w:tcBorders>
            <w:shd w:val="clear" w:color="auto" w:fill="auto"/>
            <w:vAlign w:val="center"/>
          </w:tcPr>
          <w:p w14:paraId="2EB9F776"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系统提供可视化业务规则设计，支持可视化方式配置和编码方式配置。业务规则支持配置系统内部应用间、外部系统之间的数据交互规则、定时触发规则。数据交互规则支持多个动作节点、逻辑节点、通知节点配置，在配置可调用主表、子表数据进行数据传递；定时触发规则可设置生效时间、规则执行周期（每天、每周、每月、每年、自定义等），也可结合数据模型中字段设定触发动作，并可设定业务终止执行时间。并可查看业务规则被引用情况，提供业务执行详细日志。</w:t>
            </w:r>
          </w:p>
        </w:tc>
        <w:tc>
          <w:tcPr>
            <w:tcW w:w="587" w:type="dxa"/>
            <w:tcBorders>
              <w:top w:val="single" w:sz="4" w:space="0" w:color="auto"/>
              <w:left w:val="nil"/>
              <w:bottom w:val="single" w:sz="4" w:space="0" w:color="auto"/>
              <w:right w:val="single" w:sz="4" w:space="0" w:color="auto"/>
            </w:tcBorders>
            <w:shd w:val="clear" w:color="auto" w:fill="auto"/>
            <w:vAlign w:val="center"/>
          </w:tcPr>
          <w:p w14:paraId="2F574116"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4168ACF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5AE969D8"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4686FF0A"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11</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43F2F68D"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组织管理模块</w:t>
            </w:r>
          </w:p>
        </w:tc>
      </w:tr>
      <w:tr w:rsidR="0022665C" w14:paraId="5C74BD47"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478E6F84"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11.1</w:t>
            </w:r>
          </w:p>
        </w:tc>
        <w:tc>
          <w:tcPr>
            <w:tcW w:w="2361" w:type="dxa"/>
            <w:tcBorders>
              <w:top w:val="single" w:sz="4" w:space="0" w:color="auto"/>
              <w:left w:val="nil"/>
              <w:bottom w:val="single" w:sz="4" w:space="0" w:color="auto"/>
              <w:right w:val="single" w:sz="4" w:space="0" w:color="auto"/>
            </w:tcBorders>
            <w:shd w:val="clear" w:color="auto" w:fill="auto"/>
            <w:vAlign w:val="center"/>
          </w:tcPr>
          <w:p w14:paraId="3E58F1F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组织管理模块</w:t>
            </w:r>
          </w:p>
        </w:tc>
        <w:tc>
          <w:tcPr>
            <w:tcW w:w="5387" w:type="dxa"/>
            <w:tcBorders>
              <w:top w:val="single" w:sz="4" w:space="0" w:color="auto"/>
              <w:left w:val="nil"/>
              <w:bottom w:val="single" w:sz="4" w:space="0" w:color="auto"/>
              <w:right w:val="single" w:sz="4" w:space="0" w:color="auto"/>
            </w:tcBorders>
            <w:shd w:val="clear" w:color="auto" w:fill="auto"/>
            <w:vAlign w:val="center"/>
          </w:tcPr>
          <w:p w14:paraId="7546A65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支持组织维护功能、组织同步、岗位角色、多组织服务、工作交接。</w:t>
            </w:r>
          </w:p>
        </w:tc>
        <w:tc>
          <w:tcPr>
            <w:tcW w:w="587" w:type="dxa"/>
            <w:tcBorders>
              <w:top w:val="single" w:sz="4" w:space="0" w:color="auto"/>
              <w:left w:val="nil"/>
              <w:bottom w:val="single" w:sz="4" w:space="0" w:color="auto"/>
              <w:right w:val="single" w:sz="4" w:space="0" w:color="auto"/>
            </w:tcBorders>
            <w:shd w:val="clear" w:color="auto" w:fill="auto"/>
            <w:vAlign w:val="center"/>
          </w:tcPr>
          <w:p w14:paraId="3267E76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5725B3E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3594135A"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058E2463"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12</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3916AA67"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系统综合管理模块</w:t>
            </w:r>
          </w:p>
        </w:tc>
      </w:tr>
      <w:tr w:rsidR="0022665C" w14:paraId="0E78D287"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0CB726A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12.1</w:t>
            </w:r>
          </w:p>
        </w:tc>
        <w:tc>
          <w:tcPr>
            <w:tcW w:w="2361" w:type="dxa"/>
            <w:tcBorders>
              <w:top w:val="single" w:sz="4" w:space="0" w:color="auto"/>
              <w:left w:val="nil"/>
              <w:bottom w:val="single" w:sz="4" w:space="0" w:color="auto"/>
              <w:right w:val="single" w:sz="4" w:space="0" w:color="auto"/>
            </w:tcBorders>
            <w:shd w:val="clear" w:color="auto" w:fill="auto"/>
            <w:vAlign w:val="center"/>
          </w:tcPr>
          <w:p w14:paraId="6953C9E2"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系统综合管理模块</w:t>
            </w:r>
          </w:p>
        </w:tc>
        <w:tc>
          <w:tcPr>
            <w:tcW w:w="5387" w:type="dxa"/>
            <w:tcBorders>
              <w:top w:val="single" w:sz="4" w:space="0" w:color="auto"/>
              <w:left w:val="nil"/>
              <w:bottom w:val="single" w:sz="4" w:space="0" w:color="auto"/>
              <w:right w:val="single" w:sz="4" w:space="0" w:color="auto"/>
            </w:tcBorders>
            <w:shd w:val="clear" w:color="auto" w:fill="auto"/>
            <w:vAlign w:val="center"/>
          </w:tcPr>
          <w:p w14:paraId="4E74D9CA"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支持应用常规管理、应用维护管理、应用授权管理、第三方应用整合、系统使用分析。</w:t>
            </w:r>
          </w:p>
        </w:tc>
        <w:tc>
          <w:tcPr>
            <w:tcW w:w="587" w:type="dxa"/>
            <w:tcBorders>
              <w:top w:val="single" w:sz="4" w:space="0" w:color="auto"/>
              <w:left w:val="nil"/>
              <w:bottom w:val="single" w:sz="4" w:space="0" w:color="auto"/>
              <w:right w:val="single" w:sz="4" w:space="0" w:color="auto"/>
            </w:tcBorders>
            <w:shd w:val="clear" w:color="auto" w:fill="auto"/>
            <w:vAlign w:val="center"/>
          </w:tcPr>
          <w:p w14:paraId="73D3E96E"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23AF130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04BFE7A8"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4C312B42"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13</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15554EE2"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权限管理模块</w:t>
            </w:r>
          </w:p>
        </w:tc>
      </w:tr>
      <w:tr w:rsidR="0022665C" w14:paraId="49B1A5DA"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5126CA4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13.1</w:t>
            </w:r>
          </w:p>
        </w:tc>
        <w:tc>
          <w:tcPr>
            <w:tcW w:w="2361" w:type="dxa"/>
            <w:tcBorders>
              <w:top w:val="single" w:sz="4" w:space="0" w:color="auto"/>
              <w:left w:val="nil"/>
              <w:bottom w:val="single" w:sz="4" w:space="0" w:color="auto"/>
              <w:right w:val="single" w:sz="4" w:space="0" w:color="auto"/>
            </w:tcBorders>
            <w:shd w:val="clear" w:color="auto" w:fill="auto"/>
            <w:vAlign w:val="center"/>
          </w:tcPr>
          <w:p w14:paraId="582C0DF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权限管理模块</w:t>
            </w:r>
          </w:p>
        </w:tc>
        <w:tc>
          <w:tcPr>
            <w:tcW w:w="5387" w:type="dxa"/>
            <w:tcBorders>
              <w:top w:val="single" w:sz="4" w:space="0" w:color="auto"/>
              <w:left w:val="nil"/>
              <w:bottom w:val="single" w:sz="4" w:space="0" w:color="auto"/>
              <w:right w:val="single" w:sz="4" w:space="0" w:color="auto"/>
            </w:tcBorders>
            <w:shd w:val="clear" w:color="auto" w:fill="auto"/>
            <w:vAlign w:val="center"/>
          </w:tcPr>
          <w:p w14:paraId="2D20B1B2"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支持系统权限、应用权限、菜单权限、组织权限、表单权限、流程权限、数据权限、临时管理权限。</w:t>
            </w:r>
          </w:p>
        </w:tc>
        <w:tc>
          <w:tcPr>
            <w:tcW w:w="587" w:type="dxa"/>
            <w:tcBorders>
              <w:top w:val="single" w:sz="4" w:space="0" w:color="auto"/>
              <w:left w:val="nil"/>
              <w:bottom w:val="single" w:sz="4" w:space="0" w:color="auto"/>
              <w:right w:val="single" w:sz="4" w:space="0" w:color="auto"/>
            </w:tcBorders>
            <w:shd w:val="clear" w:color="auto" w:fill="auto"/>
            <w:vAlign w:val="center"/>
          </w:tcPr>
          <w:p w14:paraId="5A4DC1E5"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74144BE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0816E834"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3F34859F"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14</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5CF6EE0A"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应用中心</w:t>
            </w:r>
          </w:p>
        </w:tc>
      </w:tr>
      <w:tr w:rsidR="0022665C" w14:paraId="60889E4F"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71D6BBF3"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14.1</w:t>
            </w:r>
          </w:p>
        </w:tc>
        <w:tc>
          <w:tcPr>
            <w:tcW w:w="2361" w:type="dxa"/>
            <w:tcBorders>
              <w:top w:val="single" w:sz="4" w:space="0" w:color="auto"/>
              <w:left w:val="nil"/>
              <w:bottom w:val="single" w:sz="4" w:space="0" w:color="auto"/>
              <w:right w:val="single" w:sz="4" w:space="0" w:color="auto"/>
            </w:tcBorders>
            <w:shd w:val="clear" w:color="auto" w:fill="auto"/>
            <w:vAlign w:val="center"/>
          </w:tcPr>
          <w:p w14:paraId="55F547C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应用中心</w:t>
            </w:r>
          </w:p>
        </w:tc>
        <w:tc>
          <w:tcPr>
            <w:tcW w:w="5387" w:type="dxa"/>
            <w:tcBorders>
              <w:top w:val="single" w:sz="4" w:space="0" w:color="auto"/>
              <w:left w:val="nil"/>
              <w:bottom w:val="single" w:sz="4" w:space="0" w:color="auto"/>
              <w:right w:val="single" w:sz="4" w:space="0" w:color="auto"/>
            </w:tcBorders>
            <w:shd w:val="clear" w:color="auto" w:fill="auto"/>
            <w:vAlign w:val="center"/>
          </w:tcPr>
          <w:p w14:paraId="3DD033F4"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支持业务模型、报表应用、第三方应用接入、应用分组管理、应用设置、应用回收站。</w:t>
            </w:r>
          </w:p>
        </w:tc>
        <w:tc>
          <w:tcPr>
            <w:tcW w:w="587" w:type="dxa"/>
            <w:tcBorders>
              <w:top w:val="single" w:sz="4" w:space="0" w:color="auto"/>
              <w:left w:val="nil"/>
              <w:bottom w:val="single" w:sz="4" w:space="0" w:color="auto"/>
              <w:right w:val="single" w:sz="4" w:space="0" w:color="auto"/>
            </w:tcBorders>
            <w:shd w:val="clear" w:color="auto" w:fill="auto"/>
            <w:vAlign w:val="center"/>
          </w:tcPr>
          <w:p w14:paraId="7765DF1F"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1A2D8D0B"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5A1B2013"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742E2931"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15</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29EF3D9B"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应用模版库</w:t>
            </w:r>
          </w:p>
        </w:tc>
      </w:tr>
      <w:tr w:rsidR="0022665C" w14:paraId="1B75A508"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5DAA5EA7"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15.1</w:t>
            </w:r>
          </w:p>
        </w:tc>
        <w:tc>
          <w:tcPr>
            <w:tcW w:w="2361" w:type="dxa"/>
            <w:tcBorders>
              <w:top w:val="single" w:sz="4" w:space="0" w:color="auto"/>
              <w:left w:val="nil"/>
              <w:bottom w:val="single" w:sz="4" w:space="0" w:color="auto"/>
              <w:right w:val="single" w:sz="4" w:space="0" w:color="auto"/>
            </w:tcBorders>
            <w:shd w:val="clear" w:color="auto" w:fill="auto"/>
            <w:vAlign w:val="center"/>
          </w:tcPr>
          <w:p w14:paraId="6BFE202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应用模版库</w:t>
            </w:r>
          </w:p>
        </w:tc>
        <w:tc>
          <w:tcPr>
            <w:tcW w:w="5387" w:type="dxa"/>
            <w:tcBorders>
              <w:top w:val="single" w:sz="4" w:space="0" w:color="auto"/>
              <w:left w:val="nil"/>
              <w:bottom w:val="single" w:sz="4" w:space="0" w:color="auto"/>
              <w:right w:val="single" w:sz="4" w:space="0" w:color="auto"/>
            </w:tcBorders>
            <w:shd w:val="clear" w:color="auto" w:fill="auto"/>
            <w:vAlign w:val="center"/>
          </w:tcPr>
          <w:p w14:paraId="0F238EAC"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支持应用模版管理、应用模版库、应用资产库。</w:t>
            </w:r>
          </w:p>
        </w:tc>
        <w:tc>
          <w:tcPr>
            <w:tcW w:w="587" w:type="dxa"/>
            <w:tcBorders>
              <w:top w:val="single" w:sz="4" w:space="0" w:color="auto"/>
              <w:left w:val="nil"/>
              <w:bottom w:val="single" w:sz="4" w:space="0" w:color="auto"/>
              <w:right w:val="single" w:sz="4" w:space="0" w:color="auto"/>
            </w:tcBorders>
            <w:shd w:val="clear" w:color="auto" w:fill="auto"/>
            <w:vAlign w:val="center"/>
          </w:tcPr>
          <w:p w14:paraId="6225198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4452117C"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r w:rsidR="0022665C" w14:paraId="73B9D7C5" w14:textId="77777777">
        <w:trPr>
          <w:trHeight w:val="33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0B48D55D"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16</w:t>
            </w:r>
          </w:p>
        </w:tc>
        <w:tc>
          <w:tcPr>
            <w:tcW w:w="8882" w:type="dxa"/>
            <w:gridSpan w:val="4"/>
            <w:tcBorders>
              <w:top w:val="single" w:sz="4" w:space="0" w:color="auto"/>
              <w:left w:val="nil"/>
              <w:bottom w:val="single" w:sz="4" w:space="0" w:color="auto"/>
              <w:right w:val="single" w:sz="4" w:space="0" w:color="auto"/>
            </w:tcBorders>
            <w:shd w:val="clear" w:color="auto" w:fill="auto"/>
            <w:vAlign w:val="center"/>
          </w:tcPr>
          <w:p w14:paraId="042DFFC5" w14:textId="77777777" w:rsidR="0022665C" w:rsidRDefault="00000000">
            <w:pPr>
              <w:widowControl/>
              <w:spacing w:line="440" w:lineRule="exact"/>
              <w:jc w:val="center"/>
              <w:rPr>
                <w:rFonts w:ascii="微软雅黑" w:eastAsia="微软雅黑" w:hAnsi="微软雅黑" w:cs="微软雅黑" w:hint="eastAsia"/>
                <w:b/>
                <w:bCs/>
                <w:kern w:val="0"/>
                <w:sz w:val="21"/>
                <w:szCs w:val="21"/>
              </w:rPr>
            </w:pPr>
            <w:r>
              <w:rPr>
                <w:rFonts w:ascii="微软雅黑" w:eastAsia="微软雅黑" w:hAnsi="微软雅黑" w:cs="微软雅黑" w:hint="eastAsia"/>
                <w:b/>
                <w:bCs/>
                <w:kern w:val="0"/>
                <w:sz w:val="21"/>
                <w:szCs w:val="21"/>
              </w:rPr>
              <w:t>移动接入</w:t>
            </w:r>
          </w:p>
        </w:tc>
      </w:tr>
      <w:tr w:rsidR="0022665C" w14:paraId="307E63C2" w14:textId="77777777">
        <w:trPr>
          <w:trHeight w:val="660"/>
        </w:trPr>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3B978B0A"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16.1</w:t>
            </w:r>
          </w:p>
        </w:tc>
        <w:tc>
          <w:tcPr>
            <w:tcW w:w="2361" w:type="dxa"/>
            <w:tcBorders>
              <w:top w:val="single" w:sz="4" w:space="0" w:color="auto"/>
              <w:left w:val="nil"/>
              <w:bottom w:val="single" w:sz="4" w:space="0" w:color="auto"/>
              <w:right w:val="single" w:sz="4" w:space="0" w:color="auto"/>
            </w:tcBorders>
            <w:shd w:val="clear" w:color="auto" w:fill="auto"/>
            <w:vAlign w:val="center"/>
          </w:tcPr>
          <w:p w14:paraId="3FBDDCD1"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移动接入</w:t>
            </w:r>
          </w:p>
        </w:tc>
        <w:tc>
          <w:tcPr>
            <w:tcW w:w="5387" w:type="dxa"/>
            <w:tcBorders>
              <w:top w:val="single" w:sz="4" w:space="0" w:color="auto"/>
              <w:left w:val="nil"/>
              <w:bottom w:val="single" w:sz="4" w:space="0" w:color="auto"/>
              <w:right w:val="single" w:sz="4" w:space="0" w:color="auto"/>
            </w:tcBorders>
            <w:shd w:val="clear" w:color="auto" w:fill="auto"/>
            <w:vAlign w:val="center"/>
          </w:tcPr>
          <w:p w14:paraId="71CD2420" w14:textId="77777777" w:rsidR="0022665C" w:rsidRDefault="00000000">
            <w:pPr>
              <w:widowControl/>
              <w:spacing w:line="440" w:lineRule="exact"/>
              <w:jc w:val="left"/>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支持移动端扫码登陆、移动端组织同步、移动端单点登录、移动端消息待办。</w:t>
            </w:r>
          </w:p>
        </w:tc>
        <w:tc>
          <w:tcPr>
            <w:tcW w:w="587" w:type="dxa"/>
            <w:tcBorders>
              <w:top w:val="single" w:sz="4" w:space="0" w:color="auto"/>
              <w:left w:val="nil"/>
              <w:bottom w:val="single" w:sz="4" w:space="0" w:color="auto"/>
              <w:right w:val="single" w:sz="4" w:space="0" w:color="auto"/>
            </w:tcBorders>
            <w:shd w:val="clear" w:color="auto" w:fill="auto"/>
            <w:vAlign w:val="center"/>
          </w:tcPr>
          <w:p w14:paraId="65EFD689"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 套 </w:t>
            </w:r>
          </w:p>
        </w:tc>
        <w:tc>
          <w:tcPr>
            <w:tcW w:w="547" w:type="dxa"/>
            <w:tcBorders>
              <w:top w:val="single" w:sz="4" w:space="0" w:color="auto"/>
              <w:left w:val="nil"/>
              <w:bottom w:val="single" w:sz="4" w:space="0" w:color="auto"/>
              <w:right w:val="single" w:sz="4" w:space="0" w:color="auto"/>
            </w:tcBorders>
            <w:shd w:val="clear" w:color="auto" w:fill="auto"/>
            <w:vAlign w:val="center"/>
          </w:tcPr>
          <w:p w14:paraId="3D0629CD" w14:textId="77777777" w:rsidR="0022665C" w:rsidRDefault="00000000">
            <w:pPr>
              <w:widowControl/>
              <w:spacing w:line="440" w:lineRule="exact"/>
              <w:jc w:val="center"/>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 xml:space="preserve">1 </w:t>
            </w:r>
          </w:p>
        </w:tc>
      </w:tr>
    </w:tbl>
    <w:p w14:paraId="7BC5CB7C"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b/>
          <w:bCs/>
          <w:sz w:val="21"/>
          <w:szCs w:val="21"/>
        </w:rPr>
        <w:t>3</w:t>
      </w:r>
      <w:r>
        <w:rPr>
          <w:rFonts w:ascii="微软雅黑" w:eastAsia="微软雅黑" w:hAnsi="微软雅黑" w:cs="微软雅黑" w:hint="eastAsia"/>
          <w:b/>
          <w:bCs/>
          <w:sz w:val="21"/>
          <w:szCs w:val="21"/>
        </w:rPr>
        <w:t>.数据资源建设</w:t>
      </w:r>
    </w:p>
    <w:p w14:paraId="6E1C5539"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（1）数据治理</w:t>
      </w:r>
    </w:p>
    <w:p w14:paraId="4FFE4B3D" w14:textId="77777777" w:rsidR="0022665C" w:rsidRDefault="00000000">
      <w:pPr>
        <w:spacing w:line="440" w:lineRule="exact"/>
        <w:ind w:firstLineChars="200" w:firstLine="420"/>
        <w:rPr>
          <w:rFonts w:ascii="微软雅黑" w:eastAsia="微软雅黑" w:hAnsi="微软雅黑" w:hint="eastAsia"/>
          <w:sz w:val="21"/>
          <w:szCs w:val="21"/>
        </w:rPr>
      </w:pPr>
      <w:r>
        <w:rPr>
          <w:rFonts w:ascii="微软雅黑" w:eastAsia="微软雅黑" w:hAnsi="微软雅黑" w:cs="微软雅黑" w:hint="eastAsia"/>
          <w:sz w:val="21"/>
          <w:szCs w:val="21"/>
        </w:rPr>
        <w:t>包括需求梳理、数据探查、数据接口、数据汇聚</w:t>
      </w:r>
      <w:r>
        <w:rPr>
          <w:rFonts w:ascii="微软雅黑" w:eastAsia="微软雅黑" w:hAnsi="微软雅黑" w:cs="微软雅黑"/>
          <w:sz w:val="21"/>
          <w:szCs w:val="21"/>
        </w:rPr>
        <w:t>。</w:t>
      </w:r>
    </w:p>
    <w:p w14:paraId="699953C6"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（2）数据资源建库</w:t>
      </w:r>
    </w:p>
    <w:p w14:paraId="3A2FD35C" w14:textId="77777777" w:rsidR="0022665C" w:rsidRDefault="00000000">
      <w:pPr>
        <w:widowControl/>
        <w:spacing w:line="440" w:lineRule="exact"/>
        <w:ind w:firstLineChars="200" w:firstLine="420"/>
        <w:jc w:val="left"/>
        <w:textAlignment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业务库：</w:t>
      </w:r>
      <w:r>
        <w:rPr>
          <w:rFonts w:ascii="微软雅黑" w:eastAsia="微软雅黑" w:hAnsi="微软雅黑" w:cs="微软雅黑"/>
          <w:sz w:val="21"/>
          <w:szCs w:val="21"/>
        </w:rPr>
        <w:t>根据业务系统需要，建立市级和区县</w:t>
      </w:r>
      <w:r>
        <w:rPr>
          <w:rFonts w:ascii="微软雅黑" w:eastAsia="微软雅黑" w:hAnsi="微软雅黑" w:cs="微软雅黑" w:hint="eastAsia"/>
          <w:sz w:val="21"/>
          <w:szCs w:val="21"/>
        </w:rPr>
        <w:t>级</w:t>
      </w:r>
      <w:r>
        <w:rPr>
          <w:rFonts w:ascii="微软雅黑" w:eastAsia="微软雅黑" w:hAnsi="微软雅黑" w:cs="微软雅黑"/>
          <w:sz w:val="21"/>
          <w:szCs w:val="21"/>
        </w:rPr>
        <w:t>业务库，包括事件流转业务库、任务业务库、事件预案业务库、日常运行业务库。</w:t>
      </w:r>
    </w:p>
    <w:p w14:paraId="57CC30A2" w14:textId="77777777" w:rsidR="0022665C" w:rsidRDefault="00000000">
      <w:pPr>
        <w:spacing w:line="440" w:lineRule="exact"/>
        <w:ind w:firstLineChars="200" w:firstLine="420"/>
        <w:rPr>
          <w:rFonts w:ascii="微软雅黑" w:eastAsia="微软雅黑" w:hAnsi="微软雅黑" w:hint="eastAsia"/>
          <w:sz w:val="21"/>
          <w:szCs w:val="21"/>
        </w:rPr>
      </w:pPr>
      <w:r>
        <w:rPr>
          <w:rFonts w:ascii="微软雅黑" w:eastAsia="微软雅黑" w:hAnsi="微软雅黑" w:cs="微软雅黑"/>
          <w:sz w:val="21"/>
          <w:szCs w:val="21"/>
        </w:rPr>
        <w:t>专题库</w:t>
      </w:r>
      <w:r>
        <w:rPr>
          <w:rFonts w:ascii="微软雅黑" w:eastAsia="微软雅黑" w:hAnsi="微软雅黑" w:cs="微软雅黑" w:hint="eastAsia"/>
          <w:sz w:val="21"/>
          <w:szCs w:val="21"/>
        </w:rPr>
        <w:t>：</w:t>
      </w:r>
      <w:r>
        <w:rPr>
          <w:rFonts w:ascii="微软雅黑" w:eastAsia="微软雅黑" w:hAnsi="微软雅黑" w:cs="微软雅黑"/>
          <w:sz w:val="21"/>
          <w:szCs w:val="21"/>
        </w:rPr>
        <w:t>建立市级和区县</w:t>
      </w:r>
      <w:r>
        <w:rPr>
          <w:rFonts w:ascii="微软雅黑" w:eastAsia="微软雅黑" w:hAnsi="微软雅黑" w:cs="微软雅黑" w:hint="eastAsia"/>
          <w:sz w:val="21"/>
          <w:szCs w:val="21"/>
        </w:rPr>
        <w:t>级</w:t>
      </w:r>
      <w:r>
        <w:rPr>
          <w:rFonts w:ascii="微软雅黑" w:eastAsia="微软雅黑" w:hAnsi="微软雅黑" w:cs="微软雅黑"/>
          <w:sz w:val="21"/>
          <w:szCs w:val="21"/>
        </w:rPr>
        <w:t>专题库，包括城市运行体征指标专题库和事项权责专题库。</w:t>
      </w:r>
    </w:p>
    <w:p w14:paraId="4F72AA3E"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（3）数据资源建仓</w:t>
      </w:r>
    </w:p>
    <w:p w14:paraId="7CF9DBDE" w14:textId="77777777" w:rsidR="0022665C" w:rsidRDefault="00000000">
      <w:pPr>
        <w:spacing w:line="440" w:lineRule="exact"/>
        <w:ind w:firstLineChars="200" w:firstLine="420"/>
        <w:rPr>
          <w:rFonts w:ascii="微软雅黑" w:eastAsia="微软雅黑" w:hAnsi="微软雅黑" w:hint="eastAsia"/>
          <w:sz w:val="21"/>
          <w:szCs w:val="21"/>
        </w:rPr>
      </w:pPr>
      <w:r>
        <w:rPr>
          <w:rFonts w:ascii="微软雅黑" w:eastAsia="微软雅黑" w:hAnsi="微软雅黑" w:cs="微软雅黑"/>
          <w:sz w:val="21"/>
          <w:szCs w:val="21"/>
        </w:rPr>
        <w:t>包括</w:t>
      </w:r>
      <w:r>
        <w:rPr>
          <w:rFonts w:ascii="微软雅黑" w:eastAsia="微软雅黑" w:hAnsi="微软雅黑" w:cs="微软雅黑" w:hint="eastAsia"/>
          <w:sz w:val="21"/>
          <w:szCs w:val="21"/>
        </w:rPr>
        <w:t>模型设计、模型建设、模型测试验证、数据模型管理等</w:t>
      </w:r>
      <w:r>
        <w:rPr>
          <w:rFonts w:ascii="微软雅黑" w:eastAsia="微软雅黑" w:hAnsi="微软雅黑" w:cs="微软雅黑"/>
          <w:sz w:val="21"/>
          <w:szCs w:val="21"/>
        </w:rPr>
        <w:t>。</w:t>
      </w:r>
    </w:p>
    <w:p w14:paraId="1874E191"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b/>
          <w:bCs/>
          <w:sz w:val="21"/>
          <w:szCs w:val="21"/>
        </w:rPr>
        <w:t>4</w:t>
      </w:r>
      <w:r>
        <w:rPr>
          <w:rFonts w:ascii="微软雅黑" w:eastAsia="微软雅黑" w:hAnsi="微软雅黑" w:cs="微软雅黑" w:hint="eastAsia"/>
          <w:b/>
          <w:bCs/>
          <w:sz w:val="21"/>
          <w:szCs w:val="21"/>
        </w:rPr>
        <w:t>.开发期安全咨询服务</w:t>
      </w:r>
    </w:p>
    <w:p w14:paraId="56FE2C59" w14:textId="77777777" w:rsidR="0022665C" w:rsidRDefault="00000000">
      <w:pPr>
        <w:widowControl/>
        <w:adjustRightInd w:val="0"/>
        <w:snapToGrid w:val="0"/>
        <w:spacing w:line="440" w:lineRule="exact"/>
        <w:ind w:firstLineChars="200" w:firstLine="420"/>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对数字化城市运行和治理中心系统1.0进行体系化安全服务，开展</w:t>
      </w:r>
      <w:r>
        <w:rPr>
          <w:rFonts w:ascii="微软雅黑" w:eastAsia="微软雅黑" w:hAnsi="微软雅黑" w:cs="微软雅黑" w:hint="eastAsia"/>
          <w:kern w:val="0"/>
          <w:sz w:val="21"/>
          <w:szCs w:val="21"/>
          <w:lang w:val="zh-CN" w:bidi="ar"/>
        </w:rPr>
        <w:t>系统梳理服务、漏洞扫描服务、渗透测试服务、基线核查服务、安全加固服务、数据安全分类分级服务、应急响应服务、重要时期特殊保障、本地护网行动支撑</w:t>
      </w:r>
      <w:r>
        <w:rPr>
          <w:rFonts w:ascii="微软雅黑" w:eastAsia="微软雅黑" w:hAnsi="微软雅黑" w:cs="微软雅黑" w:hint="eastAsia"/>
          <w:kern w:val="0"/>
          <w:sz w:val="21"/>
          <w:szCs w:val="21"/>
          <w:lang w:bidi="ar"/>
        </w:rPr>
        <w:t>等工作，具体服务需求如下：</w:t>
      </w:r>
    </w:p>
    <w:p w14:paraId="6FF846C5" w14:textId="77777777" w:rsidR="0022665C" w:rsidRDefault="0022665C">
      <w:pPr>
        <w:widowControl/>
        <w:adjustRightInd w:val="0"/>
        <w:snapToGrid w:val="0"/>
        <w:spacing w:line="440" w:lineRule="exact"/>
        <w:ind w:firstLineChars="200" w:firstLine="420"/>
        <w:jc w:val="left"/>
        <w:rPr>
          <w:rFonts w:ascii="微软雅黑" w:eastAsia="微软雅黑" w:hAnsi="微软雅黑" w:cs="微软雅黑" w:hint="eastAsia"/>
          <w:kern w:val="0"/>
          <w:sz w:val="21"/>
          <w:szCs w:val="21"/>
          <w:lang w:bidi="ar"/>
        </w:rPr>
      </w:pPr>
    </w:p>
    <w:p w14:paraId="22BFD7BF" w14:textId="77777777" w:rsidR="0022665C" w:rsidRDefault="0022665C">
      <w:pPr>
        <w:widowControl/>
        <w:adjustRightInd w:val="0"/>
        <w:snapToGrid w:val="0"/>
        <w:spacing w:line="440" w:lineRule="exact"/>
        <w:ind w:firstLineChars="200" w:firstLine="420"/>
        <w:jc w:val="left"/>
        <w:rPr>
          <w:rFonts w:ascii="微软雅黑" w:eastAsia="微软雅黑" w:hAnsi="微软雅黑" w:cs="微软雅黑" w:hint="eastAsia"/>
          <w:kern w:val="0"/>
          <w:sz w:val="21"/>
          <w:szCs w:val="21"/>
          <w:lang w:bidi="ar"/>
        </w:rPr>
      </w:pPr>
    </w:p>
    <w:tbl>
      <w:tblPr>
        <w:tblStyle w:val="aff0"/>
        <w:tblW w:w="5000" w:type="pct"/>
        <w:jc w:val="center"/>
        <w:tblLayout w:type="fixed"/>
        <w:tblLook w:val="04A0" w:firstRow="1" w:lastRow="0" w:firstColumn="1" w:lastColumn="0" w:noHBand="0" w:noVBand="1"/>
      </w:tblPr>
      <w:tblGrid>
        <w:gridCol w:w="564"/>
        <w:gridCol w:w="1896"/>
        <w:gridCol w:w="5776"/>
        <w:gridCol w:w="571"/>
        <w:gridCol w:w="595"/>
      </w:tblGrid>
      <w:tr w:rsidR="0022665C" w14:paraId="73A2904F" w14:textId="77777777">
        <w:trPr>
          <w:trHeight w:val="637"/>
          <w:jc w:val="center"/>
        </w:trPr>
        <w:tc>
          <w:tcPr>
            <w:tcW w:w="9628" w:type="dxa"/>
            <w:gridSpan w:val="5"/>
            <w:vAlign w:val="center"/>
          </w:tcPr>
          <w:p w14:paraId="34C48EAF"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体系化安全服务</w:t>
            </w:r>
          </w:p>
        </w:tc>
      </w:tr>
      <w:tr w:rsidR="0022665C" w14:paraId="12E9F719" w14:textId="77777777">
        <w:trPr>
          <w:jc w:val="center"/>
        </w:trPr>
        <w:tc>
          <w:tcPr>
            <w:tcW w:w="573" w:type="dxa"/>
            <w:vAlign w:val="center"/>
          </w:tcPr>
          <w:p w14:paraId="3E872481"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c>
          <w:tcPr>
            <w:tcW w:w="1942" w:type="dxa"/>
            <w:vAlign w:val="center"/>
          </w:tcPr>
          <w:p w14:paraId="619041CD" w14:textId="77777777" w:rsidR="0022665C" w:rsidRDefault="00000000">
            <w:pPr>
              <w:widowControl/>
              <w:jc w:val="left"/>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系统梳理服务</w:t>
            </w:r>
          </w:p>
        </w:tc>
        <w:tc>
          <w:tcPr>
            <w:tcW w:w="5928" w:type="dxa"/>
          </w:tcPr>
          <w:p w14:paraId="7639469D" w14:textId="77777777" w:rsidR="0022665C" w:rsidRDefault="00000000">
            <w:pPr>
              <w:widowControl/>
              <w:jc w:val="left"/>
              <w:textAlignment w:val="top"/>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梳理内容包括但不限于：资产类型、IP、操作系统、提供服务的端口、对外提供的服务、服务所用的中间件等信息。对于在互联网上发布的资产，要求能挖掘子域名、子域名IP地址同网段的所有资产，以及其他关联性资产，要求最大化发现可能存在的孤岛资产和风险。针对无用服务、端口、闲置资产以及老旧资产等，及时完成资产更新，释放闲置资源。</w:t>
            </w:r>
          </w:p>
        </w:tc>
        <w:tc>
          <w:tcPr>
            <w:tcW w:w="580" w:type="dxa"/>
            <w:vAlign w:val="center"/>
          </w:tcPr>
          <w:p w14:paraId="0E56D984"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34E366C2"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r w:rsidR="0022665C" w14:paraId="0BA70385" w14:textId="77777777">
        <w:trPr>
          <w:jc w:val="center"/>
        </w:trPr>
        <w:tc>
          <w:tcPr>
            <w:tcW w:w="573" w:type="dxa"/>
            <w:vAlign w:val="center"/>
          </w:tcPr>
          <w:p w14:paraId="34B92CA9"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2</w:t>
            </w:r>
          </w:p>
        </w:tc>
        <w:tc>
          <w:tcPr>
            <w:tcW w:w="1942" w:type="dxa"/>
            <w:vAlign w:val="center"/>
          </w:tcPr>
          <w:p w14:paraId="3EF31A2C"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漏洞扫描服务</w:t>
            </w:r>
          </w:p>
        </w:tc>
        <w:tc>
          <w:tcPr>
            <w:tcW w:w="5928" w:type="dxa"/>
          </w:tcPr>
          <w:p w14:paraId="0F3FEE77" w14:textId="77777777" w:rsidR="0022665C" w:rsidRDefault="00000000">
            <w:pPr>
              <w:widowControl/>
              <w:jc w:val="left"/>
              <w:textAlignment w:val="top"/>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定期对指定的主机系统、应用前端等进行安全巡查，包括系统账号、恶意程序检测（病毒、木马等）、操作日志、端口开放情况、组件及服务安全状态检测。</w:t>
            </w:r>
          </w:p>
        </w:tc>
        <w:tc>
          <w:tcPr>
            <w:tcW w:w="580" w:type="dxa"/>
            <w:vAlign w:val="center"/>
          </w:tcPr>
          <w:p w14:paraId="22AC14F6"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3EACF104"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r w:rsidR="0022665C" w14:paraId="0518B01B" w14:textId="77777777">
        <w:trPr>
          <w:trHeight w:val="377"/>
          <w:jc w:val="center"/>
        </w:trPr>
        <w:tc>
          <w:tcPr>
            <w:tcW w:w="573" w:type="dxa"/>
            <w:vAlign w:val="center"/>
          </w:tcPr>
          <w:p w14:paraId="213EA95C"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3</w:t>
            </w:r>
          </w:p>
        </w:tc>
        <w:tc>
          <w:tcPr>
            <w:tcW w:w="1942" w:type="dxa"/>
            <w:vAlign w:val="center"/>
          </w:tcPr>
          <w:p w14:paraId="7BF3F00E"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渗透测试服务</w:t>
            </w:r>
          </w:p>
        </w:tc>
        <w:tc>
          <w:tcPr>
            <w:tcW w:w="5928" w:type="dxa"/>
          </w:tcPr>
          <w:p w14:paraId="584D4DC8" w14:textId="77777777" w:rsidR="0022665C" w:rsidRDefault="00000000">
            <w:pPr>
              <w:widowControl/>
              <w:jc w:val="left"/>
              <w:textAlignment w:val="top"/>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对网络中的关键信息系统进行全面深入的模拟黑客攻击测试，从而找出信息系统中存在的缺陷和漏洞；能够清晰了解目前业务系统的安全短板，以便采取必要的防范措施。然后以渗透测试结论为依据，对整个信息系统中的高危漏洞进行安全加固。经过上述一系列系统信息安全建设，能够在很大程度上提高信息系统的系统安全性和业务连续性，使之能够更好的为广大用户服务。</w:t>
            </w:r>
          </w:p>
        </w:tc>
        <w:tc>
          <w:tcPr>
            <w:tcW w:w="580" w:type="dxa"/>
            <w:vAlign w:val="center"/>
          </w:tcPr>
          <w:p w14:paraId="28ADE5DF"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32586B49"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r w:rsidR="0022665C" w14:paraId="237AB3EA" w14:textId="77777777">
        <w:trPr>
          <w:jc w:val="center"/>
        </w:trPr>
        <w:tc>
          <w:tcPr>
            <w:tcW w:w="573" w:type="dxa"/>
            <w:vAlign w:val="center"/>
          </w:tcPr>
          <w:p w14:paraId="1F28B475"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4</w:t>
            </w:r>
          </w:p>
        </w:tc>
        <w:tc>
          <w:tcPr>
            <w:tcW w:w="1942" w:type="dxa"/>
            <w:vAlign w:val="center"/>
          </w:tcPr>
          <w:p w14:paraId="779FAC44"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基线核查服务</w:t>
            </w:r>
          </w:p>
        </w:tc>
        <w:tc>
          <w:tcPr>
            <w:tcW w:w="5928" w:type="dxa"/>
          </w:tcPr>
          <w:p w14:paraId="43A09CA5" w14:textId="77777777" w:rsidR="0022665C" w:rsidRDefault="00000000">
            <w:pPr>
              <w:widowControl/>
              <w:textAlignment w:val="top"/>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根据相关标准或规范，对用户的硬件资产（如主机设备、网络设备、安全设备、办公终端等）和软件系统（如操作系统、数据库、中间件和常用服务协议等）进行安全配置的核查，识别出现有安全配置与普适性规范或行业规范的安全配置要求之间的差距，并提供相关优化建议。输出《基线核查报告》等。</w:t>
            </w:r>
          </w:p>
        </w:tc>
        <w:tc>
          <w:tcPr>
            <w:tcW w:w="580" w:type="dxa"/>
            <w:vAlign w:val="center"/>
          </w:tcPr>
          <w:p w14:paraId="03A64E2C"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1E119480"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r w:rsidR="0022665C" w14:paraId="299DFA64" w14:textId="77777777">
        <w:trPr>
          <w:jc w:val="center"/>
        </w:trPr>
        <w:tc>
          <w:tcPr>
            <w:tcW w:w="573" w:type="dxa"/>
            <w:vAlign w:val="center"/>
          </w:tcPr>
          <w:p w14:paraId="3554E170"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5</w:t>
            </w:r>
          </w:p>
        </w:tc>
        <w:tc>
          <w:tcPr>
            <w:tcW w:w="1942" w:type="dxa"/>
            <w:vAlign w:val="center"/>
          </w:tcPr>
          <w:p w14:paraId="14595FD4"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安全加固服务</w:t>
            </w:r>
          </w:p>
        </w:tc>
        <w:tc>
          <w:tcPr>
            <w:tcW w:w="5928" w:type="dxa"/>
          </w:tcPr>
          <w:p w14:paraId="43BE0F33" w14:textId="77777777" w:rsidR="0022665C" w:rsidRDefault="00000000">
            <w:pPr>
              <w:widowControl/>
              <w:textAlignment w:val="top"/>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通过工具扫描+人工分析的方式，对操作系统、数据库、网络设备、安全设备等进行漏洞排查，并针对发现的漏洞给出对应的修复加固措施。</w:t>
            </w:r>
          </w:p>
        </w:tc>
        <w:tc>
          <w:tcPr>
            <w:tcW w:w="580" w:type="dxa"/>
            <w:vAlign w:val="center"/>
          </w:tcPr>
          <w:p w14:paraId="6D59E06E"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2C03D20D"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r w:rsidR="0022665C" w14:paraId="60EE023B" w14:textId="77777777">
        <w:trPr>
          <w:jc w:val="center"/>
        </w:trPr>
        <w:tc>
          <w:tcPr>
            <w:tcW w:w="573" w:type="dxa"/>
            <w:vAlign w:val="center"/>
          </w:tcPr>
          <w:p w14:paraId="2C9B949D"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6</w:t>
            </w:r>
          </w:p>
        </w:tc>
        <w:tc>
          <w:tcPr>
            <w:tcW w:w="1942" w:type="dxa"/>
            <w:vAlign w:val="center"/>
          </w:tcPr>
          <w:p w14:paraId="67A10D0B"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数据安全分类分级服务</w:t>
            </w:r>
          </w:p>
        </w:tc>
        <w:tc>
          <w:tcPr>
            <w:tcW w:w="5928" w:type="dxa"/>
          </w:tcPr>
          <w:p w14:paraId="287E602D" w14:textId="77777777" w:rsidR="0022665C" w:rsidRDefault="00000000">
            <w:pPr>
              <w:widowControl/>
              <w:textAlignment w:val="top"/>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按照网络安全法、数据安全法等法律法规要求和项目需求针对数据字典开展分类分级，确定重要数据保护目录，对列入目录的数据进行重点保护，并输出报告。</w:t>
            </w:r>
          </w:p>
        </w:tc>
        <w:tc>
          <w:tcPr>
            <w:tcW w:w="580" w:type="dxa"/>
            <w:vAlign w:val="center"/>
          </w:tcPr>
          <w:p w14:paraId="133C5785"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0CF65380"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r w:rsidR="0022665C" w14:paraId="03804E8B" w14:textId="77777777">
        <w:trPr>
          <w:jc w:val="center"/>
        </w:trPr>
        <w:tc>
          <w:tcPr>
            <w:tcW w:w="573" w:type="dxa"/>
            <w:vAlign w:val="center"/>
          </w:tcPr>
          <w:p w14:paraId="25D87C22"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7</w:t>
            </w:r>
          </w:p>
        </w:tc>
        <w:tc>
          <w:tcPr>
            <w:tcW w:w="1942" w:type="dxa"/>
            <w:vAlign w:val="center"/>
          </w:tcPr>
          <w:p w14:paraId="7D1EF100"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应急响应服务</w:t>
            </w:r>
          </w:p>
        </w:tc>
        <w:tc>
          <w:tcPr>
            <w:tcW w:w="5928" w:type="dxa"/>
          </w:tcPr>
          <w:p w14:paraId="2710863C" w14:textId="77777777" w:rsidR="0022665C" w:rsidRDefault="00000000">
            <w:pPr>
              <w:widowControl/>
              <w:textAlignment w:val="top"/>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在遇到网络安全攻击时，第一时间予以响应，协助单位采取紧急措施、将业务恢复到正常服务状态，并调查、分析、研判安全事件发生的原因。</w:t>
            </w:r>
          </w:p>
        </w:tc>
        <w:tc>
          <w:tcPr>
            <w:tcW w:w="580" w:type="dxa"/>
            <w:vAlign w:val="center"/>
          </w:tcPr>
          <w:p w14:paraId="3FFA81BD"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0850169E"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r w:rsidR="0022665C" w14:paraId="4E72FAA7" w14:textId="77777777">
        <w:trPr>
          <w:jc w:val="center"/>
        </w:trPr>
        <w:tc>
          <w:tcPr>
            <w:tcW w:w="573" w:type="dxa"/>
            <w:vAlign w:val="center"/>
          </w:tcPr>
          <w:p w14:paraId="6C51E53D"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8</w:t>
            </w:r>
          </w:p>
        </w:tc>
        <w:tc>
          <w:tcPr>
            <w:tcW w:w="1942" w:type="dxa"/>
            <w:vAlign w:val="center"/>
          </w:tcPr>
          <w:p w14:paraId="1CD43E96"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重要时期特殊保障</w:t>
            </w:r>
          </w:p>
        </w:tc>
        <w:tc>
          <w:tcPr>
            <w:tcW w:w="5928" w:type="dxa"/>
            <w:vAlign w:val="center"/>
          </w:tcPr>
          <w:p w14:paraId="1571C9DA" w14:textId="77777777" w:rsidR="0022665C" w:rsidRDefault="00000000">
            <w:pPr>
              <w:widowControl/>
              <w:jc w:val="left"/>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在春节、五一、国庆、重要政府活动及会议间提供组织架构设计、安全评估、指导修复、积极防御、实时监测、安全值守、响应处置等一系列安全服务。</w:t>
            </w:r>
          </w:p>
        </w:tc>
        <w:tc>
          <w:tcPr>
            <w:tcW w:w="580" w:type="dxa"/>
            <w:vAlign w:val="center"/>
          </w:tcPr>
          <w:p w14:paraId="49595D01"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0451BAAC"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r w:rsidR="0022665C" w14:paraId="7DDBAF96" w14:textId="77777777">
        <w:trPr>
          <w:trHeight w:val="1256"/>
          <w:jc w:val="center"/>
        </w:trPr>
        <w:tc>
          <w:tcPr>
            <w:tcW w:w="573" w:type="dxa"/>
            <w:vAlign w:val="center"/>
          </w:tcPr>
          <w:p w14:paraId="2C06ABEA"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9</w:t>
            </w:r>
          </w:p>
        </w:tc>
        <w:tc>
          <w:tcPr>
            <w:tcW w:w="1942" w:type="dxa"/>
            <w:vAlign w:val="center"/>
          </w:tcPr>
          <w:p w14:paraId="16FE0248"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本地护网行动支撑服务</w:t>
            </w:r>
          </w:p>
        </w:tc>
        <w:tc>
          <w:tcPr>
            <w:tcW w:w="5928" w:type="dxa"/>
            <w:vAlign w:val="center"/>
          </w:tcPr>
          <w:p w14:paraId="29AA4891" w14:textId="77777777" w:rsidR="0022665C" w:rsidRDefault="00000000">
            <w:pPr>
              <w:widowControl/>
              <w:jc w:val="left"/>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护网行动间提供组织架构设计、安全评估、指导修复、积极防御、实时监测、安全值守、响应处置等一系列安全服务。</w:t>
            </w:r>
          </w:p>
        </w:tc>
        <w:tc>
          <w:tcPr>
            <w:tcW w:w="580" w:type="dxa"/>
            <w:vAlign w:val="center"/>
          </w:tcPr>
          <w:p w14:paraId="04AEB64D"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项</w:t>
            </w:r>
          </w:p>
        </w:tc>
        <w:tc>
          <w:tcPr>
            <w:tcW w:w="605" w:type="dxa"/>
            <w:vAlign w:val="center"/>
          </w:tcPr>
          <w:p w14:paraId="3D94505C" w14:textId="77777777" w:rsidR="0022665C" w:rsidRDefault="00000000">
            <w:pPr>
              <w:widowControl/>
              <w:jc w:val="center"/>
              <w:textAlignment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r>
    </w:tbl>
    <w:p w14:paraId="6FEC0959"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b/>
          <w:bCs/>
          <w:sz w:val="21"/>
          <w:szCs w:val="21"/>
        </w:rPr>
        <w:t>5</w:t>
      </w:r>
      <w:r>
        <w:rPr>
          <w:rFonts w:ascii="微软雅黑" w:eastAsia="微软雅黑" w:hAnsi="微软雅黑" w:cs="微软雅黑" w:hint="eastAsia"/>
          <w:b/>
          <w:bCs/>
          <w:sz w:val="21"/>
          <w:szCs w:val="21"/>
        </w:rPr>
        <w:t>.集成实施</w:t>
      </w:r>
    </w:p>
    <w:p w14:paraId="4D2F7EE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包括提供</w:t>
      </w:r>
      <w:r>
        <w:rPr>
          <w:rFonts w:ascii="微软雅黑" w:eastAsia="微软雅黑" w:hAnsi="微软雅黑" w:cs="微软雅黑"/>
          <w:sz w:val="21"/>
          <w:szCs w:val="21"/>
          <w:shd w:val="clear" w:color="auto" w:fill="FFFFFF"/>
        </w:rPr>
        <w:t>实现应用开发目标而开展的硬件、成品软件、能力组件、数据、应用系统等之间的集成实施</w:t>
      </w:r>
      <w:r>
        <w:rPr>
          <w:rFonts w:ascii="微软雅黑" w:eastAsia="微软雅黑" w:hAnsi="微软雅黑" w:cs="微软雅黑" w:hint="eastAsia"/>
          <w:sz w:val="21"/>
          <w:szCs w:val="21"/>
          <w:shd w:val="clear" w:color="auto" w:fill="FFFFFF"/>
        </w:rPr>
        <w:t>的服务。</w:t>
      </w:r>
    </w:p>
    <w:p w14:paraId="322499EC"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b/>
          <w:bCs/>
          <w:sz w:val="21"/>
          <w:szCs w:val="21"/>
        </w:rPr>
        <w:t>6</w:t>
      </w:r>
      <w:r>
        <w:rPr>
          <w:rFonts w:ascii="微软雅黑" w:eastAsia="微软雅黑" w:hAnsi="微软雅黑" w:cs="微软雅黑" w:hint="eastAsia"/>
          <w:b/>
          <w:bCs/>
          <w:sz w:val="21"/>
          <w:szCs w:val="21"/>
        </w:rPr>
        <w:t>.标准规范编制</w:t>
      </w:r>
    </w:p>
    <w:p w14:paraId="4131AE14" w14:textId="77777777" w:rsidR="0022665C" w:rsidRDefault="00000000">
      <w:pPr>
        <w:autoSpaceDE w:val="0"/>
        <w:autoSpaceDN w:val="0"/>
        <w:adjustRightInd w:val="0"/>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根据国家及重庆相关文件要求，为了规范城市运行和治理中心事件的响应、处理和反馈过程，着力围绕平台标准化建设过程中包含的信息安全、事件流转标准流程等编制相关标准及规范，形成了包括总体规范、技术类规范、安全类规范、管理类规范的33个标准规范。具体需求如下表所示：</w:t>
      </w:r>
    </w:p>
    <w:tbl>
      <w:tblPr>
        <w:tblStyle w:val="aff0"/>
        <w:tblW w:w="4993" w:type="pct"/>
        <w:jc w:val="center"/>
        <w:tblLook w:val="04A0" w:firstRow="1" w:lastRow="0" w:firstColumn="1" w:lastColumn="0" w:noHBand="0" w:noVBand="1"/>
      </w:tblPr>
      <w:tblGrid>
        <w:gridCol w:w="732"/>
        <w:gridCol w:w="1713"/>
        <w:gridCol w:w="5774"/>
        <w:gridCol w:w="588"/>
        <w:gridCol w:w="582"/>
      </w:tblGrid>
      <w:tr w:rsidR="0022665C" w14:paraId="2C8F5DA1" w14:textId="77777777">
        <w:trPr>
          <w:trHeight w:val="567"/>
          <w:tblHeader/>
          <w:jc w:val="center"/>
        </w:trPr>
        <w:tc>
          <w:tcPr>
            <w:tcW w:w="742" w:type="dxa"/>
            <w:vAlign w:val="center"/>
          </w:tcPr>
          <w:p w14:paraId="29F009B6" w14:textId="77777777" w:rsidR="0022665C" w:rsidRDefault="00000000">
            <w:pPr>
              <w:spacing w:line="440" w:lineRule="exac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序号</w:t>
            </w:r>
          </w:p>
        </w:tc>
        <w:tc>
          <w:tcPr>
            <w:tcW w:w="1753" w:type="dxa"/>
            <w:vAlign w:val="center"/>
          </w:tcPr>
          <w:p w14:paraId="78B159CA" w14:textId="77777777" w:rsidR="0022665C" w:rsidRDefault="00000000">
            <w:pPr>
              <w:spacing w:line="440" w:lineRule="exac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标准规范制度型</w:t>
            </w:r>
          </w:p>
        </w:tc>
        <w:tc>
          <w:tcPr>
            <w:tcW w:w="5939" w:type="dxa"/>
            <w:vAlign w:val="center"/>
          </w:tcPr>
          <w:p w14:paraId="46CE8FF2" w14:textId="77777777" w:rsidR="0022665C" w:rsidRDefault="00000000">
            <w:pPr>
              <w:spacing w:line="440" w:lineRule="exac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名称</w:t>
            </w:r>
          </w:p>
        </w:tc>
        <w:tc>
          <w:tcPr>
            <w:tcW w:w="593" w:type="dxa"/>
            <w:vAlign w:val="center"/>
          </w:tcPr>
          <w:p w14:paraId="7D75109A" w14:textId="77777777" w:rsidR="0022665C" w:rsidRDefault="0022665C">
            <w:pPr>
              <w:spacing w:line="440" w:lineRule="exact"/>
              <w:jc w:val="center"/>
              <w:rPr>
                <w:rFonts w:ascii="微软雅黑" w:eastAsia="微软雅黑" w:hAnsi="微软雅黑" w:cs="微软雅黑" w:hint="eastAsia"/>
                <w:b/>
                <w:bCs/>
                <w:sz w:val="21"/>
                <w:szCs w:val="21"/>
              </w:rPr>
            </w:pPr>
          </w:p>
        </w:tc>
        <w:tc>
          <w:tcPr>
            <w:tcW w:w="589" w:type="dxa"/>
            <w:vAlign w:val="center"/>
          </w:tcPr>
          <w:p w14:paraId="0F0ACE0C" w14:textId="77777777" w:rsidR="0022665C" w:rsidRDefault="0022665C">
            <w:pPr>
              <w:spacing w:line="440" w:lineRule="exact"/>
              <w:jc w:val="center"/>
              <w:rPr>
                <w:rFonts w:ascii="微软雅黑" w:eastAsia="微软雅黑" w:hAnsi="微软雅黑" w:cs="微软雅黑" w:hint="eastAsia"/>
                <w:b/>
                <w:bCs/>
                <w:sz w:val="21"/>
                <w:szCs w:val="21"/>
              </w:rPr>
            </w:pPr>
          </w:p>
        </w:tc>
      </w:tr>
      <w:tr w:rsidR="0022665C" w14:paraId="1C2C5A36" w14:textId="77777777">
        <w:trPr>
          <w:trHeight w:val="567"/>
          <w:jc w:val="center"/>
        </w:trPr>
        <w:tc>
          <w:tcPr>
            <w:tcW w:w="742" w:type="dxa"/>
            <w:vAlign w:val="center"/>
          </w:tcPr>
          <w:p w14:paraId="1307B6F8"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2A02F487"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总体规范</w:t>
            </w:r>
          </w:p>
        </w:tc>
        <w:tc>
          <w:tcPr>
            <w:tcW w:w="5939" w:type="dxa"/>
            <w:vAlign w:val="center"/>
          </w:tcPr>
          <w:p w14:paraId="4E6BADDE"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标准化指南</w:t>
            </w:r>
          </w:p>
        </w:tc>
        <w:tc>
          <w:tcPr>
            <w:tcW w:w="593" w:type="dxa"/>
            <w:vAlign w:val="center"/>
          </w:tcPr>
          <w:p w14:paraId="13F9FAC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7816C26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0CE3A40D" w14:textId="77777777">
        <w:trPr>
          <w:trHeight w:val="567"/>
          <w:jc w:val="center"/>
        </w:trPr>
        <w:tc>
          <w:tcPr>
            <w:tcW w:w="742" w:type="dxa"/>
            <w:vAlign w:val="center"/>
          </w:tcPr>
          <w:p w14:paraId="6C8D8209"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0BC28ADC"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4155C98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大屏开发及接入规范</w:t>
            </w:r>
          </w:p>
        </w:tc>
        <w:tc>
          <w:tcPr>
            <w:tcW w:w="593" w:type="dxa"/>
            <w:vAlign w:val="center"/>
          </w:tcPr>
          <w:p w14:paraId="13201A7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51A39DA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5434A6D5" w14:textId="77777777">
        <w:trPr>
          <w:trHeight w:val="567"/>
          <w:jc w:val="center"/>
        </w:trPr>
        <w:tc>
          <w:tcPr>
            <w:tcW w:w="742" w:type="dxa"/>
            <w:vAlign w:val="center"/>
          </w:tcPr>
          <w:p w14:paraId="141949C9"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29306D4D"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41DDEF2D"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技术对接指南</w:t>
            </w:r>
          </w:p>
        </w:tc>
        <w:tc>
          <w:tcPr>
            <w:tcW w:w="593" w:type="dxa"/>
            <w:vAlign w:val="center"/>
          </w:tcPr>
          <w:p w14:paraId="7A2D60C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39E65416"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18170E32" w14:textId="77777777">
        <w:trPr>
          <w:trHeight w:val="567"/>
          <w:jc w:val="center"/>
        </w:trPr>
        <w:tc>
          <w:tcPr>
            <w:tcW w:w="742" w:type="dxa"/>
            <w:vAlign w:val="center"/>
          </w:tcPr>
          <w:p w14:paraId="02F1273A"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787A9A7C"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12856CA8"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业务协同网关开发及接入规范</w:t>
            </w:r>
          </w:p>
        </w:tc>
        <w:tc>
          <w:tcPr>
            <w:tcW w:w="593" w:type="dxa"/>
            <w:vAlign w:val="center"/>
          </w:tcPr>
          <w:p w14:paraId="23A618E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36167F1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17574BE4" w14:textId="77777777">
        <w:trPr>
          <w:trHeight w:val="567"/>
          <w:jc w:val="center"/>
        </w:trPr>
        <w:tc>
          <w:tcPr>
            <w:tcW w:w="742" w:type="dxa"/>
            <w:vAlign w:val="center"/>
          </w:tcPr>
          <w:p w14:paraId="47885068"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5381811E"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2A4345D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事项中心开发及接入规范</w:t>
            </w:r>
          </w:p>
        </w:tc>
        <w:tc>
          <w:tcPr>
            <w:tcW w:w="593" w:type="dxa"/>
            <w:vAlign w:val="center"/>
          </w:tcPr>
          <w:p w14:paraId="71DB6986"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096C35C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084F842E" w14:textId="77777777">
        <w:trPr>
          <w:trHeight w:val="567"/>
          <w:jc w:val="center"/>
        </w:trPr>
        <w:tc>
          <w:tcPr>
            <w:tcW w:w="742" w:type="dxa"/>
            <w:vAlign w:val="center"/>
          </w:tcPr>
          <w:p w14:paraId="0B071956"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2A63B1DD"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4DAB38E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任务中心开发及接入规范</w:t>
            </w:r>
          </w:p>
        </w:tc>
        <w:tc>
          <w:tcPr>
            <w:tcW w:w="593" w:type="dxa"/>
            <w:vAlign w:val="center"/>
          </w:tcPr>
          <w:p w14:paraId="3CB3236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3F6106D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6A88F3D3" w14:textId="77777777">
        <w:trPr>
          <w:trHeight w:val="567"/>
          <w:jc w:val="center"/>
        </w:trPr>
        <w:tc>
          <w:tcPr>
            <w:tcW w:w="742" w:type="dxa"/>
            <w:vAlign w:val="center"/>
          </w:tcPr>
          <w:p w14:paraId="6D8E7CAD"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0E51D9E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75206F4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事件中心开发及接入规范</w:t>
            </w:r>
          </w:p>
        </w:tc>
        <w:tc>
          <w:tcPr>
            <w:tcW w:w="593" w:type="dxa"/>
            <w:vAlign w:val="center"/>
          </w:tcPr>
          <w:p w14:paraId="78597E6F"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1C54568C"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38011A75" w14:textId="77777777">
        <w:trPr>
          <w:trHeight w:val="567"/>
          <w:jc w:val="center"/>
        </w:trPr>
        <w:tc>
          <w:tcPr>
            <w:tcW w:w="742" w:type="dxa"/>
            <w:vAlign w:val="center"/>
          </w:tcPr>
          <w:p w14:paraId="22FEE3FC"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277CF777"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002E5D9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智能预案开发及接入规范</w:t>
            </w:r>
          </w:p>
        </w:tc>
        <w:tc>
          <w:tcPr>
            <w:tcW w:w="593" w:type="dxa"/>
            <w:vAlign w:val="center"/>
          </w:tcPr>
          <w:p w14:paraId="0DC7FBD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4C140B4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108B016C" w14:textId="77777777">
        <w:trPr>
          <w:trHeight w:val="567"/>
          <w:jc w:val="center"/>
        </w:trPr>
        <w:tc>
          <w:tcPr>
            <w:tcW w:w="742" w:type="dxa"/>
            <w:vAlign w:val="center"/>
          </w:tcPr>
          <w:p w14:paraId="1D60D5FE"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26FE42CC"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0355579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指标管理开发及接入规范</w:t>
            </w:r>
          </w:p>
        </w:tc>
        <w:tc>
          <w:tcPr>
            <w:tcW w:w="593" w:type="dxa"/>
            <w:vAlign w:val="center"/>
          </w:tcPr>
          <w:p w14:paraId="7C0D05C7"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1AA394A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2B137878" w14:textId="77777777">
        <w:trPr>
          <w:trHeight w:val="567"/>
          <w:jc w:val="center"/>
        </w:trPr>
        <w:tc>
          <w:tcPr>
            <w:tcW w:w="742" w:type="dxa"/>
            <w:vAlign w:val="center"/>
          </w:tcPr>
          <w:p w14:paraId="3FC24089"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1A32995E"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22327D9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低代码开发及接入规范</w:t>
            </w:r>
          </w:p>
        </w:tc>
        <w:tc>
          <w:tcPr>
            <w:tcW w:w="593" w:type="dxa"/>
            <w:vAlign w:val="center"/>
          </w:tcPr>
          <w:p w14:paraId="06081C6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0035CD5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43FFEFFE" w14:textId="77777777">
        <w:trPr>
          <w:trHeight w:val="567"/>
          <w:jc w:val="center"/>
        </w:trPr>
        <w:tc>
          <w:tcPr>
            <w:tcW w:w="742" w:type="dxa"/>
            <w:vAlign w:val="center"/>
          </w:tcPr>
          <w:p w14:paraId="250162B9"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41350DE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2B622CD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考核管理开发及接入规范</w:t>
            </w:r>
          </w:p>
        </w:tc>
        <w:tc>
          <w:tcPr>
            <w:tcW w:w="593" w:type="dxa"/>
            <w:vAlign w:val="center"/>
          </w:tcPr>
          <w:p w14:paraId="705EB4C7"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7C4A287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7D4AE01C" w14:textId="77777777">
        <w:trPr>
          <w:trHeight w:val="567"/>
          <w:jc w:val="center"/>
        </w:trPr>
        <w:tc>
          <w:tcPr>
            <w:tcW w:w="742" w:type="dxa"/>
            <w:vAlign w:val="center"/>
          </w:tcPr>
          <w:p w14:paraId="4CA6C01C"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3424CE0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技术类规范</w:t>
            </w:r>
          </w:p>
        </w:tc>
        <w:tc>
          <w:tcPr>
            <w:tcW w:w="5939" w:type="dxa"/>
            <w:vAlign w:val="center"/>
          </w:tcPr>
          <w:p w14:paraId="0300FD46"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多跨事件配置操作指南</w:t>
            </w:r>
          </w:p>
        </w:tc>
        <w:tc>
          <w:tcPr>
            <w:tcW w:w="593" w:type="dxa"/>
            <w:vAlign w:val="center"/>
          </w:tcPr>
          <w:p w14:paraId="58011D47"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3DCD052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3076A3A7" w14:textId="77777777">
        <w:trPr>
          <w:trHeight w:val="567"/>
          <w:jc w:val="center"/>
        </w:trPr>
        <w:tc>
          <w:tcPr>
            <w:tcW w:w="742" w:type="dxa"/>
            <w:vAlign w:val="center"/>
          </w:tcPr>
          <w:p w14:paraId="3C848E8E"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445DA52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579541D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系统账户安全管理办法</w:t>
            </w:r>
          </w:p>
        </w:tc>
        <w:tc>
          <w:tcPr>
            <w:tcW w:w="593" w:type="dxa"/>
            <w:vAlign w:val="center"/>
          </w:tcPr>
          <w:p w14:paraId="140B1D2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0969874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52F73F0C" w14:textId="77777777">
        <w:trPr>
          <w:trHeight w:val="567"/>
          <w:jc w:val="center"/>
        </w:trPr>
        <w:tc>
          <w:tcPr>
            <w:tcW w:w="742" w:type="dxa"/>
            <w:vAlign w:val="center"/>
          </w:tcPr>
          <w:p w14:paraId="52710BBE"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55DC5C3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01CA0B1D"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信息安全事件管理制度</w:t>
            </w:r>
          </w:p>
        </w:tc>
        <w:tc>
          <w:tcPr>
            <w:tcW w:w="593" w:type="dxa"/>
            <w:vAlign w:val="center"/>
          </w:tcPr>
          <w:p w14:paraId="3F19114E"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3FB9B8E7"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0E16B028" w14:textId="77777777">
        <w:trPr>
          <w:trHeight w:val="567"/>
          <w:jc w:val="center"/>
        </w:trPr>
        <w:tc>
          <w:tcPr>
            <w:tcW w:w="742" w:type="dxa"/>
            <w:vAlign w:val="center"/>
          </w:tcPr>
          <w:p w14:paraId="723A93FC"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4C4C289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20BD7D5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外包运维服务商管理制度</w:t>
            </w:r>
          </w:p>
        </w:tc>
        <w:tc>
          <w:tcPr>
            <w:tcW w:w="593" w:type="dxa"/>
            <w:vAlign w:val="center"/>
          </w:tcPr>
          <w:p w14:paraId="207D9E8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0E37CF4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6D5B975B" w14:textId="77777777">
        <w:trPr>
          <w:trHeight w:val="567"/>
          <w:jc w:val="center"/>
        </w:trPr>
        <w:tc>
          <w:tcPr>
            <w:tcW w:w="742" w:type="dxa"/>
            <w:vAlign w:val="center"/>
          </w:tcPr>
          <w:p w14:paraId="1770A335"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5731F65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32C3D8B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信息系统网络和系统安全管理制度</w:t>
            </w:r>
          </w:p>
        </w:tc>
        <w:tc>
          <w:tcPr>
            <w:tcW w:w="593" w:type="dxa"/>
            <w:vAlign w:val="center"/>
          </w:tcPr>
          <w:p w14:paraId="1E5CF8E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6FC4D63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0E9F061B" w14:textId="77777777">
        <w:trPr>
          <w:trHeight w:val="567"/>
          <w:jc w:val="center"/>
        </w:trPr>
        <w:tc>
          <w:tcPr>
            <w:tcW w:w="742" w:type="dxa"/>
            <w:vAlign w:val="center"/>
          </w:tcPr>
          <w:p w14:paraId="6DCA7D0F"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0C2CA42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27A2682D"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密码使用管理制度</w:t>
            </w:r>
          </w:p>
        </w:tc>
        <w:tc>
          <w:tcPr>
            <w:tcW w:w="593" w:type="dxa"/>
            <w:vAlign w:val="center"/>
          </w:tcPr>
          <w:p w14:paraId="1C83516E"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74D79C9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3705EC71" w14:textId="77777777">
        <w:trPr>
          <w:trHeight w:val="567"/>
          <w:jc w:val="center"/>
        </w:trPr>
        <w:tc>
          <w:tcPr>
            <w:tcW w:w="742" w:type="dxa"/>
            <w:vAlign w:val="center"/>
          </w:tcPr>
          <w:p w14:paraId="05B9E499"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47836A3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178DC4E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应急预案管理制度</w:t>
            </w:r>
          </w:p>
        </w:tc>
        <w:tc>
          <w:tcPr>
            <w:tcW w:w="593" w:type="dxa"/>
            <w:vAlign w:val="center"/>
          </w:tcPr>
          <w:p w14:paraId="34C68E8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4055CF7E"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7F7E2118" w14:textId="77777777">
        <w:trPr>
          <w:trHeight w:val="567"/>
          <w:jc w:val="center"/>
        </w:trPr>
        <w:tc>
          <w:tcPr>
            <w:tcW w:w="742" w:type="dxa"/>
            <w:vAlign w:val="center"/>
          </w:tcPr>
          <w:p w14:paraId="794C7274"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04CFD05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337776C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安全审核和安全检查管理办法</w:t>
            </w:r>
          </w:p>
        </w:tc>
        <w:tc>
          <w:tcPr>
            <w:tcW w:w="593" w:type="dxa"/>
            <w:vAlign w:val="center"/>
          </w:tcPr>
          <w:p w14:paraId="0914E22D"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0135941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72197673" w14:textId="77777777">
        <w:trPr>
          <w:trHeight w:val="567"/>
          <w:jc w:val="center"/>
        </w:trPr>
        <w:tc>
          <w:tcPr>
            <w:tcW w:w="742" w:type="dxa"/>
            <w:vAlign w:val="center"/>
          </w:tcPr>
          <w:p w14:paraId="24C89C85"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3F2950A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2F07718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信息系统授权管理制度</w:t>
            </w:r>
          </w:p>
        </w:tc>
        <w:tc>
          <w:tcPr>
            <w:tcW w:w="593" w:type="dxa"/>
            <w:vAlign w:val="center"/>
          </w:tcPr>
          <w:p w14:paraId="4B9A381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7667404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679A349B" w14:textId="77777777">
        <w:trPr>
          <w:trHeight w:val="567"/>
          <w:jc w:val="center"/>
        </w:trPr>
        <w:tc>
          <w:tcPr>
            <w:tcW w:w="742" w:type="dxa"/>
            <w:vAlign w:val="center"/>
          </w:tcPr>
          <w:p w14:paraId="55E1FC75"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599EF6E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427228E6"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信息系统安全操作规定</w:t>
            </w:r>
          </w:p>
        </w:tc>
        <w:tc>
          <w:tcPr>
            <w:tcW w:w="593" w:type="dxa"/>
            <w:vAlign w:val="center"/>
          </w:tcPr>
          <w:p w14:paraId="3097CF8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4B005A6F"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5C311780" w14:textId="77777777">
        <w:trPr>
          <w:trHeight w:val="567"/>
          <w:jc w:val="center"/>
        </w:trPr>
        <w:tc>
          <w:tcPr>
            <w:tcW w:w="742" w:type="dxa"/>
            <w:vAlign w:val="center"/>
          </w:tcPr>
          <w:p w14:paraId="21E107CF"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50F5607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7081E3D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网络信息安全教育和培训制度</w:t>
            </w:r>
          </w:p>
        </w:tc>
        <w:tc>
          <w:tcPr>
            <w:tcW w:w="593" w:type="dxa"/>
            <w:vAlign w:val="center"/>
          </w:tcPr>
          <w:p w14:paraId="420F3EB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5DE603E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55B8EB5F" w14:textId="77777777">
        <w:trPr>
          <w:trHeight w:val="567"/>
          <w:jc w:val="center"/>
        </w:trPr>
        <w:tc>
          <w:tcPr>
            <w:tcW w:w="742" w:type="dxa"/>
            <w:vAlign w:val="center"/>
          </w:tcPr>
          <w:p w14:paraId="625F6E20"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0210BFA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5795577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信息系统介质安全管理制度</w:t>
            </w:r>
          </w:p>
        </w:tc>
        <w:tc>
          <w:tcPr>
            <w:tcW w:w="593" w:type="dxa"/>
            <w:vAlign w:val="center"/>
          </w:tcPr>
          <w:p w14:paraId="1748418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4A05A5DD"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525A5C8B" w14:textId="77777777">
        <w:trPr>
          <w:trHeight w:val="567"/>
          <w:jc w:val="center"/>
        </w:trPr>
        <w:tc>
          <w:tcPr>
            <w:tcW w:w="742" w:type="dxa"/>
            <w:vAlign w:val="center"/>
          </w:tcPr>
          <w:p w14:paraId="322A7E6B"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23409FB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013C2F5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信息系统变更管理制度</w:t>
            </w:r>
          </w:p>
        </w:tc>
        <w:tc>
          <w:tcPr>
            <w:tcW w:w="593" w:type="dxa"/>
            <w:vAlign w:val="center"/>
          </w:tcPr>
          <w:p w14:paraId="7CEFBEE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147B1ED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145CB880" w14:textId="77777777">
        <w:trPr>
          <w:trHeight w:val="567"/>
          <w:jc w:val="center"/>
        </w:trPr>
        <w:tc>
          <w:tcPr>
            <w:tcW w:w="742" w:type="dxa"/>
            <w:vAlign w:val="center"/>
          </w:tcPr>
          <w:p w14:paraId="6F9D1CCE"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796702A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7FDD5EDC"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数据备份与恢复制度</w:t>
            </w:r>
          </w:p>
        </w:tc>
        <w:tc>
          <w:tcPr>
            <w:tcW w:w="593" w:type="dxa"/>
            <w:vAlign w:val="center"/>
          </w:tcPr>
          <w:p w14:paraId="6A8D25E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43F475EC"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7A692856" w14:textId="77777777">
        <w:trPr>
          <w:trHeight w:val="567"/>
          <w:jc w:val="center"/>
        </w:trPr>
        <w:tc>
          <w:tcPr>
            <w:tcW w:w="742" w:type="dxa"/>
            <w:vAlign w:val="center"/>
          </w:tcPr>
          <w:p w14:paraId="441ED134"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6D4C9566"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2E0C5E4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操作系统安全配置指南</w:t>
            </w:r>
          </w:p>
        </w:tc>
        <w:tc>
          <w:tcPr>
            <w:tcW w:w="593" w:type="dxa"/>
            <w:vAlign w:val="center"/>
          </w:tcPr>
          <w:p w14:paraId="2B894C6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4D45660F"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2C9880A3" w14:textId="77777777">
        <w:trPr>
          <w:trHeight w:val="567"/>
          <w:jc w:val="center"/>
        </w:trPr>
        <w:tc>
          <w:tcPr>
            <w:tcW w:w="742" w:type="dxa"/>
            <w:vAlign w:val="center"/>
          </w:tcPr>
          <w:p w14:paraId="2F3D51BF"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5E75D27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691732E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人员管理规定</w:t>
            </w:r>
          </w:p>
        </w:tc>
        <w:tc>
          <w:tcPr>
            <w:tcW w:w="593" w:type="dxa"/>
            <w:vAlign w:val="center"/>
          </w:tcPr>
          <w:p w14:paraId="3A07EF47"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5D73553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43504D35" w14:textId="77777777">
        <w:trPr>
          <w:trHeight w:val="567"/>
          <w:jc w:val="center"/>
        </w:trPr>
        <w:tc>
          <w:tcPr>
            <w:tcW w:w="742" w:type="dxa"/>
            <w:vAlign w:val="center"/>
          </w:tcPr>
          <w:p w14:paraId="718BB166"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17217B23"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7A7DA28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第三方人员安全管理制度</w:t>
            </w:r>
          </w:p>
        </w:tc>
        <w:tc>
          <w:tcPr>
            <w:tcW w:w="593" w:type="dxa"/>
            <w:vAlign w:val="center"/>
          </w:tcPr>
          <w:p w14:paraId="40D1642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3BFBBB6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557A8228" w14:textId="77777777">
        <w:trPr>
          <w:trHeight w:val="567"/>
          <w:jc w:val="center"/>
        </w:trPr>
        <w:tc>
          <w:tcPr>
            <w:tcW w:w="742" w:type="dxa"/>
            <w:vAlign w:val="center"/>
          </w:tcPr>
          <w:p w14:paraId="7AAEC357"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1D88DFB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26FA18D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防病毒管理办法</w:t>
            </w:r>
          </w:p>
        </w:tc>
        <w:tc>
          <w:tcPr>
            <w:tcW w:w="593" w:type="dxa"/>
            <w:vAlign w:val="center"/>
          </w:tcPr>
          <w:p w14:paraId="6396AE0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269FA49A"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0F11C5A6" w14:textId="77777777">
        <w:trPr>
          <w:trHeight w:val="567"/>
          <w:jc w:val="center"/>
        </w:trPr>
        <w:tc>
          <w:tcPr>
            <w:tcW w:w="742" w:type="dxa"/>
            <w:vAlign w:val="center"/>
          </w:tcPr>
          <w:p w14:paraId="57E02D0B"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4E2CEA2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2C1F5D8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安全编码标准规范</w:t>
            </w:r>
          </w:p>
        </w:tc>
        <w:tc>
          <w:tcPr>
            <w:tcW w:w="593" w:type="dxa"/>
            <w:vAlign w:val="center"/>
          </w:tcPr>
          <w:p w14:paraId="4A5457A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20B3069F"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058716EC" w14:textId="77777777">
        <w:trPr>
          <w:trHeight w:val="567"/>
          <w:jc w:val="center"/>
        </w:trPr>
        <w:tc>
          <w:tcPr>
            <w:tcW w:w="742" w:type="dxa"/>
            <w:vAlign w:val="center"/>
          </w:tcPr>
          <w:p w14:paraId="37D83A83"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7D4978D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06AD0A34"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密码应用标准规范</w:t>
            </w:r>
          </w:p>
        </w:tc>
        <w:tc>
          <w:tcPr>
            <w:tcW w:w="593" w:type="dxa"/>
            <w:vAlign w:val="center"/>
          </w:tcPr>
          <w:p w14:paraId="376D0E6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6DCDA6D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70F842F7" w14:textId="77777777">
        <w:trPr>
          <w:trHeight w:val="567"/>
          <w:jc w:val="center"/>
        </w:trPr>
        <w:tc>
          <w:tcPr>
            <w:tcW w:w="742" w:type="dxa"/>
            <w:vAlign w:val="center"/>
          </w:tcPr>
          <w:p w14:paraId="2A871CD9"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1C6A84C1"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安全类规范</w:t>
            </w:r>
          </w:p>
        </w:tc>
        <w:tc>
          <w:tcPr>
            <w:tcW w:w="5939" w:type="dxa"/>
            <w:vAlign w:val="center"/>
          </w:tcPr>
          <w:p w14:paraId="3D73A46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管理员敏感操作规范</w:t>
            </w:r>
          </w:p>
        </w:tc>
        <w:tc>
          <w:tcPr>
            <w:tcW w:w="593" w:type="dxa"/>
            <w:vAlign w:val="center"/>
          </w:tcPr>
          <w:p w14:paraId="1875BC9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77CF90F0"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r w:rsidR="0022665C" w14:paraId="612C1F78" w14:textId="77777777">
        <w:trPr>
          <w:trHeight w:val="567"/>
          <w:jc w:val="center"/>
        </w:trPr>
        <w:tc>
          <w:tcPr>
            <w:tcW w:w="742" w:type="dxa"/>
            <w:vAlign w:val="center"/>
          </w:tcPr>
          <w:p w14:paraId="7F2E00A0" w14:textId="77777777" w:rsidR="0022665C" w:rsidRDefault="0022665C">
            <w:pPr>
              <w:numPr>
                <w:ilvl w:val="0"/>
                <w:numId w:val="5"/>
              </w:numPr>
              <w:spacing w:line="440" w:lineRule="exact"/>
              <w:ind w:left="0" w:firstLine="0"/>
              <w:jc w:val="center"/>
              <w:rPr>
                <w:rFonts w:ascii="微软雅黑" w:eastAsia="微软雅黑" w:hAnsi="微软雅黑" w:cs="微软雅黑" w:hint="eastAsia"/>
                <w:sz w:val="21"/>
                <w:szCs w:val="21"/>
              </w:rPr>
            </w:pPr>
          </w:p>
        </w:tc>
        <w:tc>
          <w:tcPr>
            <w:tcW w:w="1753" w:type="dxa"/>
            <w:vAlign w:val="center"/>
          </w:tcPr>
          <w:p w14:paraId="22DB06EB"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管理类规范</w:t>
            </w:r>
          </w:p>
        </w:tc>
        <w:tc>
          <w:tcPr>
            <w:tcW w:w="5939" w:type="dxa"/>
            <w:vAlign w:val="center"/>
          </w:tcPr>
          <w:p w14:paraId="47A52489"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重庆市三级数字化城市运行和治理中心 应用接入三级中心的工作流程</w:t>
            </w:r>
          </w:p>
        </w:tc>
        <w:tc>
          <w:tcPr>
            <w:tcW w:w="593" w:type="dxa"/>
            <w:vAlign w:val="center"/>
          </w:tcPr>
          <w:p w14:paraId="25777A55"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项</w:t>
            </w:r>
          </w:p>
        </w:tc>
        <w:tc>
          <w:tcPr>
            <w:tcW w:w="589" w:type="dxa"/>
            <w:vAlign w:val="center"/>
          </w:tcPr>
          <w:p w14:paraId="739CCB32" w14:textId="77777777" w:rsidR="0022665C" w:rsidRDefault="00000000">
            <w:pPr>
              <w:spacing w:line="44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r>
    </w:tbl>
    <w:p w14:paraId="74C0246B"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7.开发期其他情形</w:t>
      </w:r>
    </w:p>
    <w:p w14:paraId="0A42174F"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（1）市级治理中心保障和服务</w:t>
      </w:r>
    </w:p>
    <w:p w14:paraId="2484DDAF"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为保障市级事件贯通和支撑日常运行，提供业务专家服务、系统使用技术支撑、重点活动保障服务。</w:t>
      </w:r>
    </w:p>
    <w:p w14:paraId="18394DF4" w14:textId="77777777" w:rsidR="0022665C" w:rsidRDefault="00000000">
      <w:pPr>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（2）区县治理中心保障和服务</w:t>
      </w:r>
    </w:p>
    <w:p w14:paraId="6970592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为保障区县治理中心常态化运行、事件贯通和支撑日常运行，提供指导推进区县治理中心建设、指导区县治理中心常态化运行、重点活动保障服务。</w:t>
      </w:r>
    </w:p>
    <w:p w14:paraId="16188935"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b/>
          <w:bCs/>
          <w:sz w:val="21"/>
          <w:szCs w:val="21"/>
        </w:rPr>
        <w:t>（3）事件贯通支撑服务</w:t>
      </w:r>
    </w:p>
    <w:p w14:paraId="4654628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为市级部门提供32个事件贯通支撑服务，为区县提供41个事件贯通支撑服务。</w:t>
      </w:r>
    </w:p>
    <w:p w14:paraId="2E550906"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8.应用开发设计</w:t>
      </w:r>
    </w:p>
    <w:p w14:paraId="0F47EA3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根据数字重庆建设有关要求，结合项目实际需求，完成深化应用开发设计方案。</w:t>
      </w:r>
    </w:p>
    <w:p w14:paraId="54F050C9"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9. 网络安全等级保护测评</w:t>
      </w:r>
    </w:p>
    <w:p w14:paraId="225819F2"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由投标人委托独立第三方测评单位，提供等级保护测评服务。</w:t>
      </w:r>
    </w:p>
    <w:p w14:paraId="28E8141C"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（1）按照信息安全等级保护定级标准和工作要求，开展信息系统安全等级保护系统梳理和定级工作，协助完成定级报告，并协助完成到公安机关的备案工作。</w:t>
      </w:r>
    </w:p>
    <w:p w14:paraId="6A583CAD"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 xml:space="preserve">（2）按照国家等级保护相关标准和要求，开展信息系统安全等级保护测评工作，找出系统现状与相关标准要求之间的差距，遵循适度原则，提出切实可行的整改建议，完成等级保护测评报告。 </w:t>
      </w:r>
    </w:p>
    <w:p w14:paraId="561CB620"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10.密码应用安全性评估</w:t>
      </w:r>
    </w:p>
    <w:p w14:paraId="2683DE71"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由投标人委托独立第三方测评单位，提供密码应用安全评估服务。</w:t>
      </w:r>
    </w:p>
    <w:p w14:paraId="2BF94F59"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（1）密码应用安全服务构建了一个具可用、高安全的商用密码服务能力，满足了第三级密码应用基本要求，为应用系统提供了密码技术支撑服务。</w:t>
      </w:r>
    </w:p>
    <w:p w14:paraId="1665C8F3" w14:textId="77777777" w:rsidR="0022665C" w:rsidRDefault="00000000">
      <w:pPr>
        <w:spacing w:line="44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（2）为业务使用单位提供可靠的密码服务，确保使用单位业务应用稳定、可靠运行，满足数字化城市运行和治理中心数据安全和业务安全需求，有效提升数字化城市运行和治理中心密码安全防护水平。</w:t>
      </w:r>
    </w:p>
    <w:p w14:paraId="59DACDEB" w14:textId="77777777" w:rsidR="0022665C" w:rsidRDefault="00000000">
      <w:pPr>
        <w:spacing w:line="440" w:lineRule="exact"/>
        <w:ind w:firstLineChars="200" w:firstLine="420"/>
        <w:outlineLvl w:val="2"/>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11.其他技术要求</w:t>
      </w:r>
    </w:p>
    <w:p w14:paraId="3A1AA0B0" w14:textId="77777777" w:rsidR="0022665C" w:rsidRDefault="00000000">
      <w:pPr>
        <w:widowControl/>
        <w:spacing w:line="440" w:lineRule="exact"/>
        <w:ind w:firstLineChars="200" w:firstLine="420"/>
        <w:outlineLvl w:val="3"/>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lang w:bidi="ar"/>
        </w:rPr>
        <w:t>（1）与周边应用的关系说明</w:t>
      </w:r>
    </w:p>
    <w:p w14:paraId="2A93647E"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投标人需清晰阐述与周边应用关系说明方案，包含但不限于重庆市一体化智能化公共数据平台—公共数据资源管理系统1.0版、渝快政、渝快办1.0版、六大系统、乡镇（街道）一体化治理智治平台。</w:t>
      </w:r>
    </w:p>
    <w:p w14:paraId="73830678" w14:textId="77777777" w:rsidR="0022665C" w:rsidRDefault="00000000">
      <w:pPr>
        <w:spacing w:line="440" w:lineRule="exact"/>
        <w:ind w:firstLineChars="200" w:firstLine="420"/>
        <w:rPr>
          <w:rFonts w:ascii="微软雅黑" w:eastAsia="微软雅黑" w:hAnsi="微软雅黑" w:cs="微软雅黑" w:hint="eastAsia"/>
          <w:b/>
          <w:bCs/>
          <w:sz w:val="21"/>
          <w:szCs w:val="21"/>
          <w:lang w:bidi="ar"/>
        </w:rPr>
      </w:pPr>
      <w:r>
        <w:rPr>
          <w:rFonts w:ascii="微软雅黑" w:eastAsia="微软雅黑" w:hAnsi="微软雅黑" w:cs="微软雅黑" w:hint="eastAsia"/>
          <w:b/>
          <w:bCs/>
          <w:sz w:val="21"/>
          <w:szCs w:val="21"/>
        </w:rPr>
        <w:t>※投标人开发的系统须在签订合同后三个月内完成与渝快政、重庆市一体化智能化公共数据平台—公共数据资源管理系统1.0版、乡镇（街道）</w:t>
      </w:r>
      <w:r>
        <w:rPr>
          <w:rFonts w:ascii="微软雅黑" w:eastAsia="微软雅黑" w:hAnsi="微软雅黑" w:cs="微软雅黑" w:hint="eastAsia"/>
          <w:b/>
          <w:bCs/>
          <w:sz w:val="21"/>
          <w:szCs w:val="21"/>
          <w:lang w:bidi="ar"/>
        </w:rPr>
        <w:t>一体化治理智治平台</w:t>
      </w:r>
      <w:r>
        <w:rPr>
          <w:rFonts w:ascii="微软雅黑" w:eastAsia="微软雅黑" w:hAnsi="微软雅黑" w:cs="微软雅黑" w:hint="eastAsia"/>
          <w:b/>
          <w:bCs/>
          <w:sz w:val="21"/>
          <w:szCs w:val="21"/>
        </w:rPr>
        <w:t>对接。投标时需提供承诺函。如中标后无法实现对接，采购人有权取消其中标资格。</w:t>
      </w:r>
    </w:p>
    <w:p w14:paraId="049C1B7D" w14:textId="77777777" w:rsidR="0022665C" w:rsidRDefault="00000000">
      <w:pPr>
        <w:widowControl/>
        <w:spacing w:line="440" w:lineRule="exact"/>
        <w:ind w:firstLineChars="200" w:firstLine="420"/>
        <w:outlineLvl w:val="3"/>
        <w:rPr>
          <w:rFonts w:ascii="微软雅黑" w:eastAsia="微软雅黑" w:hAnsi="微软雅黑" w:cs="微软雅黑" w:hint="eastAsia"/>
          <w:b/>
          <w:bCs/>
          <w:sz w:val="21"/>
          <w:szCs w:val="21"/>
          <w:lang w:bidi="ar"/>
        </w:rPr>
      </w:pPr>
      <w:r>
        <w:rPr>
          <w:rFonts w:ascii="微软雅黑" w:eastAsia="微软雅黑" w:hAnsi="微软雅黑" w:cs="微软雅黑" w:hint="eastAsia"/>
          <w:b/>
          <w:bCs/>
          <w:sz w:val="21"/>
          <w:szCs w:val="21"/>
          <w:lang w:bidi="ar"/>
        </w:rPr>
        <w:t>（2）总体要求</w:t>
      </w:r>
    </w:p>
    <w:p w14:paraId="73D7417B" w14:textId="77777777" w:rsidR="0022665C" w:rsidRDefault="00000000">
      <w:pPr>
        <w:spacing w:line="440" w:lineRule="exact"/>
        <w:ind w:firstLineChars="200" w:firstLine="420"/>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包括但不限于总体架构、业务架构、数据架构、网络架构等，需满足采购人及数字重庆建设“1361”总体架构要求。</w:t>
      </w:r>
    </w:p>
    <w:bookmarkEnd w:id="55"/>
    <w:bookmarkEnd w:id="56"/>
    <w:bookmarkEnd w:id="57"/>
    <w:bookmarkEnd w:id="58"/>
    <w:bookmarkEnd w:id="59"/>
    <w:bookmarkEnd w:id="60"/>
    <w:bookmarkEnd w:id="61"/>
    <w:p w14:paraId="23F7F8EE" w14:textId="77777777" w:rsidR="0022665C" w:rsidRDefault="00000000">
      <w:pPr>
        <w:rPr>
          <w:rFonts w:ascii="微软雅黑" w:eastAsia="微软雅黑" w:hAnsi="微软雅黑" w:hint="eastAsia"/>
          <w:b/>
          <w:sz w:val="36"/>
          <w:szCs w:val="36"/>
        </w:rPr>
      </w:pPr>
      <w:r>
        <w:rPr>
          <w:rFonts w:ascii="微软雅黑" w:eastAsia="微软雅黑" w:hAnsi="微软雅黑"/>
          <w:b/>
          <w:sz w:val="36"/>
          <w:szCs w:val="36"/>
        </w:rPr>
        <w:br w:type="page"/>
      </w:r>
    </w:p>
    <w:p w14:paraId="7B159601" w14:textId="77777777" w:rsidR="0022665C" w:rsidRDefault="00000000">
      <w:pPr>
        <w:pStyle w:val="1"/>
        <w:numPr>
          <w:ilvl w:val="0"/>
          <w:numId w:val="3"/>
        </w:numPr>
        <w:tabs>
          <w:tab w:val="left" w:pos="1530"/>
          <w:tab w:val="left" w:pos="3940"/>
          <w:tab w:val="left" w:pos="8052"/>
        </w:tabs>
        <w:spacing w:beforeLines="0" w:afterLines="0" w:line="480" w:lineRule="auto"/>
        <w:ind w:left="0" w:firstLine="0"/>
        <w:rPr>
          <w:rFonts w:ascii="微软雅黑" w:eastAsia="微软雅黑" w:hAnsi="微软雅黑" w:hint="eastAsia"/>
          <w:b/>
          <w:sz w:val="36"/>
          <w:szCs w:val="36"/>
        </w:rPr>
      </w:pPr>
      <w:bookmarkStart w:id="65" w:name="_Toc11565"/>
      <w:r>
        <w:rPr>
          <w:rFonts w:ascii="微软雅黑" w:eastAsia="微软雅黑" w:hAnsi="微软雅黑"/>
          <w:b/>
          <w:sz w:val="36"/>
          <w:szCs w:val="36"/>
        </w:rPr>
        <w:t>项目商务需求</w:t>
      </w:r>
      <w:bookmarkEnd w:id="65"/>
    </w:p>
    <w:p w14:paraId="06289283" w14:textId="77777777" w:rsidR="0022665C" w:rsidRDefault="00000000">
      <w:pPr>
        <w:pStyle w:val="2"/>
        <w:spacing w:line="560" w:lineRule="atLeast"/>
        <w:ind w:firstLine="480"/>
        <w:jc w:val="left"/>
        <w:rPr>
          <w:rFonts w:ascii="微软雅黑" w:eastAsia="微软雅黑" w:hAnsi="微软雅黑" w:hint="eastAsia"/>
          <w:b/>
          <w:bCs/>
          <w:sz w:val="24"/>
        </w:rPr>
      </w:pPr>
      <w:bookmarkStart w:id="66" w:name="_Toc16379"/>
      <w:bookmarkStart w:id="67" w:name="_Toc3331"/>
      <w:bookmarkStart w:id="68" w:name="_Toc19009"/>
      <w:bookmarkStart w:id="69" w:name="_Toc7094"/>
      <w:bookmarkStart w:id="70" w:name="_Toc696"/>
      <w:bookmarkStart w:id="71" w:name="_Toc70425616"/>
      <w:r>
        <w:rPr>
          <w:rFonts w:ascii="微软雅黑" w:eastAsia="微软雅黑" w:hAnsi="微软雅黑" w:hint="eastAsia"/>
          <w:b/>
          <w:bCs/>
          <w:sz w:val="24"/>
        </w:rPr>
        <w:t>一、开发建设期及服务地点</w:t>
      </w:r>
      <w:bookmarkEnd w:id="66"/>
      <w:bookmarkEnd w:id="67"/>
      <w:bookmarkEnd w:id="68"/>
      <w:bookmarkEnd w:id="69"/>
      <w:bookmarkEnd w:id="70"/>
    </w:p>
    <w:p w14:paraId="5D895FA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（一）</w:t>
      </w:r>
      <w:bookmarkStart w:id="72" w:name="_Hlk151581726"/>
      <w:r>
        <w:rPr>
          <w:rFonts w:ascii="微软雅黑" w:eastAsia="微软雅黑" w:hAnsi="微软雅黑" w:hint="eastAsia"/>
          <w:sz w:val="21"/>
          <w:szCs w:val="21"/>
        </w:rPr>
        <w:t>开发</w:t>
      </w:r>
      <w:r>
        <w:rPr>
          <w:rFonts w:ascii="微软雅黑" w:eastAsia="微软雅黑" w:hAnsi="微软雅黑"/>
          <w:sz w:val="21"/>
          <w:szCs w:val="21"/>
        </w:rPr>
        <w:t>建设期：采购合同签订之日</w:t>
      </w:r>
      <w:r>
        <w:rPr>
          <w:rFonts w:ascii="微软雅黑" w:eastAsia="微软雅黑" w:hAnsi="微软雅黑"/>
          <w:sz w:val="21"/>
          <w:szCs w:val="21"/>
          <w:u w:val="single"/>
        </w:rPr>
        <w:t xml:space="preserve">180 </w:t>
      </w:r>
      <w:r>
        <w:rPr>
          <w:rFonts w:ascii="微软雅黑" w:eastAsia="微软雅黑" w:hAnsi="微软雅黑"/>
          <w:sz w:val="21"/>
          <w:szCs w:val="21"/>
        </w:rPr>
        <w:t>个</w:t>
      </w:r>
      <w:r>
        <w:rPr>
          <w:rFonts w:ascii="微软雅黑" w:eastAsia="微软雅黑" w:hAnsi="微软雅黑" w:hint="eastAsia"/>
          <w:sz w:val="21"/>
          <w:szCs w:val="21"/>
        </w:rPr>
        <w:t>日历日内完成本项目开发建设并达到最终验收标准。</w:t>
      </w:r>
      <w:bookmarkEnd w:id="72"/>
    </w:p>
    <w:p w14:paraId="7A27DFCF"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（二）服务地点</w:t>
      </w:r>
      <w:r>
        <w:rPr>
          <w:rFonts w:ascii="微软雅黑" w:eastAsia="微软雅黑" w:hAnsi="微软雅黑" w:hint="eastAsia"/>
          <w:sz w:val="21"/>
          <w:szCs w:val="21"/>
        </w:rPr>
        <w:t>（含驻场）</w:t>
      </w:r>
      <w:r>
        <w:rPr>
          <w:rFonts w:ascii="微软雅黑" w:eastAsia="微软雅黑" w:hAnsi="微软雅黑"/>
          <w:sz w:val="21"/>
          <w:szCs w:val="21"/>
        </w:rPr>
        <w:t>：</w:t>
      </w:r>
      <w:r>
        <w:rPr>
          <w:rFonts w:ascii="微软雅黑" w:eastAsia="微软雅黑" w:hAnsi="微软雅黑" w:hint="eastAsia"/>
          <w:sz w:val="21"/>
          <w:szCs w:val="21"/>
        </w:rPr>
        <w:t>重庆市数字化城市运行和治理中心（重庆市江北区永平门街6号）。</w:t>
      </w:r>
      <w:bookmarkStart w:id="73" w:name="_Toc25969"/>
      <w:bookmarkStart w:id="74" w:name="_Toc10414"/>
      <w:bookmarkStart w:id="75" w:name="_Toc7740"/>
      <w:bookmarkStart w:id="76" w:name="_Toc6727"/>
    </w:p>
    <w:p w14:paraId="66C20D58" w14:textId="77777777" w:rsidR="0022665C" w:rsidRDefault="00000000">
      <w:pPr>
        <w:pStyle w:val="2"/>
        <w:spacing w:line="560" w:lineRule="atLeast"/>
        <w:ind w:firstLine="480"/>
        <w:jc w:val="left"/>
        <w:rPr>
          <w:rFonts w:ascii="微软雅黑" w:eastAsia="微软雅黑" w:hAnsi="微软雅黑" w:hint="eastAsia"/>
          <w:b/>
          <w:bCs/>
          <w:sz w:val="24"/>
        </w:rPr>
      </w:pPr>
      <w:bookmarkStart w:id="77" w:name="_Toc26221"/>
      <w:r>
        <w:rPr>
          <w:rFonts w:ascii="微软雅黑" w:eastAsia="微软雅黑" w:hAnsi="微软雅黑" w:hint="eastAsia"/>
          <w:b/>
          <w:bCs/>
          <w:sz w:val="24"/>
        </w:rPr>
        <w:t>二、施工组织要求</w:t>
      </w:r>
      <w:bookmarkEnd w:id="73"/>
      <w:bookmarkEnd w:id="74"/>
      <w:bookmarkEnd w:id="75"/>
      <w:bookmarkEnd w:id="76"/>
      <w:bookmarkEnd w:id="77"/>
    </w:p>
    <w:p w14:paraId="3D86E0A1" w14:textId="77777777" w:rsidR="0022665C" w:rsidRDefault="00000000">
      <w:pPr>
        <w:spacing w:line="440" w:lineRule="atLeast"/>
        <w:ind w:firstLineChars="200" w:firstLine="420"/>
        <w:outlineLvl w:val="2"/>
        <w:rPr>
          <w:rFonts w:ascii="微软雅黑" w:eastAsia="微软雅黑" w:hAnsi="微软雅黑" w:hint="eastAsia"/>
          <w:b/>
          <w:bCs/>
          <w:sz w:val="21"/>
          <w:szCs w:val="21"/>
        </w:rPr>
      </w:pPr>
      <w:r>
        <w:rPr>
          <w:rFonts w:ascii="微软雅黑" w:eastAsia="微软雅黑" w:hAnsi="微软雅黑"/>
          <w:b/>
          <w:bCs/>
          <w:sz w:val="21"/>
          <w:szCs w:val="21"/>
        </w:rPr>
        <w:t>（一）项目管理要求</w:t>
      </w:r>
    </w:p>
    <w:p w14:paraId="7A645D6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中标人应签署《廉洁履约承诺书》作为合同附件，</w:t>
      </w:r>
      <w:bookmarkStart w:id="78" w:name="_Hlk151581874"/>
      <w:r>
        <w:rPr>
          <w:rFonts w:ascii="微软雅黑" w:eastAsia="微软雅黑" w:hAnsi="微软雅黑" w:hint="eastAsia"/>
          <w:sz w:val="21"/>
          <w:szCs w:val="21"/>
        </w:rPr>
        <w:t>将廉洁履约纳入合同范围，中标人承诺在项目履行过程中严格按照相关要求约束自身行为，并自愿承担违反廉洁履约承诺的相应后果。</w:t>
      </w:r>
    </w:p>
    <w:p w14:paraId="775FF4E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2.中标人在项目实施过程中，需对项目进行规范化管理，要有项目管理组织、项目管理计划、项目进度计划、项目验收计划等方案，确保项目实施质量。</w:t>
      </w:r>
    </w:p>
    <w:p w14:paraId="3742726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3.中标人应接受采购人委派的监理机构、审计机构的监督，提供包括但不限于业务系统架构、技术架构、数据接口、消息服务接口和类型、系统接口和类型、业务流程、业务分类、基础数据、业务数据</w:t>
      </w:r>
      <w:r>
        <w:rPr>
          <w:rFonts w:ascii="微软雅黑" w:eastAsia="微软雅黑" w:hAnsi="微软雅黑" w:hint="eastAsia"/>
          <w:sz w:val="21"/>
          <w:szCs w:val="21"/>
        </w:rPr>
        <w:t>、定制开发</w:t>
      </w:r>
      <w:r>
        <w:rPr>
          <w:rFonts w:ascii="微软雅黑" w:eastAsia="微软雅黑" w:hAnsi="微软雅黑"/>
          <w:sz w:val="21"/>
          <w:szCs w:val="21"/>
        </w:rPr>
        <w:t>代码等项目资料信息并配合系统对接、联调等相关工作，不得以保密、分权分域、知识产权或其他理由拒绝。</w:t>
      </w:r>
    </w:p>
    <w:p w14:paraId="0B2C5781"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4.中标人对提供的所有软件开发、软件购置</w:t>
      </w:r>
      <w:r>
        <w:rPr>
          <w:rFonts w:ascii="微软雅黑" w:eastAsia="微软雅黑" w:hAnsi="微软雅黑" w:hint="eastAsia"/>
          <w:sz w:val="21"/>
          <w:szCs w:val="21"/>
        </w:rPr>
        <w:t>及其他</w:t>
      </w:r>
      <w:r>
        <w:rPr>
          <w:rFonts w:ascii="微软雅黑" w:eastAsia="微软雅黑" w:hAnsi="微软雅黑"/>
          <w:sz w:val="21"/>
          <w:szCs w:val="21"/>
        </w:rPr>
        <w:t>保证系统完整性的相应工作和项目质量负责。在项目</w:t>
      </w:r>
      <w:r>
        <w:rPr>
          <w:rFonts w:ascii="微软雅黑" w:eastAsia="微软雅黑" w:hAnsi="微软雅黑" w:hint="eastAsia"/>
          <w:sz w:val="21"/>
          <w:szCs w:val="21"/>
        </w:rPr>
        <w:t>开发</w:t>
      </w:r>
      <w:r>
        <w:rPr>
          <w:rFonts w:ascii="微软雅黑" w:eastAsia="微软雅黑" w:hAnsi="微软雅黑"/>
          <w:sz w:val="21"/>
          <w:szCs w:val="21"/>
        </w:rPr>
        <w:t>建设过程中（从开始供货、安装测试、软件验收直至售后服务）严格执行本招标文件、项目</w:t>
      </w:r>
      <w:r>
        <w:rPr>
          <w:rFonts w:ascii="微软雅黑" w:eastAsia="微软雅黑" w:hAnsi="微软雅黑" w:hint="eastAsia"/>
          <w:sz w:val="21"/>
          <w:szCs w:val="21"/>
        </w:rPr>
        <w:t>开发</w:t>
      </w:r>
      <w:r>
        <w:rPr>
          <w:rFonts w:ascii="微软雅黑" w:eastAsia="微软雅黑" w:hAnsi="微软雅黑"/>
          <w:sz w:val="21"/>
          <w:szCs w:val="21"/>
        </w:rPr>
        <w:t>建设合同中有关的技术、商务条款，若招标文件与项目</w:t>
      </w:r>
      <w:r>
        <w:rPr>
          <w:rFonts w:ascii="微软雅黑" w:eastAsia="微软雅黑" w:hAnsi="微软雅黑" w:hint="eastAsia"/>
          <w:sz w:val="21"/>
          <w:szCs w:val="21"/>
        </w:rPr>
        <w:t>开发</w:t>
      </w:r>
      <w:r>
        <w:rPr>
          <w:rFonts w:ascii="微软雅黑" w:eastAsia="微软雅黑" w:hAnsi="微软雅黑"/>
          <w:sz w:val="21"/>
          <w:szCs w:val="21"/>
        </w:rPr>
        <w:t>建设合同的条款存在冲突的以项目</w:t>
      </w:r>
      <w:r>
        <w:rPr>
          <w:rFonts w:ascii="微软雅黑" w:eastAsia="微软雅黑" w:hAnsi="微软雅黑" w:hint="eastAsia"/>
          <w:sz w:val="21"/>
          <w:szCs w:val="21"/>
        </w:rPr>
        <w:t>开发</w:t>
      </w:r>
      <w:r>
        <w:rPr>
          <w:rFonts w:ascii="微软雅黑" w:eastAsia="微软雅黑" w:hAnsi="微软雅黑"/>
          <w:sz w:val="21"/>
          <w:szCs w:val="21"/>
        </w:rPr>
        <w:t>建设合同为准。</w:t>
      </w:r>
    </w:p>
    <w:p w14:paraId="3F25A12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5.中标人选用的硬件设备和系统软件，如达不到测评和验收要求的，应无条件更换并不得拖延验收时间。</w:t>
      </w:r>
    </w:p>
    <w:p w14:paraId="21A4B60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6.中标人应依规安全</w:t>
      </w:r>
      <w:r>
        <w:rPr>
          <w:rFonts w:ascii="微软雅黑" w:eastAsia="微软雅黑" w:hAnsi="微软雅黑" w:hint="eastAsia"/>
          <w:sz w:val="21"/>
          <w:szCs w:val="21"/>
        </w:rPr>
        <w:t>建设、安全</w:t>
      </w:r>
      <w:r>
        <w:rPr>
          <w:rFonts w:ascii="微软雅黑" w:eastAsia="微软雅黑" w:hAnsi="微软雅黑"/>
          <w:sz w:val="21"/>
          <w:szCs w:val="21"/>
        </w:rPr>
        <w:t>施工，遵守网络</w:t>
      </w:r>
      <w:r>
        <w:rPr>
          <w:rFonts w:ascii="微软雅黑" w:eastAsia="微软雅黑" w:hAnsi="微软雅黑" w:hint="eastAsia"/>
          <w:sz w:val="21"/>
          <w:szCs w:val="21"/>
        </w:rPr>
        <w:t>安全</w:t>
      </w:r>
      <w:r>
        <w:rPr>
          <w:rFonts w:ascii="微软雅黑" w:eastAsia="微软雅黑" w:hAnsi="微软雅黑"/>
          <w:sz w:val="21"/>
          <w:szCs w:val="21"/>
        </w:rPr>
        <w:t>、数据安全和运行维护</w:t>
      </w:r>
      <w:r>
        <w:rPr>
          <w:rFonts w:ascii="微软雅黑" w:eastAsia="微软雅黑" w:hAnsi="微软雅黑" w:hint="eastAsia"/>
          <w:sz w:val="21"/>
          <w:szCs w:val="21"/>
        </w:rPr>
        <w:t>等</w:t>
      </w:r>
      <w:r>
        <w:rPr>
          <w:rFonts w:ascii="微软雅黑" w:eastAsia="微软雅黑" w:hAnsi="微软雅黑"/>
          <w:sz w:val="21"/>
          <w:szCs w:val="21"/>
        </w:rPr>
        <w:t>相关制度，对项目实施过程中所有安全生产、施工人员人身安全等事项负责</w:t>
      </w:r>
      <w:r>
        <w:rPr>
          <w:rFonts w:ascii="微软雅黑" w:eastAsia="微软雅黑" w:hAnsi="微软雅黑" w:hint="eastAsia"/>
          <w:sz w:val="21"/>
          <w:szCs w:val="21"/>
        </w:rPr>
        <w:t>。</w:t>
      </w:r>
    </w:p>
    <w:p w14:paraId="46E8085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7.</w:t>
      </w:r>
      <w:r>
        <w:rPr>
          <w:rFonts w:ascii="微软雅黑" w:eastAsia="微软雅黑" w:hAnsi="微软雅黑" w:hint="eastAsia"/>
          <w:sz w:val="21"/>
          <w:szCs w:val="21"/>
        </w:rPr>
        <w:t>中标人应就本项目及其实施相关的技术、管理、控制等各方面问题向采购人提出建议，供采购人参考。</w:t>
      </w:r>
    </w:p>
    <w:p w14:paraId="4E954E6B"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8.中标人应当接受和配合相关部门对项目建设情况进行监督检查及绩效评价</w:t>
      </w:r>
      <w:r>
        <w:rPr>
          <w:rFonts w:ascii="微软雅黑" w:eastAsia="微软雅黑" w:hAnsi="微软雅黑" w:hint="eastAsia"/>
          <w:sz w:val="21"/>
          <w:szCs w:val="21"/>
        </w:rPr>
        <w:t>。</w:t>
      </w:r>
    </w:p>
    <w:p w14:paraId="50EE440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9.</w:t>
      </w:r>
      <w:r>
        <w:rPr>
          <w:rFonts w:ascii="微软雅黑" w:eastAsia="微软雅黑" w:hAnsi="微软雅黑" w:hint="eastAsia"/>
          <w:sz w:val="21"/>
          <w:szCs w:val="21"/>
        </w:rPr>
        <w:t>本项目所有涉及第三方产品的采购、安装、调试均由中标人负责完成，并保证其正常运行和售后服务，且承担因此而发生的一切费用。中标人有义务为采购内容提供支持，包括但不限于产品相关技术文档、软件接口规范说明的提供，中标人不得拒绝或收取额外费用</w:t>
      </w:r>
      <w:bookmarkEnd w:id="78"/>
      <w:r>
        <w:rPr>
          <w:rFonts w:ascii="微软雅黑" w:eastAsia="微软雅黑" w:hAnsi="微软雅黑" w:hint="eastAsia"/>
          <w:sz w:val="21"/>
          <w:szCs w:val="21"/>
        </w:rPr>
        <w:t>。</w:t>
      </w:r>
    </w:p>
    <w:p w14:paraId="5FB47C42" w14:textId="77777777" w:rsidR="0022665C" w:rsidRDefault="00000000">
      <w:pPr>
        <w:spacing w:line="440" w:lineRule="atLeast"/>
        <w:ind w:firstLineChars="200" w:firstLine="420"/>
        <w:outlineLvl w:val="2"/>
        <w:rPr>
          <w:rFonts w:ascii="微软雅黑" w:eastAsia="微软雅黑" w:hAnsi="微软雅黑" w:hint="eastAsia"/>
          <w:b/>
          <w:bCs/>
          <w:sz w:val="21"/>
          <w:szCs w:val="21"/>
        </w:rPr>
      </w:pPr>
      <w:r>
        <w:rPr>
          <w:rFonts w:ascii="微软雅黑" w:eastAsia="微软雅黑" w:hAnsi="微软雅黑" w:hint="eastAsia"/>
          <w:b/>
          <w:bCs/>
          <w:sz w:val="21"/>
          <w:szCs w:val="21"/>
        </w:rPr>
        <w:t>（二）信息安全要求</w:t>
      </w:r>
    </w:p>
    <w:p w14:paraId="2A0FE744"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1.中标人必须遵守采购人的各项规章制度，规范组织开发建设工作，制定切实可行的措施保障计划，还应积极配合采购人完成信息安全主管部门对本项目系统信息安全所涉及的监督检查。</w:t>
      </w:r>
    </w:p>
    <w:p w14:paraId="3F27D5C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w:t>
      </w:r>
      <w:r>
        <w:rPr>
          <w:rFonts w:ascii="微软雅黑" w:eastAsia="微软雅黑" w:hAnsi="微软雅黑" w:hint="eastAsia"/>
          <w:sz w:val="21"/>
          <w:szCs w:val="21"/>
        </w:rPr>
        <w:t>.中标人应确保本项目的系统不会被植入任何病毒、后门或类似的代码和工具。如果发现系统被植入病毒、后门或类似代码和工具，中标人应及时协助采购人进行清除或降低其影响。</w:t>
      </w:r>
    </w:p>
    <w:p w14:paraId="7640DE0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3</w:t>
      </w:r>
      <w:r>
        <w:rPr>
          <w:rFonts w:ascii="微软雅黑" w:eastAsia="微软雅黑" w:hAnsi="微软雅黑" w:hint="eastAsia"/>
          <w:sz w:val="21"/>
          <w:szCs w:val="21"/>
        </w:rPr>
        <w:t>.未经采购人的事先许可，中标人不得在用于提供服务的软件中插入任何会禁用或通过其他方式关闭服务的全部或任何部分的任何代码。</w:t>
      </w:r>
    </w:p>
    <w:p w14:paraId="3191945F" w14:textId="77777777" w:rsidR="0022665C" w:rsidRDefault="00000000">
      <w:pPr>
        <w:spacing w:line="440" w:lineRule="atLeast"/>
        <w:ind w:firstLineChars="200" w:firstLine="420"/>
        <w:outlineLvl w:val="2"/>
        <w:rPr>
          <w:rFonts w:ascii="微软雅黑" w:eastAsia="微软雅黑" w:hAnsi="微软雅黑" w:hint="eastAsia"/>
          <w:b/>
          <w:bCs/>
          <w:sz w:val="21"/>
          <w:szCs w:val="21"/>
        </w:rPr>
      </w:pPr>
      <w:r>
        <w:rPr>
          <w:rFonts w:ascii="微软雅黑" w:eastAsia="微软雅黑" w:hAnsi="微软雅黑"/>
          <w:b/>
          <w:bCs/>
          <w:sz w:val="21"/>
          <w:szCs w:val="21"/>
        </w:rPr>
        <w:t>（</w:t>
      </w:r>
      <w:r>
        <w:rPr>
          <w:rFonts w:ascii="微软雅黑" w:eastAsia="微软雅黑" w:hAnsi="微软雅黑" w:hint="eastAsia"/>
          <w:b/>
          <w:bCs/>
          <w:sz w:val="21"/>
          <w:szCs w:val="21"/>
        </w:rPr>
        <w:t>三</w:t>
      </w:r>
      <w:r>
        <w:rPr>
          <w:rFonts w:ascii="微软雅黑" w:eastAsia="微软雅黑" w:hAnsi="微软雅黑"/>
          <w:b/>
          <w:bCs/>
          <w:sz w:val="21"/>
          <w:szCs w:val="21"/>
        </w:rPr>
        <w:t>）</w:t>
      </w:r>
      <w:r>
        <w:rPr>
          <w:rFonts w:ascii="微软雅黑" w:eastAsia="微软雅黑" w:hAnsi="微软雅黑" w:hint="eastAsia"/>
          <w:b/>
          <w:bCs/>
          <w:sz w:val="21"/>
          <w:szCs w:val="21"/>
        </w:rPr>
        <w:t>人员</w:t>
      </w:r>
      <w:r>
        <w:rPr>
          <w:rFonts w:ascii="微软雅黑" w:eastAsia="微软雅黑" w:hAnsi="微软雅黑"/>
          <w:b/>
          <w:bCs/>
          <w:sz w:val="21"/>
          <w:szCs w:val="21"/>
        </w:rPr>
        <w:t>要求</w:t>
      </w:r>
    </w:p>
    <w:p w14:paraId="38F5C96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bCs/>
          <w:kern w:val="32"/>
          <w:sz w:val="21"/>
          <w:szCs w:val="21"/>
        </w:rPr>
        <w:t>本项目</w:t>
      </w:r>
      <w:r>
        <w:rPr>
          <w:rFonts w:ascii="微软雅黑" w:eastAsia="微软雅黑" w:hAnsi="微软雅黑"/>
          <w:sz w:val="21"/>
          <w:szCs w:val="21"/>
        </w:rPr>
        <w:t>属于复杂的信息化</w:t>
      </w:r>
      <w:r>
        <w:rPr>
          <w:rFonts w:ascii="微软雅黑" w:eastAsia="微软雅黑" w:hAnsi="微软雅黑" w:hint="eastAsia"/>
          <w:sz w:val="21"/>
          <w:szCs w:val="21"/>
        </w:rPr>
        <w:t>开发建设项目</w:t>
      </w:r>
      <w:r>
        <w:rPr>
          <w:rFonts w:ascii="微软雅黑" w:eastAsia="微软雅黑" w:hAnsi="微软雅黑" w:hint="eastAsia"/>
          <w:sz w:val="21"/>
        </w:rPr>
        <w:t>，投标人</w:t>
      </w:r>
      <w:r>
        <w:rPr>
          <w:rFonts w:ascii="微软雅黑" w:eastAsia="微软雅黑" w:hAnsi="微软雅黑"/>
          <w:sz w:val="21"/>
          <w:szCs w:val="21"/>
        </w:rPr>
        <w:t>需要配备专业技术</w:t>
      </w:r>
      <w:r>
        <w:rPr>
          <w:rFonts w:ascii="微软雅黑" w:eastAsia="微软雅黑" w:hAnsi="微软雅黑" w:hint="eastAsia"/>
          <w:sz w:val="21"/>
          <w:szCs w:val="21"/>
        </w:rPr>
        <w:t>开发</w:t>
      </w:r>
      <w:r>
        <w:rPr>
          <w:rFonts w:ascii="微软雅黑" w:eastAsia="微软雅黑" w:hAnsi="微软雅黑"/>
          <w:sz w:val="21"/>
          <w:szCs w:val="21"/>
        </w:rPr>
        <w:t>人员进行</w:t>
      </w:r>
      <w:r>
        <w:rPr>
          <w:rFonts w:ascii="微软雅黑" w:eastAsia="微软雅黑" w:hAnsi="微软雅黑" w:hint="eastAsia"/>
          <w:sz w:val="21"/>
          <w:szCs w:val="21"/>
        </w:rPr>
        <w:t>应用</w:t>
      </w:r>
      <w:r>
        <w:rPr>
          <w:rFonts w:ascii="微软雅黑" w:eastAsia="微软雅黑" w:hAnsi="微软雅黑"/>
          <w:sz w:val="21"/>
          <w:szCs w:val="21"/>
        </w:rPr>
        <w:t>的建设管理、设计</w:t>
      </w:r>
      <w:r>
        <w:rPr>
          <w:rFonts w:ascii="微软雅黑" w:eastAsia="微软雅黑" w:hAnsi="微软雅黑" w:hint="eastAsia"/>
          <w:sz w:val="21"/>
          <w:szCs w:val="21"/>
        </w:rPr>
        <w:t>、</w:t>
      </w:r>
      <w:r>
        <w:rPr>
          <w:rFonts w:ascii="微软雅黑" w:eastAsia="微软雅黑" w:hAnsi="微软雅黑"/>
          <w:sz w:val="21"/>
          <w:szCs w:val="21"/>
        </w:rPr>
        <w:t>施工及研发</w:t>
      </w:r>
      <w:r>
        <w:rPr>
          <w:rFonts w:ascii="微软雅黑" w:eastAsia="微软雅黑" w:hAnsi="微软雅黑" w:hint="eastAsia"/>
          <w:sz w:val="21"/>
          <w:szCs w:val="21"/>
        </w:rPr>
        <w:t>等</w:t>
      </w:r>
      <w:r>
        <w:rPr>
          <w:rFonts w:ascii="微软雅黑" w:eastAsia="微软雅黑" w:hAnsi="微软雅黑"/>
          <w:sz w:val="21"/>
          <w:szCs w:val="21"/>
        </w:rPr>
        <w:t>工作</w:t>
      </w:r>
      <w:r>
        <w:rPr>
          <w:rFonts w:ascii="微软雅黑" w:eastAsia="微软雅黑" w:hAnsi="微软雅黑" w:hint="eastAsia"/>
          <w:sz w:val="21"/>
          <w:szCs w:val="21"/>
        </w:rPr>
        <w:t>，且</w:t>
      </w:r>
      <w:r>
        <w:rPr>
          <w:rFonts w:ascii="微软雅黑" w:eastAsia="微软雅黑" w:hAnsi="微软雅黑" w:hint="eastAsia"/>
          <w:sz w:val="21"/>
        </w:rPr>
        <w:t>技术开发人员的数量应满足项目的建设需要。</w:t>
      </w:r>
      <w:r>
        <w:rPr>
          <w:rFonts w:ascii="微软雅黑" w:eastAsia="微软雅黑" w:hAnsi="微软雅黑"/>
          <w:sz w:val="21"/>
          <w:szCs w:val="21"/>
        </w:rPr>
        <w:t>中标</w:t>
      </w:r>
      <w:r>
        <w:rPr>
          <w:rFonts w:ascii="微软雅黑" w:eastAsia="微软雅黑" w:hAnsi="微软雅黑" w:hint="eastAsia"/>
          <w:sz w:val="21"/>
          <w:szCs w:val="21"/>
        </w:rPr>
        <w:t>人应</w:t>
      </w:r>
      <w:r>
        <w:rPr>
          <w:rFonts w:ascii="微软雅黑" w:eastAsia="微软雅黑" w:hAnsi="微软雅黑"/>
          <w:sz w:val="21"/>
          <w:szCs w:val="21"/>
        </w:rPr>
        <w:t>选派具有丰富信息化经验的专业技术工程师，结合其在基础硬件、应用软件开发与实施方面的经验，提出较详细的</w:t>
      </w:r>
      <w:r>
        <w:rPr>
          <w:rFonts w:ascii="微软雅黑" w:eastAsia="微软雅黑" w:hAnsi="微软雅黑" w:hint="eastAsia"/>
          <w:sz w:val="21"/>
          <w:szCs w:val="21"/>
        </w:rPr>
        <w:t>应用</w:t>
      </w:r>
      <w:r>
        <w:rPr>
          <w:rFonts w:ascii="微软雅黑" w:eastAsia="微软雅黑" w:hAnsi="微软雅黑"/>
          <w:sz w:val="21"/>
          <w:szCs w:val="21"/>
        </w:rPr>
        <w:t>实施计划，制</w:t>
      </w:r>
      <w:r>
        <w:rPr>
          <w:rFonts w:ascii="微软雅黑" w:eastAsia="微软雅黑" w:hAnsi="微软雅黑" w:hint="eastAsia"/>
          <w:sz w:val="21"/>
          <w:szCs w:val="21"/>
        </w:rPr>
        <w:t>定</w:t>
      </w:r>
      <w:r>
        <w:rPr>
          <w:rFonts w:ascii="微软雅黑" w:eastAsia="微软雅黑" w:hAnsi="微软雅黑"/>
          <w:sz w:val="21"/>
          <w:szCs w:val="21"/>
        </w:rPr>
        <w:t>软硬件系统需求调研、系统分析和开发、实施、</w:t>
      </w:r>
      <w:r>
        <w:rPr>
          <w:rFonts w:ascii="微软雅黑" w:eastAsia="微软雅黑" w:hAnsi="微软雅黑" w:hint="eastAsia"/>
          <w:sz w:val="21"/>
          <w:szCs w:val="21"/>
        </w:rPr>
        <w:t>初步验收</w:t>
      </w:r>
      <w:r>
        <w:rPr>
          <w:rFonts w:ascii="微软雅黑" w:eastAsia="微软雅黑" w:hAnsi="微软雅黑"/>
          <w:sz w:val="21"/>
          <w:szCs w:val="21"/>
        </w:rPr>
        <w:t>、</w:t>
      </w:r>
      <w:r>
        <w:rPr>
          <w:rFonts w:ascii="微软雅黑" w:eastAsia="微软雅黑" w:hAnsi="微软雅黑" w:hint="eastAsia"/>
          <w:sz w:val="21"/>
          <w:szCs w:val="21"/>
        </w:rPr>
        <w:t>试运行期、终验（竣工验收）</w:t>
      </w:r>
      <w:r>
        <w:rPr>
          <w:rFonts w:ascii="微软雅黑" w:eastAsia="微软雅黑" w:hAnsi="微软雅黑"/>
          <w:sz w:val="21"/>
          <w:szCs w:val="21"/>
        </w:rPr>
        <w:t>等各项规范。</w:t>
      </w:r>
    </w:p>
    <w:p w14:paraId="483CDD9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投标人中标后应向采购人提供</w:t>
      </w:r>
      <w:r>
        <w:rPr>
          <w:rFonts w:ascii="微软雅黑" w:eastAsia="微软雅黑" w:hAnsi="微软雅黑"/>
          <w:sz w:val="21"/>
          <w:szCs w:val="21"/>
        </w:rPr>
        <w:t>项目组成员的</w:t>
      </w:r>
      <w:r>
        <w:rPr>
          <w:rFonts w:ascii="微软雅黑" w:eastAsia="微软雅黑" w:hAnsi="微软雅黑" w:hint="eastAsia"/>
          <w:sz w:val="21"/>
          <w:szCs w:val="21"/>
        </w:rPr>
        <w:t>组成</w:t>
      </w:r>
      <w:r>
        <w:rPr>
          <w:rFonts w:ascii="微软雅黑" w:eastAsia="微软雅黑" w:hAnsi="微软雅黑"/>
          <w:sz w:val="21"/>
          <w:szCs w:val="21"/>
        </w:rPr>
        <w:t>情况</w:t>
      </w:r>
      <w:r>
        <w:rPr>
          <w:rFonts w:ascii="微软雅黑" w:eastAsia="微软雅黑" w:hAnsi="微软雅黑" w:hint="eastAsia"/>
          <w:sz w:val="21"/>
          <w:szCs w:val="21"/>
        </w:rPr>
        <w:t>，</w:t>
      </w:r>
      <w:r>
        <w:rPr>
          <w:rFonts w:ascii="微软雅黑" w:eastAsia="微软雅黑" w:hAnsi="微软雅黑"/>
          <w:sz w:val="21"/>
          <w:szCs w:val="21"/>
        </w:rPr>
        <w:t>包括</w:t>
      </w:r>
      <w:r>
        <w:rPr>
          <w:rFonts w:ascii="微软雅黑" w:eastAsia="微软雅黑" w:hAnsi="微软雅黑" w:hint="eastAsia"/>
          <w:sz w:val="21"/>
          <w:szCs w:val="21"/>
        </w:rPr>
        <w:t>但不限于</w:t>
      </w:r>
      <w:r>
        <w:rPr>
          <w:rFonts w:ascii="微软雅黑" w:eastAsia="微软雅黑" w:hAnsi="微软雅黑"/>
          <w:sz w:val="21"/>
          <w:szCs w:val="21"/>
        </w:rPr>
        <w:t>人员职责</w:t>
      </w:r>
      <w:r>
        <w:rPr>
          <w:rFonts w:ascii="微软雅黑" w:eastAsia="微软雅黑" w:hAnsi="微软雅黑" w:hint="eastAsia"/>
          <w:sz w:val="21"/>
          <w:szCs w:val="21"/>
        </w:rPr>
        <w:t>、</w:t>
      </w:r>
      <w:r>
        <w:rPr>
          <w:rFonts w:ascii="微软雅黑" w:eastAsia="微软雅黑" w:hAnsi="微软雅黑"/>
          <w:sz w:val="21"/>
          <w:szCs w:val="21"/>
        </w:rPr>
        <w:t>分工</w:t>
      </w:r>
      <w:r>
        <w:rPr>
          <w:rFonts w:ascii="微软雅黑" w:eastAsia="微软雅黑" w:hAnsi="微软雅黑" w:hint="eastAsia"/>
          <w:sz w:val="21"/>
          <w:szCs w:val="21"/>
        </w:rPr>
        <w:t>、</w:t>
      </w:r>
      <w:r>
        <w:rPr>
          <w:rFonts w:ascii="微软雅黑" w:eastAsia="微软雅黑" w:hAnsi="微软雅黑"/>
          <w:sz w:val="21"/>
          <w:szCs w:val="21"/>
        </w:rPr>
        <w:t>人员数量等</w:t>
      </w:r>
      <w:r>
        <w:rPr>
          <w:rFonts w:ascii="微软雅黑" w:eastAsia="微软雅黑" w:hAnsi="微软雅黑" w:hint="eastAsia"/>
          <w:sz w:val="21"/>
          <w:szCs w:val="21"/>
        </w:rPr>
        <w:t>，以及</w:t>
      </w:r>
      <w:r>
        <w:rPr>
          <w:rFonts w:ascii="微软雅黑" w:eastAsia="微软雅黑" w:hAnsi="微软雅黑"/>
          <w:sz w:val="21"/>
          <w:szCs w:val="21"/>
        </w:rPr>
        <w:t>驻场</w:t>
      </w:r>
      <w:r>
        <w:rPr>
          <w:rFonts w:ascii="微软雅黑" w:eastAsia="微软雅黑" w:hAnsi="微软雅黑" w:hint="eastAsia"/>
          <w:sz w:val="21"/>
          <w:szCs w:val="21"/>
        </w:rPr>
        <w:t>技术</w:t>
      </w:r>
      <w:r>
        <w:rPr>
          <w:rFonts w:ascii="微软雅黑" w:eastAsia="微软雅黑" w:hAnsi="微软雅黑"/>
          <w:sz w:val="21"/>
          <w:szCs w:val="21"/>
        </w:rPr>
        <w:t>开发</w:t>
      </w:r>
      <w:r>
        <w:rPr>
          <w:rFonts w:ascii="微软雅黑" w:eastAsia="微软雅黑" w:hAnsi="微软雅黑" w:hint="eastAsia"/>
          <w:sz w:val="21"/>
          <w:szCs w:val="21"/>
        </w:rPr>
        <w:t>人员在投标单位缴纳的最近一个月社保证明复印件。所配置的项目组成员应听从采购人的项目协调和调度工作，</w:t>
      </w:r>
      <w:r>
        <w:rPr>
          <w:rFonts w:ascii="微软雅黑" w:eastAsia="微软雅黑" w:hAnsi="微软雅黑"/>
          <w:sz w:val="21"/>
          <w:szCs w:val="21"/>
        </w:rPr>
        <w:t>上述人员一经确定，未经采购人书面同意不得擅自变更。所有人员</w:t>
      </w:r>
      <w:r>
        <w:rPr>
          <w:rFonts w:ascii="微软雅黑" w:eastAsia="微软雅黑" w:hAnsi="微软雅黑" w:hint="eastAsia"/>
          <w:sz w:val="21"/>
          <w:szCs w:val="21"/>
        </w:rPr>
        <w:t>涉及的相关费用</w:t>
      </w:r>
      <w:r>
        <w:rPr>
          <w:rFonts w:ascii="微软雅黑" w:eastAsia="微软雅黑" w:hAnsi="微软雅黑"/>
          <w:sz w:val="21"/>
          <w:szCs w:val="21"/>
        </w:rPr>
        <w:t>均由中标人承担，采购人不再另行支付任何费用</w:t>
      </w:r>
      <w:r>
        <w:rPr>
          <w:rFonts w:ascii="微软雅黑" w:eastAsia="微软雅黑" w:hAnsi="微软雅黑" w:hint="eastAsia"/>
          <w:sz w:val="21"/>
          <w:szCs w:val="21"/>
        </w:rPr>
        <w:t>。项目组成员要求如下：</w:t>
      </w:r>
    </w:p>
    <w:p w14:paraId="620DF43F" w14:textId="77777777" w:rsidR="0022665C" w:rsidRDefault="00000000">
      <w:pPr>
        <w:spacing w:line="440" w:lineRule="atLeast"/>
        <w:ind w:firstLineChars="200" w:firstLine="420"/>
        <w:rPr>
          <w:rFonts w:ascii="微软雅黑" w:eastAsia="微软雅黑" w:hAnsi="微软雅黑" w:hint="eastAsia"/>
          <w:sz w:val="21"/>
          <w:szCs w:val="21"/>
        </w:rPr>
      </w:pPr>
      <w:bookmarkStart w:id="79" w:name="_Toc4832"/>
      <w:bookmarkStart w:id="80" w:name="_Toc20298"/>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应用</w:t>
      </w:r>
      <w:r>
        <w:rPr>
          <w:rFonts w:ascii="微软雅黑" w:eastAsia="微软雅黑" w:hAnsi="微软雅黑"/>
          <w:sz w:val="21"/>
          <w:szCs w:val="21"/>
        </w:rPr>
        <w:t>建设技术</w:t>
      </w:r>
      <w:r>
        <w:rPr>
          <w:rFonts w:ascii="微软雅黑" w:eastAsia="微软雅黑" w:hAnsi="微软雅黑" w:hint="eastAsia"/>
          <w:sz w:val="21"/>
          <w:szCs w:val="21"/>
        </w:rPr>
        <w:t>开发</w:t>
      </w:r>
      <w:r>
        <w:rPr>
          <w:rFonts w:ascii="微软雅黑" w:eastAsia="微软雅黑" w:hAnsi="微软雅黑"/>
          <w:sz w:val="21"/>
          <w:szCs w:val="21"/>
        </w:rPr>
        <w:t>人员配置</w:t>
      </w:r>
      <w:bookmarkEnd w:id="79"/>
      <w:bookmarkEnd w:id="80"/>
    </w:p>
    <w:p w14:paraId="4C600188" w14:textId="77777777" w:rsidR="0022665C" w:rsidRDefault="00000000">
      <w:pPr>
        <w:pStyle w:val="a4"/>
        <w:spacing w:line="440" w:lineRule="atLeast"/>
        <w:ind w:firstLineChars="200" w:firstLine="420"/>
        <w:jc w:val="both"/>
        <w:rPr>
          <w:rFonts w:ascii="微软雅黑" w:eastAsia="微软雅黑" w:hAnsi="微软雅黑" w:hint="eastAsia"/>
          <w:b w:val="0"/>
          <w:bCs/>
          <w:sz w:val="21"/>
          <w:szCs w:val="21"/>
          <w:lang w:eastAsia="zh-CN"/>
        </w:rPr>
      </w:pPr>
      <w:r>
        <w:rPr>
          <w:rFonts w:ascii="微软雅黑" w:eastAsia="微软雅黑" w:hAnsi="微软雅黑" w:hint="eastAsia"/>
          <w:b w:val="0"/>
          <w:bCs/>
          <w:sz w:val="21"/>
          <w:szCs w:val="21"/>
        </w:rPr>
        <w:t>1</w:t>
      </w:r>
      <w:r>
        <w:rPr>
          <w:rFonts w:ascii="微软雅黑" w:eastAsia="微软雅黑" w:hAnsi="微软雅黑"/>
          <w:b w:val="0"/>
          <w:bCs/>
          <w:sz w:val="21"/>
          <w:szCs w:val="21"/>
        </w:rPr>
        <w:t>.1建设人员</w:t>
      </w:r>
      <w:r>
        <w:rPr>
          <w:rFonts w:ascii="微软雅黑" w:eastAsia="微软雅黑" w:hAnsi="微软雅黑" w:hint="eastAsia"/>
          <w:b w:val="0"/>
          <w:bCs/>
          <w:sz w:val="21"/>
          <w:szCs w:val="21"/>
          <w:lang w:eastAsia="zh-CN"/>
        </w:rPr>
        <w:t>总体</w:t>
      </w:r>
      <w:r>
        <w:rPr>
          <w:rFonts w:ascii="微软雅黑" w:eastAsia="微软雅黑" w:hAnsi="微软雅黑"/>
          <w:b w:val="0"/>
          <w:bCs/>
          <w:sz w:val="21"/>
          <w:szCs w:val="21"/>
        </w:rPr>
        <w:t>配置</w:t>
      </w:r>
      <w:r>
        <w:rPr>
          <w:rFonts w:ascii="微软雅黑" w:eastAsia="微软雅黑" w:hAnsi="微软雅黑" w:hint="eastAsia"/>
          <w:b w:val="0"/>
          <w:bCs/>
          <w:sz w:val="21"/>
          <w:szCs w:val="21"/>
          <w:lang w:eastAsia="zh-CN"/>
        </w:rPr>
        <w:t>要求</w:t>
      </w:r>
    </w:p>
    <w:p w14:paraId="1A27A6C9" w14:textId="77777777" w:rsidR="0022665C" w:rsidRDefault="00000000">
      <w:pPr>
        <w:pStyle w:val="a4"/>
        <w:spacing w:line="440" w:lineRule="atLeast"/>
        <w:ind w:firstLineChars="200" w:firstLine="420"/>
        <w:jc w:val="both"/>
        <w:rPr>
          <w:rFonts w:ascii="微软雅黑" w:eastAsia="微软雅黑" w:hAnsi="微软雅黑" w:hint="eastAsia"/>
          <w:b w:val="0"/>
          <w:bCs/>
          <w:sz w:val="21"/>
          <w:szCs w:val="21"/>
        </w:rPr>
      </w:pPr>
      <w:r>
        <w:rPr>
          <w:rFonts w:ascii="微软雅黑" w:eastAsia="微软雅黑" w:hAnsi="微软雅黑"/>
          <w:b w:val="0"/>
          <w:bCs/>
          <w:sz w:val="21"/>
          <w:szCs w:val="21"/>
        </w:rPr>
        <w:t>建设人员</w:t>
      </w:r>
      <w:r>
        <w:rPr>
          <w:rFonts w:ascii="微软雅黑" w:eastAsia="微软雅黑" w:hAnsi="微软雅黑" w:hint="eastAsia"/>
          <w:b w:val="0"/>
          <w:bCs/>
          <w:sz w:val="21"/>
          <w:szCs w:val="21"/>
        </w:rPr>
        <w:t>总</w:t>
      </w:r>
      <w:r>
        <w:rPr>
          <w:rFonts w:ascii="微软雅黑" w:eastAsia="微软雅黑" w:hAnsi="微软雅黑" w:hint="eastAsia"/>
          <w:b w:val="0"/>
          <w:bCs/>
          <w:sz w:val="21"/>
          <w:szCs w:val="21"/>
          <w:lang w:eastAsia="zh-CN"/>
        </w:rPr>
        <w:t>体</w:t>
      </w:r>
      <w:r>
        <w:rPr>
          <w:rFonts w:ascii="微软雅黑" w:eastAsia="微软雅黑" w:hAnsi="微软雅黑"/>
          <w:b w:val="0"/>
          <w:bCs/>
          <w:sz w:val="21"/>
          <w:szCs w:val="21"/>
        </w:rPr>
        <w:t>配置</w:t>
      </w:r>
      <w:r>
        <w:rPr>
          <w:rFonts w:ascii="微软雅黑" w:eastAsia="微软雅黑" w:hAnsi="微软雅黑" w:hint="eastAsia"/>
          <w:b w:val="0"/>
          <w:bCs/>
          <w:sz w:val="21"/>
          <w:szCs w:val="21"/>
          <w:lang w:eastAsia="zh-CN"/>
        </w:rPr>
        <w:t>应符合本项目开发建设的需求，</w:t>
      </w:r>
      <w:r>
        <w:rPr>
          <w:rFonts w:ascii="微软雅黑" w:eastAsia="微软雅黑" w:hAnsi="微软雅黑" w:hint="eastAsia"/>
          <w:b w:val="0"/>
          <w:bCs/>
          <w:sz w:val="21"/>
        </w:rPr>
        <w:t>项目经理</w:t>
      </w:r>
      <w:r>
        <w:rPr>
          <w:rFonts w:ascii="微软雅黑" w:eastAsia="微软雅黑" w:hAnsi="微软雅黑" w:hint="eastAsia"/>
          <w:b w:val="0"/>
          <w:bCs/>
          <w:sz w:val="21"/>
          <w:lang w:eastAsia="zh-CN"/>
        </w:rPr>
        <w:t>应</w:t>
      </w:r>
      <w:r>
        <w:rPr>
          <w:rFonts w:ascii="微软雅黑" w:eastAsia="微软雅黑" w:hAnsi="微软雅黑" w:hint="eastAsia"/>
          <w:b w:val="0"/>
          <w:bCs/>
          <w:sz w:val="21"/>
        </w:rPr>
        <w:t>具有丰富的</w:t>
      </w:r>
      <w:r>
        <w:rPr>
          <w:rFonts w:ascii="微软雅黑" w:eastAsia="微软雅黑" w:hAnsi="微软雅黑" w:hint="eastAsia"/>
          <w:b w:val="0"/>
          <w:bCs/>
          <w:sz w:val="21"/>
          <w:lang w:eastAsia="zh-CN"/>
        </w:rPr>
        <w:t>大数据相关</w:t>
      </w:r>
      <w:r>
        <w:rPr>
          <w:rFonts w:ascii="微软雅黑" w:eastAsia="微软雅黑" w:hAnsi="微软雅黑" w:hint="eastAsia"/>
          <w:b w:val="0"/>
          <w:bCs/>
          <w:sz w:val="21"/>
        </w:rPr>
        <w:t>应用</w:t>
      </w:r>
      <w:r>
        <w:rPr>
          <w:rFonts w:ascii="微软雅黑" w:eastAsia="微软雅黑" w:hAnsi="微软雅黑" w:hint="eastAsia"/>
          <w:b w:val="0"/>
          <w:bCs/>
          <w:sz w:val="21"/>
          <w:lang w:eastAsia="zh-CN"/>
        </w:rPr>
        <w:t>开发建设</w:t>
      </w:r>
      <w:r>
        <w:rPr>
          <w:rFonts w:ascii="微软雅黑" w:eastAsia="微软雅黑" w:hAnsi="微软雅黑" w:hint="eastAsia"/>
          <w:b w:val="0"/>
          <w:bCs/>
          <w:sz w:val="21"/>
        </w:rPr>
        <w:t>经验</w:t>
      </w:r>
      <w:r>
        <w:rPr>
          <w:rFonts w:ascii="微软雅黑" w:eastAsia="微软雅黑" w:hAnsi="微软雅黑" w:hint="eastAsia"/>
          <w:b w:val="0"/>
          <w:bCs/>
          <w:sz w:val="21"/>
          <w:lang w:eastAsia="zh-CN"/>
        </w:rPr>
        <w:t>。</w:t>
      </w:r>
      <w:r>
        <w:rPr>
          <w:rFonts w:ascii="微软雅黑" w:eastAsia="微软雅黑" w:hAnsi="微软雅黑" w:hint="eastAsia"/>
          <w:b w:val="0"/>
          <w:bCs/>
          <w:sz w:val="21"/>
        </w:rPr>
        <w:t>应用系统建设应配置软件</w:t>
      </w:r>
      <w:r>
        <w:rPr>
          <w:rFonts w:ascii="微软雅黑" w:eastAsia="微软雅黑" w:hAnsi="微软雅黑" w:hint="eastAsia"/>
          <w:b w:val="0"/>
          <w:bCs/>
          <w:sz w:val="21"/>
          <w:lang w:eastAsia="zh-CN"/>
        </w:rPr>
        <w:t>相关</w:t>
      </w:r>
      <w:r>
        <w:rPr>
          <w:rFonts w:ascii="微软雅黑" w:eastAsia="微软雅黑" w:hAnsi="微软雅黑" w:hint="eastAsia"/>
          <w:b w:val="0"/>
          <w:bCs/>
          <w:sz w:val="21"/>
        </w:rPr>
        <w:t>专业技术人员</w:t>
      </w:r>
      <w:r>
        <w:rPr>
          <w:rFonts w:ascii="微软雅黑" w:eastAsia="微软雅黑" w:hAnsi="微软雅黑" w:hint="eastAsia"/>
          <w:b w:val="0"/>
          <w:bCs/>
          <w:sz w:val="21"/>
          <w:lang w:eastAsia="zh-CN"/>
        </w:rPr>
        <w:t>；安全</w:t>
      </w:r>
      <w:r>
        <w:rPr>
          <w:rFonts w:ascii="微软雅黑" w:eastAsia="微软雅黑" w:hAnsi="微软雅黑" w:hint="eastAsia"/>
          <w:b w:val="0"/>
          <w:bCs/>
          <w:sz w:val="21"/>
        </w:rPr>
        <w:t>服务建设应配置信息相关专业技术人员；数据</w:t>
      </w:r>
      <w:r>
        <w:rPr>
          <w:rFonts w:ascii="微软雅黑" w:eastAsia="微软雅黑" w:hAnsi="微软雅黑" w:hint="eastAsia"/>
          <w:b w:val="0"/>
          <w:bCs/>
          <w:sz w:val="21"/>
          <w:lang w:eastAsia="zh-CN"/>
        </w:rPr>
        <w:t>资源</w:t>
      </w:r>
      <w:r>
        <w:rPr>
          <w:rFonts w:ascii="微软雅黑" w:eastAsia="微软雅黑" w:hAnsi="微软雅黑" w:hint="eastAsia"/>
          <w:b w:val="0"/>
          <w:bCs/>
          <w:sz w:val="21"/>
        </w:rPr>
        <w:t>建设应配置数据相关专业技术人员。</w:t>
      </w:r>
    </w:p>
    <w:p w14:paraId="7E362177" w14:textId="77777777" w:rsidR="0022665C" w:rsidRDefault="00000000">
      <w:pPr>
        <w:pStyle w:val="a4"/>
        <w:spacing w:line="440" w:lineRule="atLeast"/>
        <w:ind w:firstLineChars="200" w:firstLine="420"/>
        <w:jc w:val="both"/>
        <w:rPr>
          <w:rFonts w:ascii="微软雅黑" w:eastAsia="微软雅黑" w:hAnsi="微软雅黑" w:hint="eastAsia"/>
          <w:b w:val="0"/>
          <w:bCs/>
          <w:sz w:val="21"/>
          <w:szCs w:val="21"/>
        </w:rPr>
      </w:pPr>
      <w:bookmarkStart w:id="81" w:name="_Toc23485"/>
      <w:bookmarkStart w:id="82" w:name="_Toc24830"/>
      <w:r>
        <w:rPr>
          <w:rFonts w:ascii="微软雅黑" w:eastAsia="微软雅黑" w:hAnsi="微软雅黑"/>
          <w:b w:val="0"/>
          <w:bCs/>
          <w:sz w:val="21"/>
          <w:szCs w:val="21"/>
        </w:rPr>
        <w:t>1.2</w:t>
      </w:r>
      <w:r>
        <w:rPr>
          <w:rFonts w:ascii="微软雅黑" w:eastAsia="微软雅黑" w:hAnsi="微软雅黑" w:hint="eastAsia"/>
          <w:b w:val="0"/>
          <w:bCs/>
          <w:sz w:val="21"/>
          <w:szCs w:val="21"/>
        </w:rPr>
        <w:t>开发建设期驻场</w:t>
      </w:r>
      <w:r>
        <w:rPr>
          <w:rFonts w:ascii="微软雅黑" w:eastAsia="微软雅黑" w:hAnsi="微软雅黑"/>
          <w:b w:val="0"/>
          <w:bCs/>
          <w:sz w:val="21"/>
          <w:szCs w:val="21"/>
        </w:rPr>
        <w:t>人员配置</w:t>
      </w:r>
    </w:p>
    <w:bookmarkEnd w:id="81"/>
    <w:bookmarkEnd w:id="82"/>
    <w:p w14:paraId="7DAED82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中标人</w:t>
      </w:r>
      <w:r>
        <w:rPr>
          <w:rFonts w:ascii="微软雅黑" w:eastAsia="微软雅黑" w:hAnsi="微软雅黑"/>
          <w:sz w:val="21"/>
          <w:szCs w:val="21"/>
        </w:rPr>
        <w:t>须</w:t>
      </w:r>
      <w:r>
        <w:rPr>
          <w:rFonts w:ascii="微软雅黑" w:eastAsia="微软雅黑" w:hAnsi="微软雅黑" w:hint="eastAsia"/>
          <w:sz w:val="21"/>
          <w:szCs w:val="21"/>
        </w:rPr>
        <w:t>配置</w:t>
      </w:r>
      <w:r>
        <w:rPr>
          <w:rFonts w:ascii="微软雅黑" w:eastAsia="微软雅黑" w:hAnsi="微软雅黑" w:hint="eastAsia"/>
          <w:sz w:val="21"/>
          <w:szCs w:val="21"/>
          <w:u w:val="single"/>
        </w:rPr>
        <w:t xml:space="preserve"> 5</w:t>
      </w:r>
      <w:r>
        <w:rPr>
          <w:rFonts w:ascii="微软雅黑" w:eastAsia="微软雅黑" w:hAnsi="微软雅黑"/>
          <w:sz w:val="21"/>
          <w:szCs w:val="21"/>
          <w:u w:val="single"/>
        </w:rPr>
        <w:t>0</w:t>
      </w:r>
      <w:r>
        <w:rPr>
          <w:rFonts w:ascii="微软雅黑" w:eastAsia="微软雅黑" w:hAnsi="微软雅黑" w:hint="eastAsia"/>
          <w:sz w:val="21"/>
          <w:szCs w:val="21"/>
          <w:u w:val="single"/>
        </w:rPr>
        <w:t xml:space="preserve"> </w:t>
      </w:r>
      <w:r>
        <w:rPr>
          <w:rFonts w:ascii="微软雅黑" w:eastAsia="微软雅黑" w:hAnsi="微软雅黑"/>
          <w:sz w:val="21"/>
          <w:szCs w:val="21"/>
        </w:rPr>
        <w:t>名</w:t>
      </w:r>
      <w:r>
        <w:rPr>
          <w:rFonts w:ascii="微软雅黑" w:eastAsia="微软雅黑" w:hAnsi="微软雅黑" w:hint="eastAsia"/>
          <w:sz w:val="21"/>
          <w:szCs w:val="21"/>
        </w:rPr>
        <w:t>及以上</w:t>
      </w:r>
      <w:r>
        <w:rPr>
          <w:rFonts w:ascii="微软雅黑" w:eastAsia="微软雅黑" w:hAnsi="微软雅黑"/>
          <w:sz w:val="21"/>
          <w:szCs w:val="21"/>
        </w:rPr>
        <w:t>项目小组开发人员（其中</w:t>
      </w:r>
      <w:r>
        <w:rPr>
          <w:rFonts w:ascii="微软雅黑" w:eastAsia="微软雅黑" w:hAnsi="微软雅黑" w:hint="eastAsia"/>
          <w:sz w:val="21"/>
          <w:szCs w:val="21"/>
        </w:rPr>
        <w:t>：</w:t>
      </w:r>
      <w:r>
        <w:rPr>
          <w:rFonts w:ascii="微软雅黑" w:eastAsia="微软雅黑" w:hAnsi="微软雅黑"/>
          <w:sz w:val="21"/>
          <w:szCs w:val="21"/>
        </w:rPr>
        <w:t>1人为项目经理，</w:t>
      </w:r>
      <w:r>
        <w:rPr>
          <w:rFonts w:ascii="微软雅黑" w:eastAsia="微软雅黑" w:hAnsi="微软雅黑" w:hint="eastAsia"/>
          <w:sz w:val="21"/>
          <w:szCs w:val="21"/>
        </w:rPr>
        <w:t>1</w:t>
      </w:r>
      <w:r>
        <w:rPr>
          <w:rFonts w:ascii="微软雅黑" w:eastAsia="微软雅黑" w:hAnsi="微软雅黑"/>
          <w:sz w:val="21"/>
          <w:szCs w:val="21"/>
        </w:rPr>
        <w:t>人为项目技术负责人，</w:t>
      </w:r>
      <w:r>
        <w:rPr>
          <w:rFonts w:ascii="微软雅黑" w:eastAsia="微软雅黑" w:hAnsi="微软雅黑" w:hint="eastAsia"/>
          <w:sz w:val="21"/>
          <w:szCs w:val="21"/>
        </w:rPr>
        <w:t>1</w:t>
      </w:r>
      <w:r>
        <w:rPr>
          <w:rFonts w:ascii="微软雅黑" w:eastAsia="微软雅黑" w:hAnsi="微软雅黑"/>
          <w:sz w:val="21"/>
          <w:szCs w:val="21"/>
        </w:rPr>
        <w:t>人为项目安全负责人）</w:t>
      </w:r>
      <w:r>
        <w:rPr>
          <w:rFonts w:ascii="微软雅黑" w:eastAsia="微软雅黑" w:hAnsi="微软雅黑" w:hint="eastAsia"/>
          <w:sz w:val="21"/>
          <w:szCs w:val="21"/>
        </w:rPr>
        <w:t>在</w:t>
      </w:r>
      <w:r>
        <w:rPr>
          <w:rFonts w:ascii="微软雅黑" w:eastAsia="微软雅黑" w:hAnsi="微软雅黑"/>
          <w:sz w:val="21"/>
          <w:szCs w:val="21"/>
        </w:rPr>
        <w:t>采购人指定地点驻场服务，完成本次</w:t>
      </w:r>
      <w:r>
        <w:rPr>
          <w:rFonts w:ascii="微软雅黑" w:eastAsia="微软雅黑" w:hAnsi="微软雅黑" w:hint="eastAsia"/>
          <w:sz w:val="21"/>
          <w:szCs w:val="21"/>
        </w:rPr>
        <w:t>开发建设</w:t>
      </w:r>
      <w:r>
        <w:rPr>
          <w:rFonts w:ascii="微软雅黑" w:eastAsia="微软雅黑" w:hAnsi="微软雅黑"/>
          <w:sz w:val="21"/>
          <w:szCs w:val="21"/>
        </w:rPr>
        <w:t>内容，</w:t>
      </w:r>
      <w:r>
        <w:rPr>
          <w:rFonts w:ascii="微软雅黑" w:eastAsia="微软雅黑" w:hAnsi="微软雅黑" w:hint="eastAsia"/>
          <w:sz w:val="21"/>
          <w:szCs w:val="21"/>
        </w:rPr>
        <w:t>按照采购人要求参加工作例会，</w:t>
      </w:r>
      <w:r>
        <w:rPr>
          <w:rFonts w:ascii="微软雅黑" w:eastAsia="微软雅黑" w:hAnsi="微软雅黑"/>
          <w:sz w:val="21"/>
          <w:szCs w:val="21"/>
        </w:rPr>
        <w:t>负责技术培训，提供项目整体实施的技术方案，对项目实施过程中出现的疑难问题提供技术支持。</w:t>
      </w:r>
      <w:r>
        <w:rPr>
          <w:rFonts w:ascii="微软雅黑" w:eastAsia="微软雅黑" w:hAnsi="微软雅黑" w:hint="eastAsia"/>
          <w:sz w:val="21"/>
          <w:szCs w:val="21"/>
        </w:rPr>
        <w:t>中标人对派出的所有人员的驻场行为负责，如因任何驻场人员的失职、失误及其他行为给采购人造成的损失均由中标人承担责任。</w:t>
      </w:r>
    </w:p>
    <w:p w14:paraId="37A6343E"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2.质量保证</w:t>
      </w:r>
      <w:r>
        <w:rPr>
          <w:rFonts w:ascii="微软雅黑" w:eastAsia="微软雅黑" w:hAnsi="微软雅黑" w:hint="eastAsia"/>
          <w:sz w:val="21"/>
          <w:szCs w:val="21"/>
        </w:rPr>
        <w:t>期人员配置</w:t>
      </w:r>
    </w:p>
    <w:p w14:paraId="7E2F08A9" w14:textId="77777777" w:rsidR="0022665C" w:rsidRDefault="00000000">
      <w:pPr>
        <w:spacing w:line="440" w:lineRule="atLeast"/>
        <w:ind w:firstLineChars="200" w:firstLine="420"/>
        <w:rPr>
          <w:rFonts w:ascii="微软雅黑" w:eastAsia="微软雅黑" w:hAnsi="微软雅黑" w:hint="eastAsia"/>
          <w:sz w:val="21"/>
          <w:szCs w:val="21"/>
        </w:rPr>
      </w:pPr>
      <w:bookmarkStart w:id="83" w:name="_Toc20136"/>
      <w:bookmarkStart w:id="84" w:name="_Toc7574"/>
      <w:r>
        <w:rPr>
          <w:rFonts w:ascii="微软雅黑" w:eastAsia="微软雅黑" w:hAnsi="微软雅黑"/>
          <w:sz w:val="21"/>
          <w:szCs w:val="21"/>
        </w:rPr>
        <w:t>2.1质量保证</w:t>
      </w:r>
      <w:bookmarkEnd w:id="83"/>
      <w:bookmarkEnd w:id="84"/>
      <w:r>
        <w:rPr>
          <w:rFonts w:ascii="微软雅黑" w:eastAsia="微软雅黑" w:hAnsi="微软雅黑" w:hint="eastAsia"/>
          <w:sz w:val="21"/>
          <w:szCs w:val="21"/>
        </w:rPr>
        <w:t>（控制）小组</w:t>
      </w:r>
    </w:p>
    <w:p w14:paraId="6D6C28F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中标人应</w:t>
      </w:r>
      <w:r>
        <w:rPr>
          <w:rFonts w:ascii="微软雅黑" w:eastAsia="微软雅黑" w:hAnsi="微软雅黑"/>
          <w:sz w:val="21"/>
          <w:szCs w:val="21"/>
        </w:rPr>
        <w:t>成立</w:t>
      </w:r>
      <w:r>
        <w:rPr>
          <w:rFonts w:ascii="微软雅黑" w:eastAsia="微软雅黑" w:hAnsi="微软雅黑" w:hint="eastAsia"/>
          <w:sz w:val="21"/>
          <w:szCs w:val="21"/>
        </w:rPr>
        <w:t>不低于</w:t>
      </w:r>
      <w:r>
        <w:rPr>
          <w:rFonts w:ascii="微软雅黑" w:eastAsia="微软雅黑" w:hAnsi="微软雅黑" w:hint="eastAsia"/>
          <w:sz w:val="21"/>
          <w:szCs w:val="21"/>
          <w:u w:val="single"/>
        </w:rPr>
        <w:t xml:space="preserve"> </w:t>
      </w:r>
      <w:r>
        <w:rPr>
          <w:rFonts w:ascii="微软雅黑" w:eastAsia="微软雅黑" w:hAnsi="微软雅黑"/>
          <w:sz w:val="21"/>
          <w:szCs w:val="21"/>
          <w:u w:val="single"/>
        </w:rPr>
        <w:t>5</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人的</w:t>
      </w:r>
      <w:r>
        <w:rPr>
          <w:rFonts w:ascii="微软雅黑" w:eastAsia="微软雅黑" w:hAnsi="微软雅黑"/>
          <w:sz w:val="21"/>
          <w:szCs w:val="21"/>
        </w:rPr>
        <w:t>质量保证（控制）小组，以独立审查方式，从第三方的角度监控软件开发任务的执行，分析</w:t>
      </w:r>
      <w:r>
        <w:rPr>
          <w:rFonts w:ascii="微软雅黑" w:eastAsia="微软雅黑" w:hAnsi="微软雅黑" w:hint="eastAsia"/>
          <w:sz w:val="21"/>
          <w:szCs w:val="21"/>
        </w:rPr>
        <w:t>应用</w:t>
      </w:r>
      <w:r>
        <w:rPr>
          <w:rFonts w:ascii="微软雅黑" w:eastAsia="微软雅黑" w:hAnsi="微软雅黑"/>
          <w:sz w:val="21"/>
          <w:szCs w:val="21"/>
        </w:rPr>
        <w:t>内存在的质量问题，审查</w:t>
      </w:r>
      <w:r>
        <w:rPr>
          <w:rFonts w:ascii="微软雅黑" w:eastAsia="微软雅黑" w:hAnsi="微软雅黑" w:hint="eastAsia"/>
          <w:sz w:val="21"/>
          <w:szCs w:val="21"/>
        </w:rPr>
        <w:t>应用</w:t>
      </w:r>
      <w:r>
        <w:rPr>
          <w:rFonts w:ascii="微软雅黑" w:eastAsia="微软雅黑" w:hAnsi="微软雅黑"/>
          <w:sz w:val="21"/>
          <w:szCs w:val="21"/>
        </w:rPr>
        <w:t>的质量活动，给出质量审</w:t>
      </w:r>
      <w:r>
        <w:rPr>
          <w:rFonts w:ascii="微软雅黑" w:eastAsia="微软雅黑" w:hAnsi="微软雅黑" w:hint="eastAsia"/>
          <w:sz w:val="21"/>
          <w:szCs w:val="21"/>
        </w:rPr>
        <w:t>查</w:t>
      </w:r>
      <w:r>
        <w:rPr>
          <w:rFonts w:ascii="微软雅黑" w:eastAsia="微软雅黑" w:hAnsi="微软雅黑"/>
          <w:sz w:val="21"/>
          <w:szCs w:val="21"/>
        </w:rPr>
        <w:t>报告。就</w:t>
      </w:r>
      <w:r>
        <w:rPr>
          <w:rFonts w:ascii="微软雅黑" w:eastAsia="微软雅黑" w:hAnsi="微软雅黑" w:hint="eastAsia"/>
          <w:sz w:val="21"/>
          <w:szCs w:val="21"/>
        </w:rPr>
        <w:t>应用</w:t>
      </w:r>
      <w:r>
        <w:rPr>
          <w:rFonts w:ascii="微软雅黑" w:eastAsia="微软雅黑" w:hAnsi="微软雅黑"/>
          <w:sz w:val="21"/>
          <w:szCs w:val="21"/>
        </w:rPr>
        <w:t>是否遵循已制定的计划、标准和规程，向</w:t>
      </w:r>
      <w:r>
        <w:rPr>
          <w:rFonts w:ascii="微软雅黑" w:eastAsia="微软雅黑" w:hAnsi="微软雅黑" w:hint="eastAsia"/>
          <w:sz w:val="21"/>
          <w:szCs w:val="21"/>
        </w:rPr>
        <w:t>项目经理</w:t>
      </w:r>
      <w:r>
        <w:rPr>
          <w:rFonts w:ascii="微软雅黑" w:eastAsia="微软雅黑" w:hAnsi="微软雅黑"/>
          <w:sz w:val="21"/>
          <w:szCs w:val="21"/>
        </w:rPr>
        <w:t>及有关人员提供反映产品和过程质量的信息和数据，使能了解整个</w:t>
      </w:r>
      <w:r>
        <w:rPr>
          <w:rFonts w:ascii="微软雅黑" w:eastAsia="微软雅黑" w:hAnsi="微软雅黑" w:hint="eastAsia"/>
          <w:sz w:val="21"/>
          <w:szCs w:val="21"/>
        </w:rPr>
        <w:t>应用</w:t>
      </w:r>
      <w:r>
        <w:rPr>
          <w:rFonts w:ascii="微软雅黑" w:eastAsia="微软雅黑" w:hAnsi="微软雅黑"/>
          <w:sz w:val="21"/>
          <w:szCs w:val="21"/>
        </w:rPr>
        <w:t>生存周期中工作产品和过程的情况，提高</w:t>
      </w:r>
      <w:r>
        <w:rPr>
          <w:rFonts w:ascii="微软雅黑" w:eastAsia="微软雅黑" w:hAnsi="微软雅黑" w:hint="eastAsia"/>
          <w:sz w:val="21"/>
          <w:szCs w:val="21"/>
        </w:rPr>
        <w:t>应用</w:t>
      </w:r>
      <w:r>
        <w:rPr>
          <w:rFonts w:ascii="微软雅黑" w:eastAsia="微软雅黑" w:hAnsi="微软雅黑"/>
          <w:sz w:val="21"/>
          <w:szCs w:val="21"/>
        </w:rPr>
        <w:t xml:space="preserve">透明度，从而支持其交付高质量的软件产品。 </w:t>
      </w:r>
    </w:p>
    <w:p w14:paraId="696B6E9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质量保证人员依据质量保证计划，通过质量审</w:t>
      </w:r>
      <w:r>
        <w:rPr>
          <w:rFonts w:ascii="微软雅黑" w:eastAsia="微软雅黑" w:hAnsi="微软雅黑" w:hint="eastAsia"/>
          <w:sz w:val="21"/>
          <w:szCs w:val="21"/>
        </w:rPr>
        <w:t>查</w:t>
      </w:r>
      <w:r>
        <w:rPr>
          <w:rFonts w:ascii="微软雅黑" w:eastAsia="微软雅黑" w:hAnsi="微软雅黑"/>
          <w:sz w:val="21"/>
          <w:szCs w:val="21"/>
        </w:rPr>
        <w:t>报告向</w:t>
      </w:r>
      <w:r>
        <w:rPr>
          <w:rFonts w:ascii="微软雅黑" w:eastAsia="微软雅黑" w:hAnsi="微软雅黑" w:hint="eastAsia"/>
          <w:sz w:val="21"/>
          <w:szCs w:val="21"/>
        </w:rPr>
        <w:t>项目经理</w:t>
      </w:r>
      <w:r>
        <w:rPr>
          <w:rFonts w:ascii="微软雅黑" w:eastAsia="微软雅黑" w:hAnsi="微软雅黑"/>
          <w:sz w:val="21"/>
          <w:szCs w:val="21"/>
        </w:rPr>
        <w:t>及有关人员提出已经识别出的不符合项，并跟踪不符合项的解决过程，通过审</w:t>
      </w:r>
      <w:r>
        <w:rPr>
          <w:rFonts w:ascii="微软雅黑" w:eastAsia="微软雅黑" w:hAnsi="微软雅黑" w:hint="eastAsia"/>
          <w:sz w:val="21"/>
          <w:szCs w:val="21"/>
        </w:rPr>
        <w:t>查</w:t>
      </w:r>
      <w:r>
        <w:rPr>
          <w:rFonts w:ascii="微软雅黑" w:eastAsia="微软雅黑" w:hAnsi="微软雅黑"/>
          <w:sz w:val="21"/>
          <w:szCs w:val="21"/>
        </w:rPr>
        <w:t>周报或者审</w:t>
      </w:r>
      <w:r>
        <w:rPr>
          <w:rFonts w:ascii="微软雅黑" w:eastAsia="微软雅黑" w:hAnsi="微软雅黑" w:hint="eastAsia"/>
          <w:sz w:val="21"/>
          <w:szCs w:val="21"/>
        </w:rPr>
        <w:t>查</w:t>
      </w:r>
      <w:r>
        <w:rPr>
          <w:rFonts w:ascii="微软雅黑" w:eastAsia="微软雅黑" w:hAnsi="微软雅黑"/>
          <w:sz w:val="21"/>
          <w:szCs w:val="21"/>
        </w:rPr>
        <w:t>月报向</w:t>
      </w:r>
      <w:r>
        <w:rPr>
          <w:rFonts w:ascii="微软雅黑" w:eastAsia="微软雅黑" w:hAnsi="微软雅黑" w:hint="eastAsia"/>
          <w:sz w:val="21"/>
          <w:szCs w:val="21"/>
        </w:rPr>
        <w:t>项目经理</w:t>
      </w:r>
      <w:r>
        <w:rPr>
          <w:rFonts w:ascii="微软雅黑" w:eastAsia="微软雅黑" w:hAnsi="微软雅黑"/>
          <w:sz w:val="21"/>
          <w:szCs w:val="21"/>
        </w:rPr>
        <w:t>提供过程和产品质量数据，并与</w:t>
      </w:r>
      <w:r>
        <w:rPr>
          <w:rFonts w:ascii="微软雅黑" w:eastAsia="微软雅黑" w:hAnsi="微软雅黑" w:hint="eastAsia"/>
          <w:sz w:val="21"/>
          <w:szCs w:val="21"/>
        </w:rPr>
        <w:t>应用</w:t>
      </w:r>
      <w:r>
        <w:rPr>
          <w:rFonts w:ascii="微软雅黑" w:eastAsia="微软雅黑" w:hAnsi="微软雅黑"/>
          <w:sz w:val="21"/>
          <w:szCs w:val="21"/>
        </w:rPr>
        <w:t>组协商不符合项的解决办法。质量保证小组的</w:t>
      </w:r>
      <w:r>
        <w:rPr>
          <w:rFonts w:ascii="微软雅黑" w:eastAsia="微软雅黑" w:hAnsi="微软雅黑" w:hint="eastAsia"/>
          <w:sz w:val="21"/>
          <w:szCs w:val="21"/>
        </w:rPr>
        <w:t>审查</w:t>
      </w:r>
      <w:r>
        <w:rPr>
          <w:rFonts w:ascii="微软雅黑" w:eastAsia="微软雅黑" w:hAnsi="微软雅黑"/>
          <w:sz w:val="21"/>
          <w:szCs w:val="21"/>
        </w:rPr>
        <w:t>范围主要包括：</w:t>
      </w:r>
    </w:p>
    <w:p w14:paraId="597F0E0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（1）应用</w:t>
      </w:r>
      <w:r>
        <w:rPr>
          <w:rFonts w:ascii="微软雅黑" w:eastAsia="微软雅黑" w:hAnsi="微软雅黑"/>
          <w:sz w:val="21"/>
          <w:szCs w:val="21"/>
        </w:rPr>
        <w:t>的进度是否按照</w:t>
      </w:r>
      <w:r>
        <w:rPr>
          <w:rFonts w:ascii="微软雅黑" w:eastAsia="微软雅黑" w:hAnsi="微软雅黑" w:hint="eastAsia"/>
          <w:sz w:val="21"/>
          <w:szCs w:val="21"/>
        </w:rPr>
        <w:t>应用</w:t>
      </w:r>
      <w:r>
        <w:rPr>
          <w:rFonts w:ascii="微软雅黑" w:eastAsia="微软雅黑" w:hAnsi="微软雅黑"/>
          <w:sz w:val="21"/>
          <w:szCs w:val="21"/>
        </w:rPr>
        <w:t>计划执行，用户需求是否得到了用户的签字确认，软件需求是否正确的反映了用户的需求，是否将每一项用户需求都映射到软件需求；</w:t>
      </w:r>
    </w:p>
    <w:p w14:paraId="7A4A9EC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w:t>
      </w:r>
      <w:r>
        <w:rPr>
          <w:rFonts w:ascii="微软雅黑" w:eastAsia="微软雅黑" w:hAnsi="微软雅黑"/>
          <w:sz w:val="21"/>
          <w:szCs w:val="21"/>
        </w:rPr>
        <w:t>系统设计是否完全反映了软件需求；</w:t>
      </w:r>
    </w:p>
    <w:p w14:paraId="1BB9150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w:t>
      </w:r>
      <w:r>
        <w:rPr>
          <w:rFonts w:ascii="微软雅黑" w:eastAsia="微软雅黑" w:hAnsi="微软雅黑"/>
          <w:sz w:val="21"/>
          <w:szCs w:val="21"/>
        </w:rPr>
        <w:t>实现的软件是否正确的体现了系统设计；</w:t>
      </w:r>
    </w:p>
    <w:p w14:paraId="266868F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w:t>
      </w:r>
      <w:r>
        <w:rPr>
          <w:rFonts w:ascii="微软雅黑" w:eastAsia="微软雅黑" w:hAnsi="微软雅黑"/>
          <w:sz w:val="21"/>
          <w:szCs w:val="21"/>
        </w:rPr>
        <w:t>测试人员是否进行了较为彻底的和全面的测试；</w:t>
      </w:r>
    </w:p>
    <w:p w14:paraId="0E8F80C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（5）</w:t>
      </w:r>
      <w:r>
        <w:rPr>
          <w:rFonts w:ascii="微软雅黑" w:eastAsia="微软雅黑" w:hAnsi="微软雅黑"/>
          <w:sz w:val="21"/>
          <w:szCs w:val="21"/>
        </w:rPr>
        <w:t>客户验收和交接清单是否完备；</w:t>
      </w:r>
    </w:p>
    <w:p w14:paraId="324C433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w:t>
      </w:r>
      <w:r>
        <w:rPr>
          <w:rFonts w:ascii="微软雅黑" w:eastAsia="微软雅黑" w:hAnsi="微软雅黑"/>
          <w:sz w:val="21"/>
          <w:szCs w:val="21"/>
        </w:rPr>
        <w:t>对于系统运行中出现的问题，</w:t>
      </w:r>
      <w:r>
        <w:rPr>
          <w:rFonts w:ascii="微软雅黑" w:eastAsia="微软雅黑" w:hAnsi="微软雅黑" w:hint="eastAsia"/>
          <w:sz w:val="21"/>
          <w:szCs w:val="21"/>
        </w:rPr>
        <w:t>技术</w:t>
      </w:r>
      <w:r>
        <w:rPr>
          <w:rFonts w:ascii="微软雅黑" w:eastAsia="微软雅黑" w:hAnsi="微软雅黑"/>
          <w:sz w:val="21"/>
          <w:szCs w:val="21"/>
        </w:rPr>
        <w:t>人员是否记录了详细的维护记录；</w:t>
      </w:r>
    </w:p>
    <w:p w14:paraId="32BB3E31"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（7）</w:t>
      </w:r>
      <w:r>
        <w:rPr>
          <w:rFonts w:ascii="微软雅黑" w:eastAsia="微软雅黑" w:hAnsi="微软雅黑"/>
          <w:sz w:val="21"/>
          <w:szCs w:val="21"/>
        </w:rPr>
        <w:t>配置管理员是否按照配置管理计划建立了基线，是否严格控制变更过程，是否对配置库进行了维护。</w:t>
      </w:r>
    </w:p>
    <w:p w14:paraId="544DB3E4"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w:t>
      </w:r>
      <w:r>
        <w:rPr>
          <w:rFonts w:ascii="微软雅黑" w:eastAsia="微软雅黑" w:hAnsi="微软雅黑"/>
          <w:sz w:val="21"/>
          <w:szCs w:val="21"/>
        </w:rPr>
        <w:t>.2质量保证</w:t>
      </w:r>
      <w:r>
        <w:rPr>
          <w:rFonts w:ascii="微软雅黑" w:eastAsia="微软雅黑" w:hAnsi="微软雅黑" w:hint="eastAsia"/>
          <w:sz w:val="21"/>
          <w:szCs w:val="21"/>
        </w:rPr>
        <w:t>期内驻场人员</w:t>
      </w:r>
    </w:p>
    <w:p w14:paraId="43FB26B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 xml:space="preserve">项目终验结束之日起，中标人配置  </w:t>
      </w:r>
      <w:r>
        <w:rPr>
          <w:rFonts w:ascii="微软雅黑" w:eastAsia="微软雅黑" w:hAnsi="微软雅黑" w:hint="eastAsia"/>
          <w:sz w:val="21"/>
          <w:szCs w:val="21"/>
          <w:u w:val="single"/>
        </w:rPr>
        <w:t xml:space="preserve">3 </w:t>
      </w:r>
      <w:r>
        <w:rPr>
          <w:rFonts w:ascii="微软雅黑" w:eastAsia="微软雅黑" w:hAnsi="微软雅黑"/>
          <w:sz w:val="21"/>
          <w:szCs w:val="21"/>
        </w:rPr>
        <w:t>名</w:t>
      </w:r>
      <w:r>
        <w:rPr>
          <w:rFonts w:ascii="微软雅黑" w:eastAsia="微软雅黑" w:hAnsi="微软雅黑" w:hint="eastAsia"/>
          <w:sz w:val="21"/>
          <w:szCs w:val="21"/>
        </w:rPr>
        <w:t>及以上</w:t>
      </w:r>
      <w:r>
        <w:rPr>
          <w:rFonts w:ascii="微软雅黑" w:eastAsia="微软雅黑" w:hAnsi="微软雅黑"/>
          <w:sz w:val="21"/>
          <w:szCs w:val="21"/>
        </w:rPr>
        <w:t>技术</w:t>
      </w:r>
      <w:r>
        <w:rPr>
          <w:rFonts w:ascii="微软雅黑" w:eastAsia="微软雅黑" w:hAnsi="微软雅黑" w:hint="eastAsia"/>
          <w:sz w:val="21"/>
          <w:szCs w:val="21"/>
        </w:rPr>
        <w:t>开发</w:t>
      </w:r>
      <w:r>
        <w:rPr>
          <w:rFonts w:ascii="微软雅黑" w:eastAsia="微软雅黑" w:hAnsi="微软雅黑"/>
          <w:sz w:val="21"/>
          <w:szCs w:val="21"/>
        </w:rPr>
        <w:t>人员</w:t>
      </w:r>
      <w:r>
        <w:rPr>
          <w:rFonts w:ascii="微软雅黑" w:eastAsia="微软雅黑" w:hAnsi="微软雅黑" w:hint="eastAsia"/>
          <w:sz w:val="21"/>
          <w:szCs w:val="21"/>
        </w:rPr>
        <w:t>，在</w:t>
      </w:r>
      <w:r>
        <w:rPr>
          <w:rFonts w:ascii="微软雅黑" w:eastAsia="微软雅黑" w:hAnsi="微软雅黑"/>
          <w:sz w:val="21"/>
          <w:szCs w:val="21"/>
        </w:rPr>
        <w:t>采购人指定地点驻场服务，</w:t>
      </w:r>
      <w:r>
        <w:rPr>
          <w:rFonts w:ascii="微软雅黑" w:eastAsia="微软雅黑" w:hAnsi="微软雅黑" w:hint="eastAsia"/>
          <w:sz w:val="21"/>
          <w:szCs w:val="21"/>
        </w:rPr>
        <w:t>完成成品软件和定制开发</w:t>
      </w:r>
      <w:r>
        <w:rPr>
          <w:rFonts w:ascii="微软雅黑" w:eastAsia="微软雅黑" w:hAnsi="微软雅黑"/>
          <w:sz w:val="21"/>
          <w:szCs w:val="21"/>
        </w:rPr>
        <w:t>系统</w:t>
      </w:r>
      <w:r>
        <w:rPr>
          <w:rFonts w:ascii="微软雅黑" w:eastAsia="微软雅黑" w:hAnsi="微软雅黑" w:hint="eastAsia"/>
          <w:sz w:val="21"/>
          <w:szCs w:val="21"/>
        </w:rPr>
        <w:t>的运维维护和</w:t>
      </w:r>
      <w:r>
        <w:rPr>
          <w:rFonts w:ascii="微软雅黑" w:eastAsia="微软雅黑" w:hAnsi="微软雅黑"/>
          <w:sz w:val="21"/>
          <w:szCs w:val="21"/>
        </w:rPr>
        <w:t>安全等工作</w:t>
      </w:r>
      <w:r>
        <w:rPr>
          <w:rFonts w:ascii="微软雅黑" w:eastAsia="微软雅黑" w:hAnsi="微软雅黑" w:hint="eastAsia"/>
          <w:sz w:val="21"/>
          <w:szCs w:val="21"/>
        </w:rPr>
        <w:t>。内容包含但不限于：应用</w:t>
      </w:r>
      <w:r>
        <w:rPr>
          <w:rFonts w:ascii="微软雅黑" w:eastAsia="微软雅黑" w:hAnsi="微软雅黑"/>
          <w:sz w:val="21"/>
          <w:szCs w:val="21"/>
        </w:rPr>
        <w:t>系统应急事件的</w:t>
      </w:r>
      <w:r>
        <w:rPr>
          <w:rFonts w:ascii="微软雅黑" w:eastAsia="微软雅黑" w:hAnsi="微软雅黑" w:hint="eastAsia"/>
          <w:sz w:val="21"/>
          <w:szCs w:val="21"/>
        </w:rPr>
        <w:t>响应和</w:t>
      </w:r>
      <w:r>
        <w:rPr>
          <w:rFonts w:ascii="微软雅黑" w:eastAsia="微软雅黑" w:hAnsi="微软雅黑"/>
          <w:sz w:val="21"/>
          <w:szCs w:val="21"/>
        </w:rPr>
        <w:t>处理、应用系统的</w:t>
      </w:r>
      <w:r>
        <w:rPr>
          <w:rFonts w:ascii="微软雅黑" w:eastAsia="微软雅黑" w:hAnsi="微软雅黑" w:hint="eastAsia"/>
          <w:sz w:val="21"/>
          <w:szCs w:val="21"/>
        </w:rPr>
        <w:t>运维维护和</w:t>
      </w:r>
      <w:r>
        <w:rPr>
          <w:rFonts w:ascii="微软雅黑" w:eastAsia="微软雅黑" w:hAnsi="微软雅黑"/>
          <w:sz w:val="21"/>
          <w:szCs w:val="21"/>
        </w:rPr>
        <w:t>日常操作、安全监控</w:t>
      </w:r>
      <w:r>
        <w:rPr>
          <w:rFonts w:ascii="微软雅黑" w:eastAsia="微软雅黑" w:hAnsi="微软雅黑" w:hint="eastAsia"/>
          <w:sz w:val="21"/>
          <w:szCs w:val="21"/>
        </w:rPr>
        <w:t>、</w:t>
      </w:r>
      <w:r>
        <w:rPr>
          <w:rFonts w:ascii="微软雅黑" w:eastAsia="微软雅黑" w:hAnsi="微软雅黑"/>
          <w:sz w:val="21"/>
          <w:szCs w:val="21"/>
        </w:rPr>
        <w:t>安全防护等</w:t>
      </w:r>
      <w:r>
        <w:rPr>
          <w:rFonts w:ascii="微软雅黑" w:eastAsia="微软雅黑" w:hAnsi="微软雅黑" w:hint="eastAsia"/>
          <w:sz w:val="21"/>
          <w:szCs w:val="21"/>
        </w:rPr>
        <w:t>。</w:t>
      </w:r>
    </w:p>
    <w:p w14:paraId="1509221C" w14:textId="77777777" w:rsidR="0022665C" w:rsidRDefault="00000000">
      <w:pPr>
        <w:pStyle w:val="2"/>
        <w:spacing w:line="560" w:lineRule="atLeast"/>
        <w:ind w:firstLine="480"/>
        <w:jc w:val="left"/>
        <w:rPr>
          <w:rFonts w:ascii="微软雅黑" w:eastAsia="微软雅黑" w:hAnsi="微软雅黑" w:hint="eastAsia"/>
          <w:b/>
          <w:bCs/>
          <w:sz w:val="24"/>
        </w:rPr>
      </w:pPr>
      <w:bookmarkStart w:id="85" w:name="_Toc16243"/>
      <w:bookmarkStart w:id="86" w:name="_Toc18737"/>
      <w:bookmarkStart w:id="87" w:name="_Toc25714"/>
      <w:bookmarkStart w:id="88" w:name="_Toc27529"/>
      <w:r>
        <w:rPr>
          <w:rFonts w:ascii="微软雅黑" w:eastAsia="微软雅黑" w:hAnsi="微软雅黑" w:hint="eastAsia"/>
          <w:b/>
          <w:bCs/>
          <w:sz w:val="24"/>
        </w:rPr>
        <w:t>三、验收标准</w:t>
      </w:r>
      <w:bookmarkEnd w:id="85"/>
      <w:bookmarkEnd w:id="86"/>
      <w:bookmarkEnd w:id="87"/>
      <w:bookmarkEnd w:id="88"/>
    </w:p>
    <w:p w14:paraId="1A6E47AB" w14:textId="77777777" w:rsidR="0022665C" w:rsidRDefault="00000000">
      <w:pPr>
        <w:spacing w:line="440" w:lineRule="atLeast"/>
        <w:ind w:firstLineChars="200" w:firstLine="420"/>
        <w:outlineLvl w:val="2"/>
        <w:rPr>
          <w:rFonts w:ascii="微软雅黑" w:eastAsia="微软雅黑" w:hAnsi="微软雅黑" w:hint="eastAsia"/>
          <w:sz w:val="21"/>
          <w:szCs w:val="21"/>
        </w:rPr>
      </w:pPr>
      <w:bookmarkStart w:id="89" w:name="_Hlk151581924"/>
      <w:r>
        <w:rPr>
          <w:rFonts w:ascii="微软雅黑" w:eastAsia="微软雅黑" w:hAnsi="微软雅黑"/>
          <w:sz w:val="21"/>
          <w:szCs w:val="21"/>
        </w:rPr>
        <w:t>（</w:t>
      </w:r>
      <w:r>
        <w:rPr>
          <w:rFonts w:ascii="微软雅黑" w:eastAsia="微软雅黑" w:hAnsi="微软雅黑" w:hint="eastAsia"/>
          <w:sz w:val="21"/>
          <w:szCs w:val="21"/>
        </w:rPr>
        <w:t>一</w:t>
      </w:r>
      <w:r>
        <w:rPr>
          <w:rFonts w:ascii="微软雅黑" w:eastAsia="微软雅黑" w:hAnsi="微软雅黑"/>
          <w:sz w:val="21"/>
          <w:szCs w:val="21"/>
        </w:rPr>
        <w:t>）软件开发</w:t>
      </w:r>
    </w:p>
    <w:p w14:paraId="13C02724"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1.中标人应向采购人提交详细的软件系统开发和实施计划。包括人员组织、进度计划、质量保证计划等。</w:t>
      </w:r>
    </w:p>
    <w:p w14:paraId="4DAA568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2.中标人负责提供本项目中的应用软件系统的开发及部署。</w:t>
      </w:r>
    </w:p>
    <w:p w14:paraId="1AC5AF8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3.中标人应完成合同规定的软件系统的开发工作，要求分阶段向采购人提供以下资料</w:t>
      </w:r>
      <w:r>
        <w:rPr>
          <w:rFonts w:ascii="微软雅黑" w:eastAsia="微软雅黑" w:hAnsi="微软雅黑" w:hint="eastAsia"/>
          <w:sz w:val="21"/>
          <w:szCs w:val="21"/>
        </w:rPr>
        <w:t>（需电子版）</w:t>
      </w:r>
      <w:r>
        <w:rPr>
          <w:rFonts w:ascii="微软雅黑" w:eastAsia="微软雅黑" w:hAnsi="微软雅黑"/>
          <w:sz w:val="21"/>
          <w:szCs w:val="21"/>
        </w:rPr>
        <w:t>并通过审核：</w:t>
      </w:r>
    </w:p>
    <w:p w14:paraId="2CEC13B5"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①软件开发计划；</w:t>
      </w:r>
    </w:p>
    <w:p w14:paraId="77BCC0AC"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②软件需求规格书；</w:t>
      </w:r>
    </w:p>
    <w:p w14:paraId="1F386FFC"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③</w:t>
      </w:r>
      <w:r>
        <w:rPr>
          <w:rFonts w:ascii="微软雅黑" w:eastAsia="微软雅黑" w:hAnsi="微软雅黑" w:hint="eastAsia"/>
          <w:sz w:val="21"/>
          <w:szCs w:val="21"/>
          <w:lang w:bidi="ar"/>
        </w:rPr>
        <w:t>深化设计（详细设计）</w:t>
      </w:r>
      <w:r>
        <w:rPr>
          <w:rFonts w:ascii="微软雅黑" w:eastAsia="微软雅黑" w:hAnsi="微软雅黑" w:cs="微软雅黑" w:hint="eastAsia"/>
          <w:sz w:val="21"/>
          <w:szCs w:val="21"/>
        </w:rPr>
        <w:t>；</w:t>
      </w:r>
    </w:p>
    <w:p w14:paraId="532CE6CB"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④测试计划和用户使用文档。</w:t>
      </w:r>
    </w:p>
    <w:p w14:paraId="7C9EE83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4.在完成软件系统的开发工作后，中标人应在</w:t>
      </w:r>
      <w:r>
        <w:rPr>
          <w:rFonts w:ascii="微软雅黑" w:eastAsia="微软雅黑" w:hAnsi="微软雅黑" w:hint="eastAsia"/>
          <w:sz w:val="21"/>
          <w:szCs w:val="21"/>
        </w:rPr>
        <w:t>采购人要求的时间</w:t>
      </w:r>
      <w:r>
        <w:rPr>
          <w:rFonts w:ascii="微软雅黑" w:eastAsia="微软雅黑" w:hAnsi="微软雅黑"/>
          <w:sz w:val="21"/>
          <w:szCs w:val="21"/>
        </w:rPr>
        <w:t>内完成安装调试和培训工作。</w:t>
      </w:r>
    </w:p>
    <w:p w14:paraId="773E6F99"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5.中标人应合理安排</w:t>
      </w:r>
      <w:r>
        <w:rPr>
          <w:rFonts w:ascii="微软雅黑" w:eastAsia="微软雅黑" w:hAnsi="微软雅黑" w:hint="eastAsia"/>
          <w:sz w:val="21"/>
          <w:szCs w:val="21"/>
        </w:rPr>
        <w:t>开发建设</w:t>
      </w:r>
      <w:r>
        <w:rPr>
          <w:rFonts w:ascii="微软雅黑" w:eastAsia="微软雅黑" w:hAnsi="微软雅黑"/>
          <w:sz w:val="21"/>
          <w:szCs w:val="21"/>
        </w:rPr>
        <w:t>计划，定时提交项目进度情况报告。</w:t>
      </w:r>
    </w:p>
    <w:p w14:paraId="314C2BA8"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二</w:t>
      </w:r>
      <w:r>
        <w:rPr>
          <w:rFonts w:ascii="微软雅黑" w:eastAsia="微软雅黑" w:hAnsi="微软雅黑"/>
          <w:sz w:val="21"/>
          <w:szCs w:val="21"/>
        </w:rPr>
        <w:t>）初步验收</w:t>
      </w:r>
    </w:p>
    <w:p w14:paraId="5233953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中标人完成系统功能建设内容后，</w:t>
      </w:r>
      <w:r>
        <w:rPr>
          <w:rFonts w:ascii="微软雅黑" w:eastAsia="微软雅黑" w:hAnsi="微软雅黑"/>
          <w:sz w:val="21"/>
          <w:szCs w:val="21"/>
        </w:rPr>
        <w:t>向采购人申请进行项目初步验收。采购人组织开展初步验收工作。初步验收通过后，签署初步验收报告。</w:t>
      </w:r>
      <w:r>
        <w:rPr>
          <w:rFonts w:ascii="微软雅黑" w:eastAsia="微软雅黑" w:hAnsi="微软雅黑" w:hint="eastAsia"/>
          <w:sz w:val="21"/>
          <w:szCs w:val="21"/>
        </w:rPr>
        <w:t>验收条件及内容参照《关于印发〈重庆市市级政务信息化建设项目验收工作指南（试行）〉等3个指南的通知》（渝大数据发〔2022〕51号）的验收条件及内容进行制定，若重庆市大数据发展局制定了最新标准，则按照最新验收标准执行。</w:t>
      </w:r>
    </w:p>
    <w:p w14:paraId="1FF10A6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.初步验收必要条件：</w:t>
      </w:r>
    </w:p>
    <w:p w14:paraId="7D28983C"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sz w:val="21"/>
          <w:szCs w:val="21"/>
          <w:lang w:bidi="ar"/>
        </w:rPr>
        <w:t>1.</w:t>
      </w:r>
      <w:r>
        <w:rPr>
          <w:rFonts w:ascii="微软雅黑" w:eastAsia="微软雅黑" w:hAnsi="微软雅黑" w:hint="eastAsia"/>
          <w:sz w:val="21"/>
          <w:szCs w:val="21"/>
          <w:lang w:bidi="ar"/>
        </w:rPr>
        <w:t>1</w:t>
      </w:r>
      <w:r>
        <w:rPr>
          <w:rFonts w:ascii="微软雅黑" w:eastAsia="微软雅黑" w:hAnsi="微软雅黑"/>
          <w:sz w:val="21"/>
          <w:szCs w:val="21"/>
          <w:lang w:bidi="ar"/>
        </w:rPr>
        <w:t>合同约定的产品均符合安全相关要求</w:t>
      </w:r>
      <w:r>
        <w:rPr>
          <w:rFonts w:ascii="微软雅黑" w:eastAsia="微软雅黑" w:hAnsi="微软雅黑" w:hint="eastAsia"/>
          <w:sz w:val="21"/>
          <w:szCs w:val="21"/>
          <w:lang w:bidi="ar"/>
        </w:rPr>
        <w:t>，相关应用系统性能符合本应用性能要求</w:t>
      </w:r>
      <w:r>
        <w:rPr>
          <w:rFonts w:ascii="微软雅黑" w:eastAsia="微软雅黑" w:hAnsi="微软雅黑"/>
          <w:sz w:val="21"/>
          <w:szCs w:val="21"/>
          <w:lang w:bidi="ar"/>
        </w:rPr>
        <w:t>；合同约定的应用、安全等</w:t>
      </w:r>
      <w:r>
        <w:rPr>
          <w:rFonts w:ascii="微软雅黑" w:eastAsia="微软雅黑" w:hAnsi="微软雅黑" w:hint="eastAsia"/>
          <w:sz w:val="21"/>
          <w:szCs w:val="21"/>
          <w:lang w:bidi="ar"/>
        </w:rPr>
        <w:t>系统功能</w:t>
      </w:r>
      <w:r>
        <w:rPr>
          <w:rFonts w:ascii="微软雅黑" w:eastAsia="微软雅黑" w:hAnsi="微软雅黑"/>
          <w:sz w:val="21"/>
          <w:szCs w:val="21"/>
          <w:lang w:bidi="ar"/>
        </w:rPr>
        <w:t>已按照批准的</w:t>
      </w:r>
      <w:r>
        <w:rPr>
          <w:rFonts w:ascii="微软雅黑" w:eastAsia="微软雅黑" w:hAnsi="微软雅黑" w:hint="eastAsia"/>
          <w:sz w:val="21"/>
          <w:szCs w:val="21"/>
          <w:lang w:bidi="ar"/>
        </w:rPr>
        <w:t>开发</w:t>
      </w:r>
      <w:r>
        <w:rPr>
          <w:rFonts w:ascii="微软雅黑" w:eastAsia="微软雅黑" w:hAnsi="微软雅黑"/>
          <w:sz w:val="21"/>
          <w:szCs w:val="21"/>
          <w:lang w:bidi="ar"/>
        </w:rPr>
        <w:t>方案完成建设任务，经测试合格且能满足系统运行的需要。</w:t>
      </w:r>
    </w:p>
    <w:p w14:paraId="196523F2"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sz w:val="21"/>
          <w:szCs w:val="21"/>
          <w:lang w:bidi="ar"/>
        </w:rPr>
        <w:t>1.</w:t>
      </w:r>
      <w:r>
        <w:rPr>
          <w:rFonts w:ascii="微软雅黑" w:eastAsia="微软雅黑" w:hAnsi="微软雅黑" w:hint="eastAsia"/>
          <w:sz w:val="21"/>
          <w:szCs w:val="21"/>
          <w:lang w:bidi="ar"/>
        </w:rPr>
        <w:t>2应用</w:t>
      </w:r>
      <w:r>
        <w:rPr>
          <w:rFonts w:ascii="微软雅黑" w:eastAsia="微软雅黑" w:hAnsi="微软雅黑"/>
          <w:sz w:val="21"/>
          <w:szCs w:val="21"/>
          <w:lang w:bidi="ar"/>
        </w:rPr>
        <w:t>管理符合相关规范制度要求。</w:t>
      </w:r>
    </w:p>
    <w:p w14:paraId="5820AEFD"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sz w:val="21"/>
          <w:szCs w:val="21"/>
          <w:lang w:bidi="ar"/>
        </w:rPr>
        <w:t>1.</w:t>
      </w:r>
      <w:r>
        <w:rPr>
          <w:rFonts w:ascii="微软雅黑" w:eastAsia="微软雅黑" w:hAnsi="微软雅黑" w:hint="eastAsia"/>
          <w:sz w:val="21"/>
          <w:szCs w:val="21"/>
          <w:lang w:bidi="ar"/>
        </w:rPr>
        <w:t>3</w:t>
      </w:r>
      <w:r>
        <w:rPr>
          <w:rFonts w:ascii="微软雅黑" w:eastAsia="微软雅黑" w:hAnsi="微软雅黑"/>
          <w:sz w:val="21"/>
          <w:szCs w:val="21"/>
          <w:lang w:bidi="ar"/>
        </w:rPr>
        <w:t>合同和补充合同约定的其他条件</w:t>
      </w:r>
      <w:r>
        <w:rPr>
          <w:rFonts w:ascii="微软雅黑" w:eastAsia="微软雅黑" w:hAnsi="微软雅黑" w:hint="eastAsia"/>
          <w:sz w:val="21"/>
          <w:szCs w:val="21"/>
          <w:lang w:bidi="ar"/>
        </w:rPr>
        <w:t>。</w:t>
      </w:r>
    </w:p>
    <w:p w14:paraId="78E602F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w:t>
      </w:r>
      <w:r>
        <w:rPr>
          <w:rFonts w:ascii="微软雅黑" w:eastAsia="微软雅黑" w:hAnsi="微软雅黑" w:hint="eastAsia"/>
          <w:sz w:val="21"/>
          <w:szCs w:val="21"/>
        </w:rPr>
        <w:t>4</w:t>
      </w:r>
      <w:r>
        <w:rPr>
          <w:rFonts w:ascii="微软雅黑" w:eastAsia="微软雅黑" w:hAnsi="微软雅黑"/>
          <w:sz w:val="21"/>
          <w:szCs w:val="21"/>
        </w:rPr>
        <w:t>初验资料应完整规范，且初验申请须通过采购人审核。</w:t>
      </w:r>
      <w:r>
        <w:rPr>
          <w:rFonts w:ascii="微软雅黑" w:eastAsia="微软雅黑" w:hAnsi="微软雅黑" w:hint="eastAsia"/>
          <w:sz w:val="21"/>
          <w:szCs w:val="21"/>
        </w:rPr>
        <w:t>验收结果是否通过以采购人审核意见为准。</w:t>
      </w:r>
    </w:p>
    <w:p w14:paraId="2B0C9C84" w14:textId="77777777" w:rsidR="0022665C" w:rsidRDefault="00000000">
      <w:pPr>
        <w:spacing w:line="440" w:lineRule="atLeast"/>
        <w:ind w:firstLineChars="200" w:firstLine="420"/>
        <w:rPr>
          <w:rFonts w:ascii="微软雅黑" w:eastAsia="微软雅黑" w:hAnsi="微软雅黑" w:hint="eastAsia"/>
          <w:sz w:val="21"/>
          <w:szCs w:val="21"/>
        </w:rPr>
      </w:pPr>
      <w:bookmarkStart w:id="90" w:name="_Toc3407"/>
      <w:r>
        <w:rPr>
          <w:rFonts w:ascii="微软雅黑" w:eastAsia="微软雅黑" w:hAnsi="微软雅黑"/>
          <w:sz w:val="21"/>
          <w:szCs w:val="21"/>
        </w:rPr>
        <w:t>2.</w:t>
      </w:r>
      <w:r>
        <w:rPr>
          <w:rFonts w:ascii="微软雅黑" w:eastAsia="微软雅黑" w:hAnsi="微软雅黑" w:hint="eastAsia"/>
          <w:sz w:val="21"/>
          <w:szCs w:val="21"/>
        </w:rPr>
        <w:t>验收内容</w:t>
      </w:r>
      <w:bookmarkEnd w:id="90"/>
    </w:p>
    <w:p w14:paraId="1DDD4541"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.1</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是否按照</w:t>
      </w:r>
      <w:r>
        <w:rPr>
          <w:rFonts w:ascii="微软雅黑" w:eastAsia="微软雅黑" w:hAnsi="微软雅黑" w:hint="eastAsia"/>
          <w:sz w:val="21"/>
          <w:szCs w:val="21"/>
          <w:lang w:bidi="ar"/>
        </w:rPr>
        <w:t>开发方案</w:t>
      </w:r>
      <w:r>
        <w:rPr>
          <w:rFonts w:ascii="微软雅黑" w:eastAsia="微软雅黑" w:hAnsi="微软雅黑" w:hint="eastAsia"/>
          <w:sz w:val="21"/>
          <w:szCs w:val="21"/>
          <w:lang w:val="zh-CN" w:bidi="ar"/>
        </w:rPr>
        <w:t>以及招投标文件、合同进行建设，</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的变更或者调整是否履行备案程序。</w:t>
      </w:r>
    </w:p>
    <w:p w14:paraId="4CB68529"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.2</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实施中强制性标准的执行情况。</w:t>
      </w:r>
    </w:p>
    <w:p w14:paraId="111F58BA"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.3</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中定制化软件开发内容功能点或功能项与合同约定的一致性是否符合相关标准。</w:t>
      </w:r>
    </w:p>
    <w:p w14:paraId="7A9BA172"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.4</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的功能、性能、安全等技术指标满足合同要求和批准的</w:t>
      </w:r>
      <w:r>
        <w:rPr>
          <w:rFonts w:ascii="微软雅黑" w:eastAsia="微软雅黑" w:hAnsi="微软雅黑" w:hint="eastAsia"/>
          <w:sz w:val="21"/>
          <w:szCs w:val="21"/>
          <w:lang w:bidi="ar"/>
        </w:rPr>
        <w:t>应用开发</w:t>
      </w:r>
      <w:r>
        <w:rPr>
          <w:rFonts w:ascii="微软雅黑" w:eastAsia="微软雅黑" w:hAnsi="微软雅黑" w:hint="eastAsia"/>
          <w:sz w:val="21"/>
          <w:szCs w:val="21"/>
          <w:lang w:val="zh-CN" w:bidi="ar"/>
        </w:rPr>
        <w:t>方案</w:t>
      </w:r>
      <w:r>
        <w:rPr>
          <w:rFonts w:ascii="微软雅黑" w:eastAsia="微软雅黑" w:hAnsi="微软雅黑" w:hint="eastAsia"/>
          <w:sz w:val="21"/>
          <w:szCs w:val="21"/>
          <w:lang w:bidi="ar"/>
        </w:rPr>
        <w:t>要求</w:t>
      </w:r>
      <w:r>
        <w:rPr>
          <w:rFonts w:ascii="微软雅黑" w:eastAsia="微软雅黑" w:hAnsi="微软雅黑" w:hint="eastAsia"/>
          <w:sz w:val="21"/>
          <w:szCs w:val="21"/>
          <w:lang w:val="zh-CN" w:bidi="ar"/>
        </w:rPr>
        <w:t>。</w:t>
      </w:r>
    </w:p>
    <w:p w14:paraId="3F8D965D"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.5</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开发</w:t>
      </w:r>
      <w:r>
        <w:rPr>
          <w:rFonts w:ascii="微软雅黑" w:eastAsia="微软雅黑" w:hAnsi="微软雅黑" w:hint="eastAsia"/>
          <w:sz w:val="21"/>
          <w:szCs w:val="21"/>
          <w:lang w:bidi="ar"/>
        </w:rPr>
        <w:t>质量</w:t>
      </w:r>
      <w:r>
        <w:rPr>
          <w:rFonts w:ascii="微软雅黑" w:eastAsia="微软雅黑" w:hAnsi="微软雅黑" w:hint="eastAsia"/>
          <w:sz w:val="21"/>
          <w:szCs w:val="21"/>
          <w:lang w:val="zh-CN" w:bidi="ar"/>
        </w:rPr>
        <w:t>等情况。</w:t>
      </w:r>
    </w:p>
    <w:p w14:paraId="35CE42AE"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6应用</w:t>
      </w:r>
      <w:r>
        <w:rPr>
          <w:rFonts w:ascii="微软雅黑" w:eastAsia="微软雅黑" w:hAnsi="微软雅黑" w:hint="eastAsia"/>
          <w:sz w:val="21"/>
          <w:szCs w:val="21"/>
          <w:lang w:val="zh-CN" w:bidi="ar"/>
        </w:rPr>
        <w:t>与批准的建设计划、资金支付计划的匹配程度、合规性。</w:t>
      </w:r>
    </w:p>
    <w:p w14:paraId="44E0DF55"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7应用建设是否符合数字重庆建设</w:t>
      </w:r>
      <w:r>
        <w:rPr>
          <w:rFonts w:ascii="微软雅黑" w:eastAsia="微软雅黑" w:hAnsi="微软雅黑" w:hint="eastAsia"/>
          <w:sz w:val="21"/>
          <w:szCs w:val="21"/>
          <w:lang w:val="zh-CN" w:bidi="ar"/>
        </w:rPr>
        <w:t>工作要求。</w:t>
      </w:r>
    </w:p>
    <w:p w14:paraId="01E49CB8"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8应用</w:t>
      </w:r>
      <w:r>
        <w:rPr>
          <w:rFonts w:ascii="微软雅黑" w:eastAsia="微软雅黑" w:hAnsi="微软雅黑" w:hint="eastAsia"/>
          <w:sz w:val="21"/>
          <w:szCs w:val="21"/>
          <w:lang w:val="zh-CN" w:bidi="ar"/>
        </w:rPr>
        <w:t>有关文件资料的完整性和规范性，是否符合档案管理相关规范。</w:t>
      </w:r>
    </w:p>
    <w:p w14:paraId="3A5CF458"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9应用</w:t>
      </w:r>
      <w:r>
        <w:rPr>
          <w:rFonts w:ascii="微软雅黑" w:eastAsia="微软雅黑" w:hAnsi="微软雅黑" w:hint="eastAsia"/>
          <w:sz w:val="21"/>
          <w:szCs w:val="21"/>
          <w:lang w:val="zh-CN" w:bidi="ar"/>
        </w:rPr>
        <w:t>相关的测试报告、</w:t>
      </w:r>
      <w:r>
        <w:rPr>
          <w:rFonts w:ascii="微软雅黑" w:eastAsia="微软雅黑" w:hAnsi="微软雅黑" w:hint="eastAsia"/>
          <w:sz w:val="21"/>
          <w:szCs w:val="21"/>
          <w:lang w:bidi="ar"/>
        </w:rPr>
        <w:t>需求规格说明书、深化设计（详细设计）、</w:t>
      </w:r>
      <w:r>
        <w:rPr>
          <w:rFonts w:ascii="微软雅黑" w:eastAsia="微软雅黑" w:hAnsi="微软雅黑" w:hint="eastAsia"/>
          <w:sz w:val="21"/>
          <w:szCs w:val="21"/>
          <w:lang w:val="zh-CN" w:bidi="ar"/>
        </w:rPr>
        <w:t>建设总结、数据</w:t>
      </w:r>
      <w:r>
        <w:rPr>
          <w:rFonts w:ascii="微软雅黑" w:eastAsia="微软雅黑" w:hAnsi="微软雅黑" w:hint="eastAsia"/>
          <w:sz w:val="21"/>
          <w:szCs w:val="21"/>
          <w:lang w:bidi="ar"/>
        </w:rPr>
        <w:t>库设计、</w:t>
      </w:r>
      <w:r>
        <w:rPr>
          <w:rFonts w:ascii="微软雅黑" w:eastAsia="微软雅黑" w:hAnsi="微软雅黑" w:hint="eastAsia"/>
          <w:sz w:val="21"/>
          <w:szCs w:val="21"/>
          <w:lang w:val="zh-CN" w:bidi="ar"/>
        </w:rPr>
        <w:t>数据字典、</w:t>
      </w:r>
      <w:r>
        <w:rPr>
          <w:rFonts w:ascii="微软雅黑" w:eastAsia="微软雅黑" w:hAnsi="微软雅黑" w:hint="eastAsia"/>
          <w:sz w:val="21"/>
          <w:szCs w:val="21"/>
          <w:lang w:bidi="ar"/>
        </w:rPr>
        <w:t>会议纪要、周报</w:t>
      </w:r>
      <w:r>
        <w:rPr>
          <w:rFonts w:ascii="微软雅黑" w:eastAsia="微软雅黑" w:hAnsi="微软雅黑" w:hint="eastAsia"/>
          <w:sz w:val="21"/>
          <w:szCs w:val="21"/>
          <w:lang w:val="zh-CN" w:bidi="ar"/>
        </w:rPr>
        <w:t>等文件准确性、合规性和完整性。</w:t>
      </w:r>
    </w:p>
    <w:p w14:paraId="1B16A1F9"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10应用</w:t>
      </w:r>
      <w:r>
        <w:rPr>
          <w:rFonts w:ascii="微软雅黑" w:eastAsia="微软雅黑" w:hAnsi="微软雅黑" w:hint="eastAsia"/>
          <w:sz w:val="21"/>
          <w:szCs w:val="21"/>
          <w:lang w:val="zh-CN" w:bidi="ar"/>
        </w:rPr>
        <w:t>实施、运行中相关管理制度是否建立健全，管理人员和操作人员是否达到熟练操作的程度。</w:t>
      </w:r>
    </w:p>
    <w:p w14:paraId="4E509B4F" w14:textId="77777777" w:rsidR="0022665C" w:rsidRDefault="00000000">
      <w:pPr>
        <w:pStyle w:val="a9"/>
        <w:spacing w:line="440" w:lineRule="atLeast"/>
        <w:ind w:firstLineChars="200" w:firstLine="420"/>
        <w:rPr>
          <w:lang w:val="zh-CN"/>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.1</w:t>
      </w:r>
      <w:r>
        <w:rPr>
          <w:rFonts w:ascii="微软雅黑" w:eastAsia="微软雅黑" w:hAnsi="微软雅黑" w:hint="eastAsia"/>
          <w:sz w:val="21"/>
          <w:szCs w:val="21"/>
          <w:lang w:bidi="ar"/>
        </w:rPr>
        <w:t>1应用</w:t>
      </w:r>
      <w:r>
        <w:rPr>
          <w:rFonts w:ascii="微软雅黑" w:eastAsia="微软雅黑" w:hAnsi="微软雅黑" w:hint="eastAsia"/>
          <w:sz w:val="21"/>
          <w:szCs w:val="21"/>
          <w:lang w:val="zh-CN" w:bidi="ar"/>
        </w:rPr>
        <w:t>是否建立质量保证和售后服务体系，承建单位是否采取必要措施，方便系统的扩容和升级。</w:t>
      </w:r>
    </w:p>
    <w:p w14:paraId="0562F4FA"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三</w:t>
      </w:r>
      <w:r>
        <w:rPr>
          <w:rFonts w:ascii="微软雅黑" w:eastAsia="微软雅黑" w:hAnsi="微软雅黑"/>
          <w:sz w:val="21"/>
          <w:szCs w:val="21"/>
        </w:rPr>
        <w:t>）试运行期</w:t>
      </w:r>
    </w:p>
    <w:p w14:paraId="405CD50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1.初步验收后，即可进入试运行期，试运行</w:t>
      </w:r>
      <w:r>
        <w:rPr>
          <w:rFonts w:ascii="微软雅黑" w:eastAsia="微软雅黑" w:hAnsi="微软雅黑" w:hint="eastAsia"/>
          <w:sz w:val="21"/>
          <w:szCs w:val="21"/>
        </w:rPr>
        <w:t>原则上不低于</w:t>
      </w:r>
      <w:r>
        <w:rPr>
          <w:rFonts w:ascii="微软雅黑" w:eastAsia="微软雅黑" w:hAnsi="微软雅黑" w:hint="eastAsia"/>
          <w:sz w:val="21"/>
          <w:szCs w:val="21"/>
          <w:u w:val="single"/>
        </w:rPr>
        <w:t xml:space="preserve"> 90 </w:t>
      </w:r>
      <w:r>
        <w:rPr>
          <w:rFonts w:ascii="微软雅黑" w:eastAsia="微软雅黑" w:hAnsi="微软雅黑" w:hint="eastAsia"/>
          <w:sz w:val="21"/>
          <w:szCs w:val="21"/>
        </w:rPr>
        <w:t>天</w:t>
      </w:r>
      <w:r>
        <w:rPr>
          <w:rFonts w:ascii="微软雅黑" w:eastAsia="微软雅黑" w:hAnsi="微软雅黑"/>
          <w:sz w:val="21"/>
          <w:szCs w:val="21"/>
        </w:rPr>
        <w:t>，试运行期间系统应保持连续正常的运行。试运行期间如果出现影响系统正常运行的重大故障或功能缺陷，中标人应立即进行修复或更换相应设施设备，试运行期从修复之日起重新开始计算。中标人应详细说明其试运行保障计划。采购人有权派出技术人员参加，中标人有义务对其进行指导。</w:t>
      </w:r>
    </w:p>
    <w:p w14:paraId="4465BFA4"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2.运行期间要求做好系统运行情况记录。</w:t>
      </w:r>
    </w:p>
    <w:p w14:paraId="0E75DCB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3.中标人负责解决系统试运行期间出现的各种故障。在试运行期间，出现非最终用户因素导致的系统故障的，采购人有权要求中标人进行更换或修复，所发生</w:t>
      </w:r>
      <w:r>
        <w:rPr>
          <w:rFonts w:ascii="微软雅黑" w:eastAsia="微软雅黑" w:hAnsi="微软雅黑" w:hint="eastAsia"/>
          <w:sz w:val="21"/>
          <w:szCs w:val="21"/>
        </w:rPr>
        <w:t>的</w:t>
      </w:r>
      <w:r>
        <w:rPr>
          <w:rFonts w:ascii="微软雅黑" w:eastAsia="微软雅黑" w:hAnsi="微软雅黑"/>
          <w:sz w:val="21"/>
          <w:szCs w:val="21"/>
        </w:rPr>
        <w:t>费用由中标人</w:t>
      </w:r>
      <w:r>
        <w:rPr>
          <w:rFonts w:ascii="微软雅黑" w:eastAsia="微软雅黑" w:hAnsi="微软雅黑" w:hint="eastAsia"/>
          <w:sz w:val="21"/>
          <w:szCs w:val="21"/>
        </w:rPr>
        <w:t>承</w:t>
      </w:r>
      <w:r>
        <w:rPr>
          <w:rFonts w:ascii="微软雅黑" w:eastAsia="微软雅黑" w:hAnsi="微软雅黑"/>
          <w:sz w:val="21"/>
          <w:szCs w:val="21"/>
        </w:rPr>
        <w:t>担。试运行合格后，可进行系统交付验收。</w:t>
      </w:r>
    </w:p>
    <w:p w14:paraId="5AA0D55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4.系统试运行合格后，中标人提交试运行报告和终验申请，就试运行阶段所出现的问题进行总结归纳，</w:t>
      </w:r>
      <w:r>
        <w:rPr>
          <w:rFonts w:ascii="微软雅黑" w:eastAsia="微软雅黑" w:hAnsi="微软雅黑" w:hint="eastAsia"/>
          <w:sz w:val="21"/>
          <w:szCs w:val="21"/>
        </w:rPr>
        <w:t>并</w:t>
      </w:r>
      <w:r>
        <w:rPr>
          <w:rFonts w:ascii="微软雅黑" w:eastAsia="微软雅黑" w:hAnsi="微软雅黑"/>
          <w:sz w:val="21"/>
          <w:szCs w:val="21"/>
        </w:rPr>
        <w:t>报</w:t>
      </w:r>
      <w:r>
        <w:rPr>
          <w:rFonts w:ascii="微软雅黑" w:eastAsia="微软雅黑" w:hAnsi="微软雅黑" w:hint="eastAsia"/>
          <w:sz w:val="21"/>
          <w:szCs w:val="21"/>
        </w:rPr>
        <w:t>送给</w:t>
      </w:r>
      <w:r>
        <w:rPr>
          <w:rFonts w:ascii="微软雅黑" w:eastAsia="微软雅黑" w:hAnsi="微软雅黑"/>
          <w:sz w:val="21"/>
          <w:szCs w:val="21"/>
        </w:rPr>
        <w:t>采购人。扼要说明申请系统验收的准备情况和系统所具备的验收条件。中标人在提交终验申请报告时，必须按合同书的有关规定，交付相关的技术文件。</w:t>
      </w:r>
    </w:p>
    <w:p w14:paraId="672505F4"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四</w:t>
      </w:r>
      <w:r>
        <w:rPr>
          <w:rFonts w:ascii="微软雅黑" w:eastAsia="微软雅黑" w:hAnsi="微软雅黑"/>
          <w:sz w:val="21"/>
          <w:szCs w:val="21"/>
        </w:rPr>
        <w:t>）终验</w:t>
      </w:r>
      <w:r>
        <w:rPr>
          <w:rFonts w:ascii="微软雅黑" w:eastAsia="微软雅黑" w:hAnsi="微软雅黑" w:hint="eastAsia"/>
          <w:sz w:val="21"/>
          <w:szCs w:val="21"/>
        </w:rPr>
        <w:t>（竣工验收）</w:t>
      </w:r>
    </w:p>
    <w:p w14:paraId="126246F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试运行合格后，采购人根据中标人申请，按照招标文件中的有关规定和程序，进行终验。中标人须配合采购人完成终验相关工作，按照采购人要求提供终验资料、编制终验报告、参加终验验收会。中标人提供过的终验文件应至少包括项目基础资料</w:t>
      </w:r>
      <w:r>
        <w:rPr>
          <w:rFonts w:ascii="微软雅黑" w:eastAsia="微软雅黑" w:hAnsi="微软雅黑" w:hint="eastAsia"/>
          <w:sz w:val="21"/>
          <w:szCs w:val="21"/>
        </w:rPr>
        <w:t>、实施方案、工作总结、技术总结</w:t>
      </w:r>
      <w:r>
        <w:rPr>
          <w:rFonts w:ascii="微软雅黑" w:eastAsia="微软雅黑" w:hAnsi="微软雅黑"/>
          <w:sz w:val="21"/>
          <w:szCs w:val="21"/>
        </w:rPr>
        <w:t>、配置指导说明、技术变更资料</w:t>
      </w:r>
      <w:r>
        <w:rPr>
          <w:rFonts w:ascii="微软雅黑" w:eastAsia="微软雅黑" w:hAnsi="微软雅黑" w:hint="eastAsia"/>
          <w:sz w:val="21"/>
          <w:szCs w:val="21"/>
        </w:rPr>
        <w:t>（若有）</w:t>
      </w:r>
      <w:r>
        <w:rPr>
          <w:rFonts w:ascii="微软雅黑" w:eastAsia="微软雅黑" w:hAnsi="微软雅黑"/>
          <w:sz w:val="21"/>
          <w:szCs w:val="21"/>
        </w:rPr>
        <w:t>、会议纪要、洽商记录等，以及采购人终验要求提供</w:t>
      </w:r>
      <w:r>
        <w:rPr>
          <w:rFonts w:ascii="微软雅黑" w:eastAsia="微软雅黑" w:hAnsi="微软雅黑" w:hint="eastAsia"/>
          <w:sz w:val="21"/>
          <w:szCs w:val="21"/>
        </w:rPr>
        <w:t>的其他</w:t>
      </w:r>
      <w:r>
        <w:rPr>
          <w:rFonts w:ascii="微软雅黑" w:eastAsia="微软雅黑" w:hAnsi="微软雅黑"/>
          <w:sz w:val="21"/>
          <w:szCs w:val="21"/>
        </w:rPr>
        <w:t>资料。</w:t>
      </w:r>
    </w:p>
    <w:p w14:paraId="5F487B91"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试运行期间若发生与技术要求不符或与初验记录不一致的情况时，中标人应负责解决问题</w:t>
      </w:r>
      <w:r>
        <w:rPr>
          <w:rFonts w:ascii="微软雅黑" w:eastAsia="微软雅黑" w:hAnsi="微软雅黑" w:hint="eastAsia"/>
          <w:sz w:val="21"/>
          <w:szCs w:val="21"/>
        </w:rPr>
        <w:t>，</w:t>
      </w:r>
      <w:r>
        <w:rPr>
          <w:rFonts w:ascii="微软雅黑" w:eastAsia="微软雅黑" w:hAnsi="微软雅黑"/>
          <w:sz w:val="21"/>
          <w:szCs w:val="21"/>
        </w:rPr>
        <w:t>否则不予终验。属于中标人工作严重失职造成较大损失的，将追究其单位及人员的责任并要求赔偿损失。项目终验条件：</w:t>
      </w:r>
    </w:p>
    <w:p w14:paraId="7AB958B7" w14:textId="77777777" w:rsidR="0022665C" w:rsidRDefault="00000000">
      <w:pPr>
        <w:spacing w:line="440" w:lineRule="atLeast"/>
        <w:ind w:firstLineChars="200" w:firstLine="420"/>
      </w:pP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lang w:bidi="ar"/>
        </w:rPr>
        <w:t>应用</w:t>
      </w:r>
      <w:r>
        <w:rPr>
          <w:rFonts w:ascii="微软雅黑" w:eastAsia="微软雅黑" w:hAnsi="微软雅黑"/>
          <w:sz w:val="21"/>
          <w:szCs w:val="21"/>
          <w:lang w:bidi="ar"/>
        </w:rPr>
        <w:t>批复的建设内容已全部完成。</w:t>
      </w:r>
    </w:p>
    <w:p w14:paraId="338D6C0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w:t>
      </w:r>
      <w:r>
        <w:rPr>
          <w:rFonts w:ascii="微软雅黑" w:eastAsia="微软雅黑" w:hAnsi="微软雅黑"/>
          <w:sz w:val="21"/>
          <w:szCs w:val="21"/>
        </w:rPr>
        <w:t>.</w:t>
      </w:r>
      <w:r>
        <w:rPr>
          <w:rFonts w:ascii="微软雅黑" w:eastAsia="微软雅黑" w:hAnsi="微软雅黑" w:hint="eastAsia"/>
          <w:sz w:val="21"/>
          <w:szCs w:val="21"/>
        </w:rPr>
        <w:t>终验资料应完整规范，且终验申请须通过采购人审核。</w:t>
      </w:r>
    </w:p>
    <w:p w14:paraId="537612A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w:t>
      </w:r>
      <w:r>
        <w:rPr>
          <w:rFonts w:ascii="微软雅黑" w:eastAsia="微软雅黑" w:hAnsi="微软雅黑"/>
          <w:sz w:val="21"/>
          <w:szCs w:val="21"/>
        </w:rPr>
        <w:t>.</w:t>
      </w:r>
      <w:r>
        <w:rPr>
          <w:rFonts w:ascii="微软雅黑" w:eastAsia="微软雅黑" w:hAnsi="微软雅黑" w:hint="eastAsia"/>
          <w:sz w:val="21"/>
          <w:szCs w:val="21"/>
        </w:rPr>
        <w:t>完整提供本项目所有定制开发的源代码，并在采购人指定的开发环境（设备）中部署，并能正常运行，实现合同规定的系统功能，同时提供项目所有开发环境的详细说明。</w:t>
      </w:r>
    </w:p>
    <w:p w14:paraId="73B6366E"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w:t>
      </w:r>
      <w:r>
        <w:rPr>
          <w:rFonts w:ascii="微软雅黑" w:eastAsia="微软雅黑" w:hAnsi="微软雅黑"/>
          <w:sz w:val="21"/>
          <w:szCs w:val="21"/>
        </w:rPr>
        <w:t>.</w:t>
      </w:r>
      <w:r>
        <w:rPr>
          <w:rFonts w:ascii="微软雅黑" w:eastAsia="微软雅黑" w:hAnsi="微软雅黑" w:hint="eastAsia"/>
          <w:sz w:val="21"/>
          <w:szCs w:val="21"/>
        </w:rPr>
        <w:t>技术要求与采购合同一致，功能及性能指标达到规定的建设标准；</w:t>
      </w:r>
    </w:p>
    <w:p w14:paraId="305308C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5</w:t>
      </w:r>
      <w:r>
        <w:rPr>
          <w:rFonts w:ascii="微软雅黑" w:eastAsia="微软雅黑" w:hAnsi="微软雅黑"/>
          <w:sz w:val="21"/>
          <w:szCs w:val="21"/>
        </w:rPr>
        <w:t>.</w:t>
      </w:r>
      <w:r>
        <w:rPr>
          <w:rFonts w:ascii="微软雅黑" w:eastAsia="微软雅黑" w:hAnsi="微软雅黑" w:hint="eastAsia"/>
          <w:sz w:val="21"/>
          <w:szCs w:val="21"/>
        </w:rPr>
        <w:t>各种</w:t>
      </w:r>
      <w:r>
        <w:rPr>
          <w:rFonts w:ascii="微软雅黑" w:eastAsia="微软雅黑" w:hAnsi="微软雅黑"/>
          <w:sz w:val="21"/>
          <w:szCs w:val="21"/>
          <w:lang w:bidi="ar"/>
        </w:rPr>
        <w:t>设计、实施等</w:t>
      </w:r>
      <w:r>
        <w:rPr>
          <w:rFonts w:ascii="微软雅黑" w:eastAsia="微软雅黑" w:hAnsi="微软雅黑" w:hint="eastAsia"/>
          <w:sz w:val="21"/>
          <w:szCs w:val="21"/>
        </w:rPr>
        <w:t>技术文档齐全、规范，验收资料完备，符合相关要求；</w:t>
      </w:r>
      <w:r>
        <w:rPr>
          <w:rFonts w:ascii="微软雅黑" w:eastAsia="微软雅黑" w:hAnsi="微软雅黑"/>
          <w:sz w:val="21"/>
          <w:szCs w:val="21"/>
          <w:lang w:bidi="ar"/>
        </w:rPr>
        <w:t>档案管理</w:t>
      </w:r>
      <w:r>
        <w:rPr>
          <w:rFonts w:ascii="微软雅黑" w:eastAsia="微软雅黑" w:hAnsi="微软雅黑" w:hint="eastAsia"/>
          <w:sz w:val="21"/>
          <w:szCs w:val="21"/>
          <w:lang w:bidi="ar"/>
        </w:rPr>
        <w:t>还应</w:t>
      </w:r>
      <w:r>
        <w:rPr>
          <w:rFonts w:ascii="微软雅黑" w:eastAsia="微软雅黑" w:hAnsi="微软雅黑"/>
          <w:sz w:val="21"/>
          <w:szCs w:val="21"/>
          <w:lang w:bidi="ar"/>
        </w:rPr>
        <w:t>符合《国家电子政务工程建设项目档案管理暂行办法》</w:t>
      </w:r>
      <w:r>
        <w:rPr>
          <w:rFonts w:ascii="微软雅黑" w:eastAsia="微软雅黑" w:hAnsi="微软雅黑" w:hint="eastAsia"/>
          <w:sz w:val="21"/>
          <w:szCs w:val="21"/>
          <w:lang w:bidi="ar"/>
        </w:rPr>
        <w:t>的</w:t>
      </w:r>
      <w:r>
        <w:rPr>
          <w:rFonts w:ascii="微软雅黑" w:eastAsia="微软雅黑" w:hAnsi="微软雅黑"/>
          <w:sz w:val="21"/>
          <w:szCs w:val="21"/>
          <w:lang w:bidi="ar"/>
        </w:rPr>
        <w:t>有关规定。</w:t>
      </w:r>
    </w:p>
    <w:p w14:paraId="7C84AD01"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w:t>
      </w:r>
      <w:r>
        <w:rPr>
          <w:rFonts w:ascii="微软雅黑" w:eastAsia="微软雅黑" w:hAnsi="微软雅黑"/>
          <w:sz w:val="21"/>
          <w:szCs w:val="21"/>
        </w:rPr>
        <w:t>.</w:t>
      </w:r>
      <w:r>
        <w:rPr>
          <w:rFonts w:ascii="微软雅黑" w:eastAsia="微软雅黑" w:hAnsi="微软雅黑"/>
          <w:sz w:val="21"/>
          <w:szCs w:val="21"/>
          <w:lang w:bidi="ar"/>
        </w:rPr>
        <w:t>系统的功能、性能等技术指标满足合同及设计要求，且通过测评机构对系统功能性、兼容性、易用性、可靠性等方面的测试。系统建设、数据处理需通过具有资质的</w:t>
      </w:r>
      <w:r>
        <w:rPr>
          <w:rFonts w:ascii="微软雅黑" w:eastAsia="微软雅黑" w:hAnsi="微软雅黑" w:hint="eastAsia"/>
          <w:sz w:val="21"/>
          <w:szCs w:val="21"/>
        </w:rPr>
        <w:t>第三方</w:t>
      </w:r>
      <w:r>
        <w:rPr>
          <w:rFonts w:ascii="微软雅黑" w:eastAsia="微软雅黑" w:hAnsi="微软雅黑"/>
          <w:sz w:val="21"/>
          <w:szCs w:val="21"/>
          <w:lang w:bidi="ar"/>
        </w:rPr>
        <w:t>测评机构的网络安全等级保护测评</w:t>
      </w:r>
      <w:r>
        <w:rPr>
          <w:rFonts w:ascii="微软雅黑" w:eastAsia="微软雅黑" w:hAnsi="微软雅黑" w:hint="eastAsia"/>
          <w:sz w:val="21"/>
          <w:szCs w:val="21"/>
        </w:rPr>
        <w:t>（三级）</w:t>
      </w:r>
      <w:r>
        <w:rPr>
          <w:rFonts w:ascii="微软雅黑" w:eastAsia="微软雅黑" w:hAnsi="微软雅黑"/>
          <w:sz w:val="21"/>
          <w:szCs w:val="21"/>
          <w:lang w:bidi="ar"/>
        </w:rPr>
        <w:t>和密码应用安全性评估机构的评估。</w:t>
      </w:r>
    </w:p>
    <w:p w14:paraId="08EE031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7</w:t>
      </w:r>
      <w:r>
        <w:rPr>
          <w:rFonts w:ascii="微软雅黑" w:eastAsia="微软雅黑" w:hAnsi="微软雅黑"/>
          <w:sz w:val="21"/>
          <w:szCs w:val="21"/>
        </w:rPr>
        <w:t>.</w:t>
      </w:r>
      <w:r>
        <w:rPr>
          <w:rFonts w:ascii="微软雅黑" w:eastAsia="微软雅黑" w:hAnsi="微软雅黑" w:hint="eastAsia"/>
          <w:sz w:val="21"/>
          <w:szCs w:val="21"/>
        </w:rPr>
        <w:t>系统建设和数据处理应符合网络安全、数据安全、密码安全等相关要求。</w:t>
      </w:r>
    </w:p>
    <w:p w14:paraId="2DF9496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8</w:t>
      </w:r>
      <w:r>
        <w:rPr>
          <w:rFonts w:ascii="微软雅黑" w:eastAsia="微软雅黑" w:hAnsi="微软雅黑"/>
          <w:sz w:val="21"/>
          <w:szCs w:val="21"/>
        </w:rPr>
        <w:t>.</w:t>
      </w:r>
      <w:r>
        <w:rPr>
          <w:rFonts w:ascii="微软雅黑" w:eastAsia="微软雅黑" w:hAnsi="微软雅黑" w:hint="eastAsia"/>
          <w:sz w:val="21"/>
          <w:szCs w:val="21"/>
        </w:rPr>
        <w:t>外购的操作系统、数据库、中间件、应用软件和开发工具</w:t>
      </w:r>
      <w:bookmarkStart w:id="91" w:name="_Hlk150433556"/>
      <w:r>
        <w:rPr>
          <w:rFonts w:ascii="微软雅黑" w:eastAsia="微软雅黑" w:hAnsi="微软雅黑" w:hint="eastAsia"/>
          <w:sz w:val="21"/>
          <w:szCs w:val="21"/>
        </w:rPr>
        <w:t>（若有）</w:t>
      </w:r>
      <w:bookmarkEnd w:id="91"/>
      <w:r>
        <w:rPr>
          <w:rFonts w:ascii="微软雅黑" w:eastAsia="微软雅黑" w:hAnsi="微软雅黑" w:hint="eastAsia"/>
          <w:sz w:val="21"/>
          <w:szCs w:val="21"/>
        </w:rPr>
        <w:t>符合知识产权相关政策法规的要求。</w:t>
      </w:r>
    </w:p>
    <w:p w14:paraId="4F827353"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9</w:t>
      </w:r>
      <w:r>
        <w:rPr>
          <w:rFonts w:ascii="微软雅黑" w:eastAsia="微软雅黑" w:hAnsi="微软雅黑"/>
          <w:sz w:val="21"/>
          <w:szCs w:val="21"/>
          <w:lang w:bidi="ar"/>
        </w:rPr>
        <w:t>.已完成对使用单位相关人员的技术培训，系统的主要使用人员应能够独立操作使用。</w:t>
      </w:r>
    </w:p>
    <w:p w14:paraId="5A8F0EBE"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10</w:t>
      </w:r>
      <w:r>
        <w:rPr>
          <w:rFonts w:ascii="微软雅黑" w:eastAsia="微软雅黑" w:hAnsi="微软雅黑"/>
          <w:sz w:val="21"/>
          <w:szCs w:val="21"/>
          <w:lang w:bidi="ar"/>
        </w:rPr>
        <w:t>.系统已完整、准确形成数据目录</w:t>
      </w:r>
      <w:r>
        <w:rPr>
          <w:rFonts w:ascii="微软雅黑" w:eastAsia="微软雅黑" w:hAnsi="微软雅黑" w:hint="eastAsia"/>
          <w:sz w:val="21"/>
          <w:szCs w:val="21"/>
          <w:lang w:bidi="ar"/>
        </w:rPr>
        <w:t>（若有）</w:t>
      </w:r>
      <w:r>
        <w:rPr>
          <w:rFonts w:ascii="微软雅黑" w:eastAsia="微软雅黑" w:hAnsi="微软雅黑"/>
          <w:sz w:val="21"/>
          <w:szCs w:val="21"/>
          <w:lang w:bidi="ar"/>
        </w:rPr>
        <w:t>，并依法依规开展共享、开放。</w:t>
      </w:r>
    </w:p>
    <w:p w14:paraId="3D3575D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w:t>
      </w: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如有必要，应用开发其他部分中的评测内容单独进行验收。</w:t>
      </w:r>
    </w:p>
    <w:p w14:paraId="46F6019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12.验收结果是否通过以采购人审核意见为准。</w:t>
      </w:r>
      <w:bookmarkEnd w:id="89"/>
    </w:p>
    <w:p w14:paraId="66A79A7A" w14:textId="77777777" w:rsidR="0022665C" w:rsidRDefault="00000000">
      <w:pPr>
        <w:pStyle w:val="2"/>
        <w:spacing w:line="560" w:lineRule="atLeast"/>
        <w:ind w:firstLine="480"/>
        <w:jc w:val="left"/>
        <w:rPr>
          <w:rFonts w:ascii="微软雅黑" w:eastAsia="微软雅黑" w:hAnsi="微软雅黑" w:hint="eastAsia"/>
          <w:b/>
          <w:bCs/>
          <w:sz w:val="24"/>
        </w:rPr>
      </w:pPr>
      <w:bookmarkStart w:id="92" w:name="_Toc15910"/>
      <w:bookmarkStart w:id="93" w:name="_Toc8749"/>
      <w:bookmarkStart w:id="94" w:name="_Toc22793"/>
      <w:bookmarkStart w:id="95" w:name="_Toc29900"/>
      <w:bookmarkStart w:id="96" w:name="_Toc1674"/>
      <w:bookmarkStart w:id="97" w:name="_Toc21440"/>
      <w:r>
        <w:rPr>
          <w:rFonts w:ascii="微软雅黑" w:eastAsia="微软雅黑" w:hAnsi="微软雅黑" w:hint="eastAsia"/>
          <w:b/>
          <w:bCs/>
          <w:sz w:val="24"/>
        </w:rPr>
        <w:t>四、质量保证</w:t>
      </w:r>
      <w:bookmarkEnd w:id="92"/>
      <w:bookmarkEnd w:id="93"/>
      <w:bookmarkEnd w:id="94"/>
      <w:bookmarkEnd w:id="95"/>
      <w:bookmarkEnd w:id="96"/>
    </w:p>
    <w:p w14:paraId="46DE22FF"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bookmarkStart w:id="98" w:name="_Toc6798"/>
      <w:bookmarkStart w:id="99" w:name="_Toc26442"/>
      <w:bookmarkStart w:id="100" w:name="_Hlk151581942"/>
      <w:r>
        <w:rPr>
          <w:rFonts w:ascii="微软雅黑" w:eastAsia="微软雅黑" w:hAnsi="微软雅黑" w:hint="eastAsia"/>
          <w:sz w:val="21"/>
          <w:szCs w:val="21"/>
        </w:rPr>
        <w:t>（一）</w:t>
      </w:r>
      <w:r>
        <w:rPr>
          <w:rFonts w:ascii="微软雅黑" w:eastAsia="微软雅黑" w:hAnsi="微软雅黑"/>
          <w:sz w:val="21"/>
          <w:szCs w:val="21"/>
        </w:rPr>
        <w:t>质量保证目标</w:t>
      </w:r>
      <w:bookmarkEnd w:id="98"/>
      <w:bookmarkEnd w:id="99"/>
    </w:p>
    <w:p w14:paraId="52F160F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能够保质保量完成</w:t>
      </w:r>
      <w:r>
        <w:rPr>
          <w:rFonts w:ascii="微软雅黑" w:eastAsia="微软雅黑" w:hAnsi="微软雅黑" w:hint="eastAsia"/>
          <w:sz w:val="21"/>
          <w:szCs w:val="21"/>
        </w:rPr>
        <w:t>本项目</w:t>
      </w:r>
      <w:r>
        <w:rPr>
          <w:rFonts w:ascii="微软雅黑" w:eastAsia="微软雅黑" w:hAnsi="微软雅黑"/>
          <w:sz w:val="21"/>
          <w:szCs w:val="21"/>
        </w:rPr>
        <w:t>的开发及实施任务，能够让产品最终展现形式满足</w:t>
      </w:r>
      <w:r>
        <w:rPr>
          <w:rFonts w:ascii="微软雅黑" w:eastAsia="微软雅黑" w:hAnsi="微软雅黑" w:hint="eastAsia"/>
          <w:sz w:val="21"/>
          <w:szCs w:val="21"/>
        </w:rPr>
        <w:t>采购人</w:t>
      </w:r>
      <w:r>
        <w:rPr>
          <w:rFonts w:ascii="微软雅黑" w:eastAsia="微软雅黑" w:hAnsi="微软雅黑"/>
          <w:sz w:val="21"/>
          <w:szCs w:val="21"/>
        </w:rPr>
        <w:t>需求，能够</w:t>
      </w:r>
      <w:r>
        <w:rPr>
          <w:rFonts w:ascii="微软雅黑" w:eastAsia="微软雅黑" w:hAnsi="微软雅黑" w:hint="eastAsia"/>
          <w:sz w:val="21"/>
          <w:szCs w:val="21"/>
        </w:rPr>
        <w:t>在</w:t>
      </w:r>
      <w:r>
        <w:rPr>
          <w:rFonts w:ascii="微软雅黑" w:eastAsia="微软雅黑" w:hAnsi="微软雅黑"/>
          <w:sz w:val="21"/>
          <w:szCs w:val="21"/>
        </w:rPr>
        <w:t>使用中得到应有的功能体现。</w:t>
      </w:r>
    </w:p>
    <w:p w14:paraId="11218C6B"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w:t>
      </w:r>
      <w:r>
        <w:rPr>
          <w:rFonts w:ascii="微软雅黑" w:eastAsia="微软雅黑" w:hAnsi="微软雅黑"/>
          <w:sz w:val="21"/>
          <w:szCs w:val="21"/>
        </w:rPr>
        <w:t>确立质量标准体系</w:t>
      </w:r>
    </w:p>
    <w:p w14:paraId="4F14B08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中标人</w:t>
      </w:r>
      <w:r>
        <w:rPr>
          <w:rFonts w:ascii="微软雅黑" w:eastAsia="微软雅黑" w:hAnsi="微软雅黑"/>
          <w:sz w:val="21"/>
          <w:szCs w:val="21"/>
        </w:rPr>
        <w:t>建立适当的质量衡量标准进行</w:t>
      </w:r>
      <w:r>
        <w:rPr>
          <w:rFonts w:ascii="微软雅黑" w:eastAsia="微软雅黑" w:hAnsi="微软雅黑" w:hint="eastAsia"/>
          <w:sz w:val="21"/>
          <w:szCs w:val="21"/>
        </w:rPr>
        <w:t>应用</w:t>
      </w:r>
      <w:r>
        <w:rPr>
          <w:rFonts w:ascii="微软雅黑" w:eastAsia="微软雅黑" w:hAnsi="微软雅黑"/>
          <w:sz w:val="21"/>
          <w:szCs w:val="21"/>
        </w:rPr>
        <w:t>质量管理的前提性的关键性工作。根据在实施</w:t>
      </w:r>
      <w:r>
        <w:rPr>
          <w:rFonts w:ascii="微软雅黑" w:eastAsia="微软雅黑" w:hAnsi="微软雅黑" w:hint="eastAsia"/>
          <w:sz w:val="21"/>
          <w:szCs w:val="21"/>
        </w:rPr>
        <w:t>应用</w:t>
      </w:r>
      <w:r>
        <w:rPr>
          <w:rFonts w:ascii="微软雅黑" w:eastAsia="微软雅黑" w:hAnsi="微软雅黑"/>
          <w:sz w:val="21"/>
          <w:szCs w:val="21"/>
        </w:rPr>
        <w:t>方面的整体战略规划与</w:t>
      </w:r>
      <w:r>
        <w:rPr>
          <w:rFonts w:ascii="微软雅黑" w:eastAsia="微软雅黑" w:hAnsi="微软雅黑" w:hint="eastAsia"/>
          <w:sz w:val="21"/>
          <w:szCs w:val="21"/>
        </w:rPr>
        <w:t>应用</w:t>
      </w:r>
      <w:r>
        <w:rPr>
          <w:rFonts w:ascii="微软雅黑" w:eastAsia="微软雅黑" w:hAnsi="微软雅黑"/>
          <w:sz w:val="21"/>
          <w:szCs w:val="21"/>
        </w:rPr>
        <w:t>实施计划，召集</w:t>
      </w:r>
      <w:r>
        <w:rPr>
          <w:rFonts w:ascii="微软雅黑" w:eastAsia="微软雅黑" w:hAnsi="微软雅黑" w:hint="eastAsia"/>
          <w:sz w:val="21"/>
          <w:szCs w:val="21"/>
        </w:rPr>
        <w:t>应用</w:t>
      </w:r>
      <w:r>
        <w:rPr>
          <w:rFonts w:ascii="微软雅黑" w:eastAsia="微软雅黑" w:hAnsi="微软雅黑"/>
          <w:sz w:val="21"/>
          <w:szCs w:val="21"/>
        </w:rPr>
        <w:t>实施各相关主体进行讨论与沟通，制定完整、科学、合理、具备较强可实施性的</w:t>
      </w:r>
      <w:r>
        <w:rPr>
          <w:rFonts w:ascii="微软雅黑" w:eastAsia="微软雅黑" w:hAnsi="微软雅黑" w:hint="eastAsia"/>
          <w:sz w:val="21"/>
          <w:szCs w:val="21"/>
        </w:rPr>
        <w:t>应用</w:t>
      </w:r>
      <w:r>
        <w:rPr>
          <w:rFonts w:ascii="微软雅黑" w:eastAsia="微软雅黑" w:hAnsi="微软雅黑"/>
          <w:sz w:val="21"/>
          <w:szCs w:val="21"/>
        </w:rPr>
        <w:t>质量标准体系，用于衡量</w:t>
      </w:r>
      <w:r>
        <w:rPr>
          <w:rFonts w:ascii="微软雅黑" w:eastAsia="微软雅黑" w:hAnsi="微软雅黑" w:hint="eastAsia"/>
          <w:sz w:val="21"/>
          <w:szCs w:val="21"/>
        </w:rPr>
        <w:t>应用</w:t>
      </w:r>
      <w:r>
        <w:rPr>
          <w:rFonts w:ascii="微软雅黑" w:eastAsia="微软雅黑" w:hAnsi="微软雅黑"/>
          <w:sz w:val="21"/>
          <w:szCs w:val="21"/>
        </w:rPr>
        <w:t>质量。衡量</w:t>
      </w:r>
      <w:r>
        <w:rPr>
          <w:rFonts w:ascii="微软雅黑" w:eastAsia="微软雅黑" w:hAnsi="微软雅黑" w:hint="eastAsia"/>
          <w:sz w:val="21"/>
          <w:szCs w:val="21"/>
        </w:rPr>
        <w:t>应用</w:t>
      </w:r>
      <w:r>
        <w:rPr>
          <w:rFonts w:ascii="微软雅黑" w:eastAsia="微软雅黑" w:hAnsi="微软雅黑"/>
          <w:sz w:val="21"/>
          <w:szCs w:val="21"/>
        </w:rPr>
        <w:t>质量标准的指标一般包括</w:t>
      </w:r>
      <w:r>
        <w:rPr>
          <w:rFonts w:ascii="微软雅黑" w:eastAsia="微软雅黑" w:hAnsi="微软雅黑" w:hint="eastAsia"/>
          <w:sz w:val="21"/>
          <w:szCs w:val="21"/>
        </w:rPr>
        <w:t>应用</w:t>
      </w:r>
      <w:r>
        <w:rPr>
          <w:rFonts w:ascii="微软雅黑" w:eastAsia="微软雅黑" w:hAnsi="微软雅黑"/>
          <w:sz w:val="21"/>
          <w:szCs w:val="21"/>
        </w:rPr>
        <w:t>涉及范围、</w:t>
      </w:r>
      <w:r>
        <w:rPr>
          <w:rFonts w:ascii="微软雅黑" w:eastAsia="微软雅黑" w:hAnsi="微软雅黑" w:hint="eastAsia"/>
          <w:sz w:val="21"/>
          <w:szCs w:val="21"/>
        </w:rPr>
        <w:t>应用</w:t>
      </w:r>
      <w:r>
        <w:rPr>
          <w:rFonts w:ascii="微软雅黑" w:eastAsia="微软雅黑" w:hAnsi="微软雅黑"/>
          <w:sz w:val="21"/>
          <w:szCs w:val="21"/>
        </w:rPr>
        <w:t>具体的实施步骤、</w:t>
      </w:r>
      <w:r>
        <w:rPr>
          <w:rFonts w:ascii="微软雅黑" w:eastAsia="微软雅黑" w:hAnsi="微软雅黑" w:hint="eastAsia"/>
          <w:sz w:val="21"/>
          <w:szCs w:val="21"/>
        </w:rPr>
        <w:t>应用</w:t>
      </w:r>
      <w:r>
        <w:rPr>
          <w:rFonts w:ascii="微软雅黑" w:eastAsia="微软雅黑" w:hAnsi="微软雅黑"/>
          <w:sz w:val="21"/>
          <w:szCs w:val="21"/>
        </w:rPr>
        <w:t>周期估计、</w:t>
      </w:r>
      <w:r>
        <w:rPr>
          <w:rFonts w:ascii="微软雅黑" w:eastAsia="微软雅黑" w:hAnsi="微软雅黑" w:hint="eastAsia"/>
          <w:sz w:val="21"/>
          <w:szCs w:val="21"/>
        </w:rPr>
        <w:t>应用</w:t>
      </w:r>
      <w:r>
        <w:rPr>
          <w:rFonts w:ascii="微软雅黑" w:eastAsia="微软雅黑" w:hAnsi="微软雅黑"/>
          <w:sz w:val="21"/>
          <w:szCs w:val="21"/>
        </w:rPr>
        <w:t>成本预算、</w:t>
      </w:r>
      <w:r>
        <w:rPr>
          <w:rFonts w:ascii="微软雅黑" w:eastAsia="微软雅黑" w:hAnsi="微软雅黑" w:hint="eastAsia"/>
          <w:sz w:val="21"/>
          <w:szCs w:val="21"/>
        </w:rPr>
        <w:t>应用</w:t>
      </w:r>
      <w:r>
        <w:rPr>
          <w:rFonts w:ascii="微软雅黑" w:eastAsia="微软雅黑" w:hAnsi="微软雅黑"/>
          <w:sz w:val="21"/>
          <w:szCs w:val="21"/>
        </w:rPr>
        <w:t>财务预测与资金计划、</w:t>
      </w:r>
      <w:r>
        <w:rPr>
          <w:rFonts w:ascii="微软雅黑" w:eastAsia="微软雅黑" w:hAnsi="微软雅黑" w:hint="eastAsia"/>
          <w:sz w:val="21"/>
          <w:szCs w:val="21"/>
        </w:rPr>
        <w:t>应用</w:t>
      </w:r>
      <w:r>
        <w:rPr>
          <w:rFonts w:ascii="微软雅黑" w:eastAsia="微软雅黑" w:hAnsi="微软雅黑"/>
          <w:sz w:val="21"/>
          <w:szCs w:val="21"/>
        </w:rPr>
        <w:t>工作详细内容安排、质量指标要求以及客户满意度等。</w:t>
      </w:r>
    </w:p>
    <w:p w14:paraId="67C5D63B"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（三）</w:t>
      </w:r>
      <w:r>
        <w:rPr>
          <w:rFonts w:ascii="微软雅黑" w:eastAsia="微软雅黑" w:hAnsi="微软雅黑"/>
          <w:sz w:val="21"/>
          <w:szCs w:val="21"/>
        </w:rPr>
        <w:t>对</w:t>
      </w:r>
      <w:r>
        <w:rPr>
          <w:rFonts w:ascii="微软雅黑" w:eastAsia="微软雅黑" w:hAnsi="微软雅黑" w:hint="eastAsia"/>
          <w:sz w:val="21"/>
          <w:szCs w:val="21"/>
        </w:rPr>
        <w:t>应用</w:t>
      </w:r>
      <w:r>
        <w:rPr>
          <w:rFonts w:ascii="微软雅黑" w:eastAsia="微软雅黑" w:hAnsi="微软雅黑"/>
          <w:sz w:val="21"/>
          <w:szCs w:val="21"/>
        </w:rPr>
        <w:t>实施进行质量监控</w:t>
      </w:r>
    </w:p>
    <w:p w14:paraId="2BB87A7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在</w:t>
      </w:r>
      <w:r>
        <w:rPr>
          <w:rFonts w:ascii="微软雅黑" w:eastAsia="微软雅黑" w:hAnsi="微软雅黑" w:hint="eastAsia"/>
          <w:sz w:val="21"/>
          <w:szCs w:val="21"/>
        </w:rPr>
        <w:t>应用</w:t>
      </w:r>
      <w:r>
        <w:rPr>
          <w:rFonts w:ascii="微软雅黑" w:eastAsia="微软雅黑" w:hAnsi="微软雅黑"/>
          <w:sz w:val="21"/>
          <w:szCs w:val="21"/>
        </w:rPr>
        <w:t>执行过程中采取有效措施来监控</w:t>
      </w:r>
      <w:r>
        <w:rPr>
          <w:rFonts w:ascii="微软雅黑" w:eastAsia="微软雅黑" w:hAnsi="微软雅黑" w:hint="eastAsia"/>
          <w:sz w:val="21"/>
          <w:szCs w:val="21"/>
        </w:rPr>
        <w:t>应用</w:t>
      </w:r>
      <w:r>
        <w:rPr>
          <w:rFonts w:ascii="微软雅黑" w:eastAsia="微软雅黑" w:hAnsi="微软雅黑"/>
          <w:sz w:val="21"/>
          <w:szCs w:val="21"/>
        </w:rPr>
        <w:t>的实际运行。在</w:t>
      </w:r>
      <w:r>
        <w:rPr>
          <w:rFonts w:ascii="微软雅黑" w:eastAsia="微软雅黑" w:hAnsi="微软雅黑" w:hint="eastAsia"/>
          <w:sz w:val="21"/>
          <w:szCs w:val="21"/>
        </w:rPr>
        <w:t>应用</w:t>
      </w:r>
      <w:r>
        <w:rPr>
          <w:rFonts w:ascii="微软雅黑" w:eastAsia="微软雅黑" w:hAnsi="微软雅黑"/>
          <w:sz w:val="21"/>
          <w:szCs w:val="21"/>
        </w:rPr>
        <w:t>实施过程中，根据要求收集</w:t>
      </w:r>
      <w:r>
        <w:rPr>
          <w:rFonts w:ascii="微软雅黑" w:eastAsia="微软雅黑" w:hAnsi="微软雅黑" w:hint="eastAsia"/>
          <w:sz w:val="21"/>
          <w:szCs w:val="21"/>
        </w:rPr>
        <w:t>应用</w:t>
      </w:r>
      <w:r>
        <w:rPr>
          <w:rFonts w:ascii="微软雅黑" w:eastAsia="微软雅黑" w:hAnsi="微软雅黑"/>
          <w:sz w:val="21"/>
          <w:szCs w:val="21"/>
        </w:rPr>
        <w:t>实施过程中的相关信息，观察、分析</w:t>
      </w:r>
      <w:r>
        <w:rPr>
          <w:rFonts w:ascii="微软雅黑" w:eastAsia="微软雅黑" w:hAnsi="微软雅黑" w:hint="eastAsia"/>
          <w:sz w:val="21"/>
          <w:szCs w:val="21"/>
        </w:rPr>
        <w:t>应用</w:t>
      </w:r>
      <w:r>
        <w:rPr>
          <w:rFonts w:ascii="微软雅黑" w:eastAsia="微软雅黑" w:hAnsi="微软雅黑"/>
          <w:sz w:val="21"/>
          <w:szCs w:val="21"/>
        </w:rPr>
        <w:t>实施进程中的实际情况以便监控。为了达到有效监控</w:t>
      </w:r>
      <w:r>
        <w:rPr>
          <w:rFonts w:ascii="微软雅黑" w:eastAsia="微软雅黑" w:hAnsi="微软雅黑" w:hint="eastAsia"/>
          <w:sz w:val="21"/>
          <w:szCs w:val="21"/>
        </w:rPr>
        <w:t>应用</w:t>
      </w:r>
      <w:r>
        <w:rPr>
          <w:rFonts w:ascii="微软雅黑" w:eastAsia="微软雅黑" w:hAnsi="微软雅黑"/>
          <w:sz w:val="21"/>
          <w:szCs w:val="21"/>
        </w:rPr>
        <w:t>的目的，可以利用的监控措施与沟通渠道包括：</w:t>
      </w:r>
    </w:p>
    <w:p w14:paraId="5F3DEED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.正式的监控与沟通渠道，例如</w:t>
      </w:r>
      <w:r>
        <w:rPr>
          <w:rFonts w:ascii="微软雅黑" w:eastAsia="微软雅黑" w:hAnsi="微软雅黑" w:hint="eastAsia"/>
          <w:sz w:val="21"/>
          <w:szCs w:val="21"/>
        </w:rPr>
        <w:t>应用</w:t>
      </w:r>
      <w:r>
        <w:rPr>
          <w:rFonts w:ascii="微软雅黑" w:eastAsia="微软雅黑" w:hAnsi="微软雅黑"/>
          <w:sz w:val="21"/>
          <w:szCs w:val="21"/>
        </w:rPr>
        <w:t>进度报告、</w:t>
      </w:r>
      <w:r>
        <w:rPr>
          <w:rFonts w:ascii="微软雅黑" w:eastAsia="微软雅黑" w:hAnsi="微软雅黑" w:hint="eastAsia"/>
          <w:sz w:val="21"/>
          <w:szCs w:val="21"/>
        </w:rPr>
        <w:t>应用</w:t>
      </w:r>
      <w:r>
        <w:rPr>
          <w:rFonts w:ascii="微软雅黑" w:eastAsia="微软雅黑" w:hAnsi="微软雅黑"/>
          <w:sz w:val="21"/>
          <w:szCs w:val="21"/>
        </w:rPr>
        <w:t>例会、里程碑会议、各种会议纪要等。</w:t>
      </w:r>
    </w:p>
    <w:p w14:paraId="66003A8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w:t>
      </w:r>
      <w:r>
        <w:rPr>
          <w:rFonts w:ascii="微软雅黑" w:eastAsia="微软雅黑" w:hAnsi="微软雅黑"/>
          <w:sz w:val="21"/>
          <w:szCs w:val="21"/>
        </w:rPr>
        <w:t>.非正式的监控与沟通渠道，例如与</w:t>
      </w:r>
      <w:r>
        <w:rPr>
          <w:rFonts w:ascii="微软雅黑" w:eastAsia="微软雅黑" w:hAnsi="微软雅黑" w:hint="eastAsia"/>
          <w:sz w:val="21"/>
          <w:szCs w:val="21"/>
        </w:rPr>
        <w:t>应用</w:t>
      </w:r>
      <w:r>
        <w:rPr>
          <w:rFonts w:ascii="微软雅黑" w:eastAsia="微软雅黑" w:hAnsi="微软雅黑"/>
          <w:sz w:val="21"/>
          <w:szCs w:val="21"/>
        </w:rPr>
        <w:t>小组成员或最终用户进行交谈与讨论，与</w:t>
      </w:r>
      <w:r>
        <w:rPr>
          <w:rFonts w:ascii="微软雅黑" w:eastAsia="微软雅黑" w:hAnsi="微软雅黑" w:hint="eastAsia"/>
          <w:sz w:val="21"/>
          <w:szCs w:val="21"/>
        </w:rPr>
        <w:t>采购人</w:t>
      </w:r>
      <w:r>
        <w:rPr>
          <w:rFonts w:ascii="微软雅黑" w:eastAsia="微软雅黑" w:hAnsi="微软雅黑"/>
          <w:sz w:val="21"/>
          <w:szCs w:val="21"/>
        </w:rPr>
        <w:t>进行非正式的交流等。</w:t>
      </w:r>
    </w:p>
    <w:p w14:paraId="31D2C62E"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（四）</w:t>
      </w:r>
      <w:r>
        <w:rPr>
          <w:rFonts w:ascii="微软雅黑" w:eastAsia="微软雅黑" w:hAnsi="微软雅黑"/>
          <w:sz w:val="21"/>
          <w:szCs w:val="21"/>
        </w:rPr>
        <w:t>将实际与标准对照</w:t>
      </w:r>
    </w:p>
    <w:p w14:paraId="7E09AAD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把</w:t>
      </w:r>
      <w:r>
        <w:rPr>
          <w:rFonts w:ascii="微软雅黑" w:eastAsia="微软雅黑" w:hAnsi="微软雅黑" w:hint="eastAsia"/>
          <w:sz w:val="21"/>
          <w:szCs w:val="21"/>
        </w:rPr>
        <w:t>应用</w:t>
      </w:r>
      <w:r>
        <w:rPr>
          <w:rFonts w:ascii="微软雅黑" w:eastAsia="微软雅黑" w:hAnsi="微软雅黑"/>
          <w:sz w:val="21"/>
          <w:szCs w:val="21"/>
        </w:rPr>
        <w:t>实施过程中的实际表现与</w:t>
      </w:r>
      <w:r>
        <w:rPr>
          <w:rFonts w:ascii="微软雅黑" w:eastAsia="微软雅黑" w:hAnsi="微软雅黑" w:hint="eastAsia"/>
          <w:sz w:val="21"/>
          <w:szCs w:val="21"/>
        </w:rPr>
        <w:t>应用</w:t>
      </w:r>
      <w:r>
        <w:rPr>
          <w:rFonts w:ascii="微软雅黑" w:eastAsia="微软雅黑" w:hAnsi="微软雅黑"/>
          <w:sz w:val="21"/>
          <w:szCs w:val="21"/>
        </w:rPr>
        <w:t>质量衡量标准进行比较，分析出差异。通过对</w:t>
      </w:r>
      <w:r>
        <w:rPr>
          <w:rFonts w:ascii="微软雅黑" w:eastAsia="微软雅黑" w:hAnsi="微软雅黑" w:hint="eastAsia"/>
          <w:sz w:val="21"/>
          <w:szCs w:val="21"/>
        </w:rPr>
        <w:t>应用</w:t>
      </w:r>
      <w:r>
        <w:rPr>
          <w:rFonts w:ascii="微软雅黑" w:eastAsia="微软雅黑" w:hAnsi="微软雅黑"/>
          <w:sz w:val="21"/>
          <w:szCs w:val="21"/>
        </w:rPr>
        <w:t>实施相关衡量指标的综合分析，为客观评价</w:t>
      </w:r>
      <w:r>
        <w:rPr>
          <w:rFonts w:ascii="微软雅黑" w:eastAsia="微软雅黑" w:hAnsi="微软雅黑" w:hint="eastAsia"/>
          <w:sz w:val="21"/>
          <w:szCs w:val="21"/>
        </w:rPr>
        <w:t>应用</w:t>
      </w:r>
      <w:r>
        <w:rPr>
          <w:rFonts w:ascii="微软雅黑" w:eastAsia="微软雅黑" w:hAnsi="微软雅黑"/>
          <w:sz w:val="21"/>
          <w:szCs w:val="21"/>
        </w:rPr>
        <w:t>质量状况提供依据，帮助</w:t>
      </w:r>
      <w:r>
        <w:rPr>
          <w:rFonts w:ascii="微软雅黑" w:eastAsia="微软雅黑" w:hAnsi="微软雅黑" w:hint="eastAsia"/>
          <w:sz w:val="21"/>
          <w:szCs w:val="21"/>
        </w:rPr>
        <w:t>应用</w:t>
      </w:r>
      <w:r>
        <w:rPr>
          <w:rFonts w:ascii="微软雅黑" w:eastAsia="微软雅黑" w:hAnsi="微软雅黑"/>
          <w:sz w:val="21"/>
          <w:szCs w:val="21"/>
        </w:rPr>
        <w:t>决策人员迅速、有效地对</w:t>
      </w:r>
      <w:r>
        <w:rPr>
          <w:rFonts w:ascii="微软雅黑" w:eastAsia="微软雅黑" w:hAnsi="微软雅黑" w:hint="eastAsia"/>
          <w:sz w:val="21"/>
          <w:szCs w:val="21"/>
        </w:rPr>
        <w:t>应用</w:t>
      </w:r>
      <w:r>
        <w:rPr>
          <w:rFonts w:ascii="微软雅黑" w:eastAsia="微软雅黑" w:hAnsi="微软雅黑"/>
          <w:sz w:val="21"/>
          <w:szCs w:val="21"/>
        </w:rPr>
        <w:t>的实际进展情况进行监控与管理，从而可以根据需要采取有效措施来保证</w:t>
      </w:r>
      <w:r>
        <w:rPr>
          <w:rFonts w:ascii="微软雅黑" w:eastAsia="微软雅黑" w:hAnsi="微软雅黑" w:hint="eastAsia"/>
          <w:sz w:val="21"/>
          <w:szCs w:val="21"/>
        </w:rPr>
        <w:t>应用</w:t>
      </w:r>
      <w:r>
        <w:rPr>
          <w:rFonts w:ascii="微软雅黑" w:eastAsia="微软雅黑" w:hAnsi="微软雅黑"/>
          <w:sz w:val="21"/>
          <w:szCs w:val="21"/>
        </w:rPr>
        <w:t>实施接着既定的轨道运行。</w:t>
      </w:r>
    </w:p>
    <w:p w14:paraId="53EB51DE"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（五）</w:t>
      </w:r>
      <w:r>
        <w:rPr>
          <w:rFonts w:ascii="微软雅黑" w:eastAsia="微软雅黑" w:hAnsi="微软雅黑"/>
          <w:sz w:val="21"/>
          <w:szCs w:val="21"/>
        </w:rPr>
        <w:t>纠偏纠错</w:t>
      </w:r>
    </w:p>
    <w:p w14:paraId="05B09D2D"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根据具体情况采取合理的纠正措施。经过比较与分析，如果发现偏差，就要采取适当的措施进行纠正，让</w:t>
      </w:r>
      <w:r>
        <w:rPr>
          <w:rFonts w:ascii="微软雅黑" w:eastAsia="微软雅黑" w:hAnsi="微软雅黑" w:hint="eastAsia"/>
          <w:sz w:val="21"/>
          <w:szCs w:val="21"/>
        </w:rPr>
        <w:t>应用</w:t>
      </w:r>
      <w:r>
        <w:rPr>
          <w:rFonts w:ascii="微软雅黑" w:eastAsia="微软雅黑" w:hAnsi="微软雅黑"/>
          <w:sz w:val="21"/>
          <w:szCs w:val="21"/>
        </w:rPr>
        <w:t>实施回到正轨。可供选用的纠正措施包括：重新制定</w:t>
      </w:r>
      <w:r>
        <w:rPr>
          <w:rFonts w:ascii="微软雅黑" w:eastAsia="微软雅黑" w:hAnsi="微软雅黑" w:hint="eastAsia"/>
          <w:sz w:val="21"/>
          <w:szCs w:val="21"/>
        </w:rPr>
        <w:t>应用</w:t>
      </w:r>
      <w:r>
        <w:rPr>
          <w:rFonts w:ascii="微软雅黑" w:eastAsia="微软雅黑" w:hAnsi="微软雅黑"/>
          <w:sz w:val="21"/>
          <w:szCs w:val="21"/>
        </w:rPr>
        <w:t>计划、重新安排</w:t>
      </w:r>
      <w:r>
        <w:rPr>
          <w:rFonts w:ascii="微软雅黑" w:eastAsia="微软雅黑" w:hAnsi="微软雅黑" w:hint="eastAsia"/>
          <w:sz w:val="21"/>
          <w:szCs w:val="21"/>
        </w:rPr>
        <w:t>应用</w:t>
      </w:r>
      <w:r>
        <w:rPr>
          <w:rFonts w:ascii="微软雅黑" w:eastAsia="微软雅黑" w:hAnsi="微软雅黑"/>
          <w:sz w:val="21"/>
          <w:szCs w:val="21"/>
        </w:rPr>
        <w:t>步骤、重新分配</w:t>
      </w:r>
      <w:r>
        <w:rPr>
          <w:rFonts w:ascii="微软雅黑" w:eastAsia="微软雅黑" w:hAnsi="微软雅黑" w:hint="eastAsia"/>
          <w:sz w:val="21"/>
          <w:szCs w:val="21"/>
        </w:rPr>
        <w:t>应用</w:t>
      </w:r>
      <w:r>
        <w:rPr>
          <w:rFonts w:ascii="微软雅黑" w:eastAsia="微软雅黑" w:hAnsi="微软雅黑"/>
          <w:sz w:val="21"/>
          <w:szCs w:val="21"/>
        </w:rPr>
        <w:t>资源、调整</w:t>
      </w:r>
      <w:r>
        <w:rPr>
          <w:rFonts w:ascii="微软雅黑" w:eastAsia="微软雅黑" w:hAnsi="微软雅黑" w:hint="eastAsia"/>
          <w:sz w:val="21"/>
          <w:szCs w:val="21"/>
        </w:rPr>
        <w:t>应用</w:t>
      </w:r>
      <w:r>
        <w:rPr>
          <w:rFonts w:ascii="微软雅黑" w:eastAsia="微软雅黑" w:hAnsi="微软雅黑"/>
          <w:sz w:val="21"/>
          <w:szCs w:val="21"/>
        </w:rPr>
        <w:t>组织形式、调整</w:t>
      </w:r>
      <w:r>
        <w:rPr>
          <w:rFonts w:ascii="微软雅黑" w:eastAsia="微软雅黑" w:hAnsi="微软雅黑" w:hint="eastAsia"/>
          <w:sz w:val="21"/>
          <w:szCs w:val="21"/>
        </w:rPr>
        <w:t>应用</w:t>
      </w:r>
      <w:r>
        <w:rPr>
          <w:rFonts w:ascii="微软雅黑" w:eastAsia="微软雅黑" w:hAnsi="微软雅黑"/>
          <w:sz w:val="21"/>
          <w:szCs w:val="21"/>
        </w:rPr>
        <w:t>管理方式等。</w:t>
      </w:r>
    </w:p>
    <w:p w14:paraId="638A6D8F"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bookmarkStart w:id="101" w:name="_Toc22170"/>
      <w:r>
        <w:rPr>
          <w:rFonts w:ascii="微软雅黑" w:eastAsia="微软雅黑" w:hAnsi="微软雅黑" w:hint="eastAsia"/>
          <w:sz w:val="21"/>
          <w:szCs w:val="21"/>
        </w:rPr>
        <w:t>（六）</w:t>
      </w:r>
      <w:r>
        <w:rPr>
          <w:rFonts w:ascii="微软雅黑" w:eastAsia="微软雅黑" w:hAnsi="微软雅黑"/>
          <w:sz w:val="21"/>
          <w:szCs w:val="21"/>
        </w:rPr>
        <w:t>质量保证活动</w:t>
      </w:r>
      <w:bookmarkEnd w:id="101"/>
    </w:p>
    <w:p w14:paraId="5099F93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质量保证</w:t>
      </w:r>
      <w:r>
        <w:rPr>
          <w:rFonts w:ascii="微软雅黑" w:eastAsia="微软雅黑" w:hAnsi="微软雅黑" w:hint="eastAsia"/>
          <w:sz w:val="21"/>
          <w:szCs w:val="21"/>
        </w:rPr>
        <w:t>（控制）小组</w:t>
      </w:r>
      <w:r>
        <w:rPr>
          <w:rFonts w:ascii="微软雅黑" w:eastAsia="微软雅黑" w:hAnsi="微软雅黑"/>
          <w:sz w:val="21"/>
          <w:szCs w:val="21"/>
        </w:rPr>
        <w:t>通过以下活动来确保</w:t>
      </w:r>
      <w:r>
        <w:rPr>
          <w:rFonts w:ascii="微软雅黑" w:eastAsia="微软雅黑" w:hAnsi="微软雅黑" w:hint="eastAsia"/>
          <w:sz w:val="21"/>
          <w:szCs w:val="21"/>
        </w:rPr>
        <w:t>本应用</w:t>
      </w:r>
      <w:r>
        <w:rPr>
          <w:rFonts w:ascii="微软雅黑" w:eastAsia="微软雅黑" w:hAnsi="微软雅黑"/>
          <w:sz w:val="21"/>
          <w:szCs w:val="21"/>
        </w:rPr>
        <w:t>质量：制定软件</w:t>
      </w:r>
      <w:r>
        <w:rPr>
          <w:rFonts w:ascii="微软雅黑" w:eastAsia="微软雅黑" w:hAnsi="微软雅黑" w:hint="eastAsia"/>
          <w:sz w:val="21"/>
          <w:szCs w:val="21"/>
        </w:rPr>
        <w:t>应用</w:t>
      </w:r>
      <w:r>
        <w:rPr>
          <w:rFonts w:ascii="微软雅黑" w:eastAsia="微软雅黑" w:hAnsi="微软雅黑"/>
          <w:sz w:val="21"/>
          <w:szCs w:val="21"/>
        </w:rPr>
        <w:t>质量保障计划、检查设计文档、监控代码开发、代码走查、监控软件测试、进行质量检验等</w:t>
      </w:r>
      <w:r>
        <w:rPr>
          <w:rFonts w:ascii="微软雅黑" w:eastAsia="微软雅黑" w:hAnsi="微软雅黑"/>
          <w:sz w:val="21"/>
          <w:szCs w:val="21"/>
          <w:lang w:bidi="ar"/>
        </w:rPr>
        <w:t>。</w:t>
      </w:r>
    </w:p>
    <w:p w14:paraId="3DFA8CE5"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（七）质量保证期</w:t>
      </w:r>
    </w:p>
    <w:p w14:paraId="4FFC05D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自项目竣工验收合格之日起，</w:t>
      </w:r>
      <w:r>
        <w:rPr>
          <w:rFonts w:ascii="微软雅黑" w:eastAsia="微软雅黑" w:hAnsi="微软雅黑" w:hint="eastAsia"/>
          <w:sz w:val="21"/>
          <w:szCs w:val="21"/>
        </w:rPr>
        <w:t>为本项目成品软件和定制开发系统</w:t>
      </w:r>
      <w:r>
        <w:rPr>
          <w:rFonts w:ascii="微软雅黑" w:eastAsia="微软雅黑" w:hAnsi="微软雅黑"/>
          <w:sz w:val="21"/>
          <w:szCs w:val="21"/>
        </w:rPr>
        <w:t>提供</w:t>
      </w:r>
      <w:r>
        <w:rPr>
          <w:rFonts w:ascii="微软雅黑" w:eastAsia="微软雅黑" w:hAnsi="微软雅黑"/>
          <w:b/>
          <w:bCs/>
          <w:sz w:val="21"/>
          <w:szCs w:val="21"/>
          <w:u w:val="single"/>
        </w:rPr>
        <w:t xml:space="preserve"> </w:t>
      </w:r>
      <w:r>
        <w:rPr>
          <w:rFonts w:ascii="微软雅黑" w:eastAsia="微软雅黑" w:hAnsi="微软雅黑" w:hint="eastAsia"/>
          <w:b/>
          <w:bCs/>
          <w:sz w:val="21"/>
          <w:szCs w:val="21"/>
          <w:u w:val="single"/>
        </w:rPr>
        <w:t>壹</w:t>
      </w:r>
      <w:r>
        <w:rPr>
          <w:rFonts w:ascii="微软雅黑" w:eastAsia="微软雅黑" w:hAnsi="微软雅黑"/>
          <w:b/>
          <w:bCs/>
          <w:sz w:val="21"/>
          <w:szCs w:val="21"/>
          <w:u w:val="single"/>
        </w:rPr>
        <w:t xml:space="preserve"> </w:t>
      </w:r>
      <w:r>
        <w:rPr>
          <w:rFonts w:ascii="微软雅黑" w:eastAsia="微软雅黑" w:hAnsi="微软雅黑"/>
          <w:sz w:val="21"/>
          <w:szCs w:val="21"/>
        </w:rPr>
        <w:t>年</w:t>
      </w:r>
      <w:r>
        <w:rPr>
          <w:rFonts w:ascii="微软雅黑" w:eastAsia="微软雅黑" w:hAnsi="微软雅黑" w:hint="eastAsia"/>
          <w:sz w:val="21"/>
          <w:szCs w:val="21"/>
        </w:rPr>
        <w:t>免费运维服务，硬件产品（若有）属于国家“三包”范围的，其产品质量保证不得低于“三包”规定。</w:t>
      </w:r>
      <w:bookmarkEnd w:id="100"/>
    </w:p>
    <w:p w14:paraId="127891A7" w14:textId="77777777" w:rsidR="0022665C" w:rsidRDefault="00000000">
      <w:pPr>
        <w:pStyle w:val="2"/>
        <w:spacing w:line="560" w:lineRule="atLeast"/>
        <w:ind w:firstLine="480"/>
        <w:jc w:val="left"/>
        <w:rPr>
          <w:rFonts w:ascii="微软雅黑" w:eastAsia="微软雅黑" w:hAnsi="微软雅黑" w:hint="eastAsia"/>
          <w:b/>
          <w:bCs/>
          <w:sz w:val="24"/>
        </w:rPr>
      </w:pPr>
      <w:bookmarkStart w:id="102" w:name="_Toc26730"/>
      <w:bookmarkStart w:id="103" w:name="_Toc15498"/>
      <w:bookmarkStart w:id="104" w:name="_Toc4022"/>
      <w:bookmarkStart w:id="105" w:name="_Toc9665"/>
      <w:r>
        <w:rPr>
          <w:rFonts w:ascii="微软雅黑" w:eastAsia="微软雅黑" w:hAnsi="微软雅黑" w:hint="eastAsia"/>
          <w:b/>
          <w:bCs/>
          <w:sz w:val="24"/>
        </w:rPr>
        <w:t>五、售后服务</w:t>
      </w:r>
      <w:bookmarkEnd w:id="102"/>
      <w:bookmarkEnd w:id="103"/>
      <w:bookmarkEnd w:id="104"/>
      <w:bookmarkEnd w:id="105"/>
    </w:p>
    <w:p w14:paraId="36785BE8"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bookmarkStart w:id="106" w:name="_Hlk151581963"/>
      <w:r>
        <w:rPr>
          <w:rFonts w:ascii="微软雅黑" w:eastAsia="微软雅黑" w:hAnsi="微软雅黑" w:hint="eastAsia"/>
          <w:sz w:val="21"/>
          <w:szCs w:val="21"/>
        </w:rPr>
        <w:t>（一）</w:t>
      </w:r>
      <w:r>
        <w:rPr>
          <w:rFonts w:ascii="微软雅黑" w:eastAsia="微软雅黑" w:hAnsi="微软雅黑"/>
          <w:sz w:val="21"/>
          <w:szCs w:val="21"/>
        </w:rPr>
        <w:t>服务响应</w:t>
      </w:r>
    </w:p>
    <w:p w14:paraId="426A9B8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中标人</w:t>
      </w:r>
      <w:r>
        <w:rPr>
          <w:rFonts w:ascii="微软雅黑" w:eastAsia="微软雅黑" w:hAnsi="微软雅黑" w:hint="eastAsia"/>
          <w:sz w:val="21"/>
          <w:szCs w:val="21"/>
        </w:rPr>
        <w:t>在质量保证期内</w:t>
      </w:r>
      <w:r>
        <w:rPr>
          <w:rFonts w:ascii="微软雅黑" w:eastAsia="微软雅黑" w:hAnsi="微软雅黑"/>
          <w:sz w:val="21"/>
          <w:szCs w:val="21"/>
        </w:rPr>
        <w:t>提供7×24小时电话值守，紧急情况应立即做出响应；一般问题应在</w:t>
      </w:r>
      <w:r>
        <w:rPr>
          <w:rFonts w:ascii="微软雅黑" w:eastAsia="微软雅黑" w:hAnsi="微软雅黑" w:hint="eastAsia"/>
          <w:sz w:val="21"/>
          <w:szCs w:val="21"/>
        </w:rPr>
        <w:t>30分钟</w:t>
      </w:r>
      <w:r>
        <w:rPr>
          <w:rFonts w:ascii="微软雅黑" w:eastAsia="微软雅黑" w:hAnsi="微软雅黑"/>
          <w:sz w:val="21"/>
          <w:szCs w:val="21"/>
        </w:rPr>
        <w:t>内做出明确响应和安排，</w:t>
      </w:r>
      <w:r>
        <w:rPr>
          <w:rFonts w:ascii="微软雅黑" w:eastAsia="微软雅黑" w:hAnsi="微软雅黑" w:hint="eastAsia"/>
          <w:sz w:val="21"/>
          <w:szCs w:val="21"/>
        </w:rPr>
        <w:t>2</w:t>
      </w:r>
      <w:r>
        <w:rPr>
          <w:rFonts w:ascii="微软雅黑" w:eastAsia="微软雅黑" w:hAnsi="微软雅黑"/>
          <w:sz w:val="21"/>
          <w:szCs w:val="21"/>
        </w:rPr>
        <w:t>小时内做出故障诊断报告，如需更高能力工程师支持，具有解决故障能力的工程师应在接到服务请求后</w:t>
      </w:r>
      <w:r>
        <w:rPr>
          <w:rFonts w:ascii="微软雅黑" w:eastAsia="微软雅黑" w:hAnsi="微软雅黑" w:hint="eastAsia"/>
          <w:sz w:val="21"/>
          <w:szCs w:val="21"/>
        </w:rPr>
        <w:t>3</w:t>
      </w:r>
      <w:r>
        <w:rPr>
          <w:rFonts w:ascii="微软雅黑" w:eastAsia="微软雅黑" w:hAnsi="微软雅黑"/>
          <w:sz w:val="21"/>
          <w:szCs w:val="21"/>
        </w:rPr>
        <w:t>小时内到达用户现场提供现场技术服务，并在8小时内完成处理；较为复杂问题处理时限应不超过</w:t>
      </w:r>
      <w:r>
        <w:rPr>
          <w:rFonts w:ascii="微软雅黑" w:eastAsia="微软雅黑" w:hAnsi="微软雅黑" w:hint="eastAsia"/>
          <w:sz w:val="21"/>
          <w:szCs w:val="21"/>
        </w:rPr>
        <w:t>2</w:t>
      </w:r>
      <w:r>
        <w:rPr>
          <w:rFonts w:ascii="微软雅黑" w:eastAsia="微软雅黑" w:hAnsi="微软雅黑"/>
          <w:sz w:val="21"/>
          <w:szCs w:val="21"/>
        </w:rPr>
        <w:t>天；特殊或系统性问题应在用户规定时限内完成，且处理时限最多不超过</w:t>
      </w:r>
      <w:r>
        <w:rPr>
          <w:rFonts w:ascii="微软雅黑" w:eastAsia="微软雅黑" w:hAnsi="微软雅黑" w:hint="eastAsia"/>
          <w:sz w:val="21"/>
          <w:szCs w:val="21"/>
        </w:rPr>
        <w:t>10</w:t>
      </w:r>
      <w:r>
        <w:rPr>
          <w:rFonts w:ascii="微软雅黑" w:eastAsia="微软雅黑" w:hAnsi="微软雅黑"/>
          <w:sz w:val="21"/>
          <w:szCs w:val="21"/>
        </w:rPr>
        <w:t>日。无法在1天内完成处理的故障问题，中标人应提供临时保障方案，确保基本业务工作正常进行。</w:t>
      </w:r>
    </w:p>
    <w:p w14:paraId="0EDCCE54"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w:t>
      </w:r>
      <w:r>
        <w:rPr>
          <w:rFonts w:ascii="微软雅黑" w:eastAsia="微软雅黑" w:hAnsi="微软雅黑"/>
          <w:sz w:val="21"/>
          <w:szCs w:val="21"/>
        </w:rPr>
        <w:t>系统故障处理及加固</w:t>
      </w:r>
    </w:p>
    <w:p w14:paraId="47E428E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如果系统发生故障，中标人要调查故障原因并修复直至满足竣工验收指标和性能的要求，或者更换整个或部分有缺陷的模块，所有涉及的费用均包含在本次投标人的报价中。在使用中发现软件系统存在缺陷的，采购人有权要求中标人进行整改升级处理。所有升级完成后，如出现相关系统或服务运行异常等不良影响的，中标人须负责为采购人恢复受影响系统或服务至正常运行。此外，如中标人推出技术升级程序或系统补丁程序，中标人应在升级程序推出后15日内到现场为采购人提供升级服务，不得另行收取费用。</w:t>
      </w:r>
    </w:p>
    <w:p w14:paraId="1702358F"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（三）</w:t>
      </w:r>
      <w:r>
        <w:rPr>
          <w:rFonts w:ascii="微软雅黑" w:eastAsia="微软雅黑" w:hAnsi="微软雅黑"/>
          <w:sz w:val="21"/>
          <w:szCs w:val="21"/>
        </w:rPr>
        <w:t>系统功能扩展升级</w:t>
      </w:r>
    </w:p>
    <w:p w14:paraId="4ACD6A4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当采购人主动提出系统功能扩展或优化完善</w:t>
      </w:r>
      <w:r>
        <w:rPr>
          <w:rFonts w:ascii="微软雅黑" w:eastAsia="微软雅黑" w:hAnsi="微软雅黑" w:hint="eastAsia"/>
          <w:sz w:val="21"/>
          <w:szCs w:val="21"/>
        </w:rPr>
        <w:t>及升级开发工作</w:t>
      </w:r>
      <w:r>
        <w:rPr>
          <w:rFonts w:ascii="微软雅黑" w:eastAsia="微软雅黑" w:hAnsi="微软雅黑"/>
          <w:sz w:val="21"/>
          <w:szCs w:val="21"/>
        </w:rPr>
        <w:t>时，中标人应组织相关技术人员</w:t>
      </w:r>
      <w:r>
        <w:rPr>
          <w:rFonts w:ascii="微软雅黑" w:eastAsia="微软雅黑" w:hAnsi="微软雅黑" w:hint="eastAsia"/>
          <w:sz w:val="21"/>
          <w:szCs w:val="21"/>
        </w:rPr>
        <w:t>评估需求，</w:t>
      </w:r>
      <w:r>
        <w:rPr>
          <w:rFonts w:ascii="微软雅黑" w:eastAsia="微软雅黑" w:hAnsi="微软雅黑"/>
          <w:sz w:val="21"/>
          <w:szCs w:val="21"/>
        </w:rPr>
        <w:t>由中标人提供代码开发工作量</w:t>
      </w:r>
      <w:r>
        <w:rPr>
          <w:rFonts w:ascii="微软雅黑" w:eastAsia="微软雅黑" w:hAnsi="微软雅黑" w:hint="eastAsia"/>
          <w:sz w:val="21"/>
          <w:szCs w:val="21"/>
        </w:rPr>
        <w:t>，经双方确认后可纳入新增需求及对应工时清单，并</w:t>
      </w:r>
      <w:r>
        <w:rPr>
          <w:rFonts w:ascii="微软雅黑" w:eastAsia="微软雅黑" w:hAnsi="微软雅黑"/>
          <w:sz w:val="21"/>
          <w:szCs w:val="21"/>
        </w:rPr>
        <w:t>在约定时限内完成相关功能设计和开发任务。其中，中标人为处理本条上述第</w:t>
      </w:r>
      <w:r>
        <w:rPr>
          <w:rFonts w:ascii="微软雅黑" w:eastAsia="微软雅黑" w:hAnsi="微软雅黑" w:hint="eastAsia"/>
          <w:sz w:val="21"/>
          <w:szCs w:val="21"/>
        </w:rPr>
        <w:t>（二）</w:t>
      </w:r>
      <w:r>
        <w:rPr>
          <w:rFonts w:ascii="微软雅黑" w:eastAsia="微软雅黑" w:hAnsi="微软雅黑"/>
          <w:sz w:val="21"/>
          <w:szCs w:val="21"/>
        </w:rPr>
        <w:t xml:space="preserve">款所述的“系统故障处理及加固”问题，所开展的系统升级或加固设计开发工作，是中标人必须承担的售后服务义务，故不得作为采购人主动要求的系统功能扩展升级开发工作量进行计算。 </w:t>
      </w:r>
    </w:p>
    <w:p w14:paraId="457393B1"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（四）</w:t>
      </w:r>
      <w:r>
        <w:rPr>
          <w:rFonts w:ascii="微软雅黑" w:eastAsia="微软雅黑" w:hAnsi="微软雅黑"/>
          <w:sz w:val="21"/>
          <w:szCs w:val="21"/>
        </w:rPr>
        <w:t>应用保障服务</w:t>
      </w:r>
    </w:p>
    <w:p w14:paraId="7DF5BBF9"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采购人开展日常系统应急处置及演练、关联系统建设、系统功能测试/检测、重大工作应用保障等活动时，中标人须根据采购人或用户约定时间及保障服务等要求，派出相关专业技术人员及项目建设人员予以配合。提供事前筹备、事中保障、事后跟踪等服务。</w:t>
      </w:r>
    </w:p>
    <w:p w14:paraId="57393505"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（五）</w:t>
      </w:r>
      <w:r>
        <w:rPr>
          <w:rFonts w:ascii="微软雅黑" w:eastAsia="微软雅黑" w:hAnsi="微软雅黑"/>
          <w:sz w:val="21"/>
          <w:szCs w:val="21"/>
        </w:rPr>
        <w:t xml:space="preserve">技术支援服务 </w:t>
      </w:r>
    </w:p>
    <w:p w14:paraId="48B3DA81"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当采购人计划开展与本项目相关的后续系统升级、改造、扩建等系统建设工作时，如采购人向中标人提出相应请求，中标人应在要求的时限内组织技术专家团队为采购人提供相关系统建设工作所需的设计、咨询、技术审查、本项目相关开发培训及本项目建成系统联调等技术服务工作。</w:t>
      </w:r>
    </w:p>
    <w:p w14:paraId="36D270F6"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（六）</w:t>
      </w:r>
      <w:r>
        <w:rPr>
          <w:rFonts w:ascii="微软雅黑" w:eastAsia="微软雅黑" w:hAnsi="微软雅黑"/>
          <w:sz w:val="21"/>
          <w:szCs w:val="21"/>
        </w:rPr>
        <w:t xml:space="preserve">安全技术保障服务 </w:t>
      </w:r>
    </w:p>
    <w:p w14:paraId="42446F0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 xml:space="preserve">当系统出现网络安全、数据信息保密安全威胁等事件时，以及特殊时期，中标人在接到采购人请求后，应立即组成专家技术服务小组达到采购人现场，为采购人提供应急处置和技术支援服务。 </w:t>
      </w:r>
    </w:p>
    <w:p w14:paraId="5663207A"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（七）</w:t>
      </w:r>
      <w:r>
        <w:rPr>
          <w:rFonts w:ascii="微软雅黑" w:eastAsia="微软雅黑" w:hAnsi="微软雅黑"/>
          <w:sz w:val="21"/>
          <w:szCs w:val="21"/>
        </w:rPr>
        <w:t>技术资料服务</w:t>
      </w:r>
    </w:p>
    <w:p w14:paraId="33E1BB1E"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中标人为采购人提供保证软件正常运行的必要技术资料</w:t>
      </w:r>
      <w:r>
        <w:rPr>
          <w:rFonts w:ascii="微软雅黑" w:eastAsia="微软雅黑" w:hAnsi="微软雅黑" w:hint="eastAsia"/>
          <w:sz w:val="21"/>
          <w:szCs w:val="21"/>
        </w:rPr>
        <w:t>（</w:t>
      </w:r>
      <w:r>
        <w:rPr>
          <w:rFonts w:ascii="微软雅黑" w:eastAsia="微软雅黑" w:hAnsi="微软雅黑"/>
          <w:sz w:val="21"/>
          <w:szCs w:val="21"/>
        </w:rPr>
        <w:t>含技术和商业机密的除外</w:t>
      </w:r>
      <w:r>
        <w:rPr>
          <w:rFonts w:ascii="微软雅黑" w:eastAsia="微软雅黑" w:hAnsi="微软雅黑" w:hint="eastAsia"/>
          <w:sz w:val="21"/>
          <w:szCs w:val="21"/>
        </w:rPr>
        <w:t>）</w:t>
      </w:r>
      <w:r>
        <w:rPr>
          <w:rFonts w:ascii="微软雅黑" w:eastAsia="微软雅黑" w:hAnsi="微软雅黑"/>
          <w:sz w:val="21"/>
          <w:szCs w:val="21"/>
        </w:rPr>
        <w:t>。为采购人提供有关产品知识、操作手册、技术文档等资料。常用资料应提供纸质文档</w:t>
      </w:r>
      <w:r>
        <w:rPr>
          <w:rFonts w:ascii="微软雅黑" w:eastAsia="微软雅黑" w:hAnsi="微软雅黑" w:hint="eastAsia"/>
          <w:sz w:val="21"/>
          <w:szCs w:val="21"/>
        </w:rPr>
        <w:t>和电子文档</w:t>
      </w:r>
      <w:r>
        <w:rPr>
          <w:rFonts w:ascii="微软雅黑" w:eastAsia="微软雅黑" w:hAnsi="微软雅黑"/>
          <w:sz w:val="21"/>
          <w:szCs w:val="21"/>
        </w:rPr>
        <w:t>，保证资料方便共享，并对采购人如何访问该电子资源进行必要的培训。</w:t>
      </w:r>
      <w:bookmarkEnd w:id="106"/>
    </w:p>
    <w:p w14:paraId="75D43CB8" w14:textId="77777777" w:rsidR="0022665C" w:rsidRDefault="00000000">
      <w:pPr>
        <w:pStyle w:val="2"/>
        <w:spacing w:line="560" w:lineRule="atLeast"/>
        <w:ind w:firstLine="480"/>
        <w:jc w:val="left"/>
        <w:rPr>
          <w:rFonts w:ascii="微软雅黑" w:eastAsia="微软雅黑" w:hAnsi="微软雅黑" w:hint="eastAsia"/>
          <w:b/>
          <w:bCs/>
          <w:sz w:val="24"/>
        </w:rPr>
      </w:pPr>
      <w:bookmarkStart w:id="107" w:name="_Toc22091"/>
      <w:bookmarkStart w:id="108" w:name="_Toc18532"/>
      <w:bookmarkStart w:id="109" w:name="_Toc27075"/>
      <w:bookmarkStart w:id="110" w:name="_Toc18791"/>
      <w:bookmarkStart w:id="111" w:name="_Toc20405"/>
      <w:bookmarkEnd w:id="97"/>
      <w:r>
        <w:rPr>
          <w:rFonts w:ascii="微软雅黑" w:eastAsia="微软雅黑" w:hAnsi="微软雅黑" w:hint="eastAsia"/>
          <w:b/>
          <w:bCs/>
          <w:sz w:val="24"/>
        </w:rPr>
        <w:t>六、考核办法</w:t>
      </w:r>
      <w:bookmarkEnd w:id="107"/>
      <w:bookmarkEnd w:id="108"/>
      <w:bookmarkEnd w:id="109"/>
      <w:bookmarkEnd w:id="110"/>
    </w:p>
    <w:p w14:paraId="6A2A6257" w14:textId="77777777" w:rsidR="0022665C" w:rsidRDefault="00000000">
      <w:pPr>
        <w:pStyle w:val="aff"/>
        <w:spacing w:line="440" w:lineRule="atLeast"/>
        <w:ind w:firstLineChars="200"/>
        <w:rPr>
          <w:rFonts w:ascii="微软雅黑" w:eastAsia="微软雅黑" w:hAnsi="微软雅黑" w:hint="eastAsia"/>
          <w:sz w:val="21"/>
          <w:szCs w:val="21"/>
        </w:rPr>
      </w:pPr>
      <w:bookmarkStart w:id="112" w:name="_Hlk151582069"/>
      <w:r>
        <w:rPr>
          <w:rFonts w:ascii="微软雅黑" w:eastAsia="微软雅黑" w:hAnsi="微软雅黑" w:hint="eastAsia"/>
          <w:sz w:val="21"/>
          <w:szCs w:val="21"/>
        </w:rPr>
        <w:t>为</w:t>
      </w:r>
      <w:r>
        <w:rPr>
          <w:rFonts w:ascii="微软雅黑" w:eastAsia="微软雅黑" w:hAnsi="微软雅黑"/>
          <w:sz w:val="21"/>
          <w:szCs w:val="21"/>
        </w:rPr>
        <w:t>保障系统建设服务质量和系统安全稳定运行，</w:t>
      </w:r>
      <w:r>
        <w:rPr>
          <w:rFonts w:ascii="微软雅黑" w:eastAsia="微软雅黑" w:hAnsi="微软雅黑" w:hint="eastAsia"/>
          <w:sz w:val="21"/>
          <w:szCs w:val="21"/>
        </w:rPr>
        <w:t>在合同约定的范围内，</w:t>
      </w:r>
      <w:r>
        <w:rPr>
          <w:rFonts w:ascii="微软雅黑" w:eastAsia="微软雅黑" w:hAnsi="微软雅黑"/>
          <w:sz w:val="21"/>
          <w:szCs w:val="21"/>
        </w:rPr>
        <w:t>中标</w:t>
      </w:r>
      <w:r>
        <w:rPr>
          <w:rFonts w:ascii="微软雅黑" w:eastAsia="微软雅黑" w:hAnsi="微软雅黑" w:hint="eastAsia"/>
          <w:sz w:val="21"/>
          <w:szCs w:val="21"/>
        </w:rPr>
        <w:t>人</w:t>
      </w:r>
      <w:r>
        <w:rPr>
          <w:rFonts w:ascii="微软雅黑" w:eastAsia="微软雅黑" w:hAnsi="微软雅黑"/>
          <w:sz w:val="21"/>
          <w:szCs w:val="21"/>
        </w:rPr>
        <w:t>严格遵守服务质量承诺及相关管理规定，对于违反服务质量承诺和服务水平约定造成服务质量下降的进行考核。考核内容包括</w:t>
      </w:r>
      <w:r>
        <w:rPr>
          <w:rFonts w:ascii="微软雅黑" w:eastAsia="微软雅黑" w:hAnsi="微软雅黑" w:cs="微软雅黑" w:hint="eastAsia"/>
          <w:bCs/>
          <w:sz w:val="21"/>
          <w:szCs w:val="21"/>
        </w:rPr>
        <w:t>重大安全事故情形、</w:t>
      </w:r>
      <w:r>
        <w:rPr>
          <w:rFonts w:ascii="微软雅黑" w:eastAsia="微软雅黑" w:hAnsi="微软雅黑" w:hint="eastAsia"/>
          <w:sz w:val="21"/>
          <w:szCs w:val="21"/>
        </w:rPr>
        <w:t>开发建设时间、</w:t>
      </w:r>
      <w:r>
        <w:rPr>
          <w:rFonts w:ascii="微软雅黑" w:eastAsia="微软雅黑" w:hAnsi="微软雅黑"/>
          <w:sz w:val="21"/>
          <w:szCs w:val="21"/>
        </w:rPr>
        <w:t>质量</w:t>
      </w:r>
      <w:r>
        <w:rPr>
          <w:rFonts w:ascii="微软雅黑" w:eastAsia="微软雅黑" w:hAnsi="微软雅黑" w:hint="eastAsia"/>
          <w:sz w:val="21"/>
          <w:szCs w:val="21"/>
        </w:rPr>
        <w:t>考核（包含</w:t>
      </w:r>
      <w:r>
        <w:rPr>
          <w:rFonts w:ascii="微软雅黑" w:eastAsia="微软雅黑" w:hAnsi="微软雅黑"/>
          <w:sz w:val="21"/>
          <w:szCs w:val="21"/>
        </w:rPr>
        <w:t>系统安全稳定运行、安全管理</w:t>
      </w:r>
      <w:r>
        <w:rPr>
          <w:rFonts w:ascii="微软雅黑" w:eastAsia="微软雅黑" w:hAnsi="微软雅黑" w:hint="eastAsia"/>
          <w:sz w:val="21"/>
          <w:szCs w:val="21"/>
        </w:rPr>
        <w:t>等）、</w:t>
      </w:r>
      <w:r>
        <w:rPr>
          <w:rFonts w:ascii="微软雅黑" w:eastAsia="微软雅黑" w:hAnsi="微软雅黑"/>
          <w:sz w:val="21"/>
          <w:szCs w:val="21"/>
        </w:rPr>
        <w:t>技术服务</w:t>
      </w:r>
      <w:r>
        <w:rPr>
          <w:rFonts w:ascii="微软雅黑" w:eastAsia="微软雅黑" w:hAnsi="微软雅黑" w:hint="eastAsia"/>
          <w:sz w:val="21"/>
          <w:szCs w:val="21"/>
        </w:rPr>
        <w:t>、</w:t>
      </w:r>
      <w:r>
        <w:rPr>
          <w:rFonts w:ascii="微软雅黑" w:eastAsia="微软雅黑" w:hAnsi="微软雅黑"/>
          <w:sz w:val="21"/>
          <w:szCs w:val="21"/>
        </w:rPr>
        <w:t>满意度等</w:t>
      </w:r>
      <w:r>
        <w:rPr>
          <w:rFonts w:ascii="微软雅黑" w:eastAsia="微软雅黑" w:hAnsi="微软雅黑" w:hint="eastAsia"/>
          <w:sz w:val="21"/>
          <w:szCs w:val="21"/>
        </w:rPr>
        <w:t>5</w:t>
      </w:r>
      <w:r>
        <w:rPr>
          <w:rFonts w:ascii="微软雅黑" w:eastAsia="微软雅黑" w:hAnsi="微软雅黑"/>
          <w:sz w:val="21"/>
          <w:szCs w:val="21"/>
        </w:rPr>
        <w:t>个方面</w:t>
      </w:r>
      <w:bookmarkEnd w:id="112"/>
      <w:r>
        <w:rPr>
          <w:rFonts w:ascii="微软雅黑" w:eastAsia="微软雅黑" w:hAnsi="微软雅黑"/>
          <w:sz w:val="21"/>
          <w:szCs w:val="21"/>
        </w:rPr>
        <w:t>。具体考核细则</w:t>
      </w:r>
      <w:r>
        <w:rPr>
          <w:rFonts w:ascii="微软雅黑" w:eastAsia="微软雅黑" w:hAnsi="微软雅黑" w:hint="eastAsia"/>
          <w:sz w:val="21"/>
          <w:szCs w:val="21"/>
        </w:rPr>
        <w:t>如下：</w:t>
      </w:r>
    </w:p>
    <w:p w14:paraId="770B9B6A" w14:textId="77777777" w:rsidR="0022665C" w:rsidRDefault="00000000">
      <w:pPr>
        <w:spacing w:line="440" w:lineRule="atLeast"/>
        <w:ind w:firstLine="480"/>
        <w:jc w:val="center"/>
        <w:rPr>
          <w:rFonts w:ascii="微软雅黑" w:eastAsia="微软雅黑" w:hAnsi="微软雅黑" w:hint="eastAsia"/>
          <w:b/>
          <w:sz w:val="24"/>
          <w:szCs w:val="24"/>
        </w:rPr>
      </w:pPr>
      <w:bookmarkStart w:id="113" w:name="_Hlk151582099"/>
      <w:r>
        <w:rPr>
          <w:rFonts w:ascii="微软雅黑" w:eastAsia="微软雅黑" w:hAnsi="微软雅黑" w:hint="eastAsia"/>
          <w:b/>
          <w:sz w:val="24"/>
          <w:szCs w:val="24"/>
        </w:rPr>
        <w:t>考核办法</w:t>
      </w:r>
    </w:p>
    <w:p w14:paraId="13561C5C" w14:textId="77777777" w:rsidR="0022665C" w:rsidRDefault="00000000">
      <w:pPr>
        <w:pStyle w:val="affa"/>
        <w:spacing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第一条</w:t>
      </w:r>
      <w:r>
        <w:rPr>
          <w:rFonts w:ascii="微软雅黑" w:eastAsia="微软雅黑" w:hAnsi="微软雅黑" w:cs="微软雅黑"/>
          <w:sz w:val="21"/>
          <w:szCs w:val="21"/>
        </w:rPr>
        <w:t xml:space="preserve">  </w:t>
      </w:r>
      <w:r>
        <w:rPr>
          <w:rFonts w:ascii="微软雅黑" w:eastAsia="微软雅黑" w:hAnsi="微软雅黑" w:cs="微软雅黑" w:hint="eastAsia"/>
          <w:sz w:val="21"/>
          <w:szCs w:val="21"/>
        </w:rPr>
        <w:t>为保</w:t>
      </w:r>
      <w:r>
        <w:rPr>
          <w:rFonts w:ascii="微软雅黑" w:eastAsia="微软雅黑" w:hAnsi="微软雅黑" w:hint="eastAsia"/>
          <w:sz w:val="21"/>
          <w:szCs w:val="21"/>
        </w:rPr>
        <w:t>障数字化城市运行和治理中心系统1.0（以下简称“</w:t>
      </w:r>
      <w:r>
        <w:rPr>
          <w:rFonts w:ascii="微软雅黑" w:eastAsia="微软雅黑" w:hAnsi="微软雅黑" w:cs="微软雅黑" w:hint="eastAsia"/>
          <w:sz w:val="21"/>
          <w:szCs w:val="21"/>
        </w:rPr>
        <w:t>系统”）安全稳定运行，达到研发、运用预期目的，落实协议约定合作事项，结合工作实际，制定本办法。</w:t>
      </w:r>
    </w:p>
    <w:p w14:paraId="698AA9CB"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cs="微软雅黑" w:hint="eastAsia"/>
          <w:sz w:val="21"/>
          <w:szCs w:val="21"/>
        </w:rPr>
        <w:t>第二条</w:t>
      </w:r>
      <w:r>
        <w:rPr>
          <w:rFonts w:ascii="微软雅黑" w:eastAsia="微软雅黑" w:hAnsi="微软雅黑" w:cs="微软雅黑"/>
          <w:sz w:val="21"/>
          <w:szCs w:val="21"/>
        </w:rPr>
        <w:t xml:space="preserve">  </w:t>
      </w:r>
      <w:r>
        <w:rPr>
          <w:rFonts w:ascii="微软雅黑" w:eastAsia="微软雅黑" w:hAnsi="微软雅黑"/>
          <w:sz w:val="21"/>
          <w:szCs w:val="21"/>
        </w:rPr>
        <w:t>考核内容包括</w:t>
      </w:r>
      <w:r>
        <w:rPr>
          <w:rFonts w:ascii="微软雅黑" w:eastAsia="微软雅黑" w:hAnsi="微软雅黑" w:cs="微软雅黑" w:hint="eastAsia"/>
          <w:bCs/>
          <w:sz w:val="21"/>
          <w:szCs w:val="21"/>
        </w:rPr>
        <w:t>重大安全事故情形、</w:t>
      </w:r>
      <w:r>
        <w:rPr>
          <w:rFonts w:ascii="微软雅黑" w:eastAsia="微软雅黑" w:hAnsi="微软雅黑" w:hint="eastAsia"/>
          <w:sz w:val="21"/>
          <w:szCs w:val="21"/>
        </w:rPr>
        <w:t>开发建设时间、</w:t>
      </w:r>
      <w:r>
        <w:rPr>
          <w:rFonts w:ascii="微软雅黑" w:eastAsia="微软雅黑" w:hAnsi="微软雅黑"/>
          <w:sz w:val="21"/>
          <w:szCs w:val="21"/>
        </w:rPr>
        <w:t>质量</w:t>
      </w:r>
      <w:r>
        <w:rPr>
          <w:rFonts w:ascii="微软雅黑" w:eastAsia="微软雅黑" w:hAnsi="微软雅黑" w:hint="eastAsia"/>
          <w:sz w:val="21"/>
          <w:szCs w:val="21"/>
        </w:rPr>
        <w:t>考核（包含</w:t>
      </w:r>
      <w:r>
        <w:rPr>
          <w:rFonts w:ascii="微软雅黑" w:eastAsia="微软雅黑" w:hAnsi="微软雅黑"/>
          <w:sz w:val="21"/>
          <w:szCs w:val="21"/>
        </w:rPr>
        <w:t>系统安全稳定运行、安全管理</w:t>
      </w:r>
      <w:r>
        <w:rPr>
          <w:rFonts w:ascii="微软雅黑" w:eastAsia="微软雅黑" w:hAnsi="微软雅黑" w:hint="eastAsia"/>
          <w:sz w:val="21"/>
          <w:szCs w:val="21"/>
        </w:rPr>
        <w:t>等）、</w:t>
      </w:r>
      <w:r>
        <w:rPr>
          <w:rFonts w:ascii="微软雅黑" w:eastAsia="微软雅黑" w:hAnsi="微软雅黑"/>
          <w:sz w:val="21"/>
          <w:szCs w:val="21"/>
        </w:rPr>
        <w:t>技术服务</w:t>
      </w:r>
      <w:r>
        <w:rPr>
          <w:rFonts w:ascii="微软雅黑" w:eastAsia="微软雅黑" w:hAnsi="微软雅黑" w:hint="eastAsia"/>
          <w:sz w:val="21"/>
          <w:szCs w:val="21"/>
        </w:rPr>
        <w:t>、</w:t>
      </w:r>
      <w:r>
        <w:rPr>
          <w:rFonts w:ascii="微软雅黑" w:eastAsia="微软雅黑" w:hAnsi="微软雅黑"/>
          <w:sz w:val="21"/>
          <w:szCs w:val="21"/>
        </w:rPr>
        <w:t>满意度等</w:t>
      </w:r>
      <w:r>
        <w:rPr>
          <w:rFonts w:ascii="微软雅黑" w:eastAsia="微软雅黑" w:hAnsi="微软雅黑" w:hint="eastAsia"/>
          <w:sz w:val="21"/>
          <w:szCs w:val="21"/>
        </w:rPr>
        <w:t>5</w:t>
      </w:r>
      <w:r>
        <w:rPr>
          <w:rFonts w:ascii="微软雅黑" w:eastAsia="微软雅黑" w:hAnsi="微软雅黑"/>
          <w:sz w:val="21"/>
          <w:szCs w:val="21"/>
        </w:rPr>
        <w:t>个方面</w:t>
      </w:r>
      <w:r>
        <w:rPr>
          <w:rFonts w:ascii="微软雅黑" w:eastAsia="微软雅黑" w:hAnsi="微软雅黑" w:cs="微软雅黑" w:hint="eastAsia"/>
          <w:sz w:val="21"/>
          <w:szCs w:val="21"/>
        </w:rPr>
        <w:t>（具体详见《考核评分表》），并可根据系统服务内容及相关工作要求具体明确与适当调整。</w:t>
      </w:r>
    </w:p>
    <w:p w14:paraId="07A0CFAE" w14:textId="77777777" w:rsidR="0022665C" w:rsidRDefault="00000000">
      <w:pPr>
        <w:pStyle w:val="affa"/>
        <w:spacing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第三条</w:t>
      </w:r>
      <w:r>
        <w:rPr>
          <w:rFonts w:ascii="微软雅黑" w:eastAsia="微软雅黑" w:hAnsi="微软雅黑" w:cs="微软雅黑"/>
          <w:sz w:val="21"/>
          <w:szCs w:val="21"/>
        </w:rPr>
        <w:t xml:space="preserve">  </w:t>
      </w:r>
      <w:r>
        <w:rPr>
          <w:rFonts w:ascii="微软雅黑" w:eastAsia="微软雅黑" w:hAnsi="微软雅黑" w:cs="微软雅黑" w:hint="eastAsia"/>
          <w:sz w:val="21"/>
          <w:szCs w:val="21"/>
        </w:rPr>
        <w:t>采购人和中标人双方应明确专人负责本项目的相关联系协调工作，涉及重大安全事故、加扣分情形，以双方工作人员确认书面文书作为考核依据。</w:t>
      </w:r>
    </w:p>
    <w:p w14:paraId="3F4BEE26" w14:textId="77777777" w:rsidR="0022665C" w:rsidRDefault="00000000">
      <w:pPr>
        <w:pStyle w:val="affa"/>
        <w:spacing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第四条</w:t>
      </w:r>
      <w:r>
        <w:rPr>
          <w:rFonts w:ascii="微软雅黑" w:eastAsia="微软雅黑" w:hAnsi="微软雅黑" w:cs="微软雅黑"/>
          <w:sz w:val="21"/>
          <w:szCs w:val="21"/>
        </w:rPr>
        <w:t xml:space="preserve">  </w:t>
      </w:r>
      <w:r>
        <w:rPr>
          <w:rFonts w:ascii="微软雅黑" w:eastAsia="微软雅黑" w:hAnsi="微软雅黑" w:cs="微软雅黑" w:hint="eastAsia"/>
          <w:sz w:val="21"/>
          <w:szCs w:val="21"/>
        </w:rPr>
        <w:t>其他涉及运行维护考核的未尽事宜，由采购人和中标人协商确定。</w:t>
      </w:r>
    </w:p>
    <w:tbl>
      <w:tblPr>
        <w:tblW w:w="96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127"/>
        <w:gridCol w:w="2031"/>
        <w:gridCol w:w="5761"/>
      </w:tblGrid>
      <w:tr w:rsidR="0022665C" w14:paraId="03C6D4E7" w14:textId="77777777">
        <w:trPr>
          <w:jc w:val="center"/>
        </w:trPr>
        <w:tc>
          <w:tcPr>
            <w:tcW w:w="9628" w:type="dxa"/>
            <w:gridSpan w:val="4"/>
            <w:vAlign w:val="center"/>
          </w:tcPr>
          <w:p w14:paraId="5EFBFA86"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
                <w:bCs/>
                <w:sz w:val="21"/>
                <w:szCs w:val="21"/>
              </w:rPr>
              <w:t>考核评分表</w:t>
            </w:r>
          </w:p>
        </w:tc>
      </w:tr>
      <w:tr w:rsidR="0022665C" w14:paraId="700F688F" w14:textId="77777777">
        <w:trPr>
          <w:jc w:val="center"/>
        </w:trPr>
        <w:tc>
          <w:tcPr>
            <w:tcW w:w="9628" w:type="dxa"/>
            <w:gridSpan w:val="4"/>
            <w:vAlign w:val="center"/>
          </w:tcPr>
          <w:p w14:paraId="7DE25CCF" w14:textId="77777777" w:rsidR="0022665C" w:rsidRDefault="00000000">
            <w:pPr>
              <w:pStyle w:val="affa"/>
              <w:spacing w:line="360" w:lineRule="exact"/>
              <w:ind w:firstLineChars="0" w:firstLine="0"/>
              <w:jc w:val="left"/>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一、重大安全事故情形</w:t>
            </w:r>
          </w:p>
        </w:tc>
      </w:tr>
      <w:tr w:rsidR="0022665C" w14:paraId="58BBFCF9" w14:textId="77777777">
        <w:trPr>
          <w:jc w:val="center"/>
        </w:trPr>
        <w:tc>
          <w:tcPr>
            <w:tcW w:w="709" w:type="dxa"/>
            <w:vAlign w:val="center"/>
          </w:tcPr>
          <w:p w14:paraId="1A2B1D6E"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
                <w:sz w:val="21"/>
                <w:szCs w:val="21"/>
              </w:rPr>
              <w:t>序号</w:t>
            </w:r>
          </w:p>
        </w:tc>
        <w:tc>
          <w:tcPr>
            <w:tcW w:w="1127" w:type="dxa"/>
            <w:vAlign w:val="center"/>
          </w:tcPr>
          <w:p w14:paraId="0314B299"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考核项目</w:t>
            </w:r>
          </w:p>
        </w:tc>
        <w:tc>
          <w:tcPr>
            <w:tcW w:w="2031" w:type="dxa"/>
            <w:vAlign w:val="center"/>
          </w:tcPr>
          <w:p w14:paraId="4C143C72"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
                <w:sz w:val="21"/>
                <w:szCs w:val="21"/>
              </w:rPr>
              <w:t>考核内容</w:t>
            </w:r>
          </w:p>
        </w:tc>
        <w:tc>
          <w:tcPr>
            <w:tcW w:w="5761" w:type="dxa"/>
            <w:vAlign w:val="center"/>
          </w:tcPr>
          <w:p w14:paraId="3F5FC958"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
                <w:sz w:val="21"/>
                <w:szCs w:val="21"/>
              </w:rPr>
              <w:t>扣分标准</w:t>
            </w:r>
          </w:p>
        </w:tc>
      </w:tr>
      <w:tr w:rsidR="0022665C" w14:paraId="6EF57AE8" w14:textId="77777777">
        <w:trPr>
          <w:jc w:val="center"/>
        </w:trPr>
        <w:tc>
          <w:tcPr>
            <w:tcW w:w="709" w:type="dxa"/>
            <w:vAlign w:val="center"/>
          </w:tcPr>
          <w:p w14:paraId="3EE4CBA7"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1</w:t>
            </w:r>
          </w:p>
        </w:tc>
        <w:tc>
          <w:tcPr>
            <w:tcW w:w="1127" w:type="dxa"/>
            <w:vAlign w:val="center"/>
          </w:tcPr>
          <w:p w14:paraId="6A658E6C"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Cs/>
                <w:sz w:val="21"/>
                <w:szCs w:val="21"/>
              </w:rPr>
              <w:t>系统崩溃</w:t>
            </w:r>
          </w:p>
        </w:tc>
        <w:tc>
          <w:tcPr>
            <w:tcW w:w="2031" w:type="dxa"/>
            <w:vAlign w:val="center"/>
          </w:tcPr>
          <w:p w14:paraId="5515AD62"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Cs/>
                <w:sz w:val="21"/>
                <w:szCs w:val="21"/>
              </w:rPr>
              <w:t>发生系统崩溃、核心功能不可使用</w:t>
            </w:r>
          </w:p>
        </w:tc>
        <w:tc>
          <w:tcPr>
            <w:tcW w:w="5761" w:type="dxa"/>
            <w:vAlign w:val="center"/>
          </w:tcPr>
          <w:p w14:paraId="3BA974E0"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bCs/>
                <w:sz w:val="21"/>
                <w:szCs w:val="21"/>
              </w:rPr>
              <w:t>因中标人单方面原因，导致服务高峰时段（工作日</w:t>
            </w:r>
            <w:r>
              <w:rPr>
                <w:rFonts w:ascii="微软雅黑" w:eastAsia="微软雅黑" w:hAnsi="微软雅黑" w:cs="微软雅黑"/>
                <w:bCs/>
                <w:sz w:val="21"/>
                <w:szCs w:val="21"/>
              </w:rPr>
              <w:t>9:00-18:00</w:t>
            </w:r>
            <w:r>
              <w:rPr>
                <w:rFonts w:ascii="微软雅黑" w:eastAsia="微软雅黑" w:hAnsi="微软雅黑" w:cs="微软雅黑" w:hint="eastAsia"/>
                <w:bCs/>
                <w:sz w:val="21"/>
                <w:szCs w:val="21"/>
              </w:rPr>
              <w:t>）发生系统崩溃、核心功能不可使用，一次超过</w:t>
            </w:r>
            <w:r>
              <w:rPr>
                <w:rFonts w:ascii="微软雅黑" w:eastAsia="微软雅黑" w:hAnsi="微软雅黑" w:cs="微软雅黑"/>
                <w:bCs/>
                <w:sz w:val="21"/>
                <w:szCs w:val="21"/>
              </w:rPr>
              <w:t>2</w:t>
            </w:r>
            <w:r>
              <w:rPr>
                <w:rFonts w:ascii="微软雅黑" w:eastAsia="微软雅黑" w:hAnsi="微软雅黑" w:cs="微软雅黑" w:hint="eastAsia"/>
                <w:bCs/>
                <w:sz w:val="21"/>
                <w:szCs w:val="21"/>
              </w:rPr>
              <w:t>小时的，</w:t>
            </w:r>
            <w:r>
              <w:rPr>
                <w:rFonts w:ascii="微软雅黑" w:eastAsia="微软雅黑" w:hAnsi="微软雅黑" w:cs="微软雅黑" w:hint="eastAsia"/>
                <w:sz w:val="21"/>
                <w:szCs w:val="21"/>
              </w:rPr>
              <w:t>每次扣</w:t>
            </w:r>
            <w:r>
              <w:rPr>
                <w:rFonts w:ascii="微软雅黑" w:eastAsia="微软雅黑" w:hAnsi="微软雅黑" w:cs="微软雅黑"/>
                <w:sz w:val="21"/>
                <w:szCs w:val="21"/>
              </w:rPr>
              <w:t>10</w:t>
            </w:r>
            <w:r>
              <w:rPr>
                <w:rFonts w:ascii="微软雅黑" w:eastAsia="微软雅黑" w:hAnsi="微软雅黑" w:cs="微软雅黑" w:hint="eastAsia"/>
                <w:sz w:val="21"/>
                <w:szCs w:val="21"/>
              </w:rPr>
              <w:t>分。</w:t>
            </w:r>
          </w:p>
        </w:tc>
      </w:tr>
      <w:tr w:rsidR="0022665C" w14:paraId="19512B4D" w14:textId="77777777">
        <w:trPr>
          <w:jc w:val="center"/>
        </w:trPr>
        <w:tc>
          <w:tcPr>
            <w:tcW w:w="709" w:type="dxa"/>
            <w:vAlign w:val="center"/>
          </w:tcPr>
          <w:p w14:paraId="5A7905B3"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2</w:t>
            </w:r>
          </w:p>
        </w:tc>
        <w:tc>
          <w:tcPr>
            <w:tcW w:w="1127" w:type="dxa"/>
            <w:vAlign w:val="center"/>
          </w:tcPr>
          <w:p w14:paraId="6FDC81C3"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sz w:val="21"/>
                <w:szCs w:val="21"/>
              </w:rPr>
              <w:t>恶劣影响</w:t>
            </w:r>
          </w:p>
        </w:tc>
        <w:tc>
          <w:tcPr>
            <w:tcW w:w="2031" w:type="dxa"/>
            <w:vAlign w:val="center"/>
          </w:tcPr>
          <w:p w14:paraId="796AF898"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sz w:val="21"/>
                <w:szCs w:val="21"/>
              </w:rPr>
              <w:t>造成恶劣影响的</w:t>
            </w:r>
          </w:p>
        </w:tc>
        <w:tc>
          <w:tcPr>
            <w:tcW w:w="5761" w:type="dxa"/>
            <w:vAlign w:val="center"/>
          </w:tcPr>
          <w:p w14:paraId="17CFC8A5"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bCs/>
                <w:sz w:val="21"/>
                <w:szCs w:val="21"/>
              </w:rPr>
              <w:t>因中标人原因，</w:t>
            </w:r>
            <w:r>
              <w:rPr>
                <w:rFonts w:ascii="微软雅黑" w:eastAsia="微软雅黑" w:hAnsi="微软雅黑" w:cs="微软雅黑" w:hint="eastAsia"/>
                <w:sz w:val="21"/>
                <w:szCs w:val="21"/>
              </w:rPr>
              <w:t>被重庆市相关政府部门认定发生重大安全事件，造成恶劣影响的。每次扣2</w:t>
            </w:r>
            <w:r>
              <w:rPr>
                <w:rFonts w:ascii="微软雅黑" w:eastAsia="微软雅黑" w:hAnsi="微软雅黑" w:cs="微软雅黑"/>
                <w:sz w:val="21"/>
                <w:szCs w:val="21"/>
              </w:rPr>
              <w:t>0</w:t>
            </w:r>
            <w:r>
              <w:rPr>
                <w:rFonts w:ascii="微软雅黑" w:eastAsia="微软雅黑" w:hAnsi="微软雅黑" w:cs="微软雅黑" w:hint="eastAsia"/>
                <w:sz w:val="21"/>
                <w:szCs w:val="21"/>
              </w:rPr>
              <w:t>分。</w:t>
            </w:r>
          </w:p>
        </w:tc>
      </w:tr>
      <w:tr w:rsidR="0022665C" w14:paraId="6D7424F5" w14:textId="77777777">
        <w:trPr>
          <w:jc w:val="center"/>
        </w:trPr>
        <w:tc>
          <w:tcPr>
            <w:tcW w:w="9628" w:type="dxa"/>
            <w:gridSpan w:val="4"/>
            <w:vAlign w:val="center"/>
          </w:tcPr>
          <w:p w14:paraId="59F6D5C7" w14:textId="77777777" w:rsidR="0022665C" w:rsidRDefault="00000000">
            <w:pPr>
              <w:pStyle w:val="affa"/>
              <w:spacing w:line="360" w:lineRule="exact"/>
              <w:ind w:firstLineChars="0" w:firstLine="0"/>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二、</w:t>
            </w:r>
            <w:r>
              <w:rPr>
                <w:rFonts w:ascii="微软雅黑" w:eastAsia="微软雅黑" w:hAnsi="微软雅黑" w:hint="eastAsia"/>
                <w:b/>
                <w:sz w:val="21"/>
                <w:szCs w:val="21"/>
              </w:rPr>
              <w:t>开发建设时间</w:t>
            </w:r>
            <w:r>
              <w:rPr>
                <w:rFonts w:ascii="微软雅黑" w:eastAsia="微软雅黑" w:hAnsi="微软雅黑" w:cs="微软雅黑" w:hint="eastAsia"/>
                <w:b/>
                <w:sz w:val="21"/>
                <w:szCs w:val="21"/>
              </w:rPr>
              <w:t>考核情形</w:t>
            </w:r>
          </w:p>
        </w:tc>
      </w:tr>
      <w:tr w:rsidR="0022665C" w14:paraId="699431BA" w14:textId="77777777">
        <w:trPr>
          <w:jc w:val="center"/>
        </w:trPr>
        <w:tc>
          <w:tcPr>
            <w:tcW w:w="709" w:type="dxa"/>
            <w:vAlign w:val="center"/>
          </w:tcPr>
          <w:p w14:paraId="1BBAB9E6"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序号</w:t>
            </w:r>
          </w:p>
        </w:tc>
        <w:tc>
          <w:tcPr>
            <w:tcW w:w="1127" w:type="dxa"/>
            <w:vAlign w:val="center"/>
          </w:tcPr>
          <w:p w14:paraId="657A7FCC"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考核项目</w:t>
            </w:r>
          </w:p>
        </w:tc>
        <w:tc>
          <w:tcPr>
            <w:tcW w:w="2031" w:type="dxa"/>
            <w:vAlign w:val="center"/>
          </w:tcPr>
          <w:p w14:paraId="2785ADBF"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考核内容</w:t>
            </w:r>
          </w:p>
        </w:tc>
        <w:tc>
          <w:tcPr>
            <w:tcW w:w="5761" w:type="dxa"/>
            <w:vAlign w:val="center"/>
          </w:tcPr>
          <w:p w14:paraId="4E673CCC"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扣分标准</w:t>
            </w:r>
          </w:p>
        </w:tc>
      </w:tr>
      <w:tr w:rsidR="0022665C" w14:paraId="0B4D232E" w14:textId="77777777">
        <w:trPr>
          <w:jc w:val="center"/>
        </w:trPr>
        <w:tc>
          <w:tcPr>
            <w:tcW w:w="709" w:type="dxa"/>
            <w:vAlign w:val="center"/>
          </w:tcPr>
          <w:p w14:paraId="7544A1AE"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c>
          <w:tcPr>
            <w:tcW w:w="1127" w:type="dxa"/>
            <w:vAlign w:val="center"/>
          </w:tcPr>
          <w:p w14:paraId="64FB8CBD"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开发建设</w:t>
            </w:r>
          </w:p>
        </w:tc>
        <w:tc>
          <w:tcPr>
            <w:tcW w:w="2031" w:type="dxa"/>
            <w:vAlign w:val="center"/>
          </w:tcPr>
          <w:p w14:paraId="21532AAB"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对系统建设进度进行考评</w:t>
            </w:r>
          </w:p>
        </w:tc>
        <w:tc>
          <w:tcPr>
            <w:tcW w:w="5761" w:type="dxa"/>
            <w:vAlign w:val="center"/>
          </w:tcPr>
          <w:p w14:paraId="0E98AD34" w14:textId="77777777" w:rsidR="0022665C" w:rsidRDefault="00000000">
            <w:pPr>
              <w:spacing w:line="36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若因中标人单方面导致的开发建设不能在本招标文件规定的时间内达到最终验收标准的，每延迟5个工作日，扣</w:t>
            </w:r>
            <w:r>
              <w:rPr>
                <w:rFonts w:ascii="微软雅黑" w:eastAsia="微软雅黑" w:hAnsi="微软雅黑"/>
                <w:sz w:val="21"/>
                <w:szCs w:val="21"/>
              </w:rPr>
              <w:t>5</w:t>
            </w:r>
            <w:r>
              <w:rPr>
                <w:rFonts w:ascii="微软雅黑" w:eastAsia="微软雅黑" w:hAnsi="微软雅黑" w:hint="eastAsia"/>
                <w:sz w:val="21"/>
                <w:szCs w:val="21"/>
              </w:rPr>
              <w:t>分，以此类推。若中标人超过</w:t>
            </w:r>
            <w:r>
              <w:rPr>
                <w:rFonts w:ascii="微软雅黑" w:eastAsia="微软雅黑" w:hAnsi="微软雅黑"/>
                <w:sz w:val="21"/>
                <w:szCs w:val="21"/>
              </w:rPr>
              <w:t>22</w:t>
            </w:r>
            <w:r>
              <w:rPr>
                <w:rFonts w:ascii="微软雅黑" w:eastAsia="微软雅黑" w:hAnsi="微软雅黑" w:hint="eastAsia"/>
                <w:sz w:val="21"/>
                <w:szCs w:val="21"/>
              </w:rPr>
              <w:t>个工作日还未能完成开发建设并达到最终验收标准的，采购人有权解除合同并追究中标人相关责任（不可抗力因素除外）。</w:t>
            </w:r>
          </w:p>
          <w:p w14:paraId="12395785" w14:textId="77777777" w:rsidR="0022665C" w:rsidRDefault="00000000">
            <w:pPr>
              <w:snapToGrid w:val="0"/>
              <w:spacing w:line="360" w:lineRule="exact"/>
              <w:ind w:firstLineChars="200" w:firstLine="420"/>
              <w:rPr>
                <w:rFonts w:ascii="微软雅黑" w:eastAsia="微软雅黑" w:hAnsi="微软雅黑" w:hint="eastAsia"/>
                <w:sz w:val="21"/>
                <w:szCs w:val="21"/>
              </w:rPr>
            </w:pPr>
            <w:r>
              <w:rPr>
                <w:rFonts w:ascii="微软雅黑" w:eastAsia="微软雅黑" w:hAnsi="微软雅黑" w:cs="微软雅黑"/>
                <w:sz w:val="21"/>
                <w:szCs w:val="21"/>
              </w:rPr>
              <w:t>2.</w:t>
            </w:r>
            <w:r>
              <w:rPr>
                <w:rFonts w:ascii="微软雅黑" w:eastAsia="微软雅黑" w:hAnsi="微软雅黑" w:hint="eastAsia"/>
                <w:sz w:val="21"/>
                <w:szCs w:val="21"/>
              </w:rPr>
              <w:t>合同签订后，中标人应立即安排相关人员驻场，驻场人员专业应符合招标文件要求的。若</w:t>
            </w:r>
            <w:r>
              <w:rPr>
                <w:rFonts w:ascii="微软雅黑" w:eastAsia="微软雅黑" w:hAnsi="微软雅黑"/>
                <w:sz w:val="21"/>
                <w:szCs w:val="21"/>
              </w:rPr>
              <w:t>5</w:t>
            </w:r>
            <w:r>
              <w:rPr>
                <w:rFonts w:ascii="微软雅黑" w:eastAsia="微软雅黑" w:hAnsi="微软雅黑" w:hint="eastAsia"/>
                <w:sz w:val="21"/>
                <w:szCs w:val="21"/>
              </w:rPr>
              <w:t>个工作日内驻场人员不到岗的，或人员专业达不到招标文件要求的，采购人有权立即终止本项目的技术服务合同，拒绝支付相关费用，并保留追究相应法律责任的权利。对采购人造成损失的，采购人有权要求中标人赔偿损失。</w:t>
            </w:r>
          </w:p>
          <w:p w14:paraId="3CDF4290"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3</w:t>
            </w:r>
            <w:r>
              <w:rPr>
                <w:rFonts w:ascii="微软雅黑" w:eastAsia="微软雅黑" w:hAnsi="微软雅黑" w:cs="微软雅黑" w:hint="eastAsia"/>
                <w:sz w:val="21"/>
                <w:szCs w:val="21"/>
              </w:rPr>
              <w:t>.若因中标人单方面导致的未满足招标范围内重大业务需求功能开发进度和质量要求，视情节严重，每次扣5</w:t>
            </w:r>
            <w:r>
              <w:rPr>
                <w:rFonts w:ascii="微软雅黑" w:eastAsia="微软雅黑" w:hAnsi="微软雅黑" w:cs="微软雅黑"/>
                <w:sz w:val="21"/>
                <w:szCs w:val="21"/>
              </w:rPr>
              <w:t>-10</w:t>
            </w:r>
            <w:r>
              <w:rPr>
                <w:rFonts w:ascii="微软雅黑" w:eastAsia="微软雅黑" w:hAnsi="微软雅黑" w:cs="微软雅黑" w:hint="eastAsia"/>
                <w:sz w:val="21"/>
                <w:szCs w:val="21"/>
              </w:rPr>
              <w:t>分。</w:t>
            </w:r>
          </w:p>
          <w:p w14:paraId="5C095F75"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4</w:t>
            </w:r>
            <w:r>
              <w:rPr>
                <w:rFonts w:ascii="微软雅黑" w:eastAsia="微软雅黑" w:hAnsi="微软雅黑" w:cs="微软雅黑" w:hint="eastAsia"/>
                <w:sz w:val="21"/>
                <w:szCs w:val="21"/>
              </w:rPr>
              <w:t>. 若因中标人单方面导致的未能在约定时间完成系统与第三方系统接口的对接的，视情节严重，每次扣5</w:t>
            </w:r>
            <w:r>
              <w:rPr>
                <w:rFonts w:ascii="微软雅黑" w:eastAsia="微软雅黑" w:hAnsi="微软雅黑" w:cs="微软雅黑"/>
                <w:sz w:val="21"/>
                <w:szCs w:val="21"/>
              </w:rPr>
              <w:t>-10</w:t>
            </w:r>
            <w:r>
              <w:rPr>
                <w:rFonts w:ascii="微软雅黑" w:eastAsia="微软雅黑" w:hAnsi="微软雅黑" w:cs="微软雅黑" w:hint="eastAsia"/>
                <w:sz w:val="21"/>
                <w:szCs w:val="21"/>
              </w:rPr>
              <w:t>分。</w:t>
            </w:r>
          </w:p>
          <w:p w14:paraId="6EA000D7"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5</w:t>
            </w:r>
            <w:r>
              <w:rPr>
                <w:rFonts w:ascii="微软雅黑" w:eastAsia="微软雅黑" w:hAnsi="微软雅黑" w:cs="微软雅黑" w:hint="eastAsia"/>
                <w:sz w:val="21"/>
                <w:szCs w:val="21"/>
              </w:rPr>
              <w:t>.未按照采购人要求参加工作例会的，每次扣</w:t>
            </w:r>
            <w:r>
              <w:rPr>
                <w:rFonts w:ascii="微软雅黑" w:eastAsia="微软雅黑" w:hAnsi="微软雅黑" w:cs="微软雅黑"/>
                <w:sz w:val="21"/>
                <w:szCs w:val="21"/>
              </w:rPr>
              <w:t>1</w:t>
            </w:r>
            <w:r>
              <w:rPr>
                <w:rFonts w:ascii="微软雅黑" w:eastAsia="微软雅黑" w:hAnsi="微软雅黑" w:cs="微软雅黑" w:hint="eastAsia"/>
                <w:sz w:val="21"/>
                <w:szCs w:val="21"/>
              </w:rPr>
              <w:t>分。</w:t>
            </w:r>
          </w:p>
        </w:tc>
      </w:tr>
      <w:tr w:rsidR="0022665C" w14:paraId="4C6B509B" w14:textId="77777777">
        <w:trPr>
          <w:jc w:val="center"/>
        </w:trPr>
        <w:tc>
          <w:tcPr>
            <w:tcW w:w="9628" w:type="dxa"/>
            <w:gridSpan w:val="4"/>
            <w:vAlign w:val="center"/>
          </w:tcPr>
          <w:p w14:paraId="294B64EB" w14:textId="77777777" w:rsidR="0022665C" w:rsidRDefault="00000000">
            <w:pPr>
              <w:spacing w:line="360" w:lineRule="exact"/>
              <w:rPr>
                <w:rFonts w:ascii="微软雅黑" w:eastAsia="微软雅黑" w:hAnsi="微软雅黑" w:cs="微软雅黑" w:hint="eastAsia"/>
                <w:b/>
                <w:bCs/>
                <w:sz w:val="21"/>
                <w:szCs w:val="21"/>
              </w:rPr>
            </w:pPr>
            <w:r>
              <w:rPr>
                <w:rFonts w:ascii="微软雅黑" w:eastAsia="微软雅黑" w:hAnsi="微软雅黑" w:hint="eastAsia"/>
                <w:b/>
                <w:bCs/>
                <w:sz w:val="21"/>
                <w:szCs w:val="21"/>
              </w:rPr>
              <w:t>三、</w:t>
            </w:r>
            <w:r>
              <w:rPr>
                <w:rFonts w:ascii="微软雅黑" w:eastAsia="微软雅黑" w:hAnsi="微软雅黑"/>
                <w:b/>
                <w:bCs/>
                <w:sz w:val="21"/>
                <w:szCs w:val="21"/>
              </w:rPr>
              <w:t>质量</w:t>
            </w:r>
            <w:r>
              <w:rPr>
                <w:rFonts w:ascii="微软雅黑" w:eastAsia="微软雅黑" w:hAnsi="微软雅黑" w:hint="eastAsia"/>
                <w:b/>
                <w:bCs/>
                <w:sz w:val="21"/>
                <w:szCs w:val="21"/>
              </w:rPr>
              <w:t>考核情形（包含</w:t>
            </w:r>
            <w:r>
              <w:rPr>
                <w:rFonts w:ascii="微软雅黑" w:eastAsia="微软雅黑" w:hAnsi="微软雅黑"/>
                <w:b/>
                <w:bCs/>
                <w:sz w:val="21"/>
                <w:szCs w:val="21"/>
              </w:rPr>
              <w:t>系统安全稳定运行、安全管理</w:t>
            </w:r>
            <w:r>
              <w:rPr>
                <w:rFonts w:ascii="微软雅黑" w:eastAsia="微软雅黑" w:hAnsi="微软雅黑" w:hint="eastAsia"/>
                <w:b/>
                <w:bCs/>
                <w:sz w:val="21"/>
                <w:szCs w:val="21"/>
              </w:rPr>
              <w:t>等）</w:t>
            </w:r>
          </w:p>
        </w:tc>
      </w:tr>
      <w:tr w:rsidR="0022665C" w14:paraId="35F670BA" w14:textId="77777777">
        <w:trPr>
          <w:jc w:val="center"/>
        </w:trPr>
        <w:tc>
          <w:tcPr>
            <w:tcW w:w="709" w:type="dxa"/>
            <w:vAlign w:val="center"/>
          </w:tcPr>
          <w:p w14:paraId="4C001DDA"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序号</w:t>
            </w:r>
          </w:p>
        </w:tc>
        <w:tc>
          <w:tcPr>
            <w:tcW w:w="1127" w:type="dxa"/>
            <w:vAlign w:val="center"/>
          </w:tcPr>
          <w:p w14:paraId="3B862257"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考核项目</w:t>
            </w:r>
          </w:p>
        </w:tc>
        <w:tc>
          <w:tcPr>
            <w:tcW w:w="2031" w:type="dxa"/>
            <w:vAlign w:val="center"/>
          </w:tcPr>
          <w:p w14:paraId="23E03DE5"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考核内容</w:t>
            </w:r>
          </w:p>
        </w:tc>
        <w:tc>
          <w:tcPr>
            <w:tcW w:w="5761" w:type="dxa"/>
            <w:vAlign w:val="center"/>
          </w:tcPr>
          <w:p w14:paraId="6CB34F4F"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扣分标准</w:t>
            </w:r>
          </w:p>
        </w:tc>
      </w:tr>
      <w:tr w:rsidR="0022665C" w14:paraId="371F3ED0" w14:textId="77777777">
        <w:trPr>
          <w:jc w:val="center"/>
        </w:trPr>
        <w:tc>
          <w:tcPr>
            <w:tcW w:w="709" w:type="dxa"/>
            <w:vAlign w:val="center"/>
          </w:tcPr>
          <w:p w14:paraId="4A4F601E"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sz w:val="21"/>
                <w:szCs w:val="21"/>
              </w:rPr>
              <w:t>1</w:t>
            </w:r>
          </w:p>
        </w:tc>
        <w:tc>
          <w:tcPr>
            <w:tcW w:w="1127" w:type="dxa"/>
            <w:vAlign w:val="center"/>
          </w:tcPr>
          <w:p w14:paraId="622742DA"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系统稳定性</w:t>
            </w:r>
          </w:p>
        </w:tc>
        <w:tc>
          <w:tcPr>
            <w:tcW w:w="2031" w:type="dxa"/>
            <w:vAlign w:val="center"/>
          </w:tcPr>
          <w:p w14:paraId="173C8AE0"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对系统日常运行稳定性、故障处理、系统性能、用户体验等方面进行综合考核</w:t>
            </w:r>
          </w:p>
        </w:tc>
        <w:tc>
          <w:tcPr>
            <w:tcW w:w="5761" w:type="dxa"/>
            <w:vAlign w:val="center"/>
          </w:tcPr>
          <w:p w14:paraId="08A87983"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1.</w:t>
            </w:r>
            <w:r>
              <w:rPr>
                <w:rFonts w:ascii="微软雅黑" w:eastAsia="微软雅黑" w:hAnsi="微软雅黑" w:cs="微软雅黑" w:hint="eastAsia"/>
                <w:sz w:val="21"/>
                <w:szCs w:val="21"/>
              </w:rPr>
              <w:t>若因中标人单方面导致的</w:t>
            </w:r>
            <w:r>
              <w:rPr>
                <w:rFonts w:ascii="微软雅黑" w:eastAsia="微软雅黑" w:hAnsi="微软雅黑" w:cs="微软雅黑" w:hint="eastAsia"/>
                <w:bCs/>
                <w:sz w:val="21"/>
                <w:szCs w:val="21"/>
              </w:rPr>
              <w:t>服务高峰时段（工作日</w:t>
            </w:r>
            <w:r>
              <w:rPr>
                <w:rFonts w:ascii="微软雅黑" w:eastAsia="微软雅黑" w:hAnsi="微软雅黑" w:cs="微软雅黑"/>
                <w:bCs/>
                <w:sz w:val="21"/>
                <w:szCs w:val="21"/>
              </w:rPr>
              <w:t>9:00-18:00</w:t>
            </w:r>
            <w:r>
              <w:rPr>
                <w:rFonts w:ascii="微软雅黑" w:eastAsia="微软雅黑" w:hAnsi="微软雅黑" w:cs="微软雅黑" w:hint="eastAsia"/>
                <w:bCs/>
                <w:sz w:val="21"/>
                <w:szCs w:val="21"/>
              </w:rPr>
              <w:t>）</w:t>
            </w:r>
            <w:r>
              <w:rPr>
                <w:rFonts w:ascii="微软雅黑" w:eastAsia="微软雅黑" w:hAnsi="微软雅黑" w:cs="微软雅黑" w:hint="eastAsia"/>
                <w:sz w:val="21"/>
                <w:szCs w:val="21"/>
              </w:rPr>
              <w:t>发生系统宕机、崩溃、无法访问等事故，单次时长≤60分钟的，每次扣2分；单次时长大于60分钟但小于120分钟的，每次扣4分。</w:t>
            </w:r>
          </w:p>
          <w:p w14:paraId="424A4AAA"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2.未经授权，进行违规操作的，一次扣2分；造成业务中断的，一次扣3分；影响较大，被上级机关通报，一次扣10分。</w:t>
            </w:r>
          </w:p>
        </w:tc>
      </w:tr>
      <w:tr w:rsidR="0022665C" w14:paraId="4BB7FAC8" w14:textId="77777777">
        <w:trPr>
          <w:jc w:val="center"/>
        </w:trPr>
        <w:tc>
          <w:tcPr>
            <w:tcW w:w="709" w:type="dxa"/>
            <w:vAlign w:val="center"/>
          </w:tcPr>
          <w:p w14:paraId="44B99059"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sz w:val="21"/>
                <w:szCs w:val="21"/>
              </w:rPr>
              <w:t>2</w:t>
            </w:r>
          </w:p>
        </w:tc>
        <w:tc>
          <w:tcPr>
            <w:tcW w:w="1127" w:type="dxa"/>
            <w:vAlign w:val="center"/>
          </w:tcPr>
          <w:p w14:paraId="1DE3778F"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安全管理</w:t>
            </w:r>
          </w:p>
        </w:tc>
        <w:tc>
          <w:tcPr>
            <w:tcW w:w="2031" w:type="dxa"/>
            <w:vAlign w:val="center"/>
          </w:tcPr>
          <w:p w14:paraId="3A6E5888"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对制定安全管理制度、安全管理技术手段使用、安全管理、人员管理等方面进行综合考核</w:t>
            </w:r>
          </w:p>
        </w:tc>
        <w:tc>
          <w:tcPr>
            <w:tcW w:w="5761" w:type="dxa"/>
            <w:vAlign w:val="center"/>
          </w:tcPr>
          <w:p w14:paraId="364719FF" w14:textId="77777777" w:rsidR="0022665C" w:rsidRDefault="00000000">
            <w:pPr>
              <w:snapToGrid w:val="0"/>
              <w:spacing w:line="360" w:lineRule="exact"/>
              <w:ind w:firstLineChars="200" w:firstLine="420"/>
              <w:rPr>
                <w:rFonts w:ascii="微软雅黑" w:eastAsia="微软雅黑" w:hAnsi="微软雅黑" w:hint="eastAsia"/>
                <w:sz w:val="21"/>
                <w:szCs w:val="21"/>
              </w:rPr>
            </w:pPr>
            <w:r>
              <w:rPr>
                <w:rFonts w:ascii="微软雅黑" w:eastAsia="微软雅黑" w:hAnsi="微软雅黑" w:cs="微软雅黑"/>
                <w:sz w:val="21"/>
                <w:szCs w:val="21"/>
              </w:rPr>
              <w:t>1.</w:t>
            </w:r>
            <w:r>
              <w:rPr>
                <w:rFonts w:ascii="微软雅黑" w:eastAsia="微软雅黑" w:hAnsi="微软雅黑" w:cs="微软雅黑" w:hint="eastAsia"/>
                <w:sz w:val="21"/>
                <w:szCs w:val="21"/>
              </w:rPr>
              <w:t>未经采购人允许，中标人擅自将系统相关数据另作他用或提供给任何第三方使用的，</w:t>
            </w:r>
            <w:r>
              <w:rPr>
                <w:rFonts w:ascii="微软雅黑" w:eastAsia="微软雅黑" w:hAnsi="微软雅黑" w:hint="eastAsia"/>
                <w:sz w:val="21"/>
                <w:szCs w:val="21"/>
              </w:rPr>
              <w:t>采购人有权立即终止本项目的技术服务合同，拒绝支付相关费用，并保留追究相应法律责任的权利。对采购人造成损失的，采购人有权要求中标人赔偿损失。</w:t>
            </w:r>
          </w:p>
          <w:p w14:paraId="60BD1524"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2.</w:t>
            </w:r>
            <w:r>
              <w:rPr>
                <w:rFonts w:ascii="微软雅黑" w:eastAsia="微软雅黑" w:hAnsi="微软雅黑" w:cs="微软雅黑" w:hint="eastAsia"/>
                <w:sz w:val="21"/>
                <w:szCs w:val="21"/>
              </w:rPr>
              <w:t>因中标人单方面原因导致系统数据泄露的，</w:t>
            </w:r>
            <w:r>
              <w:rPr>
                <w:rFonts w:ascii="微软雅黑" w:eastAsia="微软雅黑" w:hAnsi="微软雅黑" w:hint="eastAsia"/>
                <w:sz w:val="21"/>
                <w:szCs w:val="21"/>
              </w:rPr>
              <w:t>采购人有权立即终止本项目的技术服务合同，拒绝支付相关费用，并保留追究相应法律责任的权利。对采购人造成损失的，采购人有权要求中标人赔偿损失</w:t>
            </w:r>
            <w:r>
              <w:rPr>
                <w:rFonts w:ascii="微软雅黑" w:eastAsia="微软雅黑" w:hAnsi="微软雅黑" w:cs="微软雅黑" w:hint="eastAsia"/>
                <w:sz w:val="21"/>
                <w:szCs w:val="21"/>
              </w:rPr>
              <w:t>。</w:t>
            </w:r>
          </w:p>
          <w:p w14:paraId="50E0E72F"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3</w:t>
            </w:r>
            <w:r>
              <w:rPr>
                <w:rFonts w:ascii="微软雅黑" w:eastAsia="微软雅黑" w:hAnsi="微软雅黑" w:cs="微软雅黑"/>
                <w:sz w:val="21"/>
                <w:szCs w:val="21"/>
              </w:rPr>
              <w:t>.</w:t>
            </w:r>
            <w:r>
              <w:rPr>
                <w:rFonts w:ascii="微软雅黑" w:eastAsia="微软雅黑" w:hAnsi="微软雅黑" w:cs="微软雅黑" w:hint="eastAsia"/>
                <w:sz w:val="21"/>
                <w:szCs w:val="21"/>
              </w:rPr>
              <w:t>被重庆市相关政府部门或重庆市电子政务云服务商扫描发现信息安全漏洞，在规定时间内未完成整改的，每次扣</w:t>
            </w:r>
            <w:r>
              <w:rPr>
                <w:rFonts w:ascii="微软雅黑" w:eastAsia="微软雅黑" w:hAnsi="微软雅黑" w:cs="微软雅黑"/>
                <w:sz w:val="21"/>
                <w:szCs w:val="21"/>
              </w:rPr>
              <w:t>5</w:t>
            </w:r>
            <w:r>
              <w:rPr>
                <w:rFonts w:ascii="微软雅黑" w:eastAsia="微软雅黑" w:hAnsi="微软雅黑" w:cs="微软雅黑" w:hint="eastAsia"/>
                <w:sz w:val="21"/>
                <w:szCs w:val="21"/>
              </w:rPr>
              <w:t>分。</w:t>
            </w:r>
          </w:p>
          <w:p w14:paraId="5F11DF7F"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4.其他因中标人单方面原因导致的安全事件，视情节严重，每次扣5-</w:t>
            </w:r>
            <w:r>
              <w:rPr>
                <w:rFonts w:ascii="微软雅黑" w:eastAsia="微软雅黑" w:hAnsi="微软雅黑" w:cs="微软雅黑"/>
                <w:sz w:val="21"/>
                <w:szCs w:val="21"/>
              </w:rPr>
              <w:t>1</w:t>
            </w:r>
            <w:r>
              <w:rPr>
                <w:rFonts w:ascii="微软雅黑" w:eastAsia="微软雅黑" w:hAnsi="微软雅黑" w:cs="微软雅黑" w:hint="eastAsia"/>
                <w:sz w:val="21"/>
                <w:szCs w:val="21"/>
              </w:rPr>
              <w:t>0分。</w:t>
            </w:r>
          </w:p>
        </w:tc>
      </w:tr>
      <w:tr w:rsidR="0022665C" w14:paraId="1FD44559" w14:textId="77777777">
        <w:trPr>
          <w:jc w:val="center"/>
        </w:trPr>
        <w:tc>
          <w:tcPr>
            <w:tcW w:w="9628" w:type="dxa"/>
            <w:gridSpan w:val="4"/>
            <w:vAlign w:val="center"/>
          </w:tcPr>
          <w:p w14:paraId="6C1C96DB" w14:textId="77777777" w:rsidR="0022665C" w:rsidRDefault="00000000">
            <w:pPr>
              <w:spacing w:line="360" w:lineRule="exact"/>
              <w:rPr>
                <w:rFonts w:ascii="微软雅黑" w:eastAsia="微软雅黑" w:hAnsi="微软雅黑" w:cs="微软雅黑" w:hint="eastAsia"/>
                <w:sz w:val="21"/>
                <w:szCs w:val="21"/>
              </w:rPr>
            </w:pPr>
            <w:r>
              <w:rPr>
                <w:rFonts w:ascii="微软雅黑" w:eastAsia="微软雅黑" w:hAnsi="微软雅黑" w:hint="eastAsia"/>
                <w:b/>
                <w:bCs/>
                <w:sz w:val="21"/>
                <w:szCs w:val="21"/>
              </w:rPr>
              <w:t>四、</w:t>
            </w:r>
            <w:r>
              <w:rPr>
                <w:rFonts w:ascii="微软雅黑" w:eastAsia="微软雅黑" w:hAnsi="微软雅黑"/>
                <w:b/>
                <w:bCs/>
                <w:sz w:val="21"/>
                <w:szCs w:val="21"/>
              </w:rPr>
              <w:t>技术服务</w:t>
            </w:r>
            <w:r>
              <w:rPr>
                <w:rFonts w:ascii="微软雅黑" w:eastAsia="微软雅黑" w:hAnsi="微软雅黑" w:cs="微软雅黑" w:hint="eastAsia"/>
                <w:b/>
                <w:sz w:val="21"/>
                <w:szCs w:val="21"/>
              </w:rPr>
              <w:t>考核情形</w:t>
            </w:r>
          </w:p>
        </w:tc>
      </w:tr>
      <w:tr w:rsidR="0022665C" w14:paraId="2980AC8A" w14:textId="77777777">
        <w:trPr>
          <w:jc w:val="center"/>
        </w:trPr>
        <w:tc>
          <w:tcPr>
            <w:tcW w:w="709" w:type="dxa"/>
            <w:vAlign w:val="center"/>
          </w:tcPr>
          <w:p w14:paraId="2D752F7D"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序号</w:t>
            </w:r>
          </w:p>
        </w:tc>
        <w:tc>
          <w:tcPr>
            <w:tcW w:w="1127" w:type="dxa"/>
            <w:vAlign w:val="center"/>
          </w:tcPr>
          <w:p w14:paraId="03ABA52E"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考核项目</w:t>
            </w:r>
          </w:p>
        </w:tc>
        <w:tc>
          <w:tcPr>
            <w:tcW w:w="2031" w:type="dxa"/>
            <w:vAlign w:val="center"/>
          </w:tcPr>
          <w:p w14:paraId="6AEC9639"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考核内容</w:t>
            </w:r>
          </w:p>
        </w:tc>
        <w:tc>
          <w:tcPr>
            <w:tcW w:w="5761" w:type="dxa"/>
            <w:vAlign w:val="center"/>
          </w:tcPr>
          <w:p w14:paraId="114BF19C"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扣分标准</w:t>
            </w:r>
          </w:p>
        </w:tc>
      </w:tr>
      <w:tr w:rsidR="0022665C" w14:paraId="3B88D5C3" w14:textId="77777777">
        <w:trPr>
          <w:jc w:val="center"/>
        </w:trPr>
        <w:tc>
          <w:tcPr>
            <w:tcW w:w="709" w:type="dxa"/>
            <w:vAlign w:val="center"/>
          </w:tcPr>
          <w:p w14:paraId="4867ECD2"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sz w:val="21"/>
                <w:szCs w:val="21"/>
              </w:rPr>
              <w:t>1</w:t>
            </w:r>
          </w:p>
        </w:tc>
        <w:tc>
          <w:tcPr>
            <w:tcW w:w="1127" w:type="dxa"/>
            <w:vAlign w:val="center"/>
          </w:tcPr>
          <w:p w14:paraId="55F50117"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技术服务</w:t>
            </w:r>
          </w:p>
        </w:tc>
        <w:tc>
          <w:tcPr>
            <w:tcW w:w="2031" w:type="dxa"/>
            <w:vAlign w:val="center"/>
          </w:tcPr>
          <w:p w14:paraId="3337B02A"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对技术服务人员的售前支持、技术咨询、故障处理、系统培训、技术支持、服务态度等进行综合考核</w:t>
            </w:r>
          </w:p>
        </w:tc>
        <w:tc>
          <w:tcPr>
            <w:tcW w:w="5761" w:type="dxa"/>
            <w:vAlign w:val="center"/>
          </w:tcPr>
          <w:p w14:paraId="7A6E08CE" w14:textId="77777777" w:rsidR="0022665C" w:rsidRDefault="00000000">
            <w:pPr>
              <w:spacing w:line="36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中标人拟派的项目经理和驻场技术人员只可担任本项目的开发建设，直至本项目服务时间结束为止，否则，采购人有权立即终止本项目的技术服务合同。</w:t>
            </w:r>
          </w:p>
          <w:p w14:paraId="6A54C6F6" w14:textId="77777777" w:rsidR="0022665C" w:rsidRDefault="00000000">
            <w:pPr>
              <w:spacing w:line="36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sz w:val="21"/>
                <w:szCs w:val="21"/>
              </w:rPr>
              <w:t>2.</w:t>
            </w:r>
            <w:r>
              <w:rPr>
                <w:rFonts w:ascii="微软雅黑" w:eastAsia="微软雅黑" w:hAnsi="微软雅黑" w:cs="微软雅黑" w:hint="eastAsia"/>
                <w:sz w:val="21"/>
                <w:szCs w:val="21"/>
              </w:rPr>
              <w:t>技术支持、系统维护人员不及时接听故障处理电话的，视情节严重，每次扣1-2分。</w:t>
            </w:r>
          </w:p>
          <w:p w14:paraId="5161BC95"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3</w:t>
            </w:r>
            <w:r>
              <w:rPr>
                <w:rFonts w:ascii="微软雅黑" w:eastAsia="微软雅黑" w:hAnsi="微软雅黑" w:cs="微软雅黑" w:hint="eastAsia"/>
                <w:sz w:val="21"/>
                <w:szCs w:val="21"/>
              </w:rPr>
              <w:t>.</w:t>
            </w:r>
            <w:r>
              <w:rPr>
                <w:rFonts w:ascii="微软雅黑" w:eastAsia="微软雅黑" w:hAnsi="微软雅黑" w:cs="微软雅黑"/>
                <w:sz w:val="21"/>
                <w:szCs w:val="21"/>
              </w:rPr>
              <w:t>所有驻场人员应当实行甲乙双方双重管理，严格按照采购人规定的作息制度和要求开展相关工作</w:t>
            </w:r>
            <w:r>
              <w:rPr>
                <w:rFonts w:ascii="微软雅黑" w:eastAsia="微软雅黑" w:hAnsi="微软雅黑" w:cs="微软雅黑" w:hint="eastAsia"/>
                <w:sz w:val="21"/>
                <w:szCs w:val="21"/>
              </w:rPr>
              <w:t>。</w:t>
            </w:r>
            <w:r>
              <w:rPr>
                <w:rFonts w:ascii="微软雅黑" w:eastAsia="微软雅黑" w:hAnsi="微软雅黑" w:cs="微软雅黑"/>
                <w:sz w:val="21"/>
                <w:szCs w:val="21"/>
              </w:rPr>
              <w:t>重大活动、节假日、临时专项工作</w:t>
            </w:r>
            <w:r>
              <w:rPr>
                <w:rFonts w:ascii="微软雅黑" w:eastAsia="微软雅黑" w:hAnsi="微软雅黑" w:cs="微软雅黑" w:hint="eastAsia"/>
                <w:sz w:val="21"/>
                <w:szCs w:val="21"/>
              </w:rPr>
              <w:t>未</w:t>
            </w:r>
            <w:r>
              <w:rPr>
                <w:rFonts w:ascii="微软雅黑" w:eastAsia="微软雅黑" w:hAnsi="微软雅黑" w:cs="微软雅黑"/>
                <w:sz w:val="21"/>
                <w:szCs w:val="21"/>
              </w:rPr>
              <w:t>安排专人值守</w:t>
            </w:r>
            <w:r>
              <w:rPr>
                <w:rFonts w:ascii="微软雅黑" w:eastAsia="微软雅黑" w:hAnsi="微软雅黑" w:cs="微软雅黑" w:hint="eastAsia"/>
                <w:sz w:val="21"/>
                <w:szCs w:val="21"/>
              </w:rPr>
              <w:t>，每次扣5分；</w:t>
            </w:r>
            <w:r>
              <w:rPr>
                <w:rFonts w:ascii="微软雅黑" w:eastAsia="微软雅黑" w:hAnsi="微软雅黑" w:cs="微软雅黑"/>
                <w:sz w:val="21"/>
                <w:szCs w:val="21"/>
              </w:rPr>
              <w:t>驻场人员无故迟到、早退、旷工一次，扣</w:t>
            </w:r>
            <w:r>
              <w:rPr>
                <w:rFonts w:ascii="微软雅黑" w:eastAsia="微软雅黑" w:hAnsi="微软雅黑" w:cs="微软雅黑" w:hint="eastAsia"/>
                <w:sz w:val="21"/>
                <w:szCs w:val="21"/>
              </w:rPr>
              <w:t>1</w:t>
            </w:r>
            <w:r>
              <w:rPr>
                <w:rFonts w:ascii="微软雅黑" w:eastAsia="微软雅黑" w:hAnsi="微软雅黑" w:cs="微软雅黑"/>
                <w:sz w:val="21"/>
                <w:szCs w:val="21"/>
              </w:rPr>
              <w:t>分</w:t>
            </w:r>
            <w:r>
              <w:rPr>
                <w:rFonts w:ascii="微软雅黑" w:eastAsia="微软雅黑" w:hAnsi="微软雅黑" w:cs="微软雅黑" w:hint="eastAsia"/>
                <w:sz w:val="21"/>
                <w:szCs w:val="21"/>
              </w:rPr>
              <w:t>。</w:t>
            </w:r>
          </w:p>
          <w:p w14:paraId="2D8C8B94"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4</w:t>
            </w:r>
            <w:r>
              <w:rPr>
                <w:rFonts w:ascii="微软雅黑" w:eastAsia="微软雅黑" w:hAnsi="微软雅黑" w:cs="微软雅黑" w:hint="eastAsia"/>
                <w:sz w:val="21"/>
                <w:szCs w:val="21"/>
              </w:rPr>
              <w:t>.未在规定时间内按照要求完成派遣工作的，一次扣2分。</w:t>
            </w:r>
          </w:p>
          <w:p w14:paraId="03D37261"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5</w:t>
            </w:r>
            <w:r>
              <w:rPr>
                <w:rFonts w:ascii="微软雅黑" w:eastAsia="微软雅黑" w:hAnsi="微软雅黑" w:cs="微软雅黑" w:hint="eastAsia"/>
                <w:sz w:val="21"/>
                <w:szCs w:val="21"/>
              </w:rPr>
              <w:t>.对存在的问题，经采购人指出后未按时整改的；项目开发</w:t>
            </w:r>
            <w:r>
              <w:rPr>
                <w:rFonts w:ascii="微软雅黑" w:eastAsia="微软雅黑" w:hAnsi="微软雅黑" w:cs="微软雅黑"/>
                <w:sz w:val="21"/>
                <w:szCs w:val="21"/>
              </w:rPr>
              <w:t>、</w:t>
            </w:r>
            <w:r>
              <w:rPr>
                <w:rFonts w:ascii="微软雅黑" w:eastAsia="微软雅黑" w:hAnsi="微软雅黑" w:cs="微软雅黑" w:hint="eastAsia"/>
                <w:sz w:val="21"/>
                <w:szCs w:val="21"/>
              </w:rPr>
              <w:t>系统运行过程中工作不主动，经采购人反复催促三次仍不能完成工作任务的，一次扣5分。</w:t>
            </w:r>
          </w:p>
          <w:p w14:paraId="61D79CE6"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6.</w:t>
            </w:r>
            <w:r>
              <w:rPr>
                <w:rFonts w:ascii="微软雅黑" w:eastAsia="微软雅黑" w:hAnsi="微软雅黑" w:cs="微软雅黑" w:hint="eastAsia"/>
                <w:sz w:val="21"/>
                <w:szCs w:val="21"/>
              </w:rPr>
              <w:t>开发建设期，未满足人员驻场要求的，每少1人，一次扣</w:t>
            </w:r>
            <w:r>
              <w:rPr>
                <w:rFonts w:ascii="微软雅黑" w:eastAsia="微软雅黑" w:hAnsi="微软雅黑" w:cs="微软雅黑"/>
                <w:sz w:val="21"/>
                <w:szCs w:val="21"/>
              </w:rPr>
              <w:t>1</w:t>
            </w:r>
            <w:r>
              <w:rPr>
                <w:rFonts w:ascii="微软雅黑" w:eastAsia="微软雅黑" w:hAnsi="微软雅黑" w:cs="微软雅黑" w:hint="eastAsia"/>
                <w:sz w:val="21"/>
                <w:szCs w:val="21"/>
              </w:rPr>
              <w:t>分。</w:t>
            </w:r>
          </w:p>
          <w:p w14:paraId="27AAFD19"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7</w:t>
            </w:r>
            <w:r>
              <w:rPr>
                <w:rFonts w:ascii="微软雅黑" w:eastAsia="微软雅黑" w:hAnsi="微软雅黑" w:cs="微软雅黑" w:hint="eastAsia"/>
                <w:sz w:val="21"/>
                <w:szCs w:val="21"/>
              </w:rPr>
              <w:t>.技术支持人员稳定，未经采购人同意更换人员，视人员重要程度，每次扣</w:t>
            </w:r>
            <w:r>
              <w:rPr>
                <w:rFonts w:ascii="微软雅黑" w:eastAsia="微软雅黑" w:hAnsi="微软雅黑" w:cs="微软雅黑"/>
                <w:sz w:val="21"/>
                <w:szCs w:val="21"/>
              </w:rPr>
              <w:t>2</w:t>
            </w:r>
            <w:r>
              <w:rPr>
                <w:rFonts w:ascii="微软雅黑" w:eastAsia="微软雅黑" w:hAnsi="微软雅黑" w:cs="微软雅黑" w:hint="eastAsia"/>
                <w:sz w:val="21"/>
                <w:szCs w:val="21"/>
              </w:rPr>
              <w:t>-</w:t>
            </w:r>
            <w:r>
              <w:rPr>
                <w:rFonts w:ascii="微软雅黑" w:eastAsia="微软雅黑" w:hAnsi="微软雅黑" w:cs="微软雅黑"/>
                <w:sz w:val="21"/>
                <w:szCs w:val="21"/>
              </w:rPr>
              <w:t>5</w:t>
            </w:r>
            <w:r>
              <w:rPr>
                <w:rFonts w:ascii="微软雅黑" w:eastAsia="微软雅黑" w:hAnsi="微软雅黑" w:cs="微软雅黑" w:hint="eastAsia"/>
                <w:sz w:val="21"/>
                <w:szCs w:val="21"/>
              </w:rPr>
              <w:t>分。</w:t>
            </w:r>
          </w:p>
          <w:p w14:paraId="65BC5DE1"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8</w:t>
            </w:r>
            <w:r>
              <w:rPr>
                <w:rFonts w:ascii="微软雅黑" w:eastAsia="微软雅黑" w:hAnsi="微软雅黑" w:cs="微软雅黑" w:hint="eastAsia"/>
                <w:sz w:val="21"/>
                <w:szCs w:val="21"/>
              </w:rPr>
              <w:t>.采购人认为不服从管理、不称职的驻场人员有权要求中标人更换，中标人应在</w:t>
            </w:r>
            <w:r>
              <w:rPr>
                <w:rFonts w:ascii="微软雅黑" w:eastAsia="微软雅黑" w:hAnsi="微软雅黑" w:cs="微软雅黑"/>
                <w:sz w:val="21"/>
                <w:szCs w:val="21"/>
              </w:rPr>
              <w:t>10</w:t>
            </w:r>
            <w:r>
              <w:rPr>
                <w:rFonts w:ascii="微软雅黑" w:eastAsia="微软雅黑" w:hAnsi="微软雅黑" w:cs="微软雅黑" w:hint="eastAsia"/>
                <w:sz w:val="21"/>
                <w:szCs w:val="21"/>
              </w:rPr>
              <w:t>个工作日内将不符合采购人要求的人员更换完毕，替换人员应当同时到岗，且必须保证替换人员的专业技术能力水平不低于退场人员，如中标人违反本条约定，则每逾期1天扣</w:t>
            </w:r>
            <w:r>
              <w:rPr>
                <w:rFonts w:ascii="微软雅黑" w:eastAsia="微软雅黑" w:hAnsi="微软雅黑" w:cs="微软雅黑"/>
                <w:sz w:val="21"/>
                <w:szCs w:val="21"/>
              </w:rPr>
              <w:t>2</w:t>
            </w:r>
            <w:r>
              <w:rPr>
                <w:rFonts w:ascii="微软雅黑" w:eastAsia="微软雅黑" w:hAnsi="微软雅黑" w:cs="微软雅黑" w:hint="eastAsia"/>
                <w:sz w:val="21"/>
                <w:szCs w:val="21"/>
              </w:rPr>
              <w:t>分。</w:t>
            </w:r>
          </w:p>
          <w:p w14:paraId="066A6A9E"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9.</w:t>
            </w:r>
            <w:r>
              <w:rPr>
                <w:rFonts w:ascii="微软雅黑" w:eastAsia="微软雅黑" w:hAnsi="微软雅黑" w:cs="微软雅黑" w:hint="eastAsia"/>
                <w:sz w:val="21"/>
                <w:szCs w:val="21"/>
              </w:rPr>
              <w:t>技术服务人员不接受采购人工作管理及中标人技术工作安排。视工作表现，每次扣1-3分。</w:t>
            </w:r>
          </w:p>
        </w:tc>
      </w:tr>
      <w:tr w:rsidR="0022665C" w14:paraId="66CBABE1" w14:textId="77777777">
        <w:trPr>
          <w:jc w:val="center"/>
        </w:trPr>
        <w:tc>
          <w:tcPr>
            <w:tcW w:w="9628" w:type="dxa"/>
            <w:gridSpan w:val="4"/>
            <w:vAlign w:val="center"/>
          </w:tcPr>
          <w:p w14:paraId="0B7D73AF" w14:textId="77777777" w:rsidR="0022665C" w:rsidRDefault="00000000">
            <w:pPr>
              <w:spacing w:line="360" w:lineRule="exact"/>
              <w:rPr>
                <w:rFonts w:ascii="微软雅黑" w:eastAsia="微软雅黑" w:hAnsi="微软雅黑" w:cs="微软雅黑" w:hint="eastAsia"/>
                <w:b/>
                <w:bCs/>
                <w:sz w:val="21"/>
                <w:szCs w:val="21"/>
              </w:rPr>
            </w:pPr>
            <w:r>
              <w:rPr>
                <w:rFonts w:ascii="微软雅黑" w:eastAsia="微软雅黑" w:hAnsi="微软雅黑" w:hint="eastAsia"/>
                <w:b/>
                <w:bCs/>
                <w:sz w:val="21"/>
                <w:szCs w:val="21"/>
              </w:rPr>
              <w:t>五、</w:t>
            </w:r>
            <w:r>
              <w:rPr>
                <w:rFonts w:ascii="微软雅黑" w:eastAsia="微软雅黑" w:hAnsi="微软雅黑"/>
                <w:b/>
                <w:bCs/>
                <w:sz w:val="21"/>
                <w:szCs w:val="21"/>
              </w:rPr>
              <w:t>满意度</w:t>
            </w:r>
            <w:r>
              <w:rPr>
                <w:rFonts w:ascii="微软雅黑" w:eastAsia="微软雅黑" w:hAnsi="微软雅黑" w:cs="微软雅黑" w:hint="eastAsia"/>
                <w:b/>
                <w:bCs/>
                <w:sz w:val="21"/>
                <w:szCs w:val="21"/>
              </w:rPr>
              <w:t>考核情形</w:t>
            </w:r>
          </w:p>
        </w:tc>
      </w:tr>
      <w:tr w:rsidR="0022665C" w14:paraId="7A76B43C" w14:textId="77777777">
        <w:trPr>
          <w:jc w:val="center"/>
        </w:trPr>
        <w:tc>
          <w:tcPr>
            <w:tcW w:w="709" w:type="dxa"/>
            <w:vAlign w:val="center"/>
          </w:tcPr>
          <w:p w14:paraId="2E8DD67E"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序号</w:t>
            </w:r>
          </w:p>
        </w:tc>
        <w:tc>
          <w:tcPr>
            <w:tcW w:w="1127" w:type="dxa"/>
            <w:vAlign w:val="center"/>
          </w:tcPr>
          <w:p w14:paraId="126A6E00"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考核项目</w:t>
            </w:r>
          </w:p>
        </w:tc>
        <w:tc>
          <w:tcPr>
            <w:tcW w:w="2031" w:type="dxa"/>
            <w:vAlign w:val="center"/>
          </w:tcPr>
          <w:p w14:paraId="180AC1C1"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考核内容</w:t>
            </w:r>
          </w:p>
        </w:tc>
        <w:tc>
          <w:tcPr>
            <w:tcW w:w="5761" w:type="dxa"/>
            <w:vAlign w:val="center"/>
          </w:tcPr>
          <w:p w14:paraId="6FB7D517" w14:textId="77777777" w:rsidR="0022665C" w:rsidRDefault="00000000">
            <w:pPr>
              <w:spacing w:line="360" w:lineRule="exact"/>
              <w:ind w:firstLineChars="200" w:firstLine="42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加分标准</w:t>
            </w:r>
          </w:p>
        </w:tc>
      </w:tr>
      <w:tr w:rsidR="0022665C" w14:paraId="735B526A" w14:textId="77777777">
        <w:trPr>
          <w:jc w:val="center"/>
        </w:trPr>
        <w:tc>
          <w:tcPr>
            <w:tcW w:w="709" w:type="dxa"/>
            <w:vAlign w:val="center"/>
          </w:tcPr>
          <w:p w14:paraId="36ED5CC1"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sz w:val="21"/>
                <w:szCs w:val="21"/>
              </w:rPr>
              <w:t>1</w:t>
            </w:r>
          </w:p>
        </w:tc>
        <w:tc>
          <w:tcPr>
            <w:tcW w:w="1127" w:type="dxa"/>
            <w:vAlign w:val="center"/>
          </w:tcPr>
          <w:p w14:paraId="4B0C34CD"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满意度</w:t>
            </w:r>
          </w:p>
        </w:tc>
        <w:tc>
          <w:tcPr>
            <w:tcW w:w="2031" w:type="dxa"/>
            <w:vAlign w:val="center"/>
          </w:tcPr>
          <w:p w14:paraId="2E526A66"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在合理化建议、知识分享、表彰表扬等方面进行加分考核</w:t>
            </w:r>
          </w:p>
        </w:tc>
        <w:tc>
          <w:tcPr>
            <w:tcW w:w="5761" w:type="dxa"/>
            <w:vAlign w:val="center"/>
          </w:tcPr>
          <w:p w14:paraId="2AC8A14C"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1.</w:t>
            </w:r>
            <w:r>
              <w:rPr>
                <w:rFonts w:ascii="微软雅黑" w:eastAsia="微软雅黑" w:hAnsi="微软雅黑" w:cs="微软雅黑" w:hint="eastAsia"/>
                <w:sz w:val="21"/>
                <w:szCs w:val="21"/>
              </w:rPr>
              <w:t>对系统管理、系统推广、运维运营等提出合理化工作建议且被采纳，每次加</w:t>
            </w:r>
            <w:r>
              <w:rPr>
                <w:rFonts w:ascii="微软雅黑" w:eastAsia="微软雅黑" w:hAnsi="微软雅黑" w:cs="微软雅黑"/>
                <w:sz w:val="21"/>
                <w:szCs w:val="21"/>
              </w:rPr>
              <w:t>2</w:t>
            </w:r>
            <w:r>
              <w:rPr>
                <w:rFonts w:ascii="微软雅黑" w:eastAsia="微软雅黑" w:hAnsi="微软雅黑" w:cs="微软雅黑" w:hint="eastAsia"/>
                <w:sz w:val="21"/>
                <w:szCs w:val="21"/>
              </w:rPr>
              <w:t>分。</w:t>
            </w:r>
          </w:p>
          <w:p w14:paraId="6DE0BD12"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2.</w:t>
            </w:r>
            <w:r>
              <w:rPr>
                <w:rFonts w:ascii="微软雅黑" w:eastAsia="微软雅黑" w:hAnsi="微软雅黑" w:cs="微软雅黑" w:hint="eastAsia"/>
                <w:sz w:val="21"/>
                <w:szCs w:val="21"/>
              </w:rPr>
              <w:t>主动进行系统推广、运维运营知识、经验、数据管理等分享与总结，并对系统建设和运营产生积极影响的，每次加</w:t>
            </w:r>
            <w:r>
              <w:rPr>
                <w:rFonts w:ascii="微软雅黑" w:eastAsia="微软雅黑" w:hAnsi="微软雅黑" w:cs="微软雅黑"/>
                <w:sz w:val="21"/>
                <w:szCs w:val="21"/>
              </w:rPr>
              <w:t>5</w:t>
            </w:r>
            <w:r>
              <w:rPr>
                <w:rFonts w:ascii="微软雅黑" w:eastAsia="微软雅黑" w:hAnsi="微软雅黑" w:cs="微软雅黑" w:hint="eastAsia"/>
                <w:sz w:val="21"/>
                <w:szCs w:val="21"/>
              </w:rPr>
              <w:t>分。</w:t>
            </w:r>
          </w:p>
          <w:p w14:paraId="61C23AEC"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3.</w:t>
            </w:r>
            <w:r>
              <w:rPr>
                <w:rFonts w:ascii="微软雅黑" w:eastAsia="微软雅黑" w:hAnsi="微软雅黑" w:cs="微软雅黑" w:hint="eastAsia"/>
                <w:sz w:val="21"/>
                <w:szCs w:val="21"/>
              </w:rPr>
              <w:t>系统受到采购人上级机关通报表彰的，每次加5分。被中央媒体报道表彰的，每次加</w:t>
            </w:r>
            <w:r>
              <w:rPr>
                <w:rFonts w:ascii="微软雅黑" w:eastAsia="微软雅黑" w:hAnsi="微软雅黑" w:cs="微软雅黑"/>
                <w:sz w:val="21"/>
                <w:szCs w:val="21"/>
              </w:rPr>
              <w:t>10</w:t>
            </w:r>
            <w:r>
              <w:rPr>
                <w:rFonts w:ascii="微软雅黑" w:eastAsia="微软雅黑" w:hAnsi="微软雅黑" w:cs="微软雅黑" w:hint="eastAsia"/>
                <w:sz w:val="21"/>
                <w:szCs w:val="21"/>
              </w:rPr>
              <w:t>分；被省（市）级媒体报道表彰的，每次加</w:t>
            </w:r>
            <w:r>
              <w:rPr>
                <w:rFonts w:ascii="微软雅黑" w:eastAsia="微软雅黑" w:hAnsi="微软雅黑" w:cs="微软雅黑"/>
                <w:sz w:val="21"/>
                <w:szCs w:val="21"/>
              </w:rPr>
              <w:t>5</w:t>
            </w:r>
            <w:r>
              <w:rPr>
                <w:rFonts w:ascii="微软雅黑" w:eastAsia="微软雅黑" w:hAnsi="微软雅黑" w:cs="微软雅黑" w:hint="eastAsia"/>
                <w:sz w:val="21"/>
                <w:szCs w:val="21"/>
              </w:rPr>
              <w:t>分。</w:t>
            </w:r>
          </w:p>
        </w:tc>
      </w:tr>
      <w:tr w:rsidR="0022665C" w14:paraId="65F4A763" w14:textId="77777777">
        <w:trPr>
          <w:jc w:val="center"/>
        </w:trPr>
        <w:tc>
          <w:tcPr>
            <w:tcW w:w="9628" w:type="dxa"/>
            <w:gridSpan w:val="4"/>
            <w:vAlign w:val="center"/>
          </w:tcPr>
          <w:p w14:paraId="11758ED1" w14:textId="77777777" w:rsidR="0022665C" w:rsidRDefault="00000000">
            <w:pPr>
              <w:pStyle w:val="affa"/>
              <w:spacing w:line="360" w:lineRule="exact"/>
              <w:ind w:firstLineChars="0" w:firstLine="0"/>
              <w:jc w:val="left"/>
              <w:rPr>
                <w:rFonts w:ascii="微软雅黑" w:eastAsia="微软雅黑" w:hAnsi="微软雅黑" w:hint="eastAsia"/>
                <w:sz w:val="21"/>
                <w:szCs w:val="21"/>
              </w:rPr>
            </w:pPr>
            <w:r>
              <w:rPr>
                <w:rFonts w:ascii="微软雅黑" w:eastAsia="微软雅黑" w:hAnsi="微软雅黑" w:cs="微软雅黑" w:hint="eastAsia"/>
                <w:kern w:val="0"/>
                <w:sz w:val="21"/>
                <w:szCs w:val="21"/>
              </w:rPr>
              <w:t>注：</w:t>
            </w:r>
            <w:r>
              <w:rPr>
                <w:rFonts w:ascii="微软雅黑" w:eastAsia="微软雅黑" w:hAnsi="微软雅黑" w:cs="微软雅黑" w:hint="eastAsia"/>
                <w:sz w:val="21"/>
                <w:szCs w:val="21"/>
              </w:rPr>
              <w:t>本项目采取1</w:t>
            </w:r>
            <w:r>
              <w:rPr>
                <w:rFonts w:ascii="微软雅黑" w:eastAsia="微软雅黑" w:hAnsi="微软雅黑" w:cs="微软雅黑"/>
                <w:sz w:val="21"/>
                <w:szCs w:val="21"/>
              </w:rPr>
              <w:t>00</w:t>
            </w:r>
            <w:r>
              <w:rPr>
                <w:rFonts w:ascii="微软雅黑" w:eastAsia="微软雅黑" w:hAnsi="微软雅黑" w:cs="微软雅黑" w:hint="eastAsia"/>
                <w:sz w:val="21"/>
                <w:szCs w:val="21"/>
              </w:rPr>
              <w:t>分评分制考核，考核由采购人组织实施，对中标人实行两个月一次考核</w:t>
            </w:r>
            <w:r>
              <w:rPr>
                <w:rFonts w:ascii="微软雅黑" w:eastAsia="微软雅黑" w:hAnsi="微软雅黑" w:cs="微软雅黑" w:hint="eastAsia"/>
                <w:kern w:val="0"/>
                <w:sz w:val="21"/>
                <w:szCs w:val="21"/>
              </w:rPr>
              <w:t>，每次考核成绩高于或者等于90分，表明考核优秀。每次考核中考核成绩低于</w:t>
            </w:r>
            <w:r>
              <w:rPr>
                <w:rFonts w:ascii="微软雅黑" w:eastAsia="微软雅黑" w:hAnsi="微软雅黑" w:cs="微软雅黑"/>
                <w:kern w:val="0"/>
                <w:sz w:val="21"/>
                <w:szCs w:val="21"/>
              </w:rPr>
              <w:t>90</w:t>
            </w:r>
            <w:r>
              <w:rPr>
                <w:rFonts w:ascii="微软雅黑" w:eastAsia="微软雅黑" w:hAnsi="微软雅黑" w:cs="微软雅黑" w:hint="eastAsia"/>
                <w:kern w:val="0"/>
                <w:sz w:val="21"/>
                <w:szCs w:val="21"/>
              </w:rPr>
              <w:t>分，每低1分，对中标人进行2万元违约金处罚，在合同支付款项中扣除。</w:t>
            </w:r>
            <w:r>
              <w:rPr>
                <w:rFonts w:ascii="微软雅黑" w:eastAsia="微软雅黑" w:hAnsi="微软雅黑" w:hint="eastAsia"/>
                <w:sz w:val="21"/>
                <w:szCs w:val="21"/>
              </w:rPr>
              <w:t>单次考核成绩低于70分的，中标人应承担合同金额10%的违约金，并且采购人有权解除合同，没收中标人提交的履约保证金，采购人尚未支付的款项不再支付，已支付款项有权要求退还。</w:t>
            </w:r>
          </w:p>
        </w:tc>
      </w:tr>
    </w:tbl>
    <w:p w14:paraId="75C67B65" w14:textId="77777777" w:rsidR="0022665C" w:rsidRDefault="00000000">
      <w:pPr>
        <w:pStyle w:val="2"/>
        <w:spacing w:line="560" w:lineRule="atLeast"/>
        <w:ind w:firstLine="480"/>
        <w:jc w:val="left"/>
        <w:rPr>
          <w:rFonts w:ascii="微软雅黑" w:eastAsia="微软雅黑" w:hAnsi="微软雅黑" w:hint="eastAsia"/>
          <w:b/>
          <w:bCs/>
          <w:sz w:val="24"/>
        </w:rPr>
      </w:pPr>
      <w:bookmarkStart w:id="114" w:name="_Toc9219"/>
      <w:bookmarkStart w:id="115" w:name="_Toc31957"/>
      <w:bookmarkStart w:id="116" w:name="_Toc19230"/>
      <w:bookmarkStart w:id="117" w:name="_Toc634"/>
      <w:bookmarkEnd w:id="113"/>
      <w:r>
        <w:rPr>
          <w:rFonts w:ascii="微软雅黑" w:eastAsia="微软雅黑" w:hAnsi="微软雅黑" w:hint="eastAsia"/>
          <w:b/>
          <w:bCs/>
          <w:sz w:val="24"/>
        </w:rPr>
        <w:t>七、报价要求</w:t>
      </w:r>
      <w:bookmarkEnd w:id="111"/>
      <w:bookmarkEnd w:id="114"/>
      <w:bookmarkEnd w:id="115"/>
      <w:bookmarkEnd w:id="116"/>
      <w:bookmarkEnd w:id="117"/>
    </w:p>
    <w:p w14:paraId="5A78CA4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一）本项目为人民币报价。投标人应根据自身的实力和对招标文件、技术条件和国家技术规范和标准的理解，结合市场行情进行自主报价。投标人必须自行考虑本项目在实施期间的一切可能产生的费用，一旦投标人中标不得以任何理由在合同执行期间调整价格。</w:t>
      </w:r>
    </w:p>
    <w:p w14:paraId="66F3DD21"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（二）投标人所报的投标价格包括但不限于：完成本项目所需的</w:t>
      </w:r>
      <w:r>
        <w:rPr>
          <w:rFonts w:ascii="微软雅黑" w:eastAsia="微软雅黑" w:hAnsi="微软雅黑" w:hint="eastAsia"/>
          <w:sz w:val="21"/>
          <w:szCs w:val="21"/>
        </w:rPr>
        <w:t>系统</w:t>
      </w:r>
      <w:r>
        <w:rPr>
          <w:rFonts w:ascii="微软雅黑" w:eastAsia="微软雅黑" w:hAnsi="微软雅黑"/>
          <w:sz w:val="21"/>
          <w:szCs w:val="21"/>
        </w:rPr>
        <w:t>及产品费用、定制化开发及相关服务费用、软件设计费、人工费、差旅费、住宿交通费、运输费、企业管理费、提供服务所需的设备或货物购买（制造）费、风险费、办公费、技术培训费、安装调试费、利润、各种应缴税费以及文件中虽未载明但需完成本项目所产生的全部费用。</w:t>
      </w:r>
    </w:p>
    <w:p w14:paraId="347719B3" w14:textId="77777777" w:rsidR="0022665C" w:rsidRDefault="00000000">
      <w:pPr>
        <w:pStyle w:val="2"/>
        <w:spacing w:line="560" w:lineRule="atLeast"/>
        <w:ind w:firstLine="480"/>
        <w:jc w:val="left"/>
        <w:rPr>
          <w:rFonts w:ascii="微软雅黑" w:eastAsia="微软雅黑" w:hAnsi="微软雅黑" w:hint="eastAsia"/>
          <w:b/>
          <w:bCs/>
          <w:sz w:val="24"/>
        </w:rPr>
      </w:pPr>
      <w:bookmarkStart w:id="118" w:name="_Toc27921"/>
      <w:bookmarkStart w:id="119" w:name="_Toc31125"/>
      <w:bookmarkStart w:id="120" w:name="_Toc8642"/>
      <w:bookmarkStart w:id="121" w:name="_Toc24613"/>
      <w:bookmarkStart w:id="122" w:name="_Toc23828"/>
      <w:r>
        <w:rPr>
          <w:rFonts w:ascii="微软雅黑" w:eastAsia="微软雅黑" w:hAnsi="微软雅黑" w:hint="eastAsia"/>
          <w:b/>
          <w:bCs/>
          <w:sz w:val="24"/>
        </w:rPr>
        <w:t>八、付款方式</w:t>
      </w:r>
      <w:bookmarkEnd w:id="118"/>
      <w:bookmarkEnd w:id="119"/>
      <w:bookmarkEnd w:id="120"/>
      <w:bookmarkEnd w:id="121"/>
      <w:bookmarkEnd w:id="122"/>
    </w:p>
    <w:p w14:paraId="5821B248" w14:textId="77777777" w:rsidR="0022665C" w:rsidRDefault="00000000">
      <w:pPr>
        <w:numPr>
          <w:ilvl w:val="0"/>
          <w:numId w:val="6"/>
        </w:num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合同签订前，中标人向采购人缴纳合同金额的2%作为履约保证金（以支票、汇票、本票或者金融机构、担保机构出具的保函等非现金形式提交），质量保证期1年满后，采购人按相关程序无息退还履约保证金。</w:t>
      </w:r>
    </w:p>
    <w:p w14:paraId="1FC14E39" w14:textId="77777777" w:rsidR="0022665C" w:rsidRDefault="00000000">
      <w:pPr>
        <w:numPr>
          <w:ilvl w:val="0"/>
          <w:numId w:val="6"/>
        </w:num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合同签订后，从中标人项目组开始提供服务之日起10个工作日内，采购人向中标人支付合同金额的 50%；</w:t>
      </w:r>
    </w:p>
    <w:p w14:paraId="55E2A0EB" w14:textId="77777777" w:rsidR="0022665C" w:rsidRDefault="00000000">
      <w:pPr>
        <w:numPr>
          <w:ilvl w:val="0"/>
          <w:numId w:val="6"/>
        </w:num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项目完成初验之日起10个工作日内，采购人向中标人支付合同金额的30%；</w:t>
      </w:r>
    </w:p>
    <w:p w14:paraId="72444AC2" w14:textId="77777777" w:rsidR="0022665C" w:rsidRDefault="00000000">
      <w:pPr>
        <w:numPr>
          <w:ilvl w:val="0"/>
          <w:numId w:val="6"/>
        </w:num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本项目结算审计为最终验收的一部分，项目最终验收合格（结算审计结果出具之后），采购人在收到中标人出具的发票之日起5个工作日内根据结算审计审定的金额扣除考核应扣款项后，向中标人支付剩余款项。</w:t>
      </w:r>
    </w:p>
    <w:p w14:paraId="40F4EA30" w14:textId="77777777" w:rsidR="0022665C" w:rsidRDefault="00000000">
      <w:pPr>
        <w:numPr>
          <w:ilvl w:val="0"/>
          <w:numId w:val="6"/>
        </w:num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每次付款前中标人向采购人开具等额发票，采购人以转账方式向中标人支付</w:t>
      </w:r>
      <w:r>
        <w:rPr>
          <w:rFonts w:ascii="微软雅黑" w:eastAsia="微软雅黑" w:hAnsi="微软雅黑"/>
          <w:sz w:val="21"/>
          <w:szCs w:val="21"/>
        </w:rPr>
        <w:t>。</w:t>
      </w:r>
    </w:p>
    <w:p w14:paraId="0EC91B11" w14:textId="77777777" w:rsidR="0022665C" w:rsidRDefault="00000000">
      <w:pPr>
        <w:pStyle w:val="2"/>
        <w:spacing w:line="560" w:lineRule="atLeast"/>
        <w:ind w:firstLine="480"/>
        <w:jc w:val="left"/>
        <w:rPr>
          <w:rFonts w:ascii="微软雅黑" w:eastAsia="微软雅黑" w:hAnsi="微软雅黑" w:hint="eastAsia"/>
          <w:b/>
          <w:bCs/>
          <w:sz w:val="24"/>
        </w:rPr>
      </w:pPr>
      <w:bookmarkStart w:id="123" w:name="_Toc24266"/>
      <w:bookmarkStart w:id="124" w:name="_Toc27123"/>
      <w:bookmarkStart w:id="125" w:name="_Toc19566"/>
      <w:bookmarkStart w:id="126" w:name="_Toc9800"/>
      <w:bookmarkStart w:id="127" w:name="_Toc5006"/>
      <w:r>
        <w:rPr>
          <w:rFonts w:ascii="微软雅黑" w:eastAsia="微软雅黑" w:hAnsi="微软雅黑" w:hint="eastAsia"/>
          <w:b/>
          <w:bCs/>
          <w:sz w:val="24"/>
        </w:rPr>
        <w:t>九、知识产权</w:t>
      </w:r>
      <w:bookmarkEnd w:id="123"/>
      <w:bookmarkEnd w:id="124"/>
      <w:bookmarkEnd w:id="125"/>
      <w:bookmarkEnd w:id="126"/>
      <w:bookmarkEnd w:id="127"/>
    </w:p>
    <w:p w14:paraId="542016AB" w14:textId="77777777" w:rsidR="0022665C" w:rsidRDefault="00000000">
      <w:pPr>
        <w:numPr>
          <w:ilvl w:val="0"/>
          <w:numId w:val="7"/>
        </w:numPr>
        <w:spacing w:line="440" w:lineRule="atLeast"/>
        <w:ind w:firstLineChars="200" w:firstLine="420"/>
        <w:rPr>
          <w:rFonts w:ascii="微软雅黑" w:eastAsia="微软雅黑" w:hAnsi="微软雅黑" w:hint="eastAsia"/>
          <w:sz w:val="21"/>
          <w:szCs w:val="21"/>
        </w:rPr>
      </w:pPr>
      <w:bookmarkStart w:id="128" w:name="_Hlk151581994"/>
      <w:r>
        <w:rPr>
          <w:rFonts w:ascii="微软雅黑" w:eastAsia="微软雅黑" w:hAnsi="微软雅黑" w:hint="eastAsia"/>
          <w:sz w:val="21"/>
          <w:szCs w:val="21"/>
        </w:rPr>
        <w:t>本招标项目所涉及的</w:t>
      </w:r>
      <w:r>
        <w:rPr>
          <w:rFonts w:ascii="微软雅黑" w:eastAsia="微软雅黑" w:hAnsi="微软雅黑"/>
          <w:sz w:val="21"/>
          <w:szCs w:val="21"/>
        </w:rPr>
        <w:t>定制</w:t>
      </w:r>
      <w:r>
        <w:rPr>
          <w:rFonts w:ascii="微软雅黑" w:eastAsia="微软雅黑" w:hAnsi="微软雅黑" w:hint="eastAsia"/>
          <w:sz w:val="21"/>
          <w:szCs w:val="21"/>
        </w:rPr>
        <w:t>开发软件（包括但不限于所有权和专利申请权）</w:t>
      </w:r>
      <w:r>
        <w:rPr>
          <w:rFonts w:ascii="微软雅黑" w:eastAsia="微软雅黑" w:hAnsi="微软雅黑"/>
          <w:sz w:val="21"/>
          <w:szCs w:val="21"/>
        </w:rPr>
        <w:t>和实施路径、建设方式、工作模式等知识产权归采购人所有</w:t>
      </w:r>
      <w:r>
        <w:rPr>
          <w:rFonts w:ascii="微软雅黑" w:eastAsia="微软雅黑" w:hAnsi="微软雅黑" w:hint="eastAsia"/>
          <w:sz w:val="21"/>
          <w:szCs w:val="21"/>
        </w:rPr>
        <w:t>，未经采购人</w:t>
      </w:r>
      <w:r>
        <w:rPr>
          <w:rFonts w:ascii="微软雅黑" w:eastAsia="微软雅黑" w:hAnsi="微软雅黑"/>
          <w:sz w:val="21"/>
          <w:szCs w:val="21"/>
        </w:rPr>
        <w:t>书面</w:t>
      </w:r>
      <w:r>
        <w:rPr>
          <w:rFonts w:ascii="微软雅黑" w:eastAsia="微软雅黑" w:hAnsi="微软雅黑" w:hint="eastAsia"/>
          <w:sz w:val="21"/>
          <w:szCs w:val="21"/>
        </w:rPr>
        <w:t>许可，中标人不得擅自使用</w:t>
      </w:r>
      <w:r>
        <w:rPr>
          <w:rFonts w:ascii="微软雅黑" w:eastAsia="微软雅黑" w:hAnsi="微软雅黑"/>
          <w:sz w:val="21"/>
          <w:szCs w:val="21"/>
        </w:rPr>
        <w:t>或以其他方式给任何第三方提供相关信息</w:t>
      </w:r>
      <w:r>
        <w:rPr>
          <w:rFonts w:ascii="微软雅黑" w:eastAsia="微软雅黑" w:hAnsi="微软雅黑" w:hint="eastAsia"/>
          <w:sz w:val="21"/>
          <w:szCs w:val="21"/>
        </w:rPr>
        <w:t>、销售该软件的全部或部分内容。中标人</w:t>
      </w:r>
      <w:r>
        <w:rPr>
          <w:rFonts w:ascii="微软雅黑" w:eastAsia="微软雅黑" w:hAnsi="微软雅黑"/>
          <w:sz w:val="21"/>
          <w:szCs w:val="21"/>
        </w:rPr>
        <w:t>须</w:t>
      </w:r>
      <w:r>
        <w:rPr>
          <w:rFonts w:ascii="微软雅黑" w:eastAsia="微软雅黑" w:hAnsi="微软雅黑" w:hint="eastAsia"/>
          <w:sz w:val="21"/>
          <w:szCs w:val="21"/>
        </w:rPr>
        <w:t>向采购人</w:t>
      </w:r>
      <w:r>
        <w:rPr>
          <w:rFonts w:ascii="微软雅黑" w:eastAsia="微软雅黑" w:hAnsi="微软雅黑"/>
          <w:sz w:val="21"/>
          <w:szCs w:val="21"/>
        </w:rPr>
        <w:t>提供</w:t>
      </w:r>
      <w:r>
        <w:rPr>
          <w:rFonts w:ascii="微软雅黑" w:eastAsia="微软雅黑" w:hAnsi="微软雅黑" w:hint="eastAsia"/>
          <w:sz w:val="21"/>
          <w:szCs w:val="21"/>
        </w:rPr>
        <w:t>系统的</w:t>
      </w:r>
      <w:r>
        <w:rPr>
          <w:rFonts w:ascii="微软雅黑" w:eastAsia="微软雅黑" w:hAnsi="微软雅黑"/>
          <w:sz w:val="21"/>
          <w:szCs w:val="21"/>
        </w:rPr>
        <w:t>定制开发软件（包括但不限于所有权和专利申请权）和实施路径、建设方式、工作模式等</w:t>
      </w:r>
      <w:r>
        <w:rPr>
          <w:rFonts w:ascii="微软雅黑" w:eastAsia="微软雅黑" w:hAnsi="微软雅黑" w:hint="eastAsia"/>
          <w:sz w:val="21"/>
          <w:szCs w:val="21"/>
        </w:rPr>
        <w:t>全部项目资料、数据、源代码（含详细注释且可编译运行）。</w:t>
      </w:r>
    </w:p>
    <w:p w14:paraId="6E128080" w14:textId="77777777" w:rsidR="0022665C" w:rsidRDefault="00000000">
      <w:pPr>
        <w:numPr>
          <w:ilvl w:val="0"/>
          <w:numId w:val="7"/>
        </w:numPr>
        <w:spacing w:line="440" w:lineRule="atLeast"/>
        <w:ind w:firstLine="420"/>
        <w:rPr>
          <w:rFonts w:ascii="微软雅黑" w:eastAsia="微软雅黑" w:hAnsi="微软雅黑" w:hint="eastAsia"/>
          <w:sz w:val="21"/>
          <w:szCs w:val="21"/>
        </w:rPr>
      </w:pPr>
      <w:bookmarkStart w:id="129" w:name="_Toc19459"/>
      <w:bookmarkEnd w:id="128"/>
      <w:r>
        <w:rPr>
          <w:rFonts w:ascii="微软雅黑" w:eastAsia="微软雅黑" w:hAnsi="微软雅黑" w:hint="eastAsia"/>
          <w:sz w:val="21"/>
          <w:szCs w:val="21"/>
        </w:rPr>
        <w:t>本招标项目所涉及商业现货类产品（成品软件），成品软件的源代码和知识产权按采购人的相关要求执行，采购人拥有该类产品及其迭代升级产品的永久使用权，中标人不得再就此内容向采购人收取任何费用。</w:t>
      </w:r>
    </w:p>
    <w:p w14:paraId="56D89B4B" w14:textId="77777777" w:rsidR="0022665C" w:rsidRDefault="00000000">
      <w:pPr>
        <w:numPr>
          <w:ilvl w:val="0"/>
          <w:numId w:val="7"/>
        </w:numPr>
        <w:spacing w:line="440" w:lineRule="atLeast"/>
        <w:ind w:firstLine="420"/>
        <w:rPr>
          <w:rFonts w:ascii="微软雅黑" w:eastAsia="微软雅黑" w:hAnsi="微软雅黑" w:hint="eastAsia"/>
          <w:sz w:val="21"/>
          <w:szCs w:val="21"/>
        </w:rPr>
      </w:pPr>
      <w:r>
        <w:rPr>
          <w:rFonts w:ascii="微软雅黑" w:eastAsia="微软雅黑" w:hAnsi="微软雅黑"/>
          <w:sz w:val="21"/>
          <w:szCs w:val="21"/>
        </w:rPr>
        <w:t>本招标项目所涉及商业现货类产品</w:t>
      </w:r>
      <w:r>
        <w:rPr>
          <w:rFonts w:ascii="微软雅黑" w:eastAsia="微软雅黑" w:hAnsi="微软雅黑" w:hint="eastAsia"/>
          <w:sz w:val="21"/>
          <w:szCs w:val="21"/>
        </w:rPr>
        <w:t>（成品软件）须支持横向节点扩展及与第三方应用系统标准化对接。</w:t>
      </w:r>
    </w:p>
    <w:p w14:paraId="4ECA828F" w14:textId="77777777" w:rsidR="0022665C" w:rsidRDefault="00000000">
      <w:pPr>
        <w:numPr>
          <w:ilvl w:val="0"/>
          <w:numId w:val="7"/>
        </w:numPr>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采购人在中华人民共和国境内使用中标人提供的货物及服务时免受第三方提出的侵犯其专利权或其他知识产权的起诉。如果第三方提出侵权指控，中标人应承担由此而引起的一切法律责任和费用。</w:t>
      </w:r>
    </w:p>
    <w:p w14:paraId="49FF7A85" w14:textId="77777777" w:rsidR="0022665C" w:rsidRDefault="00000000">
      <w:pPr>
        <w:pStyle w:val="2"/>
        <w:spacing w:line="560" w:lineRule="atLeast"/>
        <w:ind w:firstLine="480"/>
        <w:jc w:val="left"/>
        <w:rPr>
          <w:rFonts w:ascii="微软雅黑" w:eastAsia="微软雅黑" w:hAnsi="微软雅黑" w:hint="eastAsia"/>
          <w:b/>
          <w:bCs/>
          <w:sz w:val="24"/>
        </w:rPr>
      </w:pPr>
      <w:bookmarkStart w:id="130" w:name="_Toc15022"/>
      <w:bookmarkStart w:id="131" w:name="_Toc2591"/>
      <w:bookmarkStart w:id="132" w:name="_Toc8423"/>
      <w:bookmarkStart w:id="133" w:name="_Toc15056"/>
      <w:r>
        <w:rPr>
          <w:rFonts w:ascii="微软雅黑" w:eastAsia="微软雅黑" w:hAnsi="微软雅黑" w:hint="eastAsia"/>
          <w:b/>
          <w:bCs/>
          <w:sz w:val="24"/>
        </w:rPr>
        <w:t>十、保密要求</w:t>
      </w:r>
      <w:bookmarkEnd w:id="129"/>
      <w:bookmarkEnd w:id="130"/>
      <w:bookmarkEnd w:id="131"/>
      <w:bookmarkEnd w:id="132"/>
      <w:bookmarkEnd w:id="133"/>
    </w:p>
    <w:p w14:paraId="690C2099" w14:textId="77777777" w:rsidR="0022665C" w:rsidRDefault="00000000">
      <w:pPr>
        <w:pStyle w:val="a9"/>
        <w:spacing w:line="440" w:lineRule="atLeast"/>
        <w:ind w:firstLineChars="200" w:firstLine="420"/>
        <w:rPr>
          <w:rFonts w:ascii="微软雅黑" w:eastAsia="微软雅黑" w:hAnsi="微软雅黑" w:hint="eastAsia"/>
          <w:sz w:val="21"/>
          <w:szCs w:val="21"/>
          <w:lang w:val="zh-CN" w:bidi="ar"/>
        </w:rPr>
      </w:pPr>
      <w:bookmarkStart w:id="134" w:name="_Hlk151582028"/>
      <w:r>
        <w:rPr>
          <w:rFonts w:ascii="微软雅黑" w:eastAsia="微软雅黑" w:hAnsi="微软雅黑" w:hint="eastAsia"/>
          <w:sz w:val="21"/>
          <w:szCs w:val="21"/>
          <w:lang w:val="zh-CN" w:bidi="ar"/>
        </w:rPr>
        <w:t>（一）自合同签订之日起，中标人有责任对采购人提供的各种技术文件（软件、咨询报告、服务内容）与工作业务信息进行保密，未经采购人书面批准不得提供给第三方。如有违反，中标人应承担相应的法律责任。</w:t>
      </w:r>
    </w:p>
    <w:p w14:paraId="114B7716"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二）签订本合同的同时，中标人必须与采购人签订《安全保密协议》，此保密协议所规定的保密义务不因本合同的终止而免除。中标人或其员工如违反《安全保密协议》，造成采购人信息泄露，中标人必须承担全部责任并赔偿采购人的一切损失，采购人有权追究中标人的法律责任并终止本合同。</w:t>
      </w:r>
    </w:p>
    <w:p w14:paraId="172430E1" w14:textId="77777777" w:rsidR="0022665C" w:rsidRDefault="00000000">
      <w:pPr>
        <w:spacing w:line="440" w:lineRule="atLeast"/>
        <w:ind w:firstLineChars="200" w:firstLine="420"/>
        <w:rPr>
          <w:rFonts w:ascii="微软雅黑" w:eastAsia="微软雅黑" w:hAnsi="微软雅黑" w:hint="eastAsia"/>
          <w:sz w:val="21"/>
          <w:szCs w:val="21"/>
          <w:lang w:val="zh-CN"/>
        </w:rPr>
      </w:pPr>
      <w:r>
        <w:rPr>
          <w:rFonts w:ascii="微软雅黑" w:eastAsia="微软雅黑" w:hAnsi="微软雅黑" w:hint="eastAsia"/>
          <w:sz w:val="21"/>
          <w:szCs w:val="21"/>
          <w:lang w:val="zh-CN" w:bidi="ar"/>
        </w:rPr>
        <w:t>（三）</w:t>
      </w:r>
      <w:r>
        <w:rPr>
          <w:rFonts w:ascii="微软雅黑" w:eastAsia="微软雅黑" w:hAnsi="微软雅黑"/>
          <w:sz w:val="21"/>
          <w:szCs w:val="21"/>
          <w:lang w:val="zh-CN" w:bidi="ar"/>
        </w:rPr>
        <w:t>在建设过程中，</w:t>
      </w:r>
      <w:r>
        <w:rPr>
          <w:rFonts w:ascii="微软雅黑" w:eastAsia="微软雅黑" w:hAnsi="微软雅黑" w:hint="eastAsia"/>
          <w:sz w:val="21"/>
          <w:szCs w:val="21"/>
          <w:lang w:val="zh-CN" w:bidi="ar"/>
        </w:rPr>
        <w:t>中标人应</w:t>
      </w:r>
      <w:r>
        <w:rPr>
          <w:rFonts w:ascii="微软雅黑" w:eastAsia="微软雅黑" w:hAnsi="微软雅黑"/>
          <w:sz w:val="21"/>
          <w:szCs w:val="21"/>
          <w:lang w:val="zh-CN" w:bidi="ar"/>
        </w:rPr>
        <w:t>组织所有</w:t>
      </w:r>
      <w:r>
        <w:rPr>
          <w:rFonts w:ascii="微软雅黑" w:eastAsia="微软雅黑" w:hAnsi="微软雅黑" w:hint="eastAsia"/>
          <w:sz w:val="21"/>
          <w:szCs w:val="21"/>
          <w:lang w:val="zh-CN" w:bidi="ar"/>
        </w:rPr>
        <w:t>项目</w:t>
      </w:r>
      <w:r>
        <w:rPr>
          <w:rFonts w:ascii="微软雅黑" w:eastAsia="微软雅黑" w:hAnsi="微软雅黑"/>
          <w:sz w:val="21"/>
          <w:szCs w:val="21"/>
          <w:lang w:val="zh-CN" w:bidi="ar"/>
        </w:rPr>
        <w:t>组成员进行安全和保密培训，增强所有参与</w:t>
      </w:r>
      <w:r>
        <w:rPr>
          <w:rFonts w:ascii="微软雅黑" w:eastAsia="微软雅黑" w:hAnsi="微软雅黑" w:hint="eastAsia"/>
          <w:sz w:val="21"/>
          <w:szCs w:val="21"/>
          <w:lang w:val="zh-CN" w:bidi="ar"/>
        </w:rPr>
        <w:t>项目</w:t>
      </w:r>
      <w:r>
        <w:rPr>
          <w:rFonts w:ascii="微软雅黑" w:eastAsia="微软雅黑" w:hAnsi="微软雅黑"/>
          <w:sz w:val="21"/>
          <w:szCs w:val="21"/>
          <w:lang w:val="zh-CN" w:bidi="ar"/>
        </w:rPr>
        <w:t>的人员安全和保密意识。将建立规章制度，并与所有参与者签订</w:t>
      </w:r>
      <w:r>
        <w:rPr>
          <w:rFonts w:ascii="微软雅黑" w:eastAsia="微软雅黑" w:hAnsi="微软雅黑" w:hint="eastAsia"/>
          <w:sz w:val="21"/>
          <w:szCs w:val="21"/>
          <w:lang w:val="zh-CN" w:bidi="ar"/>
        </w:rPr>
        <w:t>应用</w:t>
      </w:r>
      <w:r>
        <w:rPr>
          <w:rFonts w:ascii="微软雅黑" w:eastAsia="微软雅黑" w:hAnsi="微软雅黑"/>
          <w:sz w:val="21"/>
          <w:szCs w:val="21"/>
          <w:lang w:val="zh-CN" w:bidi="ar"/>
        </w:rPr>
        <w:t>开发保密协议。如有违反纪律泄密者将严惩，将解雇泄密者并要求其承担相应经济损失，严重违法者将扭送公安部门承担刑事责任。</w:t>
      </w:r>
    </w:p>
    <w:p w14:paraId="6273EFD1"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（四）中标人在项目建设过程中获知的采购人或为采购人提供服务的第三方的知识产权、技术文件、业务信息等，都受本条款的保护。</w:t>
      </w:r>
    </w:p>
    <w:p w14:paraId="14C41B1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lang w:val="zh-CN" w:bidi="ar"/>
        </w:rPr>
        <w:t>（五）</w:t>
      </w:r>
      <w:r>
        <w:rPr>
          <w:rFonts w:ascii="微软雅黑" w:eastAsia="微软雅黑" w:hAnsi="微软雅黑"/>
          <w:sz w:val="21"/>
          <w:szCs w:val="21"/>
        </w:rPr>
        <w:t>中标人应按</w:t>
      </w:r>
      <w:r>
        <w:rPr>
          <w:rFonts w:ascii="微软雅黑" w:eastAsia="微软雅黑" w:hAnsi="微软雅黑" w:hint="eastAsia"/>
          <w:sz w:val="21"/>
          <w:szCs w:val="21"/>
          <w:lang w:val="zh-CN" w:bidi="ar"/>
        </w:rPr>
        <w:t>《安全保密协议》的</w:t>
      </w:r>
      <w:r>
        <w:rPr>
          <w:rFonts w:ascii="微软雅黑" w:eastAsia="微软雅黑" w:hAnsi="微软雅黑"/>
          <w:sz w:val="21"/>
          <w:szCs w:val="21"/>
        </w:rPr>
        <w:t>要求，加强成果保密工作，应设置专人在项目建设期间对文档进行检查和管理，形成规范的文档体系，承担因资料等泄密造成的一切责任，项目最终验收后所有资料全部移交给采购人。</w:t>
      </w:r>
    </w:p>
    <w:p w14:paraId="425005FD" w14:textId="77777777" w:rsidR="0022665C" w:rsidRDefault="00000000">
      <w:pPr>
        <w:spacing w:line="440" w:lineRule="atLeast"/>
        <w:ind w:firstLineChars="200" w:firstLine="420"/>
        <w:rPr>
          <w:rFonts w:ascii="微软雅黑" w:eastAsia="微软雅黑" w:hAnsi="微软雅黑" w:hint="eastAsia"/>
          <w:sz w:val="21"/>
          <w:szCs w:val="21"/>
          <w:lang w:val="zh-CN"/>
        </w:rPr>
      </w:pPr>
      <w:r>
        <w:rPr>
          <w:rFonts w:ascii="微软雅黑" w:eastAsia="微软雅黑" w:hAnsi="微软雅黑" w:hint="eastAsia"/>
          <w:sz w:val="21"/>
          <w:szCs w:val="21"/>
          <w:lang w:val="zh-CN" w:bidi="ar"/>
        </w:rPr>
        <w:t>（六）保密内容</w:t>
      </w:r>
      <w:r>
        <w:rPr>
          <w:rFonts w:ascii="微软雅黑" w:eastAsia="微软雅黑" w:hAnsi="微软雅黑"/>
          <w:sz w:val="21"/>
          <w:szCs w:val="21"/>
          <w:lang w:val="zh-CN" w:bidi="ar"/>
        </w:rPr>
        <w:t>包括但不限于</w:t>
      </w:r>
      <w:r>
        <w:rPr>
          <w:rFonts w:ascii="微软雅黑" w:eastAsia="微软雅黑" w:hAnsi="微软雅黑" w:hint="eastAsia"/>
          <w:sz w:val="21"/>
          <w:szCs w:val="21"/>
          <w:lang w:val="zh-CN" w:bidi="ar"/>
        </w:rPr>
        <w:t>采购人</w:t>
      </w:r>
      <w:r>
        <w:rPr>
          <w:rFonts w:ascii="微软雅黑" w:eastAsia="微软雅黑" w:hAnsi="微软雅黑"/>
          <w:sz w:val="21"/>
          <w:szCs w:val="21"/>
          <w:lang w:val="zh-CN" w:bidi="ar"/>
        </w:rPr>
        <w:t>向</w:t>
      </w:r>
      <w:r>
        <w:rPr>
          <w:rFonts w:ascii="微软雅黑" w:eastAsia="微软雅黑" w:hAnsi="微软雅黑" w:hint="eastAsia"/>
          <w:sz w:val="21"/>
          <w:szCs w:val="21"/>
          <w:lang w:val="zh-CN" w:bidi="ar"/>
        </w:rPr>
        <w:t>中标人</w:t>
      </w:r>
      <w:r>
        <w:rPr>
          <w:rFonts w:ascii="微软雅黑" w:eastAsia="微软雅黑" w:hAnsi="微软雅黑"/>
          <w:sz w:val="21"/>
          <w:szCs w:val="21"/>
          <w:lang w:val="zh-CN" w:bidi="ar"/>
        </w:rPr>
        <w:t>通过口头、书面、电子或其他方式提供的关于技术和系统及其他方面的一切数据、报告、信息、预测和记录</w:t>
      </w:r>
      <w:r>
        <w:rPr>
          <w:rFonts w:ascii="微软雅黑" w:eastAsia="微软雅黑" w:hAnsi="微软雅黑" w:hint="eastAsia"/>
          <w:sz w:val="21"/>
          <w:szCs w:val="21"/>
          <w:lang w:val="zh-CN" w:bidi="ar"/>
        </w:rPr>
        <w:t>。</w:t>
      </w:r>
      <w:bookmarkEnd w:id="134"/>
    </w:p>
    <w:p w14:paraId="1302A370" w14:textId="77777777" w:rsidR="0022665C" w:rsidRDefault="00000000">
      <w:pPr>
        <w:pStyle w:val="2"/>
        <w:spacing w:line="560" w:lineRule="atLeast"/>
        <w:ind w:firstLine="480"/>
        <w:jc w:val="left"/>
        <w:rPr>
          <w:rFonts w:ascii="微软雅黑" w:eastAsia="微软雅黑" w:hAnsi="微软雅黑" w:hint="eastAsia"/>
          <w:b/>
          <w:bCs/>
          <w:sz w:val="24"/>
        </w:rPr>
      </w:pPr>
      <w:bookmarkStart w:id="135" w:name="_Toc31432"/>
      <w:bookmarkStart w:id="136" w:name="_Toc13590"/>
      <w:bookmarkStart w:id="137" w:name="_Toc30184"/>
      <w:bookmarkStart w:id="138" w:name="_Toc212"/>
      <w:bookmarkStart w:id="139" w:name="_Toc23261"/>
      <w:r>
        <w:rPr>
          <w:rFonts w:ascii="微软雅黑" w:eastAsia="微软雅黑" w:hAnsi="微软雅黑" w:hint="eastAsia"/>
          <w:b/>
          <w:bCs/>
          <w:sz w:val="24"/>
        </w:rPr>
        <w:t>十一、培训</w:t>
      </w:r>
      <w:bookmarkEnd w:id="135"/>
      <w:bookmarkEnd w:id="136"/>
      <w:bookmarkEnd w:id="137"/>
      <w:bookmarkEnd w:id="138"/>
      <w:bookmarkEnd w:id="139"/>
    </w:p>
    <w:p w14:paraId="6744C212" w14:textId="77777777" w:rsidR="0022665C" w:rsidRDefault="00000000">
      <w:pPr>
        <w:snapToGrid w:val="0"/>
        <w:spacing w:line="440" w:lineRule="atLeast"/>
        <w:ind w:firstLineChars="200" w:firstLine="420"/>
        <w:rPr>
          <w:rFonts w:ascii="微软雅黑" w:eastAsia="微软雅黑" w:hAnsi="微软雅黑" w:hint="eastAsia"/>
          <w:sz w:val="21"/>
          <w:szCs w:val="21"/>
        </w:rPr>
      </w:pPr>
      <w:bookmarkStart w:id="140" w:name="_Hlk151582049"/>
      <w:bookmarkStart w:id="141" w:name="_Hlk102045528"/>
      <w:r>
        <w:rPr>
          <w:rFonts w:ascii="微软雅黑" w:eastAsia="微软雅黑" w:hAnsi="微软雅黑"/>
          <w:sz w:val="21"/>
          <w:szCs w:val="21"/>
        </w:rPr>
        <w:t>（一）中标人应对采购人提供产品使用及维护的培训，包含产品使用期间系统用户、系统维护人员等的培训。培训人员应包括：系统应用人员、系统运行管理人员、系统维护人员等。</w:t>
      </w:r>
    </w:p>
    <w:p w14:paraId="53D62A31"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（二）中标人应根据项目使用需求提供详细的培训方案。</w:t>
      </w:r>
    </w:p>
    <w:p w14:paraId="5A1D8B17"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（三）培训效果要求：中标人应详尽培训产品管理的每一项功能，保证采购人系统管理维护人员能独立操作完成产品日常管理、使用、维护及常规故障判别处理。</w:t>
      </w:r>
    </w:p>
    <w:bookmarkEnd w:id="140"/>
    <w:p w14:paraId="3A6DE3C6"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（四）培训要求：</w:t>
      </w:r>
    </w:p>
    <w:p w14:paraId="24C7E46B" w14:textId="77777777" w:rsidR="0022665C" w:rsidRDefault="00000000">
      <w:pPr>
        <w:snapToGrid w:val="0"/>
        <w:spacing w:line="44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技术管理人员及维护人员，除需要针对应用系统、系统软硬件的使用、技术架构、常见故障排除等内容进行培训外，还应进行支撑平台的运行维护培训。该类培训必须按照系统管理员级别进行特殊培训，务必使技术人员掌握系统所提供的各项管理维护工具，并尽量了解一些底层调试及操作知识。针对系统用户，应在应用系统试运行的同时，对系统用户进行以系统应用操作为主要内容的培训，并编写用户手册、制作培训教程，对没有参加现场培训的业务人员进行操作培训。</w:t>
      </w:r>
    </w:p>
    <w:p w14:paraId="2392AD45" w14:textId="77777777" w:rsidR="0022665C" w:rsidRDefault="00000000">
      <w:pPr>
        <w:snapToGrid w:val="0"/>
        <w:spacing w:line="44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2.中标人若为联合体投标，按照联合体协议明确约定的联合体各方承担的工作内容和责任分别提供培训计划，联合体投标各成员至少提供 1 名总工程师及以上职务的专业技术人员担任培训老师，应详尽培训系统的每一项功能，保证采购人相关技术人员能掌握关键技术，独立操作完成系统日常管理、使用、维护及常规故障判别处理。培训最终结果须得到采购人认可（中标人要教好、参训人员要学会，须确保技术人员能够全面熟悉掌握系统架构、能够在现有基础上进行迭代升级，应用人员可以熟练操作），否则，采购人有权解除合同，没收中标人提交的履约保证金，中标人还应承担合同金额10%的违约金。</w:t>
      </w:r>
    </w:p>
    <w:p w14:paraId="4D0E0615" w14:textId="77777777" w:rsidR="0022665C" w:rsidRDefault="00000000">
      <w:pPr>
        <w:snapToGrid w:val="0"/>
        <w:spacing w:line="44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3.开发建设期内</w:t>
      </w:r>
      <w:r>
        <w:rPr>
          <w:rFonts w:ascii="微软雅黑" w:eastAsia="微软雅黑" w:hAnsi="微软雅黑"/>
          <w:sz w:val="21"/>
          <w:szCs w:val="21"/>
        </w:rPr>
        <w:t>培训次数不少于10次</w:t>
      </w:r>
      <w:r>
        <w:rPr>
          <w:rFonts w:ascii="微软雅黑" w:eastAsia="微软雅黑" w:hAnsi="微软雅黑" w:hint="eastAsia"/>
          <w:sz w:val="21"/>
          <w:szCs w:val="21"/>
        </w:rPr>
        <w:t>，</w:t>
      </w:r>
      <w:r>
        <w:rPr>
          <w:rFonts w:ascii="微软雅黑" w:eastAsia="微软雅黑" w:hAnsi="微软雅黑"/>
          <w:sz w:val="21"/>
          <w:szCs w:val="21"/>
        </w:rPr>
        <w:t>培训人数</w:t>
      </w:r>
      <w:r>
        <w:rPr>
          <w:rFonts w:ascii="微软雅黑" w:eastAsia="微软雅黑" w:hAnsi="微软雅黑" w:hint="eastAsia"/>
          <w:sz w:val="21"/>
          <w:szCs w:val="21"/>
        </w:rPr>
        <w:t>以</w:t>
      </w:r>
      <w:r>
        <w:rPr>
          <w:rFonts w:ascii="微软雅黑" w:eastAsia="微软雅黑" w:hAnsi="微软雅黑"/>
          <w:sz w:val="21"/>
          <w:szCs w:val="21"/>
        </w:rPr>
        <w:t>采购人实际需求</w:t>
      </w:r>
      <w:r>
        <w:rPr>
          <w:rFonts w:ascii="微软雅黑" w:eastAsia="微软雅黑" w:hAnsi="微软雅黑" w:hint="eastAsia"/>
          <w:sz w:val="21"/>
          <w:szCs w:val="21"/>
        </w:rPr>
        <w:t>为准</w:t>
      </w:r>
      <w:r>
        <w:rPr>
          <w:rFonts w:ascii="微软雅黑" w:eastAsia="微软雅黑" w:hAnsi="微软雅黑"/>
          <w:sz w:val="21"/>
          <w:szCs w:val="21"/>
        </w:rPr>
        <w:t>，所有培训相关费用包含在投标人的投标报价中</w:t>
      </w:r>
      <w:r>
        <w:rPr>
          <w:rFonts w:ascii="微软雅黑" w:eastAsia="微软雅黑" w:hAnsi="微软雅黑"/>
          <w:bCs/>
          <w:kern w:val="0"/>
          <w:sz w:val="24"/>
          <w:szCs w:val="24"/>
        </w:rPr>
        <w:t>。</w:t>
      </w:r>
    </w:p>
    <w:p w14:paraId="2E0C418D" w14:textId="77777777" w:rsidR="0022665C" w:rsidRDefault="00000000">
      <w:pPr>
        <w:pStyle w:val="2"/>
        <w:spacing w:line="560" w:lineRule="atLeast"/>
        <w:ind w:firstLine="480"/>
        <w:jc w:val="left"/>
        <w:rPr>
          <w:rFonts w:ascii="微软雅黑" w:eastAsia="微软雅黑" w:hAnsi="微软雅黑" w:hint="eastAsia"/>
          <w:b/>
          <w:bCs/>
          <w:sz w:val="24"/>
        </w:rPr>
      </w:pPr>
      <w:bookmarkStart w:id="142" w:name="_Toc32146"/>
      <w:bookmarkStart w:id="143" w:name="_Toc1015"/>
      <w:bookmarkStart w:id="144" w:name="_Toc25672"/>
      <w:bookmarkStart w:id="145" w:name="_Toc18483"/>
      <w:bookmarkStart w:id="146" w:name="_Toc15559"/>
      <w:bookmarkEnd w:id="141"/>
      <w:r>
        <w:rPr>
          <w:rFonts w:ascii="微软雅黑" w:eastAsia="微软雅黑" w:hAnsi="微软雅黑" w:hint="eastAsia"/>
          <w:b/>
          <w:bCs/>
          <w:sz w:val="24"/>
        </w:rPr>
        <w:t>十二、其他商务要求内容</w:t>
      </w:r>
      <w:bookmarkEnd w:id="142"/>
      <w:bookmarkEnd w:id="143"/>
      <w:bookmarkEnd w:id="144"/>
      <w:bookmarkEnd w:id="145"/>
      <w:bookmarkEnd w:id="146"/>
    </w:p>
    <w:p w14:paraId="273B839C" w14:textId="77777777" w:rsidR="0022665C" w:rsidRDefault="00000000">
      <w:pPr>
        <w:pStyle w:val="a9"/>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其他未尽事宜由供需双方在采购合同中详细约定</w:t>
      </w:r>
      <w:r>
        <w:rPr>
          <w:rFonts w:ascii="微软雅黑" w:eastAsia="微软雅黑" w:hAnsi="微软雅黑" w:hint="eastAsia"/>
          <w:sz w:val="21"/>
          <w:szCs w:val="21"/>
        </w:rPr>
        <w:t>。</w:t>
      </w:r>
    </w:p>
    <w:p w14:paraId="3134B2CB" w14:textId="77777777" w:rsidR="0022665C" w:rsidRDefault="00000000">
      <w:r>
        <w:br w:type="page"/>
      </w:r>
    </w:p>
    <w:p w14:paraId="4DBBD549" w14:textId="77777777" w:rsidR="0022665C" w:rsidRDefault="00000000">
      <w:pPr>
        <w:pStyle w:val="1"/>
        <w:numPr>
          <w:ilvl w:val="0"/>
          <w:numId w:val="3"/>
        </w:numPr>
        <w:tabs>
          <w:tab w:val="left" w:pos="1530"/>
          <w:tab w:val="left" w:pos="3940"/>
          <w:tab w:val="left" w:pos="8052"/>
        </w:tabs>
        <w:spacing w:beforeLines="0" w:afterLines="0" w:line="480" w:lineRule="auto"/>
        <w:ind w:left="0" w:firstLine="0"/>
        <w:rPr>
          <w:rFonts w:ascii="微软雅黑" w:eastAsia="微软雅黑" w:hAnsi="微软雅黑" w:hint="eastAsia"/>
          <w:b/>
          <w:sz w:val="36"/>
          <w:szCs w:val="36"/>
        </w:rPr>
      </w:pPr>
      <w:bookmarkStart w:id="147" w:name="_Toc496514155"/>
      <w:bookmarkStart w:id="148" w:name="_Toc6318"/>
      <w:bookmarkStart w:id="149" w:name="_Toc6911"/>
      <w:bookmarkStart w:id="150" w:name="_Toc30105"/>
      <w:bookmarkStart w:id="151" w:name="_Toc21194"/>
      <w:bookmarkEnd w:id="71"/>
      <w:r>
        <w:rPr>
          <w:rFonts w:ascii="微软雅黑" w:eastAsia="微软雅黑" w:hAnsi="微软雅黑"/>
          <w:b/>
          <w:sz w:val="36"/>
          <w:szCs w:val="36"/>
        </w:rPr>
        <w:t>资格审查及评标办法</w:t>
      </w:r>
      <w:bookmarkEnd w:id="147"/>
      <w:bookmarkEnd w:id="148"/>
      <w:bookmarkEnd w:id="149"/>
      <w:bookmarkEnd w:id="150"/>
      <w:bookmarkEnd w:id="151"/>
    </w:p>
    <w:p w14:paraId="39F22C8F" w14:textId="77777777" w:rsidR="0022665C" w:rsidRDefault="00000000">
      <w:pPr>
        <w:pStyle w:val="2"/>
        <w:spacing w:line="560" w:lineRule="atLeast"/>
        <w:ind w:firstLine="480"/>
        <w:jc w:val="left"/>
        <w:rPr>
          <w:rFonts w:ascii="微软雅黑" w:eastAsia="微软雅黑" w:hAnsi="微软雅黑" w:hint="eastAsia"/>
          <w:b/>
          <w:bCs/>
          <w:sz w:val="24"/>
        </w:rPr>
      </w:pPr>
      <w:bookmarkStart w:id="152" w:name="_Toc18028"/>
      <w:bookmarkStart w:id="153" w:name="_Toc12804"/>
      <w:bookmarkStart w:id="154" w:name="_Toc23106"/>
      <w:bookmarkStart w:id="155" w:name="_Toc17827"/>
      <w:r>
        <w:rPr>
          <w:rFonts w:ascii="微软雅黑" w:eastAsia="微软雅黑" w:hAnsi="微软雅黑" w:hint="eastAsia"/>
          <w:b/>
          <w:bCs/>
          <w:sz w:val="24"/>
        </w:rPr>
        <w:t>一、资格审查及符合性审查</w:t>
      </w:r>
      <w:bookmarkEnd w:id="152"/>
      <w:bookmarkEnd w:id="153"/>
      <w:bookmarkEnd w:id="154"/>
      <w:bookmarkEnd w:id="155"/>
    </w:p>
    <w:p w14:paraId="1AA43807" w14:textId="77777777" w:rsidR="0022665C" w:rsidRDefault="00000000">
      <w:pPr>
        <w:snapToGrid w:val="0"/>
        <w:spacing w:line="440" w:lineRule="atLeast"/>
        <w:ind w:firstLineChars="200" w:firstLine="420"/>
        <w:rPr>
          <w:rFonts w:ascii="微软雅黑" w:eastAsia="微软雅黑" w:hAnsi="微软雅黑" w:hint="eastAsia"/>
          <w:b/>
          <w:sz w:val="21"/>
          <w:szCs w:val="21"/>
        </w:rPr>
      </w:pPr>
      <w:r>
        <w:rPr>
          <w:rFonts w:ascii="微软雅黑" w:eastAsia="微软雅黑" w:hAnsi="微软雅黑"/>
          <w:b/>
          <w:sz w:val="21"/>
          <w:szCs w:val="21"/>
        </w:rPr>
        <w:t>若未通过资格审查及符合性审查的投标文件，不进入评审环节。</w:t>
      </w:r>
    </w:p>
    <w:p w14:paraId="2906225C" w14:textId="77777777" w:rsidR="0022665C" w:rsidRDefault="00000000">
      <w:pPr>
        <w:snapToGrid w:val="0"/>
        <w:spacing w:line="440" w:lineRule="atLeast"/>
        <w:ind w:firstLineChars="200" w:firstLine="420"/>
        <w:outlineLvl w:val="2"/>
        <w:rPr>
          <w:rFonts w:ascii="微软雅黑" w:eastAsia="微软雅黑" w:hAnsi="微软雅黑" w:hint="eastAsia"/>
          <w:kern w:val="0"/>
          <w:sz w:val="21"/>
          <w:szCs w:val="21"/>
        </w:rPr>
      </w:pPr>
      <w:r>
        <w:rPr>
          <w:rFonts w:ascii="微软雅黑" w:eastAsia="微软雅黑" w:hAnsi="微软雅黑"/>
          <w:b/>
          <w:sz w:val="21"/>
          <w:szCs w:val="21"/>
        </w:rPr>
        <w:t>（一）资格审查</w:t>
      </w:r>
    </w:p>
    <w:p w14:paraId="6B60F7A4" w14:textId="77777777" w:rsidR="0022665C" w:rsidRDefault="00000000">
      <w:pPr>
        <w:snapToGrid w:val="0"/>
        <w:spacing w:line="440" w:lineRule="atLeast"/>
        <w:ind w:firstLineChars="200" w:firstLine="420"/>
        <w:rPr>
          <w:rFonts w:ascii="微软雅黑" w:eastAsia="微软雅黑" w:hAnsi="微软雅黑" w:hint="eastAsia"/>
          <w:kern w:val="0"/>
          <w:sz w:val="21"/>
          <w:szCs w:val="21"/>
        </w:rPr>
      </w:pPr>
      <w:r>
        <w:rPr>
          <w:rFonts w:ascii="微软雅黑" w:eastAsia="微软雅黑" w:hAnsi="微软雅黑"/>
          <w:kern w:val="0"/>
          <w:sz w:val="21"/>
          <w:szCs w:val="21"/>
        </w:rPr>
        <w:t>依据政府采购相关法律法规规定，由采购人或采购代理机构对投标文件中的资格证明文件进行审查。资格审查资料表如下：</w:t>
      </w:r>
    </w:p>
    <w:tbl>
      <w:tblPr>
        <w:tblW w:w="9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09"/>
        <w:gridCol w:w="2551"/>
        <w:gridCol w:w="5094"/>
      </w:tblGrid>
      <w:tr w:rsidR="0022665C" w14:paraId="5F706F9D" w14:textId="77777777">
        <w:trPr>
          <w:trHeight w:val="420"/>
        </w:trPr>
        <w:tc>
          <w:tcPr>
            <w:tcW w:w="851" w:type="dxa"/>
            <w:vAlign w:val="center"/>
          </w:tcPr>
          <w:p w14:paraId="02092EB7" w14:textId="77777777" w:rsidR="0022665C" w:rsidRDefault="00000000">
            <w:pPr>
              <w:spacing w:line="360" w:lineRule="exact"/>
              <w:jc w:val="center"/>
              <w:rPr>
                <w:rFonts w:ascii="微软雅黑" w:eastAsia="微软雅黑" w:hAnsi="微软雅黑" w:hint="eastAsia"/>
                <w:b/>
                <w:kern w:val="0"/>
                <w:sz w:val="21"/>
              </w:rPr>
            </w:pPr>
            <w:r>
              <w:rPr>
                <w:rFonts w:ascii="微软雅黑" w:eastAsia="微软雅黑" w:hAnsi="微软雅黑"/>
                <w:b/>
                <w:kern w:val="0"/>
                <w:sz w:val="21"/>
                <w:szCs w:val="21"/>
              </w:rPr>
              <w:t>序号</w:t>
            </w:r>
          </w:p>
        </w:tc>
        <w:tc>
          <w:tcPr>
            <w:tcW w:w="3260" w:type="dxa"/>
            <w:gridSpan w:val="2"/>
            <w:vAlign w:val="center"/>
          </w:tcPr>
          <w:p w14:paraId="3551D7C1" w14:textId="77777777" w:rsidR="0022665C" w:rsidRDefault="00000000">
            <w:pPr>
              <w:spacing w:line="360" w:lineRule="exact"/>
              <w:jc w:val="center"/>
              <w:rPr>
                <w:rFonts w:ascii="微软雅黑" w:eastAsia="微软雅黑" w:hAnsi="微软雅黑" w:hint="eastAsia"/>
                <w:b/>
                <w:kern w:val="0"/>
                <w:sz w:val="21"/>
              </w:rPr>
            </w:pPr>
            <w:r>
              <w:rPr>
                <w:rFonts w:ascii="微软雅黑" w:eastAsia="微软雅黑" w:hAnsi="微软雅黑"/>
                <w:b/>
                <w:kern w:val="0"/>
                <w:sz w:val="21"/>
                <w:szCs w:val="21"/>
              </w:rPr>
              <w:t>检查因素</w:t>
            </w:r>
          </w:p>
        </w:tc>
        <w:tc>
          <w:tcPr>
            <w:tcW w:w="5094" w:type="dxa"/>
            <w:vAlign w:val="center"/>
          </w:tcPr>
          <w:p w14:paraId="1FCEE694" w14:textId="77777777" w:rsidR="0022665C" w:rsidRDefault="00000000">
            <w:pPr>
              <w:spacing w:line="360" w:lineRule="exact"/>
              <w:jc w:val="center"/>
              <w:rPr>
                <w:rFonts w:ascii="微软雅黑" w:eastAsia="微软雅黑" w:hAnsi="微软雅黑" w:hint="eastAsia"/>
                <w:b/>
                <w:kern w:val="0"/>
                <w:sz w:val="21"/>
              </w:rPr>
            </w:pPr>
            <w:r>
              <w:rPr>
                <w:rFonts w:ascii="微软雅黑" w:eastAsia="微软雅黑" w:hAnsi="微软雅黑"/>
                <w:b/>
                <w:kern w:val="0"/>
                <w:sz w:val="21"/>
                <w:szCs w:val="21"/>
              </w:rPr>
              <w:t>检查内容</w:t>
            </w:r>
          </w:p>
        </w:tc>
      </w:tr>
      <w:tr w:rsidR="0022665C" w14:paraId="7966A67A" w14:textId="77777777">
        <w:trPr>
          <w:trHeight w:val="995"/>
        </w:trPr>
        <w:tc>
          <w:tcPr>
            <w:tcW w:w="851" w:type="dxa"/>
            <w:vMerge w:val="restart"/>
            <w:vAlign w:val="center"/>
          </w:tcPr>
          <w:p w14:paraId="7776CE8C" w14:textId="77777777" w:rsidR="0022665C" w:rsidRDefault="00000000">
            <w:pPr>
              <w:spacing w:line="360" w:lineRule="exact"/>
              <w:jc w:val="center"/>
              <w:rPr>
                <w:rFonts w:ascii="微软雅黑" w:eastAsia="微软雅黑" w:hAnsi="微软雅黑" w:hint="eastAsia"/>
                <w:sz w:val="21"/>
              </w:rPr>
            </w:pPr>
            <w:r>
              <w:rPr>
                <w:rFonts w:ascii="微软雅黑" w:eastAsia="微软雅黑" w:hAnsi="微软雅黑"/>
                <w:sz w:val="21"/>
                <w:szCs w:val="21"/>
              </w:rPr>
              <w:t>（一）</w:t>
            </w:r>
          </w:p>
        </w:tc>
        <w:tc>
          <w:tcPr>
            <w:tcW w:w="709" w:type="dxa"/>
            <w:vMerge w:val="restart"/>
            <w:vAlign w:val="center"/>
          </w:tcPr>
          <w:p w14:paraId="23DEBC02" w14:textId="77777777" w:rsidR="0022665C" w:rsidRDefault="00000000">
            <w:pPr>
              <w:spacing w:line="360" w:lineRule="exact"/>
              <w:jc w:val="center"/>
              <w:rPr>
                <w:rFonts w:ascii="微软雅黑" w:eastAsia="微软雅黑" w:hAnsi="微软雅黑" w:hint="eastAsia"/>
                <w:sz w:val="21"/>
                <w:lang w:val="zh-CN"/>
              </w:rPr>
            </w:pPr>
            <w:r>
              <w:rPr>
                <w:rFonts w:ascii="微软雅黑" w:eastAsia="微软雅黑" w:hAnsi="微软雅黑"/>
                <w:sz w:val="21"/>
                <w:szCs w:val="21"/>
                <w:lang w:val="zh-CN"/>
              </w:rPr>
              <w:t>《中华人民共和国政府采购法》第二十二条规定</w:t>
            </w:r>
          </w:p>
        </w:tc>
        <w:tc>
          <w:tcPr>
            <w:tcW w:w="2551" w:type="dxa"/>
            <w:vAlign w:val="center"/>
          </w:tcPr>
          <w:p w14:paraId="32DF68FA"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1.具有独立承担民事责任的能力</w:t>
            </w:r>
          </w:p>
        </w:tc>
        <w:tc>
          <w:tcPr>
            <w:tcW w:w="5094" w:type="dxa"/>
            <w:vAlign w:val="center"/>
          </w:tcPr>
          <w:p w14:paraId="3FCB06E7" w14:textId="77777777" w:rsidR="0022665C" w:rsidRDefault="00000000">
            <w:pPr>
              <w:spacing w:line="360" w:lineRule="exact"/>
              <w:jc w:val="left"/>
              <w:rPr>
                <w:rFonts w:ascii="微软雅黑" w:eastAsia="微软雅黑" w:hAnsi="微软雅黑" w:hint="eastAsia"/>
                <w:sz w:val="21"/>
              </w:rPr>
            </w:pPr>
            <w:r>
              <w:rPr>
                <w:rFonts w:ascii="微软雅黑" w:eastAsia="微软雅黑" w:hAnsi="微软雅黑"/>
                <w:sz w:val="21"/>
                <w:szCs w:val="21"/>
              </w:rPr>
              <w:t xml:space="preserve">1.投标人法人营业执照（副本）或事业单位法人证书（副本）或个体工商户营业执照或有效的自然人身份证明或社会团体法人登记证书（提供复印件）。 </w:t>
            </w:r>
          </w:p>
          <w:p w14:paraId="6AD49BB7"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2.投标人法定代表人身份证明和法定代表人授权代表委托书。</w:t>
            </w:r>
          </w:p>
        </w:tc>
      </w:tr>
      <w:tr w:rsidR="0022665C" w14:paraId="1BC4FD97" w14:textId="77777777">
        <w:trPr>
          <w:trHeight w:val="530"/>
        </w:trPr>
        <w:tc>
          <w:tcPr>
            <w:tcW w:w="851" w:type="dxa"/>
            <w:vMerge/>
            <w:vAlign w:val="center"/>
          </w:tcPr>
          <w:p w14:paraId="720D7ED8" w14:textId="77777777" w:rsidR="0022665C" w:rsidRDefault="0022665C">
            <w:pPr>
              <w:spacing w:line="360" w:lineRule="exact"/>
              <w:jc w:val="center"/>
              <w:rPr>
                <w:rFonts w:ascii="微软雅黑" w:eastAsia="微软雅黑" w:hAnsi="微软雅黑" w:hint="eastAsia"/>
                <w:sz w:val="21"/>
              </w:rPr>
            </w:pPr>
          </w:p>
        </w:tc>
        <w:tc>
          <w:tcPr>
            <w:tcW w:w="709" w:type="dxa"/>
            <w:vMerge/>
            <w:vAlign w:val="center"/>
          </w:tcPr>
          <w:p w14:paraId="0AC80D4C" w14:textId="77777777" w:rsidR="0022665C" w:rsidRDefault="0022665C">
            <w:pPr>
              <w:spacing w:line="360" w:lineRule="exact"/>
              <w:rPr>
                <w:rFonts w:ascii="微软雅黑" w:eastAsia="微软雅黑" w:hAnsi="微软雅黑" w:hint="eastAsia"/>
                <w:sz w:val="21"/>
                <w:lang w:val="zh-CN"/>
              </w:rPr>
            </w:pPr>
          </w:p>
        </w:tc>
        <w:tc>
          <w:tcPr>
            <w:tcW w:w="2551" w:type="dxa"/>
            <w:vAlign w:val="center"/>
          </w:tcPr>
          <w:p w14:paraId="37B2D495"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lang w:val="zh-CN"/>
              </w:rPr>
              <w:t>2.</w:t>
            </w:r>
            <w:r>
              <w:rPr>
                <w:rFonts w:ascii="微软雅黑" w:eastAsia="微软雅黑" w:hAnsi="微软雅黑"/>
                <w:sz w:val="21"/>
                <w:szCs w:val="21"/>
              </w:rPr>
              <w:t>具有良好的商业信誉和健全的财务会计制度</w:t>
            </w:r>
          </w:p>
        </w:tc>
        <w:tc>
          <w:tcPr>
            <w:tcW w:w="5094" w:type="dxa"/>
            <w:vMerge w:val="restart"/>
            <w:vAlign w:val="center"/>
          </w:tcPr>
          <w:p w14:paraId="629225E7" w14:textId="77777777" w:rsidR="0022665C" w:rsidRDefault="00000000">
            <w:pPr>
              <w:spacing w:line="360" w:lineRule="exact"/>
              <w:jc w:val="left"/>
              <w:rPr>
                <w:rFonts w:ascii="微软雅黑" w:eastAsia="微软雅黑" w:hAnsi="微软雅黑" w:hint="eastAsia"/>
                <w:sz w:val="21"/>
              </w:rPr>
            </w:pPr>
            <w:r>
              <w:rPr>
                <w:rFonts w:ascii="微软雅黑" w:eastAsia="微软雅黑" w:hAnsi="微软雅黑"/>
                <w:sz w:val="21"/>
                <w:szCs w:val="21"/>
              </w:rPr>
              <w:t>投标人提供基本资格条件承诺函（见本招标文件第七篇中的格式文件）</w:t>
            </w:r>
          </w:p>
        </w:tc>
      </w:tr>
      <w:tr w:rsidR="0022665C" w14:paraId="30C4FA7D" w14:textId="77777777">
        <w:trPr>
          <w:trHeight w:val="843"/>
        </w:trPr>
        <w:tc>
          <w:tcPr>
            <w:tcW w:w="851" w:type="dxa"/>
            <w:vMerge/>
            <w:vAlign w:val="center"/>
          </w:tcPr>
          <w:p w14:paraId="6F414831" w14:textId="77777777" w:rsidR="0022665C" w:rsidRDefault="0022665C">
            <w:pPr>
              <w:spacing w:line="360" w:lineRule="exact"/>
              <w:jc w:val="center"/>
              <w:rPr>
                <w:rFonts w:ascii="微软雅黑" w:eastAsia="微软雅黑" w:hAnsi="微软雅黑" w:hint="eastAsia"/>
                <w:sz w:val="21"/>
              </w:rPr>
            </w:pPr>
          </w:p>
        </w:tc>
        <w:tc>
          <w:tcPr>
            <w:tcW w:w="709" w:type="dxa"/>
            <w:vMerge/>
            <w:vAlign w:val="center"/>
          </w:tcPr>
          <w:p w14:paraId="367B84CD" w14:textId="77777777" w:rsidR="0022665C" w:rsidRDefault="0022665C">
            <w:pPr>
              <w:spacing w:line="360" w:lineRule="exact"/>
              <w:rPr>
                <w:rFonts w:ascii="微软雅黑" w:eastAsia="微软雅黑" w:hAnsi="微软雅黑" w:hint="eastAsia"/>
                <w:sz w:val="21"/>
                <w:lang w:val="zh-CN"/>
              </w:rPr>
            </w:pPr>
          </w:p>
        </w:tc>
        <w:tc>
          <w:tcPr>
            <w:tcW w:w="2551" w:type="dxa"/>
            <w:vAlign w:val="center"/>
          </w:tcPr>
          <w:p w14:paraId="3BA26FD5"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lang w:val="zh-CN"/>
              </w:rPr>
              <w:t>3.具有履行合同所必需的设备和专业技术能力</w:t>
            </w:r>
          </w:p>
        </w:tc>
        <w:tc>
          <w:tcPr>
            <w:tcW w:w="5094" w:type="dxa"/>
            <w:vMerge/>
            <w:vAlign w:val="center"/>
          </w:tcPr>
          <w:p w14:paraId="61A92388" w14:textId="77777777" w:rsidR="0022665C" w:rsidRDefault="0022665C">
            <w:pPr>
              <w:spacing w:line="360" w:lineRule="exact"/>
              <w:jc w:val="left"/>
              <w:rPr>
                <w:rFonts w:ascii="微软雅黑" w:eastAsia="微软雅黑" w:hAnsi="微软雅黑" w:hint="eastAsia"/>
                <w:sz w:val="21"/>
              </w:rPr>
            </w:pPr>
          </w:p>
        </w:tc>
      </w:tr>
      <w:tr w:rsidR="0022665C" w14:paraId="67593D09" w14:textId="77777777">
        <w:trPr>
          <w:trHeight w:val="573"/>
        </w:trPr>
        <w:tc>
          <w:tcPr>
            <w:tcW w:w="851" w:type="dxa"/>
            <w:vMerge/>
            <w:vAlign w:val="center"/>
          </w:tcPr>
          <w:p w14:paraId="0FCA5E56" w14:textId="77777777" w:rsidR="0022665C" w:rsidRDefault="0022665C">
            <w:pPr>
              <w:spacing w:line="360" w:lineRule="exact"/>
              <w:jc w:val="center"/>
              <w:rPr>
                <w:rFonts w:ascii="微软雅黑" w:eastAsia="微软雅黑" w:hAnsi="微软雅黑" w:hint="eastAsia"/>
                <w:sz w:val="21"/>
              </w:rPr>
            </w:pPr>
          </w:p>
        </w:tc>
        <w:tc>
          <w:tcPr>
            <w:tcW w:w="709" w:type="dxa"/>
            <w:vMerge/>
            <w:vAlign w:val="center"/>
          </w:tcPr>
          <w:p w14:paraId="6191C34F" w14:textId="77777777" w:rsidR="0022665C" w:rsidRDefault="0022665C">
            <w:pPr>
              <w:spacing w:line="360" w:lineRule="exact"/>
              <w:rPr>
                <w:rFonts w:ascii="微软雅黑" w:eastAsia="微软雅黑" w:hAnsi="微软雅黑" w:hint="eastAsia"/>
                <w:sz w:val="21"/>
                <w:lang w:val="zh-CN"/>
              </w:rPr>
            </w:pPr>
          </w:p>
        </w:tc>
        <w:tc>
          <w:tcPr>
            <w:tcW w:w="2551" w:type="dxa"/>
            <w:vAlign w:val="center"/>
          </w:tcPr>
          <w:p w14:paraId="2FFEA523"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lang w:val="zh-CN"/>
              </w:rPr>
              <w:t>4.有依法缴纳税收和社会保障金的良好记录</w:t>
            </w:r>
          </w:p>
        </w:tc>
        <w:tc>
          <w:tcPr>
            <w:tcW w:w="5094" w:type="dxa"/>
            <w:vMerge/>
            <w:vAlign w:val="center"/>
          </w:tcPr>
          <w:p w14:paraId="5711F7B8" w14:textId="77777777" w:rsidR="0022665C" w:rsidRDefault="0022665C">
            <w:pPr>
              <w:spacing w:line="360" w:lineRule="exact"/>
              <w:jc w:val="left"/>
              <w:rPr>
                <w:rFonts w:ascii="微软雅黑" w:eastAsia="微软雅黑" w:hAnsi="微软雅黑" w:hint="eastAsia"/>
                <w:sz w:val="21"/>
              </w:rPr>
            </w:pPr>
          </w:p>
        </w:tc>
      </w:tr>
      <w:tr w:rsidR="0022665C" w14:paraId="05D4B25B" w14:textId="77777777">
        <w:trPr>
          <w:trHeight w:val="838"/>
        </w:trPr>
        <w:tc>
          <w:tcPr>
            <w:tcW w:w="851" w:type="dxa"/>
            <w:vMerge/>
            <w:vAlign w:val="center"/>
          </w:tcPr>
          <w:p w14:paraId="65877163" w14:textId="77777777" w:rsidR="0022665C" w:rsidRDefault="0022665C">
            <w:pPr>
              <w:spacing w:line="360" w:lineRule="exact"/>
              <w:jc w:val="center"/>
              <w:rPr>
                <w:rFonts w:ascii="微软雅黑" w:eastAsia="微软雅黑" w:hAnsi="微软雅黑" w:hint="eastAsia"/>
                <w:sz w:val="21"/>
              </w:rPr>
            </w:pPr>
          </w:p>
        </w:tc>
        <w:tc>
          <w:tcPr>
            <w:tcW w:w="709" w:type="dxa"/>
            <w:vMerge/>
            <w:vAlign w:val="center"/>
          </w:tcPr>
          <w:p w14:paraId="1815CB1E" w14:textId="77777777" w:rsidR="0022665C" w:rsidRDefault="0022665C">
            <w:pPr>
              <w:spacing w:line="360" w:lineRule="exact"/>
              <w:rPr>
                <w:rFonts w:ascii="微软雅黑" w:eastAsia="微软雅黑" w:hAnsi="微软雅黑" w:hint="eastAsia"/>
                <w:sz w:val="21"/>
                <w:lang w:val="zh-CN"/>
              </w:rPr>
            </w:pPr>
          </w:p>
        </w:tc>
        <w:tc>
          <w:tcPr>
            <w:tcW w:w="2551" w:type="dxa"/>
            <w:vAlign w:val="center"/>
          </w:tcPr>
          <w:p w14:paraId="171E03CF"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rPr>
              <w:t>5.参加政府采购活动前三年内，在经营活动中没有重大违法记录</w:t>
            </w:r>
            <w:r>
              <w:rPr>
                <w:rFonts w:ascii="微软雅黑" w:eastAsia="微软雅黑" w:hAnsi="微软雅黑" w:hint="eastAsia"/>
                <w:sz w:val="21"/>
                <w:szCs w:val="21"/>
              </w:rPr>
              <w:t>（注</w:t>
            </w:r>
            <w:r>
              <w:rPr>
                <w:rFonts w:ascii="微软雅黑" w:eastAsia="微软雅黑" w:hAnsi="微软雅黑" w:cs="Calibri"/>
                <w:sz w:val="21"/>
                <w:szCs w:val="21"/>
              </w:rPr>
              <w:t>①</w:t>
            </w:r>
            <w:r>
              <w:rPr>
                <w:rFonts w:ascii="微软雅黑" w:eastAsia="微软雅黑" w:hAnsi="微软雅黑"/>
                <w:sz w:val="21"/>
                <w:szCs w:val="21"/>
              </w:rPr>
              <w:t>)</w:t>
            </w:r>
          </w:p>
        </w:tc>
        <w:tc>
          <w:tcPr>
            <w:tcW w:w="5094" w:type="dxa"/>
            <w:vMerge/>
            <w:vAlign w:val="center"/>
          </w:tcPr>
          <w:p w14:paraId="7584E1BB" w14:textId="77777777" w:rsidR="0022665C" w:rsidRDefault="0022665C">
            <w:pPr>
              <w:spacing w:line="360" w:lineRule="exact"/>
              <w:jc w:val="left"/>
              <w:rPr>
                <w:rFonts w:ascii="微软雅黑" w:eastAsia="微软雅黑" w:hAnsi="微软雅黑" w:hint="eastAsia"/>
                <w:sz w:val="21"/>
              </w:rPr>
            </w:pPr>
          </w:p>
        </w:tc>
      </w:tr>
      <w:tr w:rsidR="0022665C" w14:paraId="34929CBC" w14:textId="77777777">
        <w:trPr>
          <w:trHeight w:val="610"/>
        </w:trPr>
        <w:tc>
          <w:tcPr>
            <w:tcW w:w="851" w:type="dxa"/>
            <w:vMerge/>
            <w:vAlign w:val="center"/>
          </w:tcPr>
          <w:p w14:paraId="4BCB046E" w14:textId="77777777" w:rsidR="0022665C" w:rsidRDefault="0022665C">
            <w:pPr>
              <w:spacing w:line="360" w:lineRule="exact"/>
              <w:jc w:val="center"/>
              <w:rPr>
                <w:rFonts w:ascii="微软雅黑" w:eastAsia="微软雅黑" w:hAnsi="微软雅黑" w:hint="eastAsia"/>
                <w:sz w:val="21"/>
              </w:rPr>
            </w:pPr>
          </w:p>
        </w:tc>
        <w:tc>
          <w:tcPr>
            <w:tcW w:w="709" w:type="dxa"/>
            <w:vMerge/>
            <w:vAlign w:val="center"/>
          </w:tcPr>
          <w:p w14:paraId="4675D2B7" w14:textId="77777777" w:rsidR="0022665C" w:rsidRDefault="0022665C">
            <w:pPr>
              <w:spacing w:line="360" w:lineRule="exact"/>
              <w:rPr>
                <w:rFonts w:ascii="微软雅黑" w:eastAsia="微软雅黑" w:hAnsi="微软雅黑" w:hint="eastAsia"/>
                <w:sz w:val="21"/>
              </w:rPr>
            </w:pPr>
          </w:p>
        </w:tc>
        <w:tc>
          <w:tcPr>
            <w:tcW w:w="2551" w:type="dxa"/>
            <w:vAlign w:val="center"/>
          </w:tcPr>
          <w:p w14:paraId="31219FC2"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6.法律、行政法规规定的其他条件</w:t>
            </w:r>
          </w:p>
        </w:tc>
        <w:tc>
          <w:tcPr>
            <w:tcW w:w="5094" w:type="dxa"/>
            <w:vAlign w:val="center"/>
          </w:tcPr>
          <w:p w14:paraId="71FA90D1"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w:t>
            </w:r>
          </w:p>
        </w:tc>
      </w:tr>
      <w:tr w:rsidR="0022665C" w14:paraId="52080350" w14:textId="77777777">
        <w:trPr>
          <w:trHeight w:val="708"/>
        </w:trPr>
        <w:tc>
          <w:tcPr>
            <w:tcW w:w="851" w:type="dxa"/>
            <w:vMerge/>
            <w:vAlign w:val="center"/>
          </w:tcPr>
          <w:p w14:paraId="7793A70B" w14:textId="77777777" w:rsidR="0022665C" w:rsidRDefault="0022665C">
            <w:pPr>
              <w:spacing w:line="360" w:lineRule="exact"/>
              <w:jc w:val="center"/>
              <w:rPr>
                <w:rFonts w:ascii="微软雅黑" w:eastAsia="微软雅黑" w:hAnsi="微软雅黑" w:hint="eastAsia"/>
                <w:sz w:val="21"/>
              </w:rPr>
            </w:pPr>
          </w:p>
        </w:tc>
        <w:tc>
          <w:tcPr>
            <w:tcW w:w="709" w:type="dxa"/>
            <w:vMerge/>
            <w:vAlign w:val="center"/>
          </w:tcPr>
          <w:p w14:paraId="767C4D86" w14:textId="77777777" w:rsidR="0022665C" w:rsidRDefault="0022665C">
            <w:pPr>
              <w:spacing w:line="360" w:lineRule="exact"/>
              <w:rPr>
                <w:rFonts w:ascii="微软雅黑" w:eastAsia="微软雅黑" w:hAnsi="微软雅黑" w:hint="eastAsia"/>
                <w:sz w:val="21"/>
              </w:rPr>
            </w:pPr>
          </w:p>
        </w:tc>
        <w:tc>
          <w:tcPr>
            <w:tcW w:w="2551" w:type="dxa"/>
            <w:vAlign w:val="center"/>
          </w:tcPr>
          <w:p w14:paraId="19B709B0"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7.本项目的特定资格条件</w:t>
            </w:r>
          </w:p>
        </w:tc>
        <w:tc>
          <w:tcPr>
            <w:tcW w:w="5094" w:type="dxa"/>
            <w:vAlign w:val="center"/>
          </w:tcPr>
          <w:p w14:paraId="1DFB7018"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按第一篇“三、投标人资格要求（三）本项目的特定资格要求”的要求提交。</w:t>
            </w:r>
          </w:p>
        </w:tc>
      </w:tr>
      <w:tr w:rsidR="0022665C" w14:paraId="14413D93" w14:textId="77777777">
        <w:trPr>
          <w:trHeight w:val="657"/>
        </w:trPr>
        <w:tc>
          <w:tcPr>
            <w:tcW w:w="851" w:type="dxa"/>
            <w:vAlign w:val="center"/>
          </w:tcPr>
          <w:p w14:paraId="1873EF8D" w14:textId="77777777" w:rsidR="0022665C" w:rsidRDefault="00000000">
            <w:pPr>
              <w:spacing w:line="360" w:lineRule="exact"/>
              <w:jc w:val="center"/>
              <w:rPr>
                <w:rFonts w:ascii="微软雅黑" w:eastAsia="微软雅黑" w:hAnsi="微软雅黑" w:hint="eastAsia"/>
                <w:sz w:val="21"/>
              </w:rPr>
            </w:pPr>
            <w:r>
              <w:rPr>
                <w:rFonts w:ascii="微软雅黑" w:eastAsia="微软雅黑" w:hAnsi="微软雅黑"/>
                <w:sz w:val="21"/>
                <w:szCs w:val="21"/>
              </w:rPr>
              <w:t>（二）</w:t>
            </w:r>
          </w:p>
        </w:tc>
        <w:tc>
          <w:tcPr>
            <w:tcW w:w="3260" w:type="dxa"/>
            <w:gridSpan w:val="2"/>
            <w:vAlign w:val="center"/>
          </w:tcPr>
          <w:p w14:paraId="32B9C5BF"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落实政府采购政策需满足的资格要求</w:t>
            </w:r>
            <w:r>
              <w:rPr>
                <w:rFonts w:ascii="微软雅黑" w:eastAsia="微软雅黑" w:hAnsi="微软雅黑" w:cstheme="minorEastAsia" w:hint="eastAsia"/>
                <w:sz w:val="21"/>
                <w:szCs w:val="21"/>
              </w:rPr>
              <w:t>（注②、③、④）</w:t>
            </w:r>
          </w:p>
        </w:tc>
        <w:tc>
          <w:tcPr>
            <w:tcW w:w="5094" w:type="dxa"/>
            <w:vAlign w:val="center"/>
          </w:tcPr>
          <w:p w14:paraId="1BE3FBD8"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按第一篇“三、投标人资格要求（二）落实政府采购政策需满足的资格要求”的要求提交。</w:t>
            </w:r>
          </w:p>
        </w:tc>
      </w:tr>
      <w:tr w:rsidR="0022665C" w14:paraId="07B5D6AB" w14:textId="77777777">
        <w:trPr>
          <w:trHeight w:val="543"/>
        </w:trPr>
        <w:tc>
          <w:tcPr>
            <w:tcW w:w="851" w:type="dxa"/>
            <w:vAlign w:val="center"/>
          </w:tcPr>
          <w:p w14:paraId="25E3FB68" w14:textId="77777777" w:rsidR="0022665C" w:rsidRDefault="00000000">
            <w:pPr>
              <w:spacing w:line="360" w:lineRule="exact"/>
              <w:jc w:val="center"/>
              <w:rPr>
                <w:rFonts w:ascii="微软雅黑" w:eastAsia="微软雅黑" w:hAnsi="微软雅黑" w:hint="eastAsia"/>
                <w:sz w:val="21"/>
              </w:rPr>
            </w:pPr>
            <w:r>
              <w:rPr>
                <w:rFonts w:ascii="微软雅黑" w:eastAsia="微软雅黑" w:hAnsi="微软雅黑"/>
                <w:sz w:val="21"/>
                <w:szCs w:val="21"/>
              </w:rPr>
              <w:t>（三）</w:t>
            </w:r>
          </w:p>
        </w:tc>
        <w:tc>
          <w:tcPr>
            <w:tcW w:w="3260" w:type="dxa"/>
            <w:gridSpan w:val="2"/>
            <w:vAlign w:val="center"/>
          </w:tcPr>
          <w:p w14:paraId="363097CD"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投标保证金</w:t>
            </w:r>
          </w:p>
        </w:tc>
        <w:tc>
          <w:tcPr>
            <w:tcW w:w="5094" w:type="dxa"/>
            <w:vAlign w:val="center"/>
          </w:tcPr>
          <w:p w14:paraId="013C7735" w14:textId="77777777" w:rsidR="0022665C" w:rsidRDefault="00000000">
            <w:pPr>
              <w:spacing w:line="360" w:lineRule="exact"/>
              <w:rPr>
                <w:rFonts w:ascii="微软雅黑" w:eastAsia="微软雅黑" w:hAnsi="微软雅黑" w:hint="eastAsia"/>
                <w:sz w:val="21"/>
              </w:rPr>
            </w:pPr>
            <w:r>
              <w:rPr>
                <w:rFonts w:ascii="微软雅黑" w:eastAsia="微软雅黑" w:hAnsi="微软雅黑" w:hint="eastAsia"/>
                <w:sz w:val="21"/>
                <w:szCs w:val="21"/>
              </w:rPr>
              <w:t>按照招标文件要求足额交纳所投包的投标保证金</w:t>
            </w:r>
            <w:r>
              <w:rPr>
                <w:rFonts w:ascii="微软雅黑" w:eastAsia="微软雅黑" w:hAnsi="微软雅黑"/>
                <w:sz w:val="21"/>
                <w:szCs w:val="21"/>
              </w:rPr>
              <w:t>。</w:t>
            </w:r>
          </w:p>
        </w:tc>
      </w:tr>
    </w:tbl>
    <w:p w14:paraId="65F90A41" w14:textId="77777777" w:rsidR="0022665C" w:rsidRDefault="00000000">
      <w:pPr>
        <w:snapToGrid w:val="0"/>
        <w:spacing w:line="440" w:lineRule="atLeast"/>
        <w:ind w:firstLineChars="200" w:firstLine="420"/>
        <w:rPr>
          <w:rFonts w:ascii="微软雅黑" w:eastAsia="微软雅黑" w:hAnsi="微软雅黑" w:hint="eastAsia"/>
          <w:kern w:val="0"/>
          <w:sz w:val="21"/>
          <w:szCs w:val="21"/>
        </w:rPr>
      </w:pPr>
      <w:r>
        <w:rPr>
          <w:rFonts w:ascii="微软雅黑" w:eastAsia="微软雅黑" w:hAnsi="微软雅黑" w:hint="eastAsia"/>
          <w:kern w:val="0"/>
          <w:sz w:val="21"/>
          <w:szCs w:val="21"/>
        </w:rPr>
        <w:t>注</w:t>
      </w:r>
      <w:r>
        <w:rPr>
          <w:rFonts w:ascii="微软雅黑" w:eastAsia="微软雅黑" w:hAnsi="微软雅黑" w:cs="Calibri"/>
          <w:sz w:val="21"/>
          <w:szCs w:val="21"/>
        </w:rPr>
        <w:t>①</w:t>
      </w:r>
      <w:r>
        <w:rPr>
          <w:rFonts w:ascii="微软雅黑" w:eastAsia="微软雅黑" w:hAnsi="微软雅黑" w:hint="eastAsia"/>
          <w:kern w:val="0"/>
          <w:sz w:val="21"/>
          <w:szCs w:val="21"/>
        </w:rPr>
        <w:t>：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号）执行。投标人可于投标截止日期前通过 “信用中国”网站（www.creditchina.gov.cn)、“中国政府采购网”(www.ccgp.gov.cn）等渠道查询信用记录。</w:t>
      </w:r>
    </w:p>
    <w:p w14:paraId="1E0B446F" w14:textId="77777777" w:rsidR="0022665C" w:rsidRDefault="00000000">
      <w:pPr>
        <w:pStyle w:val="afa"/>
        <w:spacing w:before="0" w:beforeAutospacing="0" w:after="0" w:afterAutospacing="0"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注②：“中小企业声明函”应由投标人出具，并加盖投标人公章，声明函格式详见本招标文件第七篇“中小企业声明函”。“监狱企业证明文件”应当由投标人提供其属于监狱企业的证明文件，该证明文件由省级以上监狱管理局、戒毒管理局（含新疆生产建设兵团）出具。“残疾人福利性单位声明函”应由投标人出具的“残疾人福利性单位声明函”，并加盖该残疾人福利性单位公章。</w:t>
      </w:r>
    </w:p>
    <w:p w14:paraId="314D05D4" w14:textId="77777777" w:rsidR="0022665C" w:rsidRDefault="00000000">
      <w:pPr>
        <w:snapToGrid w:val="0"/>
        <w:spacing w:line="400" w:lineRule="exact"/>
        <w:ind w:firstLineChars="200" w:firstLine="420"/>
        <w:rPr>
          <w:rFonts w:ascii="微软雅黑" w:eastAsia="微软雅黑" w:hAnsi="微软雅黑" w:hint="eastAsia"/>
          <w:kern w:val="0"/>
          <w:sz w:val="21"/>
          <w:szCs w:val="21"/>
        </w:rPr>
      </w:pPr>
      <w:r>
        <w:rPr>
          <w:rFonts w:ascii="微软雅黑" w:eastAsia="微软雅黑" w:hAnsi="微软雅黑" w:hint="eastAsia"/>
          <w:kern w:val="0"/>
          <w:sz w:val="21"/>
          <w:szCs w:val="21"/>
        </w:rPr>
        <w:t>注③：以联合体形式参与投标的，联合投标协议中应确定主办方（主体），代表联合体进行投标和澄清。联合体各方均应满足投标人资格要求（详见“第一篇”）。</w:t>
      </w:r>
    </w:p>
    <w:p w14:paraId="72E575FF" w14:textId="77777777" w:rsidR="0022665C" w:rsidRDefault="00000000">
      <w:pPr>
        <w:snapToGrid w:val="0"/>
        <w:spacing w:line="400" w:lineRule="exact"/>
        <w:ind w:firstLineChars="200" w:firstLine="420"/>
        <w:rPr>
          <w:rFonts w:ascii="微软雅黑" w:eastAsia="微软雅黑" w:hAnsi="微软雅黑" w:hint="eastAsia"/>
          <w:kern w:val="0"/>
          <w:sz w:val="21"/>
          <w:szCs w:val="21"/>
        </w:rPr>
      </w:pPr>
      <w:r>
        <w:rPr>
          <w:rFonts w:ascii="微软雅黑" w:eastAsia="微软雅黑" w:hAnsi="微软雅黑" w:hint="eastAsia"/>
          <w:kern w:val="0"/>
          <w:sz w:val="21"/>
          <w:szCs w:val="21"/>
        </w:rPr>
        <w:t>注④：以联合体形式参加投标的，联合体各方均为中小企业的，联合体视同中小企业（其中，联合体各方均为小微企业的，联合体视同小微企业）。</w:t>
      </w:r>
    </w:p>
    <w:p w14:paraId="67ECABA0" w14:textId="77777777" w:rsidR="0022665C" w:rsidRDefault="00000000">
      <w:pPr>
        <w:pStyle w:val="afa"/>
        <w:spacing w:before="0" w:beforeAutospacing="0" w:after="0" w:afterAutospacing="0" w:line="440" w:lineRule="atLeast"/>
        <w:ind w:firstLineChars="200" w:firstLine="420"/>
        <w:outlineLvl w:val="2"/>
        <w:rPr>
          <w:rFonts w:ascii="微软雅黑" w:eastAsia="微软雅黑" w:hAnsi="微软雅黑" w:hint="eastAsia"/>
          <w:b/>
          <w:bCs/>
          <w:sz w:val="21"/>
          <w:szCs w:val="21"/>
        </w:rPr>
      </w:pPr>
      <w:r>
        <w:rPr>
          <w:rFonts w:ascii="微软雅黑" w:eastAsia="微软雅黑" w:hAnsi="微软雅黑"/>
          <w:b/>
          <w:bCs/>
          <w:sz w:val="21"/>
          <w:szCs w:val="21"/>
        </w:rPr>
        <w:t>（二）符合性审查</w:t>
      </w:r>
    </w:p>
    <w:p w14:paraId="7D80F9DB" w14:textId="77777777" w:rsidR="0022665C" w:rsidRDefault="00000000">
      <w:pPr>
        <w:snapToGrid w:val="0"/>
        <w:spacing w:line="440" w:lineRule="atLeast"/>
        <w:ind w:firstLineChars="200" w:firstLine="420"/>
        <w:rPr>
          <w:rFonts w:ascii="微软雅黑" w:eastAsia="微软雅黑" w:hAnsi="微软雅黑" w:hint="eastAsia"/>
          <w:kern w:val="0"/>
          <w:sz w:val="21"/>
          <w:szCs w:val="21"/>
        </w:rPr>
      </w:pPr>
      <w:r>
        <w:rPr>
          <w:rFonts w:ascii="微软雅黑" w:eastAsia="微软雅黑" w:hAnsi="微软雅黑"/>
          <w:kern w:val="0"/>
          <w:sz w:val="21"/>
          <w:szCs w:val="21"/>
        </w:rPr>
        <w:t>评标委员会应当对符合资格的投标人的投标文件进行符合性审查，以确定其是否满足招标文件的实质性要求。符合性审查资料表如下：</w:t>
      </w:r>
    </w:p>
    <w:tbl>
      <w:tblPr>
        <w:tblW w:w="9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1476"/>
        <w:gridCol w:w="1601"/>
        <w:gridCol w:w="5450"/>
      </w:tblGrid>
      <w:tr w:rsidR="0022665C" w14:paraId="39164514" w14:textId="77777777">
        <w:trPr>
          <w:trHeight w:val="413"/>
          <w:jc w:val="center"/>
        </w:trPr>
        <w:tc>
          <w:tcPr>
            <w:tcW w:w="699" w:type="dxa"/>
            <w:vAlign w:val="center"/>
          </w:tcPr>
          <w:p w14:paraId="57FE3381" w14:textId="77777777" w:rsidR="0022665C" w:rsidRDefault="00000000">
            <w:pPr>
              <w:spacing w:line="360" w:lineRule="exact"/>
              <w:jc w:val="center"/>
              <w:rPr>
                <w:rFonts w:ascii="微软雅黑" w:eastAsia="微软雅黑" w:hAnsi="微软雅黑" w:hint="eastAsia"/>
                <w:b/>
                <w:kern w:val="0"/>
                <w:sz w:val="21"/>
              </w:rPr>
            </w:pPr>
            <w:r>
              <w:rPr>
                <w:rFonts w:ascii="微软雅黑" w:eastAsia="微软雅黑" w:hAnsi="微软雅黑"/>
                <w:b/>
                <w:kern w:val="0"/>
                <w:sz w:val="21"/>
                <w:szCs w:val="21"/>
              </w:rPr>
              <w:t>序号</w:t>
            </w:r>
          </w:p>
        </w:tc>
        <w:tc>
          <w:tcPr>
            <w:tcW w:w="3077" w:type="dxa"/>
            <w:gridSpan w:val="2"/>
            <w:vAlign w:val="center"/>
          </w:tcPr>
          <w:p w14:paraId="4E0AB9E6" w14:textId="77777777" w:rsidR="0022665C" w:rsidRDefault="00000000">
            <w:pPr>
              <w:spacing w:line="360" w:lineRule="exact"/>
              <w:jc w:val="center"/>
              <w:rPr>
                <w:rFonts w:ascii="微软雅黑" w:eastAsia="微软雅黑" w:hAnsi="微软雅黑" w:hint="eastAsia"/>
                <w:b/>
                <w:kern w:val="0"/>
                <w:sz w:val="21"/>
              </w:rPr>
            </w:pPr>
            <w:r>
              <w:rPr>
                <w:rFonts w:ascii="微软雅黑" w:eastAsia="微软雅黑" w:hAnsi="微软雅黑"/>
                <w:b/>
                <w:kern w:val="0"/>
                <w:sz w:val="21"/>
                <w:szCs w:val="21"/>
              </w:rPr>
              <w:t>评审因素</w:t>
            </w:r>
          </w:p>
        </w:tc>
        <w:tc>
          <w:tcPr>
            <w:tcW w:w="5450" w:type="dxa"/>
            <w:vAlign w:val="center"/>
          </w:tcPr>
          <w:p w14:paraId="0C8A84D3" w14:textId="77777777" w:rsidR="0022665C" w:rsidRDefault="00000000">
            <w:pPr>
              <w:spacing w:line="360" w:lineRule="exact"/>
              <w:jc w:val="center"/>
              <w:rPr>
                <w:rFonts w:ascii="微软雅黑" w:eastAsia="微软雅黑" w:hAnsi="微软雅黑" w:hint="eastAsia"/>
                <w:b/>
                <w:kern w:val="0"/>
                <w:sz w:val="21"/>
              </w:rPr>
            </w:pPr>
            <w:r>
              <w:rPr>
                <w:rFonts w:ascii="微软雅黑" w:eastAsia="微软雅黑" w:hAnsi="微软雅黑"/>
                <w:b/>
                <w:kern w:val="0"/>
                <w:sz w:val="21"/>
                <w:szCs w:val="21"/>
              </w:rPr>
              <w:t>评审标准</w:t>
            </w:r>
          </w:p>
        </w:tc>
      </w:tr>
      <w:tr w:rsidR="0022665C" w14:paraId="285174DE" w14:textId="77777777">
        <w:trPr>
          <w:trHeight w:val="752"/>
          <w:jc w:val="center"/>
        </w:trPr>
        <w:tc>
          <w:tcPr>
            <w:tcW w:w="699" w:type="dxa"/>
            <w:vMerge w:val="restart"/>
            <w:vAlign w:val="center"/>
          </w:tcPr>
          <w:p w14:paraId="2664F379" w14:textId="77777777" w:rsidR="0022665C" w:rsidRDefault="00000000">
            <w:pPr>
              <w:spacing w:line="360" w:lineRule="exact"/>
              <w:jc w:val="center"/>
              <w:rPr>
                <w:rFonts w:ascii="微软雅黑" w:eastAsia="微软雅黑" w:hAnsi="微软雅黑" w:hint="eastAsia"/>
                <w:kern w:val="0"/>
                <w:sz w:val="21"/>
              </w:rPr>
            </w:pPr>
            <w:r>
              <w:rPr>
                <w:rFonts w:ascii="微软雅黑" w:eastAsia="微软雅黑" w:hAnsi="微软雅黑"/>
                <w:kern w:val="0"/>
                <w:sz w:val="21"/>
                <w:szCs w:val="21"/>
              </w:rPr>
              <w:t>1</w:t>
            </w:r>
          </w:p>
        </w:tc>
        <w:tc>
          <w:tcPr>
            <w:tcW w:w="1476" w:type="dxa"/>
            <w:vMerge w:val="restart"/>
            <w:vAlign w:val="center"/>
          </w:tcPr>
          <w:p w14:paraId="09DD2F51"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有效性审查</w:t>
            </w:r>
          </w:p>
        </w:tc>
        <w:tc>
          <w:tcPr>
            <w:tcW w:w="1601" w:type="dxa"/>
            <w:vAlign w:val="center"/>
          </w:tcPr>
          <w:p w14:paraId="056CFF69"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lang w:val="zh-CN"/>
              </w:rPr>
              <w:t>投标文件签署或盖章</w:t>
            </w:r>
          </w:p>
        </w:tc>
        <w:tc>
          <w:tcPr>
            <w:tcW w:w="5450" w:type="dxa"/>
            <w:vAlign w:val="center"/>
          </w:tcPr>
          <w:p w14:paraId="418F0F79"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lang w:val="zh-CN"/>
              </w:rPr>
              <w:t>投标文件上法定代表人（或其授权代表）或自然人（投标人为自然人）的签署或盖章齐全。</w:t>
            </w:r>
          </w:p>
        </w:tc>
      </w:tr>
      <w:tr w:rsidR="0022665C" w14:paraId="0120834A" w14:textId="77777777">
        <w:trPr>
          <w:trHeight w:val="357"/>
          <w:jc w:val="center"/>
        </w:trPr>
        <w:tc>
          <w:tcPr>
            <w:tcW w:w="699" w:type="dxa"/>
            <w:vMerge/>
            <w:vAlign w:val="center"/>
          </w:tcPr>
          <w:p w14:paraId="57FD2F4E" w14:textId="77777777" w:rsidR="0022665C" w:rsidRDefault="0022665C">
            <w:pPr>
              <w:spacing w:line="360" w:lineRule="exact"/>
              <w:jc w:val="center"/>
              <w:rPr>
                <w:rFonts w:ascii="微软雅黑" w:eastAsia="微软雅黑" w:hAnsi="微软雅黑" w:hint="eastAsia"/>
                <w:kern w:val="0"/>
                <w:sz w:val="21"/>
              </w:rPr>
            </w:pPr>
          </w:p>
        </w:tc>
        <w:tc>
          <w:tcPr>
            <w:tcW w:w="1476" w:type="dxa"/>
            <w:vMerge/>
            <w:vAlign w:val="center"/>
          </w:tcPr>
          <w:p w14:paraId="270CA831" w14:textId="77777777" w:rsidR="0022665C" w:rsidRDefault="0022665C">
            <w:pPr>
              <w:spacing w:line="360" w:lineRule="exact"/>
              <w:rPr>
                <w:rFonts w:ascii="微软雅黑" w:eastAsia="微软雅黑" w:hAnsi="微软雅黑" w:hint="eastAsia"/>
                <w:sz w:val="21"/>
              </w:rPr>
            </w:pPr>
          </w:p>
        </w:tc>
        <w:tc>
          <w:tcPr>
            <w:tcW w:w="1601" w:type="dxa"/>
            <w:vAlign w:val="center"/>
          </w:tcPr>
          <w:p w14:paraId="2B9D2603"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lang w:val="zh-CN"/>
              </w:rPr>
              <w:t>投标方案</w:t>
            </w:r>
          </w:p>
        </w:tc>
        <w:tc>
          <w:tcPr>
            <w:tcW w:w="5450" w:type="dxa"/>
            <w:vAlign w:val="center"/>
          </w:tcPr>
          <w:p w14:paraId="46C7FC22"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lang w:val="zh-CN"/>
              </w:rPr>
              <w:t>只能有一个方案投标。</w:t>
            </w:r>
          </w:p>
        </w:tc>
      </w:tr>
      <w:tr w:rsidR="0022665C" w14:paraId="1EA9D348" w14:textId="77777777">
        <w:trPr>
          <w:trHeight w:val="670"/>
          <w:jc w:val="center"/>
        </w:trPr>
        <w:tc>
          <w:tcPr>
            <w:tcW w:w="699" w:type="dxa"/>
            <w:vMerge/>
            <w:vAlign w:val="center"/>
          </w:tcPr>
          <w:p w14:paraId="575966AD" w14:textId="77777777" w:rsidR="0022665C" w:rsidRDefault="0022665C">
            <w:pPr>
              <w:spacing w:line="360" w:lineRule="exact"/>
              <w:jc w:val="center"/>
              <w:rPr>
                <w:rFonts w:ascii="微软雅黑" w:eastAsia="微软雅黑" w:hAnsi="微软雅黑" w:hint="eastAsia"/>
                <w:kern w:val="0"/>
                <w:sz w:val="21"/>
              </w:rPr>
            </w:pPr>
          </w:p>
        </w:tc>
        <w:tc>
          <w:tcPr>
            <w:tcW w:w="1476" w:type="dxa"/>
            <w:vMerge/>
            <w:vAlign w:val="center"/>
          </w:tcPr>
          <w:p w14:paraId="1BC4EEEA" w14:textId="77777777" w:rsidR="0022665C" w:rsidRDefault="0022665C">
            <w:pPr>
              <w:spacing w:line="360" w:lineRule="exact"/>
              <w:rPr>
                <w:rFonts w:ascii="微软雅黑" w:eastAsia="微软雅黑" w:hAnsi="微软雅黑" w:hint="eastAsia"/>
                <w:sz w:val="21"/>
              </w:rPr>
            </w:pPr>
          </w:p>
        </w:tc>
        <w:tc>
          <w:tcPr>
            <w:tcW w:w="1601" w:type="dxa"/>
            <w:vAlign w:val="center"/>
          </w:tcPr>
          <w:p w14:paraId="6D0E53CF"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lang w:val="zh-CN"/>
              </w:rPr>
              <w:t>报价唯一</w:t>
            </w:r>
          </w:p>
        </w:tc>
        <w:tc>
          <w:tcPr>
            <w:tcW w:w="5450" w:type="dxa"/>
            <w:vAlign w:val="center"/>
          </w:tcPr>
          <w:p w14:paraId="59B20D01"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sz w:val="21"/>
                <w:szCs w:val="21"/>
                <w:lang w:val="zh-CN"/>
              </w:rPr>
              <w:t>只能在预算金额和最高限价内报价，只能有一个有效报价，不得提交选择性报价。</w:t>
            </w:r>
          </w:p>
        </w:tc>
      </w:tr>
      <w:tr w:rsidR="0022665C" w14:paraId="531FF77A" w14:textId="77777777">
        <w:trPr>
          <w:trHeight w:val="553"/>
          <w:jc w:val="center"/>
        </w:trPr>
        <w:tc>
          <w:tcPr>
            <w:tcW w:w="699" w:type="dxa"/>
            <w:vAlign w:val="center"/>
          </w:tcPr>
          <w:p w14:paraId="741B248E" w14:textId="77777777" w:rsidR="0022665C" w:rsidRDefault="00000000">
            <w:pPr>
              <w:spacing w:line="360" w:lineRule="exact"/>
              <w:jc w:val="center"/>
              <w:rPr>
                <w:rFonts w:ascii="微软雅黑" w:eastAsia="微软雅黑" w:hAnsi="微软雅黑" w:hint="eastAsia"/>
                <w:kern w:val="0"/>
                <w:sz w:val="21"/>
              </w:rPr>
            </w:pPr>
            <w:r>
              <w:rPr>
                <w:rFonts w:ascii="微软雅黑" w:eastAsia="微软雅黑" w:hAnsi="微软雅黑"/>
                <w:kern w:val="0"/>
                <w:sz w:val="21"/>
                <w:szCs w:val="21"/>
              </w:rPr>
              <w:t>2</w:t>
            </w:r>
          </w:p>
        </w:tc>
        <w:tc>
          <w:tcPr>
            <w:tcW w:w="1476" w:type="dxa"/>
            <w:vAlign w:val="center"/>
          </w:tcPr>
          <w:p w14:paraId="50564CA7"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完整性审查</w:t>
            </w:r>
          </w:p>
        </w:tc>
        <w:tc>
          <w:tcPr>
            <w:tcW w:w="1601" w:type="dxa"/>
            <w:vAlign w:val="center"/>
          </w:tcPr>
          <w:p w14:paraId="19C78042"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投标文件份数</w:t>
            </w:r>
          </w:p>
        </w:tc>
        <w:tc>
          <w:tcPr>
            <w:tcW w:w="5450" w:type="dxa"/>
            <w:vAlign w:val="center"/>
          </w:tcPr>
          <w:p w14:paraId="1590126F"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投标文件正、副本数量（含电子文档）符合招标文件要求。</w:t>
            </w:r>
          </w:p>
        </w:tc>
      </w:tr>
      <w:tr w:rsidR="0022665C" w14:paraId="42C9483A" w14:textId="77777777">
        <w:trPr>
          <w:trHeight w:val="472"/>
          <w:jc w:val="center"/>
        </w:trPr>
        <w:tc>
          <w:tcPr>
            <w:tcW w:w="699" w:type="dxa"/>
            <w:vAlign w:val="center"/>
          </w:tcPr>
          <w:p w14:paraId="0C65E448" w14:textId="77777777" w:rsidR="0022665C" w:rsidRDefault="00000000">
            <w:pPr>
              <w:spacing w:line="360" w:lineRule="exact"/>
              <w:jc w:val="center"/>
              <w:rPr>
                <w:rFonts w:ascii="微软雅黑" w:eastAsia="微软雅黑" w:hAnsi="微软雅黑" w:hint="eastAsia"/>
                <w:sz w:val="21"/>
                <w:lang w:val="zh-CN"/>
              </w:rPr>
            </w:pPr>
            <w:r>
              <w:rPr>
                <w:rFonts w:ascii="微软雅黑" w:eastAsia="微软雅黑" w:hAnsi="微软雅黑"/>
                <w:sz w:val="21"/>
                <w:szCs w:val="21"/>
                <w:lang w:val="zh-CN"/>
              </w:rPr>
              <w:t>3</w:t>
            </w:r>
          </w:p>
        </w:tc>
        <w:tc>
          <w:tcPr>
            <w:tcW w:w="1476" w:type="dxa"/>
            <w:vAlign w:val="center"/>
          </w:tcPr>
          <w:p w14:paraId="3BF35348"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技术部分</w:t>
            </w:r>
          </w:p>
        </w:tc>
        <w:tc>
          <w:tcPr>
            <w:tcW w:w="1601" w:type="dxa"/>
            <w:vAlign w:val="center"/>
          </w:tcPr>
          <w:p w14:paraId="00CEC2AF"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投标文件内容</w:t>
            </w:r>
          </w:p>
        </w:tc>
        <w:tc>
          <w:tcPr>
            <w:tcW w:w="5450" w:type="dxa"/>
            <w:vAlign w:val="center"/>
          </w:tcPr>
          <w:p w14:paraId="170F58AB" w14:textId="77777777" w:rsidR="0022665C" w:rsidRDefault="00000000">
            <w:pPr>
              <w:spacing w:line="360" w:lineRule="exact"/>
              <w:rPr>
                <w:rFonts w:ascii="微软雅黑" w:eastAsia="微软雅黑" w:hAnsi="微软雅黑" w:hint="eastAsia"/>
                <w:sz w:val="21"/>
                <w:szCs w:val="21"/>
              </w:rPr>
            </w:pPr>
            <w:r>
              <w:rPr>
                <w:rFonts w:ascii="微软雅黑" w:eastAsia="微软雅黑" w:hAnsi="微软雅黑" w:hint="eastAsia"/>
                <w:sz w:val="21"/>
                <w:szCs w:val="21"/>
              </w:rPr>
              <w:t>本招标文件第二篇“二、招标项目服务需求”中（※）号标注的部分。</w:t>
            </w:r>
          </w:p>
        </w:tc>
      </w:tr>
      <w:tr w:rsidR="0022665C" w14:paraId="4156D640" w14:textId="77777777">
        <w:trPr>
          <w:trHeight w:val="439"/>
          <w:jc w:val="center"/>
        </w:trPr>
        <w:tc>
          <w:tcPr>
            <w:tcW w:w="699" w:type="dxa"/>
            <w:vAlign w:val="center"/>
          </w:tcPr>
          <w:p w14:paraId="3EE4AF93" w14:textId="77777777" w:rsidR="0022665C" w:rsidRDefault="00000000">
            <w:pPr>
              <w:spacing w:line="360" w:lineRule="exact"/>
              <w:jc w:val="center"/>
              <w:rPr>
                <w:rFonts w:ascii="微软雅黑" w:eastAsia="微软雅黑" w:hAnsi="微软雅黑" w:hint="eastAsia"/>
                <w:sz w:val="21"/>
                <w:lang w:val="zh-CN"/>
              </w:rPr>
            </w:pPr>
            <w:r>
              <w:rPr>
                <w:rFonts w:ascii="微软雅黑" w:eastAsia="微软雅黑" w:hAnsi="微软雅黑"/>
                <w:sz w:val="21"/>
                <w:szCs w:val="21"/>
                <w:lang w:val="zh-CN"/>
              </w:rPr>
              <w:t>4</w:t>
            </w:r>
          </w:p>
        </w:tc>
        <w:tc>
          <w:tcPr>
            <w:tcW w:w="1476" w:type="dxa"/>
            <w:vAlign w:val="center"/>
          </w:tcPr>
          <w:p w14:paraId="66307C1B"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商务部分</w:t>
            </w:r>
          </w:p>
        </w:tc>
        <w:tc>
          <w:tcPr>
            <w:tcW w:w="1601" w:type="dxa"/>
            <w:vAlign w:val="center"/>
          </w:tcPr>
          <w:p w14:paraId="6D16129D"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投标文件内容</w:t>
            </w:r>
          </w:p>
        </w:tc>
        <w:tc>
          <w:tcPr>
            <w:tcW w:w="5450" w:type="dxa"/>
            <w:vAlign w:val="center"/>
          </w:tcPr>
          <w:p w14:paraId="02D50614" w14:textId="77777777" w:rsidR="0022665C" w:rsidRDefault="00000000">
            <w:pPr>
              <w:spacing w:line="360" w:lineRule="exact"/>
              <w:rPr>
                <w:rFonts w:ascii="微软雅黑" w:eastAsia="微软雅黑" w:hAnsi="微软雅黑" w:hint="eastAsia"/>
                <w:sz w:val="21"/>
                <w:lang w:val="zh-CN"/>
              </w:rPr>
            </w:pPr>
            <w:r>
              <w:rPr>
                <w:rFonts w:ascii="微软雅黑" w:eastAsia="微软雅黑" w:hAnsi="微软雅黑" w:cs="宋体" w:hint="eastAsia"/>
                <w:kern w:val="0"/>
                <w:sz w:val="21"/>
                <w:szCs w:val="21"/>
              </w:rPr>
              <w:t>本招标文件第三篇的全部内容。</w:t>
            </w:r>
          </w:p>
        </w:tc>
      </w:tr>
      <w:tr w:rsidR="0022665C" w14:paraId="03912441" w14:textId="77777777">
        <w:trPr>
          <w:trHeight w:val="454"/>
          <w:jc w:val="center"/>
        </w:trPr>
        <w:tc>
          <w:tcPr>
            <w:tcW w:w="699" w:type="dxa"/>
            <w:vAlign w:val="center"/>
          </w:tcPr>
          <w:p w14:paraId="3B663CCE" w14:textId="77777777" w:rsidR="0022665C" w:rsidRDefault="00000000">
            <w:pPr>
              <w:spacing w:line="360" w:lineRule="exact"/>
              <w:jc w:val="center"/>
              <w:rPr>
                <w:rFonts w:ascii="微软雅黑" w:eastAsia="微软雅黑" w:hAnsi="微软雅黑" w:hint="eastAsia"/>
                <w:kern w:val="0"/>
                <w:sz w:val="21"/>
              </w:rPr>
            </w:pPr>
            <w:r>
              <w:rPr>
                <w:rFonts w:ascii="微软雅黑" w:eastAsia="微软雅黑" w:hAnsi="微软雅黑"/>
                <w:sz w:val="21"/>
                <w:szCs w:val="21"/>
              </w:rPr>
              <w:t>5</w:t>
            </w:r>
          </w:p>
        </w:tc>
        <w:tc>
          <w:tcPr>
            <w:tcW w:w="1476" w:type="dxa"/>
            <w:vAlign w:val="center"/>
          </w:tcPr>
          <w:p w14:paraId="5C37765D"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投标有效期</w:t>
            </w:r>
          </w:p>
        </w:tc>
        <w:tc>
          <w:tcPr>
            <w:tcW w:w="1601" w:type="dxa"/>
            <w:vAlign w:val="center"/>
          </w:tcPr>
          <w:p w14:paraId="56C4AB38"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投标文件内容</w:t>
            </w:r>
          </w:p>
        </w:tc>
        <w:tc>
          <w:tcPr>
            <w:tcW w:w="5450" w:type="dxa"/>
            <w:vAlign w:val="center"/>
          </w:tcPr>
          <w:p w14:paraId="51E97097" w14:textId="77777777" w:rsidR="0022665C" w:rsidRDefault="00000000">
            <w:pPr>
              <w:spacing w:line="360" w:lineRule="exact"/>
              <w:rPr>
                <w:rFonts w:ascii="微软雅黑" w:eastAsia="微软雅黑" w:hAnsi="微软雅黑" w:hint="eastAsia"/>
                <w:sz w:val="21"/>
              </w:rPr>
            </w:pPr>
            <w:r>
              <w:rPr>
                <w:rFonts w:ascii="微软雅黑" w:eastAsia="微软雅黑" w:hAnsi="微软雅黑"/>
                <w:sz w:val="21"/>
                <w:szCs w:val="21"/>
              </w:rPr>
              <w:t>投标有效期为投标截止时间起90天。</w:t>
            </w:r>
          </w:p>
        </w:tc>
      </w:tr>
    </w:tbl>
    <w:p w14:paraId="72288B75" w14:textId="77777777" w:rsidR="0022665C" w:rsidRDefault="00000000">
      <w:pPr>
        <w:pStyle w:val="2"/>
        <w:spacing w:line="560" w:lineRule="atLeast"/>
        <w:ind w:firstLine="480"/>
        <w:jc w:val="left"/>
        <w:rPr>
          <w:rFonts w:ascii="微软雅黑" w:eastAsia="微软雅黑" w:hAnsi="微软雅黑" w:hint="eastAsia"/>
          <w:b/>
          <w:bCs/>
          <w:sz w:val="24"/>
        </w:rPr>
      </w:pPr>
      <w:bookmarkStart w:id="156" w:name="_Toc492721016"/>
      <w:bookmarkStart w:id="157" w:name="_Toc24649"/>
      <w:bookmarkStart w:id="158" w:name="_Toc25458"/>
      <w:bookmarkStart w:id="159" w:name="_Toc493506299"/>
      <w:bookmarkStart w:id="160" w:name="_Toc8514"/>
      <w:bookmarkStart w:id="161" w:name="_Toc21444"/>
      <w:r>
        <w:rPr>
          <w:rFonts w:ascii="微软雅黑" w:eastAsia="微软雅黑" w:hAnsi="微软雅黑" w:hint="eastAsia"/>
          <w:b/>
          <w:bCs/>
          <w:sz w:val="24"/>
        </w:rPr>
        <w:t>二、评标方法</w:t>
      </w:r>
      <w:bookmarkEnd w:id="156"/>
      <w:bookmarkEnd w:id="157"/>
      <w:bookmarkEnd w:id="158"/>
      <w:bookmarkEnd w:id="159"/>
      <w:bookmarkEnd w:id="160"/>
      <w:bookmarkEnd w:id="161"/>
    </w:p>
    <w:p w14:paraId="187AEA0A" w14:textId="77777777" w:rsidR="0022665C" w:rsidRDefault="00000000">
      <w:pPr>
        <w:snapToGrid w:val="0"/>
        <w:spacing w:line="440" w:lineRule="atLeast"/>
        <w:ind w:firstLineChars="200" w:firstLine="420"/>
        <w:rPr>
          <w:rFonts w:ascii="微软雅黑" w:eastAsia="微软雅黑" w:hAnsi="微软雅黑" w:hint="eastAsia"/>
          <w:kern w:val="0"/>
          <w:sz w:val="21"/>
          <w:szCs w:val="21"/>
        </w:rPr>
      </w:pPr>
      <w:r>
        <w:rPr>
          <w:rFonts w:ascii="微软雅黑" w:eastAsia="微软雅黑" w:hAnsi="微软雅黑" w:hint="eastAsia"/>
          <w:kern w:val="0"/>
          <w:sz w:val="21"/>
          <w:szCs w:val="21"/>
        </w:rPr>
        <w:t>本项目采用综合评分法进行评标。</w:t>
      </w:r>
    </w:p>
    <w:p w14:paraId="3E712FB7" w14:textId="77777777" w:rsidR="0022665C" w:rsidRDefault="00000000">
      <w:pPr>
        <w:snapToGrid w:val="0"/>
        <w:spacing w:line="440" w:lineRule="atLeast"/>
        <w:ind w:firstLineChars="200" w:firstLine="420"/>
        <w:rPr>
          <w:rFonts w:ascii="微软雅黑" w:eastAsia="微软雅黑" w:hAnsi="微软雅黑" w:hint="eastAsia"/>
          <w:kern w:val="0"/>
          <w:sz w:val="21"/>
          <w:szCs w:val="21"/>
        </w:rPr>
      </w:pPr>
      <w:r>
        <w:rPr>
          <w:rFonts w:ascii="微软雅黑" w:eastAsia="微软雅黑" w:hAnsi="微软雅黑" w:hint="eastAsia"/>
          <w:kern w:val="0"/>
          <w:sz w:val="21"/>
          <w:szCs w:val="21"/>
        </w:rPr>
        <w:t>综合评分法，是指投标文件满足招标文件全部实质性要求且按照评审因素的量化指标评审得分最高的投标人为中标候选人的评标方法。投标人总得分为价格、商务、技术等评定因素分别按照相应权重值计算分项得分后相加，满分为100分。</w:t>
      </w:r>
    </w:p>
    <w:p w14:paraId="17404E28" w14:textId="77777777" w:rsidR="0022665C" w:rsidRDefault="00000000">
      <w:pPr>
        <w:snapToGrid w:val="0"/>
        <w:spacing w:line="440" w:lineRule="atLeast"/>
        <w:ind w:firstLineChars="200" w:firstLine="420"/>
        <w:rPr>
          <w:rFonts w:ascii="微软雅黑" w:eastAsia="微软雅黑" w:hAnsi="微软雅黑" w:hint="eastAsia"/>
          <w:kern w:val="0"/>
          <w:sz w:val="21"/>
          <w:szCs w:val="21"/>
          <w:lang w:eastAsia="zh-TW"/>
        </w:rPr>
      </w:pPr>
      <w:r>
        <w:rPr>
          <w:rFonts w:ascii="微软雅黑" w:eastAsia="微软雅黑" w:hAnsi="微软雅黑" w:hint="eastAsia"/>
          <w:kern w:val="0"/>
          <w:sz w:val="21"/>
          <w:szCs w:val="21"/>
          <w:lang w:eastAsia="zh-TW"/>
        </w:rPr>
        <w:t>评标工作由采购代理机构负责组织，具体评标事务由采购</w:t>
      </w:r>
      <w:r>
        <w:rPr>
          <w:rFonts w:ascii="微软雅黑" w:eastAsia="微软雅黑" w:hAnsi="微软雅黑" w:hint="eastAsia"/>
          <w:kern w:val="0"/>
          <w:sz w:val="21"/>
          <w:szCs w:val="21"/>
        </w:rPr>
        <w:t>人</w:t>
      </w:r>
      <w:r>
        <w:rPr>
          <w:rFonts w:ascii="微软雅黑" w:eastAsia="微软雅黑" w:hAnsi="微软雅黑" w:hint="eastAsia"/>
          <w:kern w:val="0"/>
          <w:sz w:val="21"/>
          <w:szCs w:val="21"/>
          <w:lang w:eastAsia="zh-TW"/>
        </w:rPr>
        <w:t>依法组建的评标委员会负责。</w:t>
      </w:r>
    </w:p>
    <w:p w14:paraId="190323BC" w14:textId="77777777" w:rsidR="0022665C" w:rsidRDefault="00000000">
      <w:pPr>
        <w:snapToGrid w:val="0"/>
        <w:spacing w:line="440" w:lineRule="atLeast"/>
        <w:ind w:firstLineChars="200" w:firstLine="420"/>
        <w:rPr>
          <w:rFonts w:ascii="微软雅黑" w:eastAsia="微软雅黑" w:hAnsi="微软雅黑" w:hint="eastAsia"/>
          <w:kern w:val="0"/>
          <w:sz w:val="21"/>
          <w:szCs w:val="21"/>
        </w:rPr>
      </w:pPr>
      <w:r>
        <w:rPr>
          <w:rFonts w:ascii="微软雅黑" w:eastAsia="微软雅黑" w:hAnsi="微软雅黑" w:hint="eastAsia"/>
          <w:kern w:val="0"/>
          <w:sz w:val="21"/>
          <w:szCs w:val="21"/>
        </w:rPr>
        <w:t>澄清有关问题。对投标文件中含义不明确、同类问题表述不一致或者有明显文字和计算错误的内容，评标委员会可以书面形式（应当由评标委员会成员签字）要求投标人作出必要澄清、说明或者纠正。投标人的澄清、说明或者补正应当采用书面形式，由其法定代表人（或其授权代表）或自然人（投标人为自然人）签字，其澄清的内容不得超出投标文件的范围或者改变投标文件的实质性内容。</w:t>
      </w:r>
    </w:p>
    <w:p w14:paraId="287E968D" w14:textId="77777777" w:rsidR="0022665C" w:rsidRDefault="00000000">
      <w:pPr>
        <w:numPr>
          <w:ilvl w:val="0"/>
          <w:numId w:val="8"/>
        </w:num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比较与评价</w:t>
      </w:r>
    </w:p>
    <w:p w14:paraId="1B625BFE"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按招标文件中规定的评标方法和标准，对资格审查和符合性审查合格的投标文件进行商务和技术评估。</w:t>
      </w:r>
    </w:p>
    <w:p w14:paraId="276FDEA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评标委员会各成员独立对每个有效投标人（通过资格审查、符合性审查的投标人）的投标文件进行评价、打分，然后由评标委员会对各成员打分情况进行核查及复核，个别成员对同一投标人同一评分项的打分偏离较大的，应对投标人的投标文件进行再次核对，确属打分有误的，应及时进行修正。</w:t>
      </w:r>
    </w:p>
    <w:p w14:paraId="09BDECDD"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复核后，评标委员会汇总每个投标人每项评分因素的得分。</w:t>
      </w:r>
    </w:p>
    <w:p w14:paraId="56348A3D"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w:t>
      </w:r>
      <w:r>
        <w:rPr>
          <w:rFonts w:ascii="微软雅黑" w:eastAsia="微软雅黑" w:hAnsi="微软雅黑"/>
          <w:sz w:val="21"/>
          <w:szCs w:val="21"/>
        </w:rPr>
        <w:t>）</w:t>
      </w:r>
      <w:r>
        <w:rPr>
          <w:rFonts w:ascii="微软雅黑" w:eastAsia="微软雅黑" w:hAnsi="微软雅黑" w:hint="eastAsia"/>
          <w:sz w:val="21"/>
          <w:szCs w:val="21"/>
        </w:rPr>
        <w:t>推荐中标候选人名单</w:t>
      </w:r>
    </w:p>
    <w:p w14:paraId="38A82997" w14:textId="77777777" w:rsidR="0022665C" w:rsidRDefault="00000000">
      <w:pPr>
        <w:snapToGrid w:val="0"/>
        <w:spacing w:line="440" w:lineRule="atLeast"/>
        <w:ind w:firstLineChars="200" w:firstLine="420"/>
        <w:rPr>
          <w:rFonts w:ascii="微软雅黑" w:eastAsia="微软雅黑" w:hAnsi="微软雅黑" w:hint="eastAsia"/>
          <w:kern w:val="0"/>
          <w:sz w:val="21"/>
          <w:szCs w:val="21"/>
          <w:lang w:eastAsia="zh-TW"/>
        </w:rPr>
      </w:pPr>
      <w:r>
        <w:rPr>
          <w:rFonts w:ascii="微软雅黑" w:eastAsia="微软雅黑" w:hAnsi="微软雅黑" w:hint="eastAsia"/>
          <w:sz w:val="21"/>
          <w:szCs w:val="21"/>
        </w:rPr>
        <w:t>按评审后得分由高到低的排列顺序推荐综合得分排名前三的投标人为本包（项目）中标候选人，排名第一的为第一中标候选人。得分相同的，按投标报价由低到高顺序排列。得分且投标报价相同的并列。技术部分得分为0分的投标人，将失去成为中标候选人的资格</w:t>
      </w:r>
      <w:bookmarkStart w:id="162" w:name="_Toc493506300"/>
      <w:bookmarkStart w:id="163" w:name="_Toc492721017"/>
      <w:r>
        <w:rPr>
          <w:rFonts w:ascii="微软雅黑" w:eastAsia="微软雅黑" w:hAnsi="微软雅黑"/>
          <w:kern w:val="0"/>
          <w:sz w:val="21"/>
          <w:szCs w:val="21"/>
          <w:lang w:eastAsia="zh-TW"/>
        </w:rPr>
        <w:t>。</w:t>
      </w:r>
    </w:p>
    <w:p w14:paraId="2650611F" w14:textId="77777777" w:rsidR="0022665C" w:rsidRDefault="00000000">
      <w:pPr>
        <w:pStyle w:val="2"/>
        <w:spacing w:line="560" w:lineRule="atLeast"/>
        <w:ind w:firstLine="480"/>
        <w:jc w:val="left"/>
        <w:rPr>
          <w:rFonts w:ascii="微软雅黑" w:eastAsia="微软雅黑" w:hAnsi="微软雅黑" w:hint="eastAsia"/>
          <w:b/>
          <w:bCs/>
          <w:sz w:val="24"/>
        </w:rPr>
      </w:pPr>
      <w:bookmarkStart w:id="164" w:name="_Toc9322"/>
      <w:bookmarkStart w:id="165" w:name="_Toc10219"/>
      <w:bookmarkStart w:id="166" w:name="_Toc19378"/>
      <w:bookmarkStart w:id="167" w:name="_Toc7098"/>
      <w:r>
        <w:rPr>
          <w:rFonts w:ascii="微软雅黑" w:eastAsia="微软雅黑" w:hAnsi="微软雅黑" w:hint="eastAsia"/>
          <w:b/>
          <w:bCs/>
          <w:sz w:val="24"/>
        </w:rPr>
        <w:t>三、评标标准</w:t>
      </w:r>
      <w:bookmarkEnd w:id="162"/>
      <w:bookmarkEnd w:id="163"/>
      <w:bookmarkEnd w:id="164"/>
      <w:bookmarkEnd w:id="165"/>
      <w:bookmarkEnd w:id="166"/>
      <w:bookmarkEnd w:id="167"/>
    </w:p>
    <w:p w14:paraId="74AA9EE0" w14:textId="77777777" w:rsidR="0022665C" w:rsidRDefault="00000000">
      <w:pPr>
        <w:numPr>
          <w:ilvl w:val="0"/>
          <w:numId w:val="9"/>
        </w:numPr>
        <w:snapToGrid w:val="0"/>
        <w:spacing w:line="440" w:lineRule="atLeast"/>
        <w:ind w:left="0" w:firstLineChars="200" w:firstLine="420"/>
        <w:outlineLvl w:val="2"/>
        <w:rPr>
          <w:rFonts w:ascii="微软雅黑" w:eastAsia="微软雅黑" w:hAnsi="微软雅黑" w:hint="eastAsia"/>
          <w:b/>
          <w:sz w:val="21"/>
          <w:szCs w:val="21"/>
        </w:rPr>
      </w:pPr>
      <w:r>
        <w:rPr>
          <w:rFonts w:ascii="微软雅黑" w:eastAsia="微软雅黑" w:hAnsi="微软雅黑"/>
          <w:b/>
          <w:sz w:val="21"/>
          <w:szCs w:val="21"/>
        </w:rPr>
        <w:t>评审因素</w:t>
      </w:r>
    </w:p>
    <w:tbl>
      <w:tblPr>
        <w:tblStyle w:val="aff0"/>
        <w:tblW w:w="9623" w:type="dxa"/>
        <w:jc w:val="center"/>
        <w:tblLook w:val="04A0" w:firstRow="1" w:lastRow="0" w:firstColumn="1" w:lastColumn="0" w:noHBand="0" w:noVBand="1"/>
      </w:tblPr>
      <w:tblGrid>
        <w:gridCol w:w="776"/>
        <w:gridCol w:w="1723"/>
        <w:gridCol w:w="1244"/>
        <w:gridCol w:w="4244"/>
        <w:gridCol w:w="1636"/>
      </w:tblGrid>
      <w:tr w:rsidR="0022665C" w14:paraId="3939CA8C" w14:textId="77777777">
        <w:trPr>
          <w:trHeight w:val="468"/>
          <w:jc w:val="center"/>
        </w:trPr>
        <w:tc>
          <w:tcPr>
            <w:tcW w:w="776" w:type="dxa"/>
            <w:shd w:val="clear" w:color="auto" w:fill="auto"/>
            <w:vAlign w:val="center"/>
          </w:tcPr>
          <w:p w14:paraId="509DF58E" w14:textId="77777777" w:rsidR="0022665C" w:rsidRDefault="00000000">
            <w:pPr>
              <w:spacing w:line="36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序号</w:t>
            </w:r>
          </w:p>
        </w:tc>
        <w:tc>
          <w:tcPr>
            <w:tcW w:w="1723" w:type="dxa"/>
            <w:shd w:val="clear" w:color="auto" w:fill="auto"/>
            <w:vAlign w:val="center"/>
          </w:tcPr>
          <w:p w14:paraId="56E21DEE" w14:textId="77777777" w:rsidR="0022665C" w:rsidRDefault="00000000">
            <w:pPr>
              <w:spacing w:line="36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评分因素及权重</w:t>
            </w:r>
          </w:p>
        </w:tc>
        <w:tc>
          <w:tcPr>
            <w:tcW w:w="1244" w:type="dxa"/>
            <w:shd w:val="clear" w:color="auto" w:fill="auto"/>
            <w:vAlign w:val="center"/>
          </w:tcPr>
          <w:p w14:paraId="3BA30908" w14:textId="77777777" w:rsidR="0022665C" w:rsidRDefault="00000000">
            <w:pPr>
              <w:spacing w:line="36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分值</w:t>
            </w:r>
          </w:p>
        </w:tc>
        <w:tc>
          <w:tcPr>
            <w:tcW w:w="4244" w:type="dxa"/>
            <w:shd w:val="clear" w:color="auto" w:fill="auto"/>
            <w:vAlign w:val="center"/>
          </w:tcPr>
          <w:p w14:paraId="789E3C03" w14:textId="77777777" w:rsidR="0022665C" w:rsidRDefault="00000000">
            <w:pPr>
              <w:spacing w:line="36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评分标准</w:t>
            </w:r>
          </w:p>
        </w:tc>
        <w:tc>
          <w:tcPr>
            <w:tcW w:w="1636" w:type="dxa"/>
            <w:shd w:val="clear" w:color="auto" w:fill="auto"/>
            <w:vAlign w:val="center"/>
          </w:tcPr>
          <w:p w14:paraId="69714390" w14:textId="77777777" w:rsidR="0022665C" w:rsidRDefault="00000000">
            <w:pPr>
              <w:spacing w:line="36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说明</w:t>
            </w:r>
          </w:p>
        </w:tc>
      </w:tr>
      <w:tr w:rsidR="0022665C" w14:paraId="550DDC96" w14:textId="77777777">
        <w:trPr>
          <w:trHeight w:val="999"/>
          <w:jc w:val="center"/>
        </w:trPr>
        <w:tc>
          <w:tcPr>
            <w:tcW w:w="776" w:type="dxa"/>
            <w:shd w:val="clear" w:color="auto" w:fill="auto"/>
            <w:vAlign w:val="center"/>
          </w:tcPr>
          <w:p w14:paraId="791C3186"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1</w:t>
            </w:r>
          </w:p>
        </w:tc>
        <w:tc>
          <w:tcPr>
            <w:tcW w:w="1723" w:type="dxa"/>
            <w:shd w:val="clear" w:color="auto" w:fill="auto"/>
            <w:vAlign w:val="center"/>
          </w:tcPr>
          <w:p w14:paraId="49A4EB9F"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投标报价（20%）</w:t>
            </w:r>
          </w:p>
        </w:tc>
        <w:tc>
          <w:tcPr>
            <w:tcW w:w="1244" w:type="dxa"/>
            <w:shd w:val="clear" w:color="auto" w:fill="auto"/>
            <w:vAlign w:val="center"/>
          </w:tcPr>
          <w:p w14:paraId="56F01C09"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报价</w:t>
            </w:r>
          </w:p>
          <w:p w14:paraId="547066FA"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（20分）</w:t>
            </w:r>
          </w:p>
        </w:tc>
        <w:tc>
          <w:tcPr>
            <w:tcW w:w="4244" w:type="dxa"/>
            <w:shd w:val="clear" w:color="auto" w:fill="auto"/>
            <w:vAlign w:val="center"/>
          </w:tcPr>
          <w:p w14:paraId="772B5943"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有效的投标报价中的最低价为评标基准价，其价格分为满分。其他投标人的价格分统一按照下列公式计算：投标报价得分＝（评标基准价/投标报价）×价格权重×100。</w:t>
            </w:r>
          </w:p>
        </w:tc>
        <w:tc>
          <w:tcPr>
            <w:tcW w:w="1636" w:type="dxa"/>
            <w:shd w:val="clear" w:color="auto" w:fill="auto"/>
            <w:vAlign w:val="center"/>
          </w:tcPr>
          <w:p w14:paraId="550C5460"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 xml:space="preserve">　</w:t>
            </w:r>
          </w:p>
        </w:tc>
      </w:tr>
      <w:tr w:rsidR="0022665C" w14:paraId="38270DFA" w14:textId="77777777">
        <w:trPr>
          <w:trHeight w:val="435"/>
          <w:jc w:val="center"/>
        </w:trPr>
        <w:tc>
          <w:tcPr>
            <w:tcW w:w="776" w:type="dxa"/>
            <w:vMerge w:val="restart"/>
            <w:shd w:val="clear" w:color="auto" w:fill="auto"/>
            <w:vAlign w:val="center"/>
          </w:tcPr>
          <w:p w14:paraId="0FD44E0C"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2</w:t>
            </w:r>
          </w:p>
        </w:tc>
        <w:tc>
          <w:tcPr>
            <w:tcW w:w="1723" w:type="dxa"/>
            <w:vMerge w:val="restart"/>
            <w:shd w:val="clear" w:color="auto" w:fill="auto"/>
            <w:vAlign w:val="center"/>
          </w:tcPr>
          <w:p w14:paraId="5EC2D6E2"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技术部分（65%）</w:t>
            </w:r>
          </w:p>
        </w:tc>
        <w:tc>
          <w:tcPr>
            <w:tcW w:w="1244" w:type="dxa"/>
            <w:shd w:val="clear" w:color="auto" w:fill="auto"/>
            <w:vAlign w:val="center"/>
          </w:tcPr>
          <w:p w14:paraId="73BA829A"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技术条款（20分）</w:t>
            </w:r>
          </w:p>
        </w:tc>
        <w:tc>
          <w:tcPr>
            <w:tcW w:w="4244" w:type="dxa"/>
            <w:shd w:val="clear" w:color="auto" w:fill="auto"/>
            <w:vAlign w:val="center"/>
          </w:tcPr>
          <w:p w14:paraId="55313A5E"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1.起评分：</w:t>
            </w:r>
          </w:p>
          <w:p w14:paraId="5C98FBB1"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有效投标人的起评分为20分。</w:t>
            </w:r>
          </w:p>
          <w:p w14:paraId="73FCA371"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2.扣分条款：</w:t>
            </w:r>
          </w:p>
          <w:p w14:paraId="3E1726B4"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2.1重要服务参数【本招标文件第二篇中带（★）号标注的部分】每负偏离一条从起评分中扣除3分，达到五条（含）及以上不满足的技术条款得0分。</w:t>
            </w:r>
          </w:p>
          <w:p w14:paraId="19349C96"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2.2一般性服务参数【本招标文件第二篇中（★）和（※）号标注的部分除外】达不到招标文件要求的，每负偏离一条从起评分中扣除2分，达到五条（含）及以上不满足的技术条款得0分。</w:t>
            </w:r>
          </w:p>
        </w:tc>
        <w:tc>
          <w:tcPr>
            <w:tcW w:w="1636" w:type="dxa"/>
            <w:shd w:val="clear" w:color="auto" w:fill="auto"/>
            <w:vAlign w:val="center"/>
          </w:tcPr>
          <w:p w14:paraId="1267EE20"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（★）号和（※）号标注的部分需按招标文件要求提供相关证明材料。</w:t>
            </w:r>
          </w:p>
        </w:tc>
      </w:tr>
      <w:tr w:rsidR="0022665C" w14:paraId="11DCDEA8" w14:textId="77777777">
        <w:trPr>
          <w:trHeight w:val="1932"/>
          <w:jc w:val="center"/>
        </w:trPr>
        <w:tc>
          <w:tcPr>
            <w:tcW w:w="776" w:type="dxa"/>
            <w:vMerge/>
            <w:shd w:val="clear" w:color="auto" w:fill="auto"/>
            <w:vAlign w:val="center"/>
          </w:tcPr>
          <w:p w14:paraId="4D500D2E" w14:textId="77777777" w:rsidR="0022665C" w:rsidRDefault="0022665C">
            <w:pPr>
              <w:spacing w:line="360" w:lineRule="exact"/>
              <w:ind w:firstLineChars="200" w:firstLine="420"/>
              <w:jc w:val="center"/>
              <w:rPr>
                <w:rFonts w:ascii="微软雅黑" w:eastAsia="微软雅黑" w:hAnsi="微软雅黑" w:hint="eastAsia"/>
                <w:sz w:val="21"/>
                <w:szCs w:val="21"/>
              </w:rPr>
            </w:pPr>
          </w:p>
        </w:tc>
        <w:tc>
          <w:tcPr>
            <w:tcW w:w="1723" w:type="dxa"/>
            <w:vMerge/>
            <w:shd w:val="clear" w:color="auto" w:fill="auto"/>
            <w:vAlign w:val="center"/>
          </w:tcPr>
          <w:p w14:paraId="131683FE" w14:textId="77777777" w:rsidR="0022665C" w:rsidRDefault="0022665C">
            <w:pPr>
              <w:spacing w:line="360" w:lineRule="exact"/>
              <w:ind w:firstLineChars="200" w:firstLine="420"/>
              <w:jc w:val="center"/>
              <w:rPr>
                <w:rFonts w:ascii="微软雅黑" w:eastAsia="微软雅黑" w:hAnsi="微软雅黑" w:hint="eastAsia"/>
                <w:sz w:val="21"/>
                <w:szCs w:val="21"/>
              </w:rPr>
            </w:pPr>
          </w:p>
        </w:tc>
        <w:tc>
          <w:tcPr>
            <w:tcW w:w="1244" w:type="dxa"/>
            <w:shd w:val="clear" w:color="auto" w:fill="auto"/>
            <w:vAlign w:val="center"/>
          </w:tcPr>
          <w:p w14:paraId="61D2586D"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需求分析（4分）</w:t>
            </w:r>
          </w:p>
        </w:tc>
        <w:tc>
          <w:tcPr>
            <w:tcW w:w="4244" w:type="dxa"/>
            <w:shd w:val="clear" w:color="auto" w:fill="auto"/>
            <w:vAlign w:val="center"/>
          </w:tcPr>
          <w:p w14:paraId="5D972D6E"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投标人提供项目需求分析方案，内容包含但不限于：</w:t>
            </w:r>
          </w:p>
          <w:p w14:paraId="0BB6BB04"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对数据资源共享需求、多跨协同需求、网络安全需求、业务量及信息量需求、应用功能需求、性能需求的分析。</w:t>
            </w:r>
          </w:p>
          <w:p w14:paraId="7C314B10"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以上6项内容完整，需求分析具有完整性、合理性，针对性强，表述清晰得4分；其中有1项仅有标题而无实质意义叙述内容，或内容表述不完整，或缺少关键分析点，或方案内容表述前后矛盾、无连贯性，或内容存在逻辑漏洞、常识错误得2分；其中有2项仅有标题而无实质意义叙述内容，或内容表述不完整，或缺少关键分析点，或方案内容表述前后矛盾、无连贯性，或内容存在逻辑漏洞、常识错误得1分；3项及以上仅有标题而无实质意义叙述或未提供的不得分。</w:t>
            </w:r>
          </w:p>
        </w:tc>
        <w:tc>
          <w:tcPr>
            <w:tcW w:w="1636" w:type="dxa"/>
            <w:vMerge w:val="restart"/>
            <w:shd w:val="clear" w:color="auto" w:fill="auto"/>
            <w:vAlign w:val="center"/>
          </w:tcPr>
          <w:p w14:paraId="0A199103"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提供相关方案，格式自定。</w:t>
            </w:r>
          </w:p>
        </w:tc>
      </w:tr>
      <w:tr w:rsidR="0022665C" w14:paraId="3BCA1D44" w14:textId="77777777">
        <w:trPr>
          <w:trHeight w:val="2282"/>
          <w:jc w:val="center"/>
        </w:trPr>
        <w:tc>
          <w:tcPr>
            <w:tcW w:w="776" w:type="dxa"/>
            <w:vMerge/>
            <w:shd w:val="clear" w:color="auto" w:fill="auto"/>
            <w:vAlign w:val="center"/>
          </w:tcPr>
          <w:p w14:paraId="6156A035" w14:textId="77777777" w:rsidR="0022665C" w:rsidRDefault="0022665C">
            <w:pPr>
              <w:spacing w:line="360" w:lineRule="exact"/>
              <w:ind w:firstLineChars="200" w:firstLine="420"/>
              <w:jc w:val="center"/>
              <w:rPr>
                <w:rFonts w:ascii="微软雅黑" w:eastAsia="微软雅黑" w:hAnsi="微软雅黑" w:hint="eastAsia"/>
                <w:sz w:val="21"/>
                <w:szCs w:val="21"/>
              </w:rPr>
            </w:pPr>
          </w:p>
        </w:tc>
        <w:tc>
          <w:tcPr>
            <w:tcW w:w="1723" w:type="dxa"/>
            <w:vMerge/>
            <w:shd w:val="clear" w:color="auto" w:fill="auto"/>
            <w:vAlign w:val="center"/>
          </w:tcPr>
          <w:p w14:paraId="534CEE8A" w14:textId="77777777" w:rsidR="0022665C" w:rsidRDefault="0022665C">
            <w:pPr>
              <w:spacing w:line="360" w:lineRule="exact"/>
              <w:ind w:firstLineChars="200" w:firstLine="420"/>
              <w:jc w:val="center"/>
              <w:rPr>
                <w:rFonts w:ascii="微软雅黑" w:eastAsia="微软雅黑" w:hAnsi="微软雅黑" w:hint="eastAsia"/>
                <w:sz w:val="21"/>
                <w:szCs w:val="21"/>
              </w:rPr>
            </w:pPr>
          </w:p>
        </w:tc>
        <w:tc>
          <w:tcPr>
            <w:tcW w:w="1244" w:type="dxa"/>
            <w:shd w:val="clear" w:color="auto" w:fill="auto"/>
            <w:vAlign w:val="center"/>
          </w:tcPr>
          <w:p w14:paraId="49680371"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总体方案（10分）</w:t>
            </w:r>
          </w:p>
        </w:tc>
        <w:tc>
          <w:tcPr>
            <w:tcW w:w="4244" w:type="dxa"/>
            <w:shd w:val="clear" w:color="auto" w:fill="auto"/>
            <w:vAlign w:val="center"/>
          </w:tcPr>
          <w:p w14:paraId="3658E1B0"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投标人根据本招标文件的建设内容要求提供总体方案，内容包含但不限于：</w:t>
            </w:r>
          </w:p>
          <w:p w14:paraId="0AD6FC66"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1.总体架构设计：总体架构、业务架构、数据架构、网络架构；</w:t>
            </w:r>
          </w:p>
          <w:p w14:paraId="749D9843"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应用系统设计：市级中心城市大脑、区县中心实战枢纽、城市运行和治理体征、数字工作台、城市运行治理专报子系统、业务事项编目子系统、可视化渲染子系统、能力组件多租户服务子系统、业务应用模块化编辑子系统；</w:t>
            </w:r>
          </w:p>
          <w:p w14:paraId="5CE73FEB"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3.能力组件设计：业务协同网关、任务中心、事件中心、事项中心、智能预案、指标管理、考核管理、低代码开发；</w:t>
            </w:r>
          </w:p>
          <w:p w14:paraId="2E8C04B2"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4.数据资源设计：总体设计、市级数据、区县数据；</w:t>
            </w:r>
          </w:p>
          <w:p w14:paraId="4C9CF0D6"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以上4项内容完整，设计方案具有完整性、合理性，针对性强，表述清晰得10分；其中有1项内容欠缺，或仅有标题而无实质意义叙述内容，或内容表述不完整，或缺少关键分析点，或方案内容表述前后矛盾、无连贯性，或内容存在逻辑漏洞、常识错误得7分；其中有2项内容欠缺，或仅有标题而无实质意义叙述内容，或内容表述不完整，或缺少关键分析点，或方案内容表述前后矛盾、无连贯性，或内容存在逻辑漏洞、常识错误得3分；3项及以上内容欠缺或仅有标题而无实质意义叙述的或未提供不得分。</w:t>
            </w:r>
          </w:p>
        </w:tc>
        <w:tc>
          <w:tcPr>
            <w:tcW w:w="1636" w:type="dxa"/>
            <w:vMerge/>
            <w:shd w:val="clear" w:color="auto" w:fill="auto"/>
            <w:vAlign w:val="center"/>
          </w:tcPr>
          <w:p w14:paraId="3BD02938" w14:textId="77777777" w:rsidR="0022665C" w:rsidRDefault="0022665C">
            <w:pPr>
              <w:spacing w:line="360" w:lineRule="exact"/>
              <w:ind w:firstLineChars="200" w:firstLine="420"/>
              <w:jc w:val="left"/>
              <w:rPr>
                <w:rFonts w:ascii="微软雅黑" w:eastAsia="微软雅黑" w:hAnsi="微软雅黑" w:hint="eastAsia"/>
                <w:sz w:val="21"/>
                <w:szCs w:val="21"/>
              </w:rPr>
            </w:pPr>
          </w:p>
        </w:tc>
      </w:tr>
      <w:tr w:rsidR="0022665C" w14:paraId="1CF34D04" w14:textId="77777777">
        <w:trPr>
          <w:trHeight w:val="3036"/>
          <w:jc w:val="center"/>
        </w:trPr>
        <w:tc>
          <w:tcPr>
            <w:tcW w:w="776" w:type="dxa"/>
            <w:vMerge/>
            <w:shd w:val="clear" w:color="auto" w:fill="auto"/>
            <w:vAlign w:val="center"/>
          </w:tcPr>
          <w:p w14:paraId="53D17DF6" w14:textId="77777777" w:rsidR="0022665C" w:rsidRDefault="0022665C">
            <w:pPr>
              <w:spacing w:line="360" w:lineRule="exact"/>
              <w:ind w:firstLineChars="200" w:firstLine="420"/>
              <w:jc w:val="center"/>
              <w:rPr>
                <w:rFonts w:ascii="微软雅黑" w:eastAsia="微软雅黑" w:hAnsi="微软雅黑" w:hint="eastAsia"/>
                <w:sz w:val="21"/>
                <w:szCs w:val="21"/>
              </w:rPr>
            </w:pPr>
          </w:p>
        </w:tc>
        <w:tc>
          <w:tcPr>
            <w:tcW w:w="1723" w:type="dxa"/>
            <w:vMerge/>
            <w:shd w:val="clear" w:color="auto" w:fill="auto"/>
            <w:vAlign w:val="center"/>
          </w:tcPr>
          <w:p w14:paraId="26DA326A" w14:textId="77777777" w:rsidR="0022665C" w:rsidRDefault="0022665C">
            <w:pPr>
              <w:spacing w:line="360" w:lineRule="exact"/>
              <w:ind w:firstLineChars="200" w:firstLine="420"/>
              <w:jc w:val="center"/>
              <w:rPr>
                <w:rFonts w:ascii="微软雅黑" w:eastAsia="微软雅黑" w:hAnsi="微软雅黑" w:hint="eastAsia"/>
                <w:sz w:val="21"/>
                <w:szCs w:val="21"/>
              </w:rPr>
            </w:pPr>
          </w:p>
        </w:tc>
        <w:tc>
          <w:tcPr>
            <w:tcW w:w="1244" w:type="dxa"/>
            <w:shd w:val="clear" w:color="auto" w:fill="auto"/>
            <w:vAlign w:val="center"/>
          </w:tcPr>
          <w:p w14:paraId="1BCCE381"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系统对接方案</w:t>
            </w:r>
          </w:p>
          <w:p w14:paraId="1E407AEC"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（15分）</w:t>
            </w:r>
          </w:p>
        </w:tc>
        <w:tc>
          <w:tcPr>
            <w:tcW w:w="4244" w:type="dxa"/>
            <w:shd w:val="clear" w:color="auto" w:fill="auto"/>
            <w:vAlign w:val="center"/>
          </w:tcPr>
          <w:p w14:paraId="2AB865E9"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投标人根据本招标文件建设内容要求，结合对数字重庆建设和本系统的理解，制定系统对接方案，内容包含但不限于：</w:t>
            </w:r>
          </w:p>
          <w:p w14:paraId="7F2A5BA1"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1.制定与重庆市一体化智能化公共数据平台—公共数据资源管理系统1.0版的对接方案；</w:t>
            </w:r>
          </w:p>
          <w:p w14:paraId="170A3457"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2.制定与渝快政的对接方案；</w:t>
            </w:r>
          </w:p>
          <w:p w14:paraId="7D86A307"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3.制定与渝快办1.0版的对接方案；</w:t>
            </w:r>
          </w:p>
          <w:p w14:paraId="312930F1" w14:textId="77777777" w:rsidR="0022665C" w:rsidRDefault="00000000">
            <w:pPr>
              <w:spacing w:line="360" w:lineRule="exact"/>
              <w:ind w:firstLineChars="200" w:firstLine="420"/>
              <w:jc w:val="left"/>
            </w:pPr>
            <w:r>
              <w:rPr>
                <w:rFonts w:ascii="微软雅黑" w:eastAsia="微软雅黑" w:hAnsi="微软雅黑" w:hint="eastAsia"/>
                <w:sz w:val="21"/>
                <w:szCs w:val="21"/>
              </w:rPr>
              <w:t>4.制定与乡镇（街道）一体化治理智治平台的对接方案；</w:t>
            </w:r>
          </w:p>
          <w:p w14:paraId="14474886"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5.制定与周边应用关系说明方案（重庆市一体化智能化公共数据平台—公共数据资源管理系统1.0版、渝快政、渝快办1.0版、六大系统、乡镇（街道）一体化治理智治平台）。</w:t>
            </w:r>
          </w:p>
          <w:p w14:paraId="0DB5EE49"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以上5项内容完整，方案具有完整性、合理性，针对性强，表述清晰得15分；其中有1项仅有标题而无实质意义叙述内容，或内容表述不完整，或缺少关键分析点，或方案内容表述前后矛盾、无连贯性，或内容存在逻辑漏洞、常识错误得10分；其中有2项仅有标题而无实质意义叙述内容，或内容表述不完整，或缺少关键分析点，或方案内容表述前后矛盾、无连贯性，或内容存在逻辑漏洞、常识错误得4分；3项及以上仅有标题而无实质意义叙述或未提供的不得分。</w:t>
            </w:r>
          </w:p>
        </w:tc>
        <w:tc>
          <w:tcPr>
            <w:tcW w:w="1636" w:type="dxa"/>
            <w:vMerge/>
            <w:shd w:val="clear" w:color="auto" w:fill="auto"/>
            <w:vAlign w:val="center"/>
          </w:tcPr>
          <w:p w14:paraId="17832370" w14:textId="77777777" w:rsidR="0022665C" w:rsidRDefault="0022665C">
            <w:pPr>
              <w:spacing w:line="360" w:lineRule="exact"/>
              <w:ind w:firstLineChars="200" w:firstLine="420"/>
              <w:jc w:val="left"/>
              <w:rPr>
                <w:rFonts w:ascii="微软雅黑" w:eastAsia="微软雅黑" w:hAnsi="微软雅黑" w:hint="eastAsia"/>
                <w:sz w:val="21"/>
                <w:szCs w:val="21"/>
              </w:rPr>
            </w:pPr>
          </w:p>
        </w:tc>
      </w:tr>
      <w:tr w:rsidR="0022665C" w14:paraId="36F90A7D" w14:textId="77777777">
        <w:trPr>
          <w:trHeight w:val="801"/>
          <w:jc w:val="center"/>
        </w:trPr>
        <w:tc>
          <w:tcPr>
            <w:tcW w:w="776" w:type="dxa"/>
            <w:vMerge/>
            <w:shd w:val="clear" w:color="auto" w:fill="auto"/>
            <w:vAlign w:val="center"/>
          </w:tcPr>
          <w:p w14:paraId="3CDE5750" w14:textId="77777777" w:rsidR="0022665C" w:rsidRDefault="0022665C">
            <w:pPr>
              <w:spacing w:line="360" w:lineRule="exact"/>
              <w:ind w:firstLineChars="200" w:firstLine="420"/>
              <w:jc w:val="center"/>
              <w:rPr>
                <w:rFonts w:ascii="微软雅黑" w:eastAsia="微软雅黑" w:hAnsi="微软雅黑" w:hint="eastAsia"/>
                <w:sz w:val="21"/>
                <w:szCs w:val="21"/>
              </w:rPr>
            </w:pPr>
          </w:p>
        </w:tc>
        <w:tc>
          <w:tcPr>
            <w:tcW w:w="1723" w:type="dxa"/>
            <w:vMerge/>
            <w:shd w:val="clear" w:color="auto" w:fill="auto"/>
            <w:vAlign w:val="center"/>
          </w:tcPr>
          <w:p w14:paraId="38C86F21" w14:textId="77777777" w:rsidR="0022665C" w:rsidRDefault="0022665C">
            <w:pPr>
              <w:spacing w:line="360" w:lineRule="exact"/>
              <w:ind w:firstLineChars="200" w:firstLine="420"/>
              <w:jc w:val="center"/>
              <w:rPr>
                <w:rFonts w:ascii="微软雅黑" w:eastAsia="微软雅黑" w:hAnsi="微软雅黑" w:hint="eastAsia"/>
                <w:sz w:val="21"/>
                <w:szCs w:val="21"/>
              </w:rPr>
            </w:pPr>
          </w:p>
        </w:tc>
        <w:tc>
          <w:tcPr>
            <w:tcW w:w="1244" w:type="dxa"/>
            <w:shd w:val="clear" w:color="auto" w:fill="auto"/>
            <w:vAlign w:val="center"/>
          </w:tcPr>
          <w:p w14:paraId="7C5C215F"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系统演示（16分）</w:t>
            </w:r>
          </w:p>
        </w:tc>
        <w:tc>
          <w:tcPr>
            <w:tcW w:w="4244" w:type="dxa"/>
            <w:shd w:val="clear" w:color="auto" w:fill="auto"/>
            <w:vAlign w:val="center"/>
          </w:tcPr>
          <w:p w14:paraId="7579384A" w14:textId="77777777" w:rsidR="0022665C" w:rsidRDefault="00000000">
            <w:pPr>
              <w:widowControl/>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演示方式：投标人可采用系统实际操作、系统录屏的方式演示，不得采用PPT、FLASH合成、动画制作、产品原型（设计的初步模型）等方式进行演示；</w:t>
            </w:r>
          </w:p>
          <w:p w14:paraId="4671559C" w14:textId="77777777" w:rsidR="0022665C" w:rsidRDefault="00000000">
            <w:pPr>
              <w:widowControl/>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投标人自主选择进行展示，主要展示内容包括：</w:t>
            </w:r>
          </w:p>
          <w:p w14:paraId="04EE1CB7" w14:textId="77777777" w:rsidR="0022665C" w:rsidRDefault="00000000">
            <w:pPr>
              <w:widowControl/>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（1）市级中心城市大脑（4分）：演示城市运行体征概览、治理中心工作体系查询、地图切换、事件单详情等4项功能，完整演示全部功能点得4分，每缺少一项功能点扣1分，未演示或无法正常演示，该项得0分。</w:t>
            </w:r>
          </w:p>
          <w:p w14:paraId="3DD04031" w14:textId="77777777" w:rsidR="0022665C" w:rsidRDefault="00000000">
            <w:pPr>
              <w:widowControl/>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（2）数字工作台（4分）：演示事件单发起、事件单查询、业务事项编辑、标准业务事项查询等4项功能，完整演示全部功能点得4分，每缺少一项功能点扣1分，未演示或无法正常演示，该项得0分。</w:t>
            </w:r>
          </w:p>
          <w:p w14:paraId="793B7BFA" w14:textId="77777777" w:rsidR="0022665C" w:rsidRDefault="00000000">
            <w:pPr>
              <w:widowControl/>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（3）业务应用模块化编辑子系统（4分）：演示指标接入配置、监控配置、贯通应用配置、驾驶舱配置审核等4项功能，完整演示全部功能点得4分，每缺少一项功能点扣1分，未演示或无法正常演示，该项得0分。</w:t>
            </w:r>
          </w:p>
          <w:p w14:paraId="7A102066" w14:textId="77777777" w:rsidR="0022665C" w:rsidRDefault="00000000">
            <w:pPr>
              <w:widowControl/>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（4）支撑组件功能演示（4分）：演示事件关联预案配置、表单配置、事件源创建、预案管理等4项功能，完整演示全部功能点得4分，每缺少一项功能点扣1分，未演示或无法正常演示，该项得0分。</w:t>
            </w:r>
          </w:p>
        </w:tc>
        <w:tc>
          <w:tcPr>
            <w:tcW w:w="1636" w:type="dxa"/>
            <w:shd w:val="clear" w:color="auto" w:fill="auto"/>
            <w:vAlign w:val="center"/>
          </w:tcPr>
          <w:p w14:paraId="57B7EF8D"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1.投标人按递交投标文件的签到顺序进行演示，演示的人数不超过2人，每位投标人演示时间不超过20分钟；</w:t>
            </w:r>
          </w:p>
          <w:p w14:paraId="466DCFDC"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依序收到演示通知5分钟后还未出现在演示现场的投标人，视为放弃演示。</w:t>
            </w:r>
          </w:p>
          <w:p w14:paraId="7DCC0A61"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2.投标人需自备现场述标所需设备及网络，提前进行软硬件运行环境配置。</w:t>
            </w:r>
          </w:p>
          <w:p w14:paraId="17B714D1"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3.投标人如采用系统实际操作方式演示，每一项功能点的评分将依据预设分值的100%计算；如采用系统录屏方式演示，每一项评分按原总计算分值的60%计算。</w:t>
            </w:r>
          </w:p>
          <w:p w14:paraId="65A646DA"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4.现场演示得分扣完为止。</w:t>
            </w:r>
          </w:p>
        </w:tc>
      </w:tr>
      <w:tr w:rsidR="0022665C" w14:paraId="6B065113" w14:textId="77777777">
        <w:trPr>
          <w:trHeight w:val="552"/>
          <w:jc w:val="center"/>
        </w:trPr>
        <w:tc>
          <w:tcPr>
            <w:tcW w:w="776" w:type="dxa"/>
            <w:vMerge w:val="restart"/>
            <w:shd w:val="clear" w:color="auto" w:fill="auto"/>
            <w:vAlign w:val="center"/>
          </w:tcPr>
          <w:p w14:paraId="0B142977"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3</w:t>
            </w:r>
          </w:p>
        </w:tc>
        <w:tc>
          <w:tcPr>
            <w:tcW w:w="1723" w:type="dxa"/>
            <w:vMerge w:val="restart"/>
            <w:shd w:val="clear" w:color="auto" w:fill="auto"/>
            <w:vAlign w:val="center"/>
          </w:tcPr>
          <w:p w14:paraId="1F877BB8"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商务部分（15%）</w:t>
            </w:r>
          </w:p>
        </w:tc>
        <w:tc>
          <w:tcPr>
            <w:tcW w:w="1244" w:type="dxa"/>
            <w:shd w:val="clear" w:color="auto" w:fill="auto"/>
            <w:vAlign w:val="center"/>
          </w:tcPr>
          <w:p w14:paraId="2BA2123E"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投标人实力（2分）</w:t>
            </w:r>
          </w:p>
        </w:tc>
        <w:tc>
          <w:tcPr>
            <w:tcW w:w="4244" w:type="dxa"/>
            <w:shd w:val="clear" w:color="auto" w:fill="auto"/>
            <w:vAlign w:val="center"/>
          </w:tcPr>
          <w:p w14:paraId="03A2AA8C"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1.投标人具有ISO20000信息技术服务管理体系认证证书得1分；</w:t>
            </w:r>
          </w:p>
          <w:p w14:paraId="12755E0E"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2.投标人具有ISO27001信息安全管理体系认证证书得1分。</w:t>
            </w:r>
          </w:p>
        </w:tc>
        <w:tc>
          <w:tcPr>
            <w:tcW w:w="1636" w:type="dxa"/>
            <w:shd w:val="clear" w:color="auto" w:fill="auto"/>
            <w:vAlign w:val="center"/>
          </w:tcPr>
          <w:p w14:paraId="3BA60478"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提供有效的证书复印件并加盖投标人公章。</w:t>
            </w:r>
          </w:p>
        </w:tc>
      </w:tr>
      <w:tr w:rsidR="0022665C" w14:paraId="7F8011FB" w14:textId="77777777">
        <w:trPr>
          <w:trHeight w:val="552"/>
          <w:jc w:val="center"/>
        </w:trPr>
        <w:tc>
          <w:tcPr>
            <w:tcW w:w="776" w:type="dxa"/>
            <w:vMerge/>
            <w:shd w:val="clear" w:color="auto" w:fill="auto"/>
            <w:vAlign w:val="center"/>
          </w:tcPr>
          <w:p w14:paraId="6C612BCD" w14:textId="77777777" w:rsidR="0022665C" w:rsidRDefault="0022665C">
            <w:pPr>
              <w:spacing w:line="360" w:lineRule="exact"/>
              <w:ind w:firstLineChars="200" w:firstLine="420"/>
              <w:jc w:val="left"/>
              <w:rPr>
                <w:rFonts w:ascii="微软雅黑" w:eastAsia="微软雅黑" w:hAnsi="微软雅黑" w:hint="eastAsia"/>
                <w:sz w:val="21"/>
                <w:szCs w:val="21"/>
              </w:rPr>
            </w:pPr>
          </w:p>
        </w:tc>
        <w:tc>
          <w:tcPr>
            <w:tcW w:w="1723" w:type="dxa"/>
            <w:vMerge/>
            <w:shd w:val="clear" w:color="auto" w:fill="auto"/>
            <w:vAlign w:val="center"/>
          </w:tcPr>
          <w:p w14:paraId="66DA58DF" w14:textId="77777777" w:rsidR="0022665C" w:rsidRDefault="0022665C">
            <w:pPr>
              <w:spacing w:line="360" w:lineRule="exact"/>
              <w:ind w:firstLineChars="200" w:firstLine="420"/>
              <w:jc w:val="left"/>
              <w:rPr>
                <w:rFonts w:ascii="微软雅黑" w:eastAsia="微软雅黑" w:hAnsi="微软雅黑" w:hint="eastAsia"/>
                <w:sz w:val="21"/>
                <w:szCs w:val="21"/>
              </w:rPr>
            </w:pPr>
          </w:p>
        </w:tc>
        <w:tc>
          <w:tcPr>
            <w:tcW w:w="1244" w:type="dxa"/>
            <w:shd w:val="clear" w:color="auto" w:fill="auto"/>
            <w:vAlign w:val="center"/>
          </w:tcPr>
          <w:p w14:paraId="61905786"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业绩</w:t>
            </w:r>
          </w:p>
          <w:p w14:paraId="797A9AD3"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（5分）</w:t>
            </w:r>
          </w:p>
        </w:tc>
        <w:tc>
          <w:tcPr>
            <w:tcW w:w="4244" w:type="dxa"/>
            <w:shd w:val="clear" w:color="auto" w:fill="auto"/>
            <w:vAlign w:val="center"/>
          </w:tcPr>
          <w:p w14:paraId="6F92871D"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投标人提供2021年10月至今，与本项目类似的政务信息化项目案例，每提供一个得2.5分，最多得5分，未提供不得分。</w:t>
            </w:r>
          </w:p>
        </w:tc>
        <w:tc>
          <w:tcPr>
            <w:tcW w:w="1636" w:type="dxa"/>
            <w:shd w:val="clear" w:color="auto" w:fill="auto"/>
            <w:vAlign w:val="center"/>
          </w:tcPr>
          <w:p w14:paraId="6356441E"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提供合同关键页复印件并加盖投标人公章。</w:t>
            </w:r>
          </w:p>
        </w:tc>
      </w:tr>
      <w:tr w:rsidR="0022665C" w14:paraId="6291EEC8" w14:textId="77777777">
        <w:trPr>
          <w:trHeight w:val="983"/>
          <w:jc w:val="center"/>
        </w:trPr>
        <w:tc>
          <w:tcPr>
            <w:tcW w:w="776" w:type="dxa"/>
            <w:vMerge/>
            <w:shd w:val="clear" w:color="auto" w:fill="auto"/>
            <w:vAlign w:val="center"/>
          </w:tcPr>
          <w:p w14:paraId="6F3EB747" w14:textId="77777777" w:rsidR="0022665C" w:rsidRDefault="0022665C">
            <w:pPr>
              <w:spacing w:line="360" w:lineRule="exact"/>
              <w:ind w:firstLineChars="200" w:firstLine="420"/>
              <w:jc w:val="left"/>
              <w:rPr>
                <w:rFonts w:ascii="微软雅黑" w:eastAsia="微软雅黑" w:hAnsi="微软雅黑" w:hint="eastAsia"/>
                <w:sz w:val="21"/>
                <w:szCs w:val="21"/>
              </w:rPr>
            </w:pPr>
          </w:p>
        </w:tc>
        <w:tc>
          <w:tcPr>
            <w:tcW w:w="1723" w:type="dxa"/>
            <w:vMerge/>
            <w:shd w:val="clear" w:color="auto" w:fill="auto"/>
            <w:vAlign w:val="center"/>
          </w:tcPr>
          <w:p w14:paraId="540A0A9D" w14:textId="77777777" w:rsidR="0022665C" w:rsidRDefault="0022665C">
            <w:pPr>
              <w:spacing w:line="360" w:lineRule="exact"/>
              <w:ind w:firstLineChars="200" w:firstLine="420"/>
              <w:jc w:val="left"/>
              <w:rPr>
                <w:rFonts w:ascii="微软雅黑" w:eastAsia="微软雅黑" w:hAnsi="微软雅黑" w:hint="eastAsia"/>
                <w:sz w:val="21"/>
                <w:szCs w:val="21"/>
              </w:rPr>
            </w:pPr>
          </w:p>
        </w:tc>
        <w:tc>
          <w:tcPr>
            <w:tcW w:w="1244" w:type="dxa"/>
            <w:shd w:val="clear" w:color="auto" w:fill="auto"/>
            <w:vAlign w:val="center"/>
          </w:tcPr>
          <w:p w14:paraId="20461190" w14:textId="77777777" w:rsidR="0022665C" w:rsidRDefault="00000000">
            <w:pPr>
              <w:spacing w:line="360" w:lineRule="exact"/>
              <w:jc w:val="center"/>
              <w:rPr>
                <w:rFonts w:ascii="微软雅黑" w:eastAsia="微软雅黑" w:hAnsi="微软雅黑" w:hint="eastAsia"/>
                <w:sz w:val="21"/>
                <w:szCs w:val="21"/>
              </w:rPr>
            </w:pPr>
            <w:r>
              <w:rPr>
                <w:rFonts w:ascii="微软雅黑" w:eastAsia="微软雅黑" w:hAnsi="微软雅黑" w:hint="eastAsia"/>
                <w:sz w:val="21"/>
                <w:szCs w:val="21"/>
              </w:rPr>
              <w:t>人员资质（8分）</w:t>
            </w:r>
          </w:p>
        </w:tc>
        <w:tc>
          <w:tcPr>
            <w:tcW w:w="4244" w:type="dxa"/>
            <w:shd w:val="clear" w:color="auto" w:fill="auto"/>
            <w:vAlign w:val="center"/>
          </w:tcPr>
          <w:p w14:paraId="3B1C83B3"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投标人拟派本项目的驻场人员中：</w:t>
            </w:r>
          </w:p>
          <w:p w14:paraId="4FF54151"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1.项目经理：具有高级信息系统项目管理师证书的，得2分；否则不得分；</w:t>
            </w:r>
          </w:p>
          <w:p w14:paraId="0ED7B1B8"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2.技术负责人：具有电子信息相关高级工程师职称，得2分；否则不得分；</w:t>
            </w:r>
          </w:p>
          <w:p w14:paraId="03C9ABE6"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3.除项目经理和技术负责人外的其他团队成员：具有软件设计师、注册信息安全专业人员（CISP）、网络工程师、ITSS IT服务经理认证证书；每提供一项证书的，得1分，满分4分。</w:t>
            </w:r>
          </w:p>
          <w:p w14:paraId="6AD4580A" w14:textId="77777777" w:rsidR="0022665C" w:rsidRDefault="00000000">
            <w:pPr>
              <w:spacing w:line="360" w:lineRule="exact"/>
              <w:ind w:firstLineChars="200" w:firstLine="420"/>
              <w:jc w:val="left"/>
              <w:rPr>
                <w:rFonts w:ascii="微软雅黑" w:eastAsia="微软雅黑" w:hAnsi="微软雅黑" w:hint="eastAsia"/>
                <w:sz w:val="21"/>
                <w:szCs w:val="21"/>
              </w:rPr>
            </w:pPr>
            <w:r>
              <w:rPr>
                <w:rFonts w:ascii="微软雅黑" w:eastAsia="微软雅黑" w:hAnsi="微软雅黑" w:cs="微软雅黑" w:hint="eastAsia"/>
                <w:sz w:val="21"/>
                <w:szCs w:val="21"/>
                <w:lang w:val="zh-CN"/>
              </w:rPr>
              <w:t>注：</w:t>
            </w:r>
            <w:r>
              <w:rPr>
                <w:rFonts w:ascii="微软雅黑" w:eastAsia="微软雅黑" w:hAnsi="微软雅黑" w:cs="微软雅黑" w:hint="eastAsia"/>
                <w:sz w:val="21"/>
                <w:szCs w:val="21"/>
              </w:rPr>
              <w:t>同一个</w:t>
            </w:r>
            <w:r>
              <w:rPr>
                <w:rFonts w:ascii="微软雅黑" w:eastAsia="微软雅黑" w:hAnsi="微软雅黑" w:cs="微软雅黑" w:hint="eastAsia"/>
                <w:sz w:val="21"/>
                <w:szCs w:val="21"/>
                <w:lang w:val="zh-CN"/>
              </w:rPr>
              <w:t>人不重复计算</w:t>
            </w:r>
            <w:r>
              <w:rPr>
                <w:rFonts w:ascii="微软雅黑" w:eastAsia="微软雅黑" w:hAnsi="微软雅黑" w:cs="微软雅黑" w:hint="eastAsia"/>
                <w:sz w:val="21"/>
                <w:szCs w:val="21"/>
              </w:rPr>
              <w:t>得分。</w:t>
            </w:r>
          </w:p>
        </w:tc>
        <w:tc>
          <w:tcPr>
            <w:tcW w:w="1636" w:type="dxa"/>
            <w:shd w:val="clear" w:color="auto" w:fill="auto"/>
            <w:vAlign w:val="center"/>
          </w:tcPr>
          <w:p w14:paraId="6F426E64" w14:textId="77777777" w:rsidR="0022665C" w:rsidRDefault="00000000">
            <w:pPr>
              <w:spacing w:line="360" w:lineRule="exact"/>
              <w:jc w:val="left"/>
              <w:rPr>
                <w:rFonts w:ascii="微软雅黑" w:eastAsia="微软雅黑" w:hAnsi="微软雅黑" w:hint="eastAsia"/>
                <w:sz w:val="21"/>
                <w:szCs w:val="21"/>
              </w:rPr>
            </w:pPr>
            <w:r>
              <w:rPr>
                <w:rFonts w:ascii="微软雅黑" w:eastAsia="微软雅黑" w:hAnsi="微软雅黑" w:hint="eastAsia"/>
                <w:sz w:val="21"/>
                <w:szCs w:val="21"/>
              </w:rPr>
              <w:t>提供人员证书复印件及人员在投标单位缴纳的2024年任意两个月及以上社保证明材料复印件。成立不足上述时间的新公司或新入职员工可提供人员劳动（务）合同复印件。</w:t>
            </w:r>
          </w:p>
        </w:tc>
      </w:tr>
    </w:tbl>
    <w:p w14:paraId="1382639F" w14:textId="77777777" w:rsidR="0022665C" w:rsidRDefault="00000000">
      <w:pPr>
        <w:pStyle w:val="a3"/>
        <w:spacing w:line="440" w:lineRule="atLeast"/>
        <w:ind w:firstLineChars="200"/>
        <w:rPr>
          <w:rFonts w:ascii="微软雅黑" w:eastAsia="微软雅黑" w:hAnsi="微软雅黑" w:hint="eastAsia"/>
          <w:sz w:val="21"/>
          <w:szCs w:val="21"/>
        </w:rPr>
      </w:pPr>
      <w:r>
        <w:rPr>
          <w:rFonts w:ascii="微软雅黑" w:eastAsia="微软雅黑" w:hAnsi="微软雅黑"/>
          <w:sz w:val="21"/>
          <w:szCs w:val="21"/>
        </w:rPr>
        <w:t>说明：</w:t>
      </w:r>
    </w:p>
    <w:p w14:paraId="0C3492FF" w14:textId="77777777" w:rsidR="0022665C" w:rsidRDefault="00000000">
      <w:pPr>
        <w:pStyle w:val="a3"/>
        <w:spacing w:line="440" w:lineRule="atLeast"/>
        <w:ind w:firstLineChars="200"/>
        <w:rPr>
          <w:rFonts w:ascii="微软雅黑" w:eastAsia="微软雅黑" w:hAnsi="微软雅黑" w:hint="eastAsia"/>
          <w:sz w:val="21"/>
          <w:szCs w:val="21"/>
        </w:rPr>
      </w:pPr>
      <w:r>
        <w:rPr>
          <w:rFonts w:ascii="微软雅黑" w:eastAsia="微软雅黑" w:hAnsi="微软雅黑"/>
          <w:sz w:val="21"/>
          <w:szCs w:val="21"/>
        </w:rPr>
        <w:t>1.</w:t>
      </w:r>
      <w:r>
        <w:rPr>
          <w:rFonts w:ascii="微软雅黑" w:eastAsia="微软雅黑" w:hAnsi="微软雅黑" w:hint="eastAsia"/>
          <w:sz w:val="21"/>
          <w:szCs w:val="21"/>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r>
        <w:rPr>
          <w:rFonts w:ascii="微软雅黑" w:eastAsia="微软雅黑" w:hAnsi="微软雅黑"/>
          <w:sz w:val="21"/>
          <w:szCs w:val="21"/>
        </w:rPr>
        <w:t>。</w:t>
      </w:r>
    </w:p>
    <w:p w14:paraId="57F7F802" w14:textId="77777777" w:rsidR="0022665C" w:rsidRDefault="00000000">
      <w:pPr>
        <w:pStyle w:val="a3"/>
        <w:spacing w:line="440" w:lineRule="atLeast"/>
        <w:ind w:firstLineChars="200"/>
        <w:rPr>
          <w:rFonts w:ascii="微软雅黑" w:eastAsia="微软雅黑" w:hAnsi="微软雅黑" w:hint="eastAsia"/>
          <w:sz w:val="21"/>
          <w:szCs w:val="21"/>
        </w:rPr>
      </w:pPr>
      <w:r>
        <w:rPr>
          <w:rFonts w:ascii="微软雅黑" w:eastAsia="微软雅黑" w:hAnsi="微软雅黑" w:hint="eastAsia"/>
          <w:sz w:val="21"/>
          <w:szCs w:val="21"/>
        </w:rPr>
        <w:t>2.重庆市公共资源交易中心询标系统外接设备说明：询标系统信号输入仅支持HDMI接口，建议外接设备自带HDMI输出接口。（重庆市公共资源交易中心配备了常用的VGA、type-c、苹果雷电口转HDMI转换头，但请自行考虑信号转换过程中的不稳定风险，做好预防措施）。</w:t>
      </w:r>
    </w:p>
    <w:p w14:paraId="5EF2477B" w14:textId="77777777" w:rsidR="0022665C" w:rsidRDefault="00000000">
      <w:pPr>
        <w:pStyle w:val="2"/>
        <w:spacing w:line="560" w:lineRule="atLeast"/>
        <w:ind w:firstLine="480"/>
        <w:jc w:val="left"/>
        <w:rPr>
          <w:rFonts w:ascii="微软雅黑" w:eastAsia="微软雅黑" w:hAnsi="微软雅黑" w:hint="eastAsia"/>
          <w:b/>
          <w:bCs/>
          <w:sz w:val="24"/>
        </w:rPr>
      </w:pPr>
      <w:bookmarkStart w:id="168" w:name="_Toc12393"/>
      <w:bookmarkStart w:id="169" w:name="_Toc9688"/>
      <w:bookmarkStart w:id="170" w:name="_Toc27072"/>
      <w:bookmarkStart w:id="171" w:name="_Toc14842"/>
      <w:r>
        <w:rPr>
          <w:rFonts w:ascii="微软雅黑" w:eastAsia="微软雅黑" w:hAnsi="微软雅黑" w:hint="eastAsia"/>
          <w:b/>
          <w:bCs/>
          <w:sz w:val="24"/>
        </w:rPr>
        <w:t>四、无效投标条款</w:t>
      </w:r>
      <w:bookmarkEnd w:id="168"/>
      <w:bookmarkEnd w:id="169"/>
      <w:bookmarkEnd w:id="170"/>
      <w:bookmarkEnd w:id="171"/>
    </w:p>
    <w:p w14:paraId="0FAD22F6"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投标人或其投标文件出现下列情况之一者，应为无效投标：</w:t>
      </w:r>
    </w:p>
    <w:p w14:paraId="0022F2B7"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（一）未按照招标文件的规定提交投标保证金的；</w:t>
      </w:r>
    </w:p>
    <w:p w14:paraId="57C6048F"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（二）投标文件未按招标文件要求签署、盖章的；</w:t>
      </w:r>
    </w:p>
    <w:p w14:paraId="62A9D6FD"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（三）不具备招标文件中规定的资格要求的；</w:t>
      </w:r>
    </w:p>
    <w:p w14:paraId="28A9857F"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（四）报价超过招标文件中规定的预算金额或者最高限价的；</w:t>
      </w:r>
    </w:p>
    <w:p w14:paraId="0A732DF6"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（五）投标文件含有采购人不能接受的附加条件的；</w:t>
      </w:r>
    </w:p>
    <w:p w14:paraId="7FB6DB27"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（六）投标人串通投标的；</w:t>
      </w:r>
    </w:p>
    <w:p w14:paraId="25026E7E"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（七）法律、法规和招标文件规定的其他无效情形</w:t>
      </w:r>
      <w:r>
        <w:rPr>
          <w:rFonts w:ascii="微软雅黑" w:eastAsia="微软雅黑" w:hAnsi="微软雅黑"/>
          <w:sz w:val="21"/>
          <w:szCs w:val="21"/>
        </w:rPr>
        <w:t>。</w:t>
      </w:r>
    </w:p>
    <w:p w14:paraId="69558D0C" w14:textId="77777777" w:rsidR="0022665C" w:rsidRDefault="00000000">
      <w:pPr>
        <w:pStyle w:val="2"/>
        <w:spacing w:line="560" w:lineRule="atLeast"/>
        <w:ind w:firstLine="480"/>
        <w:jc w:val="left"/>
        <w:rPr>
          <w:rFonts w:ascii="微软雅黑" w:eastAsia="微软雅黑" w:hAnsi="微软雅黑" w:hint="eastAsia"/>
          <w:b/>
          <w:bCs/>
          <w:sz w:val="24"/>
        </w:rPr>
      </w:pPr>
      <w:bookmarkStart w:id="172" w:name="_Toc29622"/>
      <w:bookmarkStart w:id="173" w:name="_Toc2844"/>
      <w:bookmarkStart w:id="174" w:name="_Toc8991"/>
      <w:bookmarkStart w:id="175" w:name="_Toc31666"/>
      <w:r>
        <w:rPr>
          <w:rFonts w:ascii="微软雅黑" w:eastAsia="微软雅黑" w:hAnsi="微软雅黑" w:hint="eastAsia"/>
          <w:b/>
          <w:bCs/>
          <w:sz w:val="24"/>
        </w:rPr>
        <w:t>五、废标条款</w:t>
      </w:r>
      <w:bookmarkEnd w:id="172"/>
      <w:bookmarkEnd w:id="173"/>
      <w:bookmarkEnd w:id="174"/>
      <w:bookmarkEnd w:id="175"/>
    </w:p>
    <w:p w14:paraId="1210E4D2"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在招标采购中，出现以下情况之一的，应予废标：</w:t>
      </w:r>
    </w:p>
    <w:p w14:paraId="2D270F8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（一）符合专业条件的供应商或者对招标文件作实质响应的</w:t>
      </w:r>
      <w:r>
        <w:rPr>
          <w:rFonts w:ascii="微软雅黑" w:eastAsia="微软雅黑" w:hAnsi="微软雅黑"/>
          <w:sz w:val="21"/>
          <w:szCs w:val="21"/>
        </w:rPr>
        <w:t>投标人不足三家的；</w:t>
      </w:r>
    </w:p>
    <w:p w14:paraId="4E8A78B7"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（二）投标人的报价均超过了采购预算或最高限价，采购人不能支付的；</w:t>
      </w:r>
    </w:p>
    <w:p w14:paraId="3145EECE"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（三）出现影响采购公正的违法、违规行为的；</w:t>
      </w:r>
    </w:p>
    <w:p w14:paraId="62E72502"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（四）因重大变故，采购任务取消的。</w:t>
      </w:r>
    </w:p>
    <w:p w14:paraId="5883A53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废标后，除采购任务取消情形外，应当重新组织采购</w:t>
      </w:r>
      <w:r>
        <w:rPr>
          <w:rFonts w:ascii="微软雅黑" w:eastAsia="微软雅黑" w:hAnsi="微软雅黑"/>
          <w:sz w:val="21"/>
          <w:szCs w:val="21"/>
        </w:rPr>
        <w:t>。</w:t>
      </w:r>
    </w:p>
    <w:p w14:paraId="4D658FCF" w14:textId="77777777" w:rsidR="0022665C" w:rsidRDefault="00000000">
      <w:pPr>
        <w:pStyle w:val="1"/>
        <w:numPr>
          <w:ilvl w:val="0"/>
          <w:numId w:val="3"/>
        </w:numPr>
        <w:tabs>
          <w:tab w:val="left" w:pos="1530"/>
          <w:tab w:val="left" w:pos="3940"/>
          <w:tab w:val="left" w:pos="7484"/>
          <w:tab w:val="left" w:pos="8052"/>
        </w:tabs>
        <w:spacing w:beforeLines="0" w:afterLines="0" w:line="480" w:lineRule="auto"/>
        <w:ind w:left="0" w:firstLine="0"/>
        <w:rPr>
          <w:rFonts w:ascii="微软雅黑" w:eastAsia="微软雅黑" w:hAnsi="微软雅黑" w:hint="eastAsia"/>
          <w:b/>
          <w:sz w:val="36"/>
          <w:szCs w:val="36"/>
        </w:rPr>
      </w:pPr>
      <w:r>
        <w:rPr>
          <w:rFonts w:ascii="微软雅黑" w:eastAsia="微软雅黑" w:hAnsi="微软雅黑"/>
          <w:sz w:val="21"/>
          <w:szCs w:val="21"/>
        </w:rPr>
        <w:br w:type="page"/>
      </w:r>
      <w:bookmarkStart w:id="176" w:name="_Toc28664"/>
      <w:bookmarkStart w:id="177" w:name="_Toc25244"/>
      <w:bookmarkStart w:id="178" w:name="_Toc10550"/>
      <w:bookmarkStart w:id="179" w:name="_Toc150335785"/>
      <w:bookmarkStart w:id="180" w:name="_Toc32723"/>
      <w:r>
        <w:rPr>
          <w:rFonts w:ascii="微软雅黑" w:eastAsia="微软雅黑" w:hAnsi="微软雅黑"/>
          <w:b/>
          <w:sz w:val="36"/>
          <w:szCs w:val="36"/>
        </w:rPr>
        <w:t>投标人须知</w:t>
      </w:r>
      <w:bookmarkEnd w:id="176"/>
      <w:bookmarkEnd w:id="177"/>
      <w:bookmarkEnd w:id="178"/>
      <w:bookmarkEnd w:id="179"/>
      <w:bookmarkEnd w:id="180"/>
    </w:p>
    <w:p w14:paraId="4C4AE2D2" w14:textId="77777777" w:rsidR="0022665C" w:rsidRDefault="00000000">
      <w:pPr>
        <w:pStyle w:val="2"/>
        <w:spacing w:line="560" w:lineRule="atLeast"/>
        <w:ind w:firstLine="480"/>
        <w:jc w:val="left"/>
        <w:rPr>
          <w:rFonts w:ascii="微软雅黑" w:eastAsia="微软雅黑" w:hAnsi="微软雅黑" w:hint="eastAsia"/>
          <w:b/>
          <w:bCs/>
          <w:sz w:val="24"/>
        </w:rPr>
      </w:pPr>
      <w:bookmarkStart w:id="181" w:name="_Toc10776"/>
      <w:bookmarkStart w:id="182" w:name="_Toc150335786"/>
      <w:bookmarkStart w:id="183" w:name="_Toc24439"/>
      <w:bookmarkStart w:id="184" w:name="_Toc13779"/>
      <w:bookmarkStart w:id="185" w:name="_Toc17283"/>
      <w:r>
        <w:rPr>
          <w:rFonts w:ascii="微软雅黑" w:eastAsia="微软雅黑" w:hAnsi="微软雅黑" w:hint="eastAsia"/>
          <w:b/>
          <w:bCs/>
          <w:sz w:val="24"/>
        </w:rPr>
        <w:t>一、投标人</w:t>
      </w:r>
      <w:bookmarkEnd w:id="181"/>
      <w:bookmarkEnd w:id="182"/>
      <w:bookmarkEnd w:id="183"/>
      <w:bookmarkEnd w:id="184"/>
      <w:bookmarkEnd w:id="185"/>
    </w:p>
    <w:p w14:paraId="6FEC7E55"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（一）投标人</w:t>
      </w:r>
    </w:p>
    <w:p w14:paraId="5EB7803B"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投标人是指响应招标、参加投标竞争的法人、其他组织或者自然人。</w:t>
      </w:r>
    </w:p>
    <w:p w14:paraId="40BF534A"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（二）合格投标人条件</w:t>
      </w:r>
    </w:p>
    <w:p w14:paraId="06EB216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合格投标人应完全符合招标文件第一篇中规定的投标人资格条件，并对招标文件作出实质性响应。</w:t>
      </w:r>
    </w:p>
    <w:p w14:paraId="056CB533"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（三）投标人的风险</w:t>
      </w:r>
    </w:p>
    <w:p w14:paraId="36701E06"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投标人没有按照招标文件要求提供全部资料，或者投标人没有对招标文件在各方面作出实质性响应，可能导致投标被拒绝或评定为无效投标。</w:t>
      </w:r>
    </w:p>
    <w:p w14:paraId="063CA460"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（四）法律责任</w:t>
      </w:r>
    </w:p>
    <w:p w14:paraId="5F7AA25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投标人违反《中华人民共和国政府采购法》《中华人民共和国政府采购实施条例》等相关规定，将按规定追究投标人法律责任。</w:t>
      </w:r>
    </w:p>
    <w:p w14:paraId="7EB27E34" w14:textId="77777777" w:rsidR="0022665C" w:rsidRDefault="00000000">
      <w:pPr>
        <w:pStyle w:val="2"/>
        <w:spacing w:line="560" w:lineRule="atLeast"/>
        <w:ind w:firstLine="480"/>
        <w:jc w:val="left"/>
        <w:rPr>
          <w:rFonts w:ascii="微软雅黑" w:eastAsia="微软雅黑" w:hAnsi="微软雅黑" w:hint="eastAsia"/>
          <w:b/>
          <w:bCs/>
          <w:sz w:val="24"/>
        </w:rPr>
      </w:pPr>
      <w:bookmarkStart w:id="186" w:name="_Toc28788"/>
      <w:bookmarkStart w:id="187" w:name="_Toc9938"/>
      <w:bookmarkStart w:id="188" w:name="_Toc150335787"/>
      <w:bookmarkStart w:id="189" w:name="_Toc4719"/>
      <w:bookmarkStart w:id="190" w:name="_Toc27580"/>
      <w:r>
        <w:rPr>
          <w:rFonts w:ascii="微软雅黑" w:eastAsia="微软雅黑" w:hAnsi="微软雅黑" w:hint="eastAsia"/>
          <w:b/>
          <w:bCs/>
          <w:sz w:val="24"/>
        </w:rPr>
        <w:t>二、招标文件</w:t>
      </w:r>
      <w:bookmarkEnd w:id="186"/>
      <w:bookmarkEnd w:id="187"/>
      <w:bookmarkEnd w:id="188"/>
      <w:bookmarkEnd w:id="189"/>
      <w:bookmarkEnd w:id="190"/>
    </w:p>
    <w:p w14:paraId="20A07D3D"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招标文件是投标人编制投标文件的依据，是评标委员会评判依据和标准。招标文件也是采购人与中标人签订合同的基础。</w:t>
      </w:r>
    </w:p>
    <w:p w14:paraId="47F159D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（一）招标文件由投标邀请书；项目技术服务及质量要求；项目商务需求；资格审查及评标方法；投标人须知；合同主要条款和格式合同；投标文件格式等七部分组成。</w:t>
      </w:r>
    </w:p>
    <w:p w14:paraId="110F537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（二）采购代理机构对招标文件所作的一切有效的书面通知、修改及补充，都是招标文件不可分割的部分。</w:t>
      </w:r>
    </w:p>
    <w:p w14:paraId="14009F1F"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三）本项目的招标文件、澄清文件（如果有）一律在重庆市政府采购网（www.ccgp-chongqing.gov.cn）上发布，请各投标人注意下载或到采购代理机构处领取；无论投标人下载或领取与否，均视同投标人已知晓本项目招标文件、澄清文件的内容。</w:t>
      </w:r>
    </w:p>
    <w:p w14:paraId="76E51AE9"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（四）采购代理机构对已发出的招标文件需要进行澄清或修改的，应以书面形式或公告形式通知所有招标文件收受人。该澄清或者修改的内容为招标文件的组成部分。</w:t>
      </w:r>
    </w:p>
    <w:p w14:paraId="4E4654C1" w14:textId="77777777" w:rsidR="0022665C" w:rsidRDefault="00000000">
      <w:pPr>
        <w:pStyle w:val="2"/>
        <w:spacing w:line="560" w:lineRule="atLeast"/>
        <w:ind w:firstLine="480"/>
        <w:jc w:val="left"/>
        <w:rPr>
          <w:rFonts w:ascii="微软雅黑" w:eastAsia="微软雅黑" w:hAnsi="微软雅黑" w:hint="eastAsia"/>
          <w:b/>
          <w:bCs/>
          <w:sz w:val="24"/>
        </w:rPr>
      </w:pPr>
      <w:bookmarkStart w:id="191" w:name="_Toc14914"/>
      <w:bookmarkStart w:id="192" w:name="_Toc16303"/>
      <w:bookmarkStart w:id="193" w:name="_Toc150335788"/>
      <w:bookmarkStart w:id="194" w:name="_Toc11952"/>
      <w:bookmarkStart w:id="195" w:name="_Toc6134"/>
      <w:r>
        <w:rPr>
          <w:rFonts w:ascii="微软雅黑" w:eastAsia="微软雅黑" w:hAnsi="微软雅黑" w:hint="eastAsia"/>
          <w:b/>
          <w:bCs/>
          <w:sz w:val="24"/>
        </w:rPr>
        <w:t>三、投标文件</w:t>
      </w:r>
      <w:bookmarkEnd w:id="191"/>
      <w:bookmarkEnd w:id="192"/>
      <w:bookmarkEnd w:id="193"/>
      <w:bookmarkEnd w:id="194"/>
      <w:bookmarkEnd w:id="195"/>
    </w:p>
    <w:p w14:paraId="7B2E508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投标人应当按照招标文件的要求编制投标文件，并对招标文件提出的要求和条件作出实质性响应，投标文件原则上采用软面订本，同时应编制完整的页码、目录。</w:t>
      </w:r>
    </w:p>
    <w:p w14:paraId="3AD4DBEF"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（一）投标文件组成</w:t>
      </w:r>
    </w:p>
    <w:p w14:paraId="130627F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文件由第七篇“投标文件格式”规定的部分和投标人所作的一切有效补充、修改和承诺等文件组成，投标人应按照第七篇“投标文件格式”规定的目录顺序组织编写和装订，否则有可能影响评委对投标文件的评审。</w:t>
      </w:r>
    </w:p>
    <w:p w14:paraId="6E389EF3" w14:textId="77777777" w:rsidR="0022665C" w:rsidRDefault="00000000">
      <w:pPr>
        <w:spacing w:line="440" w:lineRule="atLeast"/>
        <w:ind w:firstLineChars="200" w:firstLine="420"/>
        <w:outlineLvl w:val="2"/>
        <w:rPr>
          <w:rFonts w:ascii="微软雅黑" w:eastAsia="微软雅黑" w:hAnsi="微软雅黑" w:hint="eastAsia"/>
          <w:b/>
          <w:sz w:val="21"/>
          <w:szCs w:val="21"/>
        </w:rPr>
      </w:pPr>
      <w:r>
        <w:rPr>
          <w:rFonts w:ascii="微软雅黑" w:eastAsia="微软雅黑" w:hAnsi="微软雅黑"/>
          <w:sz w:val="21"/>
          <w:szCs w:val="21"/>
        </w:rPr>
        <w:t>（二）联合投标</w:t>
      </w:r>
      <w:r>
        <w:rPr>
          <w:rFonts w:ascii="微软雅黑" w:eastAsia="微软雅黑" w:hAnsi="微软雅黑" w:hint="eastAsia"/>
          <w:b/>
          <w:sz w:val="21"/>
          <w:szCs w:val="21"/>
        </w:rPr>
        <w:t>（接受</w:t>
      </w:r>
      <w:r>
        <w:rPr>
          <w:rFonts w:ascii="微软雅黑" w:eastAsia="微软雅黑" w:hAnsi="微软雅黑"/>
          <w:b/>
          <w:sz w:val="21"/>
          <w:szCs w:val="21"/>
        </w:rPr>
        <w:t>联合投标</w:t>
      </w:r>
      <w:r>
        <w:rPr>
          <w:rFonts w:ascii="微软雅黑" w:eastAsia="微软雅黑" w:hAnsi="微软雅黑" w:hint="eastAsia"/>
          <w:b/>
          <w:sz w:val="21"/>
          <w:szCs w:val="21"/>
        </w:rPr>
        <w:t>）</w:t>
      </w:r>
    </w:p>
    <w:p w14:paraId="0D36B728" w14:textId="77777777" w:rsidR="0022665C" w:rsidRDefault="00000000">
      <w:pPr>
        <w:spacing w:line="440" w:lineRule="atLeast"/>
        <w:ind w:firstLineChars="200" w:firstLine="420"/>
        <w:rPr>
          <w:rFonts w:ascii="微软雅黑" w:eastAsia="微软雅黑" w:hAnsi="微软雅黑" w:hint="eastAsia"/>
          <w:bCs/>
          <w:sz w:val="21"/>
          <w:szCs w:val="21"/>
        </w:rPr>
      </w:pPr>
      <w:r>
        <w:rPr>
          <w:rFonts w:ascii="微软雅黑" w:eastAsia="微软雅黑" w:hAnsi="微软雅黑" w:hint="eastAsia"/>
          <w:bCs/>
          <w:sz w:val="21"/>
          <w:szCs w:val="21"/>
        </w:rPr>
        <w:t>1.两个以上投标人可以组成一个投标联合体，以一个投标人的身份投标。</w:t>
      </w:r>
    </w:p>
    <w:p w14:paraId="071D3C25" w14:textId="77777777" w:rsidR="0022665C" w:rsidRDefault="00000000">
      <w:pPr>
        <w:spacing w:line="440" w:lineRule="atLeast"/>
        <w:ind w:firstLineChars="200" w:firstLine="420"/>
        <w:rPr>
          <w:rFonts w:ascii="微软雅黑" w:eastAsia="微软雅黑" w:hAnsi="微软雅黑" w:hint="eastAsia"/>
          <w:bCs/>
          <w:sz w:val="21"/>
          <w:szCs w:val="21"/>
        </w:rPr>
      </w:pPr>
      <w:r>
        <w:rPr>
          <w:rFonts w:ascii="微软雅黑" w:eastAsia="微软雅黑" w:hAnsi="微软雅黑" w:hint="eastAsia"/>
          <w:bCs/>
          <w:sz w:val="21"/>
          <w:szCs w:val="21"/>
        </w:rPr>
        <w:t>2.以联合体形式参加投标的，联合体各方均应满足投标人资格要求（详见“第一篇”）。联合体中有同类资质的投标人按照联合体分工承担相同工作的，应当按照资质等级较低的投标人确定资质等级。</w:t>
      </w:r>
    </w:p>
    <w:p w14:paraId="07991D47" w14:textId="77777777" w:rsidR="0022665C" w:rsidRDefault="00000000">
      <w:pPr>
        <w:spacing w:line="440" w:lineRule="atLeast"/>
        <w:ind w:firstLineChars="200" w:firstLine="420"/>
        <w:rPr>
          <w:rFonts w:ascii="微软雅黑" w:eastAsia="微软雅黑" w:hAnsi="微软雅黑" w:hint="eastAsia"/>
          <w:bCs/>
          <w:sz w:val="21"/>
          <w:szCs w:val="21"/>
        </w:rPr>
      </w:pPr>
      <w:r>
        <w:rPr>
          <w:rFonts w:ascii="微软雅黑" w:eastAsia="微软雅黑" w:hAnsi="微软雅黑" w:hint="eastAsia"/>
          <w:bCs/>
          <w:sz w:val="21"/>
          <w:szCs w:val="21"/>
        </w:rPr>
        <w:t>3.联合体各方之间应当签订共同投标协议，共同投标协议中应确定主办方（主体），代表联合体进行投标和澄清。共同投标协议应明确约定联合体各方承担的工作和相应的责任，并将共同投标协议连同投标文件一并提交采购代理机构。</w:t>
      </w:r>
    </w:p>
    <w:p w14:paraId="1804EB5C" w14:textId="77777777" w:rsidR="0022665C" w:rsidRDefault="00000000">
      <w:pPr>
        <w:spacing w:line="440" w:lineRule="atLeast"/>
        <w:ind w:firstLineChars="200" w:firstLine="420"/>
        <w:rPr>
          <w:rFonts w:ascii="微软雅黑" w:eastAsia="微软雅黑" w:hAnsi="微软雅黑" w:hint="eastAsia"/>
          <w:bCs/>
          <w:sz w:val="21"/>
          <w:szCs w:val="21"/>
        </w:rPr>
      </w:pPr>
      <w:r>
        <w:rPr>
          <w:rFonts w:ascii="微软雅黑" w:eastAsia="微软雅黑" w:hAnsi="微软雅黑" w:hint="eastAsia"/>
          <w:bCs/>
          <w:sz w:val="21"/>
          <w:szCs w:val="21"/>
        </w:rPr>
        <w:t>4.以联合体形式参加政府采购活动的，联合体各方不得再单独参加或者与其他投标人另外组成联合体参加同一合同项下的政府采购活动。</w:t>
      </w:r>
    </w:p>
    <w:p w14:paraId="0FC5F59A" w14:textId="77777777" w:rsidR="0022665C" w:rsidRDefault="00000000">
      <w:pPr>
        <w:spacing w:line="440" w:lineRule="atLeast"/>
        <w:ind w:firstLineChars="200" w:firstLine="420"/>
        <w:rPr>
          <w:rFonts w:ascii="微软雅黑" w:eastAsia="微软雅黑" w:hAnsi="微软雅黑" w:hint="eastAsia"/>
          <w:bCs/>
          <w:sz w:val="21"/>
          <w:szCs w:val="21"/>
        </w:rPr>
      </w:pPr>
      <w:r>
        <w:rPr>
          <w:rFonts w:ascii="微软雅黑" w:eastAsia="微软雅黑" w:hAnsi="微软雅黑" w:hint="eastAsia"/>
          <w:bCs/>
          <w:sz w:val="21"/>
          <w:szCs w:val="21"/>
        </w:rPr>
        <w:t>5.联合体投标业绩计算，按照共同投标协议分工认定。</w:t>
      </w:r>
    </w:p>
    <w:p w14:paraId="386BCBDE" w14:textId="77777777" w:rsidR="0022665C" w:rsidRDefault="00000000">
      <w:pPr>
        <w:spacing w:line="440" w:lineRule="atLeast"/>
        <w:ind w:firstLineChars="200" w:firstLine="420"/>
        <w:rPr>
          <w:rFonts w:ascii="微软雅黑" w:eastAsia="微软雅黑" w:hAnsi="微软雅黑" w:hint="eastAsia"/>
          <w:bCs/>
          <w:sz w:val="21"/>
          <w:szCs w:val="21"/>
        </w:rPr>
      </w:pPr>
      <w:r>
        <w:rPr>
          <w:rFonts w:ascii="微软雅黑" w:eastAsia="微软雅黑" w:hAnsi="微软雅黑" w:hint="eastAsia"/>
          <w:bCs/>
          <w:sz w:val="21"/>
          <w:szCs w:val="21"/>
        </w:rPr>
        <w:t>6.两个以上的自然人、法人或者其他组织组成一个联合体，以一个投标人的身份共同参加政府采购活动的，应当对所有联合体成员进行信用记录查询，联合体成员存在不良信用记录的，视同联合体存在不良信用记录。</w:t>
      </w:r>
    </w:p>
    <w:p w14:paraId="1A78E2F6" w14:textId="77777777" w:rsidR="0022665C" w:rsidRDefault="00000000">
      <w:pPr>
        <w:spacing w:line="440" w:lineRule="atLeast"/>
        <w:ind w:firstLineChars="200" w:firstLine="420"/>
        <w:rPr>
          <w:rFonts w:ascii="微软雅黑" w:eastAsia="微软雅黑" w:hAnsi="微软雅黑" w:hint="eastAsia"/>
          <w:bCs/>
          <w:sz w:val="21"/>
          <w:szCs w:val="21"/>
        </w:rPr>
      </w:pPr>
      <w:r>
        <w:rPr>
          <w:rFonts w:ascii="微软雅黑" w:eastAsia="微软雅黑" w:hAnsi="微软雅黑" w:hint="eastAsia"/>
          <w:bCs/>
          <w:sz w:val="21"/>
          <w:szCs w:val="21"/>
        </w:rPr>
        <w:t>7.以联合体投标的，共同投标协议中应确定主办方（主体），代表联合体进行投标和澄清。法定代表人授权委托书由联合体主办方（主体）出具。联合体各方均应满足投标人资格要求（详见“第一篇”）。</w:t>
      </w:r>
    </w:p>
    <w:p w14:paraId="2AA7ACA5"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三</w:t>
      </w:r>
      <w:r>
        <w:rPr>
          <w:rFonts w:ascii="微软雅黑" w:eastAsia="微软雅黑" w:hAnsi="微软雅黑"/>
          <w:sz w:val="21"/>
          <w:szCs w:val="21"/>
        </w:rPr>
        <w:t>）投标有效期</w:t>
      </w:r>
    </w:p>
    <w:p w14:paraId="7D96EF09"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投标有效期为投标截止日期起9</w:t>
      </w:r>
      <w:r>
        <w:rPr>
          <w:rFonts w:ascii="微软雅黑" w:eastAsia="微软雅黑" w:hAnsi="微软雅黑"/>
          <w:sz w:val="21"/>
          <w:szCs w:val="21"/>
        </w:rPr>
        <w:t>0天。</w:t>
      </w:r>
    </w:p>
    <w:p w14:paraId="225D15D8"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四</w:t>
      </w:r>
      <w:r>
        <w:rPr>
          <w:rFonts w:ascii="微软雅黑" w:eastAsia="微软雅黑" w:hAnsi="微软雅黑"/>
          <w:sz w:val="21"/>
          <w:szCs w:val="21"/>
        </w:rPr>
        <w:t>）投标保证金</w:t>
      </w:r>
    </w:p>
    <w:p w14:paraId="681BD6C2" w14:textId="77777777" w:rsidR="0022665C" w:rsidRDefault="00000000">
      <w:pPr>
        <w:tabs>
          <w:tab w:val="left" w:pos="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1.投标人应在投标截止时间前，按招标文件第一篇规定缴纳投标保证金。</w:t>
      </w:r>
    </w:p>
    <w:p w14:paraId="0F0AC1C5" w14:textId="77777777" w:rsidR="0022665C" w:rsidRDefault="00000000">
      <w:pPr>
        <w:tabs>
          <w:tab w:val="left" w:pos="0"/>
        </w:tabs>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2.投标保证金为投标的有效约束条件。</w:t>
      </w:r>
    </w:p>
    <w:p w14:paraId="2AB86E9F" w14:textId="77777777" w:rsidR="0022665C" w:rsidRDefault="00000000">
      <w:pPr>
        <w:tabs>
          <w:tab w:val="left" w:pos="0"/>
        </w:tabs>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3.投标保证金的有效期限在投标有效期过后三十天内继续有效。</w:t>
      </w:r>
    </w:p>
    <w:p w14:paraId="00788B41" w14:textId="77777777" w:rsidR="0022665C" w:rsidRDefault="00000000">
      <w:pPr>
        <w:tabs>
          <w:tab w:val="left" w:pos="0"/>
        </w:tabs>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4.投标保证金币种应与投标报价币种相同。</w:t>
      </w:r>
    </w:p>
    <w:p w14:paraId="2B82E6A6" w14:textId="77777777" w:rsidR="0022665C" w:rsidRDefault="00000000">
      <w:pPr>
        <w:tabs>
          <w:tab w:val="left" w:pos="0"/>
        </w:tabs>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5.《中标通知书》发出后，由重庆市公共资源交易中心五个工作日内退还未中标人的投标保证金；在采购合同签订后，由重庆市公共资源交易中心五个工作日退还中标人的投标保证金。</w:t>
      </w:r>
    </w:p>
    <w:p w14:paraId="57D74453" w14:textId="77777777" w:rsidR="0022665C" w:rsidRDefault="00000000">
      <w:pPr>
        <w:tabs>
          <w:tab w:val="left" w:pos="0"/>
        </w:tabs>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6.投标人有下列情形之一的，采购人或者采购代理机构可以不退还投标保证金：</w:t>
      </w:r>
    </w:p>
    <w:p w14:paraId="7864F73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6.1投标人在投标有效期内撤回投标文件的；</w:t>
      </w:r>
    </w:p>
    <w:p w14:paraId="546CA6B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6.2投标人未按规定提交履约保证金的；</w:t>
      </w:r>
    </w:p>
    <w:p w14:paraId="67438048"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6.3投标人在投标过程中弄虚作假，提供虚假材料的；</w:t>
      </w:r>
    </w:p>
    <w:p w14:paraId="239D3BE6"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6.4中标人无正当理由不与采购人签订合同的；</w:t>
      </w:r>
    </w:p>
    <w:p w14:paraId="620FB60D"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6.5中标人将中标项目转让给他人或者在投标文件中未说明且未经采购人同意，将中标项目包给他人的；</w:t>
      </w:r>
    </w:p>
    <w:p w14:paraId="0FC80637"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6.6中标人拒绝履行合同义务的；</w:t>
      </w:r>
    </w:p>
    <w:p w14:paraId="07A3184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6.7其他严重扰乱招投标程序的。</w:t>
      </w:r>
    </w:p>
    <w:p w14:paraId="16E6A998"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（五）投标文件的份数和签署</w:t>
      </w:r>
    </w:p>
    <w:p w14:paraId="2A04EB3C"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1.投标文件一式四份，其中</w:t>
      </w:r>
      <w:r>
        <w:rPr>
          <w:rFonts w:ascii="微软雅黑" w:eastAsia="微软雅黑" w:hAnsi="微软雅黑"/>
          <w:b/>
          <w:sz w:val="21"/>
          <w:szCs w:val="21"/>
        </w:rPr>
        <w:t>正本一份，副本</w:t>
      </w:r>
      <w:r>
        <w:rPr>
          <w:rFonts w:ascii="微软雅黑" w:eastAsia="微软雅黑" w:hAnsi="微软雅黑" w:hint="eastAsia"/>
          <w:b/>
          <w:sz w:val="21"/>
          <w:szCs w:val="21"/>
        </w:rPr>
        <w:t>两</w:t>
      </w:r>
      <w:r>
        <w:rPr>
          <w:rFonts w:ascii="微软雅黑" w:eastAsia="微软雅黑" w:hAnsi="微软雅黑"/>
          <w:b/>
          <w:sz w:val="21"/>
          <w:szCs w:val="21"/>
        </w:rPr>
        <w:t>份，电子文档一份</w:t>
      </w:r>
      <w:r>
        <w:rPr>
          <w:rFonts w:ascii="微软雅黑" w:eastAsia="微软雅黑" w:hAnsi="微软雅黑"/>
          <w:sz w:val="21"/>
          <w:szCs w:val="21"/>
        </w:rPr>
        <w:t>（电子文档内容应与纸质文件正本一致，推荐采用光盘或U盘为电子文档载体）；每套投标文件须在封面清楚地标明“正本”、“副本”或“电子文档”，副本应为正本的完整复印件，副本与正本不一致时以正本为准。投标文件电子文档与纸质投标文件正本不一致时，以纸质投标文件正本为准。</w:t>
      </w:r>
    </w:p>
    <w:p w14:paraId="19C12D6C"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2.在投标文件正本中，招标文件第七篇投标文件格式中规定签字、盖章的地方必须按其规定签字、盖章。</w:t>
      </w:r>
    </w:p>
    <w:p w14:paraId="22F84CCC"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3.若投标人对投标文件的错处作必要修改，则应在修改处加盖投标人公章或由法定代表人（或其授权代表）或自然人（投标人为自然人）签署确认。</w:t>
      </w:r>
    </w:p>
    <w:p w14:paraId="2AA6E94E"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4.电报、电话、传真形式的投标文件概不接受。</w:t>
      </w:r>
    </w:p>
    <w:p w14:paraId="60511BD8" w14:textId="77777777" w:rsidR="0022665C" w:rsidRDefault="00000000">
      <w:pPr>
        <w:snapToGrid w:val="0"/>
        <w:spacing w:line="440" w:lineRule="atLeast"/>
        <w:ind w:firstLineChars="200" w:firstLine="420"/>
        <w:outlineLvl w:val="2"/>
        <w:rPr>
          <w:rFonts w:ascii="微软雅黑" w:eastAsia="微软雅黑" w:hAnsi="微软雅黑" w:hint="eastAsia"/>
          <w:bCs/>
          <w:sz w:val="21"/>
          <w:szCs w:val="21"/>
        </w:rPr>
      </w:pPr>
      <w:r>
        <w:rPr>
          <w:rFonts w:ascii="微软雅黑" w:eastAsia="微软雅黑" w:hAnsi="微软雅黑"/>
          <w:bCs/>
          <w:sz w:val="21"/>
          <w:szCs w:val="21"/>
        </w:rPr>
        <w:t>（</w:t>
      </w:r>
      <w:r>
        <w:rPr>
          <w:rFonts w:ascii="微软雅黑" w:eastAsia="微软雅黑" w:hAnsi="微软雅黑" w:hint="eastAsia"/>
          <w:bCs/>
          <w:sz w:val="21"/>
          <w:szCs w:val="21"/>
        </w:rPr>
        <w:t>六</w:t>
      </w:r>
      <w:r>
        <w:rPr>
          <w:rFonts w:ascii="微软雅黑" w:eastAsia="微软雅黑" w:hAnsi="微软雅黑"/>
          <w:bCs/>
          <w:sz w:val="21"/>
          <w:szCs w:val="21"/>
        </w:rPr>
        <w:t>）投标报价</w:t>
      </w:r>
    </w:p>
    <w:p w14:paraId="22A60463"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bCs/>
          <w:sz w:val="21"/>
          <w:szCs w:val="21"/>
        </w:rPr>
        <w:t>1.投标人应严格按照“投标文件格式”中“开标一览表”和“分项报价明细表”</w:t>
      </w:r>
      <w:r>
        <w:rPr>
          <w:rFonts w:ascii="微软雅黑" w:eastAsia="微软雅黑" w:hAnsi="微软雅黑" w:hint="eastAsia"/>
          <w:sz w:val="21"/>
          <w:szCs w:val="21"/>
        </w:rPr>
        <w:t>的格式填写报价。</w:t>
      </w:r>
    </w:p>
    <w:p w14:paraId="5603186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2.投标人的报价为一次性报价，即在投标有效期内投标价格固定不变。</w:t>
      </w:r>
    </w:p>
    <w:p w14:paraId="4FCC7B2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3.本项目只接受一个投标报价，有选择的或有条件的报价将不予接受。</w:t>
      </w:r>
    </w:p>
    <w:p w14:paraId="729DE03C" w14:textId="77777777" w:rsidR="0022665C" w:rsidRDefault="00000000">
      <w:pPr>
        <w:pStyle w:val="ae"/>
        <w:spacing w:line="440" w:lineRule="atLeast"/>
        <w:ind w:firstLineChars="200" w:firstLine="420"/>
        <w:outlineLvl w:val="2"/>
        <w:rPr>
          <w:rFonts w:ascii="微软雅黑" w:eastAsia="微软雅黑" w:hAnsi="微软雅黑" w:hint="eastAsia"/>
          <w:szCs w:val="21"/>
        </w:rPr>
      </w:pPr>
      <w:r>
        <w:rPr>
          <w:rFonts w:ascii="微软雅黑" w:eastAsia="微软雅黑" w:hAnsi="微软雅黑"/>
          <w:szCs w:val="21"/>
        </w:rPr>
        <w:t>（</w:t>
      </w:r>
      <w:r>
        <w:rPr>
          <w:rFonts w:ascii="微软雅黑" w:eastAsia="微软雅黑" w:hAnsi="微软雅黑" w:hint="eastAsia"/>
          <w:szCs w:val="21"/>
        </w:rPr>
        <w:t>七</w:t>
      </w:r>
      <w:r>
        <w:rPr>
          <w:rFonts w:ascii="微软雅黑" w:eastAsia="微软雅黑" w:hAnsi="微软雅黑"/>
          <w:szCs w:val="21"/>
        </w:rPr>
        <w:t>）修正错误</w:t>
      </w:r>
    </w:p>
    <w:p w14:paraId="2DB03FCE"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若投标文件出现计算或表达上的错误，修正错误的原则如下：</w:t>
      </w:r>
    </w:p>
    <w:p w14:paraId="5D8C8BC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1.投标文件中开标一览表（报价表）内容与投标文件中相应内容不一致的，以开标一览表（报价表）为准；</w:t>
      </w:r>
    </w:p>
    <w:p w14:paraId="73DBA8EF"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2.大写金额和小写金额不一致的，以大写金额为准；</w:t>
      </w:r>
    </w:p>
    <w:p w14:paraId="4CECCFE3"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3.单价金额小数点或者百分比有明显错位的，以开标一览表的总价为准，并修改单价；</w:t>
      </w:r>
    </w:p>
    <w:p w14:paraId="33F00312"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4.总价金额与按单价汇总金额不一致的，以单价金额计算结果为准。</w:t>
      </w:r>
    </w:p>
    <w:p w14:paraId="19B2879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p>
    <w:p w14:paraId="710821E3" w14:textId="77777777" w:rsidR="0022665C" w:rsidRDefault="00000000">
      <w:pPr>
        <w:pStyle w:val="ae"/>
        <w:spacing w:line="440" w:lineRule="atLeast"/>
        <w:ind w:firstLineChars="200" w:firstLine="420"/>
        <w:outlineLvl w:val="2"/>
        <w:rPr>
          <w:rFonts w:ascii="微软雅黑" w:eastAsia="微软雅黑" w:hAnsi="微软雅黑" w:hint="eastAsia"/>
          <w:bCs/>
          <w:szCs w:val="21"/>
        </w:rPr>
      </w:pPr>
      <w:r>
        <w:rPr>
          <w:rFonts w:ascii="微软雅黑" w:eastAsia="微软雅黑" w:hAnsi="微软雅黑"/>
          <w:bCs/>
          <w:szCs w:val="21"/>
        </w:rPr>
        <w:t>（</w:t>
      </w:r>
      <w:r>
        <w:rPr>
          <w:rFonts w:ascii="微软雅黑" w:eastAsia="微软雅黑" w:hAnsi="微软雅黑" w:hint="eastAsia"/>
          <w:bCs/>
          <w:szCs w:val="21"/>
        </w:rPr>
        <w:t>八</w:t>
      </w:r>
      <w:r>
        <w:rPr>
          <w:rFonts w:ascii="微软雅黑" w:eastAsia="微软雅黑" w:hAnsi="微软雅黑"/>
          <w:bCs/>
          <w:szCs w:val="21"/>
        </w:rPr>
        <w:t>）投标文件的递交</w:t>
      </w:r>
    </w:p>
    <w:p w14:paraId="6008FB99"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投标文件的正本、副本以及电子文档均应密封送达投标地点，应在封套上</w:t>
      </w:r>
      <w:r>
        <w:rPr>
          <w:rFonts w:ascii="微软雅黑" w:eastAsia="微软雅黑" w:hAnsi="微软雅黑"/>
          <w:b/>
          <w:bCs/>
          <w:szCs w:val="21"/>
        </w:rPr>
        <w:t>注明项目名称</w:t>
      </w:r>
      <w:r>
        <w:rPr>
          <w:rFonts w:ascii="微软雅黑" w:eastAsia="微软雅黑" w:hAnsi="微软雅黑" w:hint="eastAsia"/>
          <w:b/>
          <w:bCs/>
          <w:szCs w:val="21"/>
        </w:rPr>
        <w:t>、项目号</w:t>
      </w:r>
      <w:r>
        <w:rPr>
          <w:rFonts w:ascii="微软雅黑" w:eastAsia="微软雅黑" w:hAnsi="微软雅黑"/>
          <w:b/>
          <w:bCs/>
          <w:szCs w:val="21"/>
        </w:rPr>
        <w:t>、投标人名称</w:t>
      </w:r>
      <w:r>
        <w:rPr>
          <w:rFonts w:ascii="微软雅黑" w:eastAsia="微软雅黑" w:hAnsi="微软雅黑"/>
          <w:bCs/>
          <w:szCs w:val="21"/>
        </w:rPr>
        <w:t>。</w:t>
      </w:r>
      <w:r>
        <w:rPr>
          <w:rFonts w:ascii="微软雅黑" w:eastAsia="微软雅黑" w:hAnsi="微软雅黑" w:hint="eastAsia"/>
          <w:szCs w:val="21"/>
        </w:rPr>
        <w:t>若正本、副本以及电子文档分别进行密封的，还应在封套上注明“正本”、“副本”、“电子文档”字样。</w:t>
      </w:r>
    </w:p>
    <w:p w14:paraId="53A8F96B" w14:textId="77777777" w:rsidR="0022665C" w:rsidRDefault="00000000">
      <w:pPr>
        <w:pStyle w:val="2"/>
        <w:spacing w:line="560" w:lineRule="atLeast"/>
        <w:ind w:firstLine="480"/>
        <w:jc w:val="left"/>
        <w:rPr>
          <w:rFonts w:ascii="微软雅黑" w:eastAsia="微软雅黑" w:hAnsi="微软雅黑" w:hint="eastAsia"/>
          <w:b/>
          <w:bCs/>
          <w:sz w:val="24"/>
        </w:rPr>
      </w:pPr>
      <w:bookmarkStart w:id="196" w:name="_Toc1642"/>
      <w:bookmarkStart w:id="197" w:name="_Toc12220"/>
      <w:bookmarkStart w:id="198" w:name="_Toc27703"/>
      <w:bookmarkStart w:id="199" w:name="_Toc24679"/>
      <w:bookmarkStart w:id="200" w:name="_Toc150335789"/>
      <w:r>
        <w:rPr>
          <w:rFonts w:ascii="微软雅黑" w:eastAsia="微软雅黑" w:hAnsi="微软雅黑" w:hint="eastAsia"/>
          <w:b/>
          <w:bCs/>
          <w:sz w:val="24"/>
        </w:rPr>
        <w:t>四、开标</w:t>
      </w:r>
      <w:bookmarkEnd w:id="196"/>
      <w:bookmarkEnd w:id="197"/>
      <w:bookmarkEnd w:id="198"/>
      <w:bookmarkEnd w:id="199"/>
      <w:bookmarkEnd w:id="200"/>
    </w:p>
    <w:p w14:paraId="147559B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（一）开标应当在招标文件中“投标邀请书”确定的时间和地点公开进行。</w:t>
      </w:r>
    </w:p>
    <w:p w14:paraId="75004F4B"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（二）采购代理机构可视采购具体情况，延长投标截止时间和开标时间，并将变更时间书面通知所有招标文件收受人。</w:t>
      </w:r>
    </w:p>
    <w:p w14:paraId="27EEF3D2"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（三）开标由采购人或采购代理机构主持，邀请投标人和有关监督部门代表参加，有关监督部门可视情况派员现场监督。</w:t>
      </w:r>
    </w:p>
    <w:p w14:paraId="150C97A2"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四）开标时，由投标人或者其推选的代表检查投标文件的密封情况；经确认无误后，由采购人或者采购代理机构工作人员当众拆封，宣布投标人名称、投标价格和《开标一览表》规定的需要宣布的其他内容。投标人不足三家的，不得开标。</w:t>
      </w:r>
    </w:p>
    <w:p w14:paraId="1F21DB40"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（五）未宣读的投标价格、价格折扣和招标文件允许提供的备选投标方案等实质性内容等，评标时不予承认。</w:t>
      </w:r>
    </w:p>
    <w:p w14:paraId="70E4DEF8"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（六）开标过程应由采购人或采购代理机构或重庆市公共资源交易中心指定专人负责记录，并存档备查。</w:t>
      </w:r>
    </w:p>
    <w:p w14:paraId="174ABD31"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（七）投标人未参加开标的，视同认可开标结果。</w:t>
      </w:r>
    </w:p>
    <w:p w14:paraId="2948C643" w14:textId="77777777" w:rsidR="0022665C" w:rsidRDefault="00000000">
      <w:pPr>
        <w:pStyle w:val="2"/>
        <w:spacing w:line="560" w:lineRule="atLeast"/>
        <w:ind w:firstLine="480"/>
        <w:jc w:val="left"/>
        <w:rPr>
          <w:rFonts w:ascii="微软雅黑" w:eastAsia="微软雅黑" w:hAnsi="微软雅黑" w:hint="eastAsia"/>
          <w:b/>
          <w:bCs/>
          <w:sz w:val="24"/>
        </w:rPr>
      </w:pPr>
      <w:bookmarkStart w:id="201" w:name="_Toc16391"/>
      <w:bookmarkStart w:id="202" w:name="_Toc13062"/>
      <w:bookmarkStart w:id="203" w:name="_Toc25387"/>
      <w:bookmarkStart w:id="204" w:name="_Toc22315"/>
      <w:bookmarkStart w:id="205" w:name="_Toc150335790"/>
      <w:r>
        <w:rPr>
          <w:rFonts w:ascii="微软雅黑" w:eastAsia="微软雅黑" w:hAnsi="微软雅黑" w:hint="eastAsia"/>
          <w:b/>
          <w:bCs/>
          <w:sz w:val="24"/>
        </w:rPr>
        <w:t>五、评标</w:t>
      </w:r>
      <w:bookmarkEnd w:id="201"/>
      <w:bookmarkEnd w:id="202"/>
      <w:bookmarkEnd w:id="203"/>
      <w:bookmarkEnd w:id="204"/>
      <w:bookmarkEnd w:id="205"/>
    </w:p>
    <w:p w14:paraId="67EABA6D"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见本</w:t>
      </w:r>
      <w:r>
        <w:rPr>
          <w:rFonts w:ascii="微软雅黑" w:eastAsia="微软雅黑" w:hAnsi="微软雅黑"/>
          <w:szCs w:val="21"/>
        </w:rPr>
        <w:t>招标文件</w:t>
      </w:r>
      <w:r>
        <w:rPr>
          <w:rFonts w:ascii="微软雅黑" w:eastAsia="微软雅黑" w:hAnsi="微软雅黑" w:hint="eastAsia"/>
          <w:szCs w:val="21"/>
        </w:rPr>
        <w:t>第四篇“</w:t>
      </w:r>
      <w:r>
        <w:rPr>
          <w:rFonts w:ascii="微软雅黑" w:eastAsia="微软雅黑" w:hAnsi="微软雅黑"/>
          <w:szCs w:val="21"/>
        </w:rPr>
        <w:t>评标</w:t>
      </w:r>
      <w:r>
        <w:rPr>
          <w:rFonts w:ascii="微软雅黑" w:eastAsia="微软雅黑" w:hAnsi="微软雅黑" w:hint="eastAsia"/>
          <w:szCs w:val="21"/>
        </w:rPr>
        <w:t>”内容。</w:t>
      </w:r>
    </w:p>
    <w:p w14:paraId="32FEC961" w14:textId="77777777" w:rsidR="0022665C" w:rsidRDefault="00000000">
      <w:pPr>
        <w:pStyle w:val="2"/>
        <w:spacing w:line="560" w:lineRule="atLeast"/>
        <w:ind w:firstLine="480"/>
        <w:jc w:val="left"/>
        <w:rPr>
          <w:rFonts w:ascii="微软雅黑" w:eastAsia="微软雅黑" w:hAnsi="微软雅黑" w:hint="eastAsia"/>
          <w:b/>
          <w:bCs/>
          <w:sz w:val="24"/>
        </w:rPr>
      </w:pPr>
      <w:bookmarkStart w:id="206" w:name="_Toc22086"/>
      <w:bookmarkStart w:id="207" w:name="_Toc30917"/>
      <w:bookmarkStart w:id="208" w:name="_Toc4106"/>
      <w:bookmarkStart w:id="209" w:name="_Toc150335791"/>
      <w:bookmarkStart w:id="210" w:name="_Toc18183"/>
      <w:r>
        <w:rPr>
          <w:rFonts w:ascii="微软雅黑" w:eastAsia="微软雅黑" w:hAnsi="微软雅黑" w:hint="eastAsia"/>
          <w:b/>
          <w:bCs/>
          <w:sz w:val="24"/>
        </w:rPr>
        <w:t>六、定标</w:t>
      </w:r>
      <w:bookmarkEnd w:id="206"/>
      <w:bookmarkEnd w:id="207"/>
      <w:bookmarkEnd w:id="208"/>
      <w:bookmarkEnd w:id="209"/>
      <w:bookmarkEnd w:id="210"/>
    </w:p>
    <w:p w14:paraId="738069A6"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（一）定标原则</w:t>
      </w:r>
    </w:p>
    <w:p w14:paraId="2061F639"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采购人或其授权的评标委员会应按照评标报告中推荐的中标候选人排名顺序确定中标人。</w:t>
      </w:r>
    </w:p>
    <w:p w14:paraId="692FB85B"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（二）定标程序</w:t>
      </w:r>
    </w:p>
    <w:p w14:paraId="66C0581E"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1.采购代理机构应当在评标结束后2个工作日内将评标报告送采购人。</w:t>
      </w:r>
    </w:p>
    <w:p w14:paraId="7C0167AA"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2.采购人应当自收到评标报告之日起５个工作日内，在评标报告确定的中标候选人名单中按顺序确定中标人。</w:t>
      </w:r>
    </w:p>
    <w:p w14:paraId="5CF2CCC2"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3.采购人或者采购代理机构应当自中标人确定之日起2个工作日内，在重庆市政府采购网上公告中标结果。中标公告期限为1个工作日。</w:t>
      </w:r>
    </w:p>
    <w:p w14:paraId="69A60CC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4.中标人变更</w:t>
      </w:r>
    </w:p>
    <w:p w14:paraId="22465557"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中标人拒绝与采购人签订合同的，采购人可以按照评标报告推荐的中标候选人顺序，确定排名下一位的候选人为中标人，也可以重新开展政府采购活动。</w:t>
      </w:r>
    </w:p>
    <w:p w14:paraId="7F44B2E8" w14:textId="77777777" w:rsidR="0022665C" w:rsidRDefault="00000000">
      <w:pPr>
        <w:pStyle w:val="2"/>
        <w:spacing w:line="560" w:lineRule="atLeast"/>
        <w:ind w:firstLine="480"/>
        <w:jc w:val="left"/>
        <w:rPr>
          <w:rFonts w:ascii="微软雅黑" w:eastAsia="微软雅黑" w:hAnsi="微软雅黑" w:hint="eastAsia"/>
          <w:b/>
          <w:bCs/>
          <w:sz w:val="24"/>
        </w:rPr>
      </w:pPr>
      <w:bookmarkStart w:id="211" w:name="_Toc6879"/>
      <w:bookmarkStart w:id="212" w:name="_Toc13109"/>
      <w:bookmarkStart w:id="213" w:name="_Toc3006"/>
      <w:bookmarkStart w:id="214" w:name="_Toc5208"/>
      <w:bookmarkStart w:id="215" w:name="_Toc150335792"/>
      <w:r>
        <w:rPr>
          <w:rFonts w:ascii="微软雅黑" w:eastAsia="微软雅黑" w:hAnsi="微软雅黑" w:hint="eastAsia"/>
          <w:b/>
          <w:bCs/>
          <w:sz w:val="24"/>
        </w:rPr>
        <w:t>七、中标</w:t>
      </w:r>
      <w:bookmarkEnd w:id="211"/>
      <w:bookmarkEnd w:id="212"/>
      <w:bookmarkEnd w:id="213"/>
      <w:bookmarkEnd w:id="214"/>
      <w:bookmarkEnd w:id="215"/>
    </w:p>
    <w:p w14:paraId="0990795A"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（一）采购人依法确定中标人后，采购代理机构以书面形式发出中标通知书。</w:t>
      </w:r>
    </w:p>
    <w:p w14:paraId="068C29F8"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（二）中标通知书发出后，采购人改变中标结果，或者中标人放弃中标，应当承担相应的法律责任。</w:t>
      </w:r>
    </w:p>
    <w:p w14:paraId="4A32D261" w14:textId="77777777" w:rsidR="0022665C" w:rsidRDefault="00000000">
      <w:pPr>
        <w:pStyle w:val="2"/>
        <w:spacing w:line="560" w:lineRule="atLeast"/>
        <w:ind w:firstLine="480"/>
        <w:jc w:val="left"/>
        <w:rPr>
          <w:rFonts w:ascii="微软雅黑" w:eastAsia="微软雅黑" w:hAnsi="微软雅黑" w:hint="eastAsia"/>
          <w:b/>
          <w:bCs/>
          <w:sz w:val="24"/>
        </w:rPr>
      </w:pPr>
      <w:bookmarkStart w:id="216" w:name="_Toc150335793"/>
      <w:bookmarkStart w:id="217" w:name="_Toc13008"/>
      <w:bookmarkStart w:id="218" w:name="_Toc5625"/>
      <w:bookmarkStart w:id="219" w:name="_Toc19813"/>
      <w:bookmarkStart w:id="220" w:name="_Toc5407"/>
      <w:r>
        <w:rPr>
          <w:rFonts w:ascii="微软雅黑" w:eastAsia="微软雅黑" w:hAnsi="微软雅黑" w:hint="eastAsia"/>
          <w:b/>
          <w:bCs/>
          <w:sz w:val="24"/>
        </w:rPr>
        <w:t>八、询问、质疑和投诉</w:t>
      </w:r>
      <w:bookmarkEnd w:id="216"/>
      <w:bookmarkEnd w:id="217"/>
      <w:bookmarkEnd w:id="218"/>
      <w:bookmarkEnd w:id="219"/>
      <w:bookmarkEnd w:id="220"/>
    </w:p>
    <w:p w14:paraId="1ABDB16D"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（一）询问</w:t>
      </w:r>
    </w:p>
    <w:p w14:paraId="7A4C626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采购人或者采购代理机构应当在3个工作日内对投标人依法提出的询问作出答复。投标人询问可以是口头或书面形式。</w:t>
      </w:r>
    </w:p>
    <w:p w14:paraId="5F69333C"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（二）质疑</w:t>
      </w:r>
    </w:p>
    <w:p w14:paraId="61DF68D3"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投标人认为采购文件、采购过程和中标结果使自己的权益收到伤害的，可向采购人或采购代理机构以书面形式提出质疑。</w:t>
      </w:r>
    </w:p>
    <w:p w14:paraId="52C5534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提出质疑的应当是参与所质疑项目采购活动的投标人。</w:t>
      </w:r>
    </w:p>
    <w:p w14:paraId="771972FB"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1.质疑时限、内容</w:t>
      </w:r>
    </w:p>
    <w:p w14:paraId="265D085D"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1.1投标人对招标文件提出质疑的，应在依法获取招标文件之日或者招标文件公告期限届满之日起七个工作日内提出。</w:t>
      </w:r>
    </w:p>
    <w:p w14:paraId="5A1690F4"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1.2 投标人对采购过程提出质疑的，应在各采购程序环节结束之日起七个工作日内提出。</w:t>
      </w:r>
    </w:p>
    <w:p w14:paraId="2EC3D12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1.3投标人对中标结果提出质疑的，应当在中标结果公告期限届满之日起七个工作日内提出。</w:t>
      </w:r>
    </w:p>
    <w:p w14:paraId="293CCB2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1.4投标人提出质疑应当提交质疑函和必要的证明材料，质疑函应当包括下列内容：</w:t>
      </w:r>
    </w:p>
    <w:p w14:paraId="1C4B1B52"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1.4.1供应商的姓名或者名称、地址、邮编、联系人及联系电话；</w:t>
      </w:r>
    </w:p>
    <w:p w14:paraId="0863E572"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1.4.2质疑项目的名称、项目号以及采购执行编号；</w:t>
      </w:r>
    </w:p>
    <w:p w14:paraId="7B65F2EB"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1.4.3具体、明确的质疑事项和与质疑事项相关的请求；</w:t>
      </w:r>
    </w:p>
    <w:p w14:paraId="11251D88"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1.4.4事实依据；</w:t>
      </w:r>
    </w:p>
    <w:p w14:paraId="57EA9D22"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1.4.5必要的法律依据；</w:t>
      </w:r>
    </w:p>
    <w:p w14:paraId="5E9AFA11"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1.4.6提出质疑的日期；</w:t>
      </w:r>
    </w:p>
    <w:p w14:paraId="7A783A69"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1.4.7营业执照（或事业单位法人证书，或个体工商户营业执照或有效的自然人身份证明）复印件；</w:t>
      </w:r>
    </w:p>
    <w:p w14:paraId="7165BEF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1.4.8法定代表人授权委托书原件、法定代表人身份证复印件和其授权代表的身份证复印件（供应商为自然人的提供自然人身份证复印件）；</w:t>
      </w:r>
    </w:p>
    <w:p w14:paraId="675CB8AA"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1.5供应商为自然人的，质疑函应当由本人签字；供应商为法人或者其他组织的，质疑函应当由法定代表人、主要负责人，或者其授权代表签字或者盖章，并加盖公章。</w:t>
      </w:r>
    </w:p>
    <w:p w14:paraId="6B2539FB"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2.质疑答复</w:t>
      </w:r>
    </w:p>
    <w:p w14:paraId="0E2E456D"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采购人、采购代理机构应当在收到投标人的书面质疑后七个工作日内作出答复，并以书面形式通知质疑投标人和其他有关投标人。</w:t>
      </w:r>
    </w:p>
    <w:p w14:paraId="202A282A"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3.其他</w:t>
      </w:r>
    </w:p>
    <w:p w14:paraId="0C538444"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3.1投标人应按照《政府采购质疑和投诉办法》（财政部令第94号）及相关法律法规要求，在法定质疑期内一次性提出针对同一采购程序环节的质疑。</w:t>
      </w:r>
    </w:p>
    <w:p w14:paraId="7B05D03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3.2质疑函范本可在财政部门户网站和中国政府采购网下载。</w:t>
      </w:r>
    </w:p>
    <w:p w14:paraId="29127C18"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4.质疑联系方式详见第一篇“九、联系方式”。采购代理机构地址为重庆市渝北区黄山大道中段53号5-1（双鱼座A栋5楼）。</w:t>
      </w:r>
    </w:p>
    <w:p w14:paraId="452F6695" w14:textId="77777777" w:rsidR="0022665C" w:rsidRDefault="00000000">
      <w:pPr>
        <w:snapToGrid w:val="0"/>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（三）投诉</w:t>
      </w:r>
    </w:p>
    <w:p w14:paraId="467F2F01"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1.投标人对采购人、采购代理机构的答复不满意，或者采购人、采购代理机构未在规定时间内作出答复的，可以在答复期满后15个工作日内按照相关法律法规向财政部门提起投诉。</w:t>
      </w:r>
    </w:p>
    <w:p w14:paraId="183B2124"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2.投标人应按照《政府采购质疑和投诉办法》（财政部令第94号）及相关法律法规要求递交投诉书和必要的证明材料。投诉书范本可在财政部门户网站和中国政府采购网下载。</w:t>
      </w:r>
    </w:p>
    <w:p w14:paraId="2F732B82"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7058F45D"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4.在确定受理投诉后，财政部门自受理投诉之日起30个工作日内（需要检验、检测、鉴定、专家评审以及需要投诉人补正材料的，所需时间不计算在投诉处理期限内）对投诉事项做出处理决定。</w:t>
      </w:r>
    </w:p>
    <w:p w14:paraId="1FA38155" w14:textId="77777777" w:rsidR="0022665C" w:rsidRDefault="00000000">
      <w:pPr>
        <w:pStyle w:val="2"/>
        <w:spacing w:line="560" w:lineRule="atLeast"/>
        <w:ind w:firstLine="480"/>
        <w:jc w:val="left"/>
        <w:rPr>
          <w:rFonts w:ascii="微软雅黑" w:eastAsia="微软雅黑" w:hAnsi="微软雅黑" w:hint="eastAsia"/>
          <w:b/>
          <w:bCs/>
          <w:sz w:val="24"/>
        </w:rPr>
      </w:pPr>
      <w:bookmarkStart w:id="221" w:name="_Toc27008"/>
      <w:bookmarkStart w:id="222" w:name="_Toc1373"/>
      <w:bookmarkStart w:id="223" w:name="_Toc13048"/>
      <w:bookmarkStart w:id="224" w:name="_Toc150335794"/>
      <w:bookmarkStart w:id="225" w:name="_Toc3621"/>
      <w:r>
        <w:rPr>
          <w:rFonts w:ascii="微软雅黑" w:eastAsia="微软雅黑" w:hAnsi="微软雅黑" w:hint="eastAsia"/>
          <w:b/>
          <w:bCs/>
          <w:sz w:val="24"/>
        </w:rPr>
        <w:t>九、招标代理服务费</w:t>
      </w:r>
      <w:bookmarkEnd w:id="221"/>
      <w:bookmarkEnd w:id="222"/>
      <w:bookmarkEnd w:id="223"/>
      <w:bookmarkEnd w:id="224"/>
      <w:bookmarkEnd w:id="225"/>
    </w:p>
    <w:p w14:paraId="5EA562E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（一）投标人中标后向采购代理机构缴纳招标代理服务费，招标代理服务费的收取标准按照以下服务类标准下浮50%执行：</w:t>
      </w:r>
    </w:p>
    <w:p w14:paraId="09D1487D" w14:textId="77777777" w:rsidR="0022665C" w:rsidRDefault="00000000">
      <w:pPr>
        <w:pStyle w:val="ae"/>
        <w:spacing w:line="440" w:lineRule="atLeast"/>
        <w:ind w:firstLineChars="200" w:firstLine="420"/>
        <w:jc w:val="center"/>
        <w:rPr>
          <w:rFonts w:ascii="微软雅黑" w:eastAsia="微软雅黑" w:hAnsi="微软雅黑" w:hint="eastAsia"/>
          <w:b/>
          <w:bCs/>
          <w:szCs w:val="21"/>
        </w:rPr>
      </w:pPr>
      <w:r>
        <w:rPr>
          <w:rFonts w:ascii="微软雅黑" w:eastAsia="微软雅黑" w:hAnsi="微软雅黑" w:hint="eastAsia"/>
          <w:b/>
          <w:bCs/>
          <w:szCs w:val="21"/>
        </w:rPr>
        <w:t>招标代理服务费收取标准</w:t>
      </w:r>
    </w:p>
    <w:tbl>
      <w:tblPr>
        <w:tblW w:w="8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37"/>
        <w:gridCol w:w="2026"/>
        <w:gridCol w:w="2023"/>
        <w:gridCol w:w="1694"/>
      </w:tblGrid>
      <w:tr w:rsidR="0022665C" w14:paraId="528124BA" w14:textId="77777777">
        <w:trPr>
          <w:trHeight w:val="520"/>
          <w:jc w:val="center"/>
        </w:trPr>
        <w:tc>
          <w:tcPr>
            <w:tcW w:w="3037" w:type="dxa"/>
            <w:tcBorders>
              <w:tl2br w:val="single" w:sz="4" w:space="0" w:color="auto"/>
            </w:tcBorders>
          </w:tcPr>
          <w:p w14:paraId="3CD698D6" w14:textId="77777777" w:rsidR="0022665C" w:rsidRDefault="00000000">
            <w:pPr>
              <w:pStyle w:val="ae"/>
              <w:spacing w:line="440" w:lineRule="atLeast"/>
              <w:ind w:firstLineChars="900" w:firstLine="1890"/>
              <w:rPr>
                <w:rFonts w:ascii="微软雅黑" w:eastAsia="微软雅黑" w:hAnsi="微软雅黑" w:hint="eastAsia"/>
                <w:szCs w:val="21"/>
              </w:rPr>
            </w:pPr>
            <w:r>
              <w:rPr>
                <w:rFonts w:ascii="微软雅黑" w:eastAsia="微软雅黑" w:hAnsi="微软雅黑"/>
                <w:noProof/>
              </w:rPr>
              <mc:AlternateContent>
                <mc:Choice Requires="wps">
                  <w:drawing>
                    <wp:anchor distT="0" distB="0" distL="114300" distR="114300" simplePos="0" relativeHeight="251659264" behindDoc="0" locked="0" layoutInCell="0" allowOverlap="1" wp14:anchorId="3A072FFD" wp14:editId="40C8CD15">
                      <wp:simplePos x="0" y="0"/>
                      <wp:positionH relativeFrom="column">
                        <wp:posOffset>-114300</wp:posOffset>
                      </wp:positionH>
                      <wp:positionV relativeFrom="paragraph">
                        <wp:posOffset>-6350</wp:posOffset>
                      </wp:positionV>
                      <wp:extent cx="635" cy="635"/>
                      <wp:effectExtent l="0" t="0" r="0" b="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cmpd="sng">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9pt;margin-top:-0.5pt;height:0.05pt;width:0.05pt;z-index:251659264;mso-width-relative:page;mso-height-relative:page;" filled="f" stroked="t" coordsize="21600,21600" o:allowincell="f" o:gfxdata="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8+&#10;+YPWAAAACAEAAA8AAAAAAAAAAQAgAAAAIgAAAGRycy9kb3ducmV2LnhtbFBLAQIUABQAAAAIAIdO&#10;4kAiXikm7AEAAMEDAAAOAAAAAAAAAAEAIAAAACUBAABkcnMvZTJvRG9jLnhtbFBLBQYAAAAABgAG&#10;AFkBAACDBQAAAAA=&#10;">
                      <v:fill on="f" focussize="0,0"/>
                      <v:stroke color="#000000" joinstyle="round"/>
                      <v:imagedata o:title=""/>
                      <o:lock v:ext="edit" aspectratio="f"/>
                    </v:line>
                  </w:pict>
                </mc:Fallback>
              </mc:AlternateContent>
            </w:r>
            <w:r>
              <w:rPr>
                <w:rFonts w:ascii="微软雅黑" w:eastAsia="微软雅黑" w:hAnsi="微软雅黑" w:hint="eastAsia"/>
                <w:szCs w:val="21"/>
              </w:rPr>
              <w:t>招标类型</w:t>
            </w:r>
          </w:p>
          <w:p w14:paraId="0FB210C7" w14:textId="77777777" w:rsidR="0022665C" w:rsidRDefault="00000000">
            <w:pPr>
              <w:pStyle w:val="ae"/>
              <w:spacing w:line="440" w:lineRule="atLeast"/>
              <w:rPr>
                <w:rFonts w:ascii="微软雅黑" w:eastAsia="微软雅黑" w:hAnsi="微软雅黑" w:hint="eastAsia"/>
                <w:szCs w:val="21"/>
              </w:rPr>
            </w:pPr>
            <w:r>
              <w:rPr>
                <w:rFonts w:ascii="微软雅黑" w:eastAsia="微软雅黑" w:hAnsi="微软雅黑" w:hint="eastAsia"/>
                <w:szCs w:val="21"/>
              </w:rPr>
              <w:t>中标金额（万元）</w:t>
            </w:r>
          </w:p>
        </w:tc>
        <w:tc>
          <w:tcPr>
            <w:tcW w:w="2026" w:type="dxa"/>
            <w:vAlign w:val="center"/>
          </w:tcPr>
          <w:p w14:paraId="3D3A5D43"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货物招标</w:t>
            </w:r>
          </w:p>
        </w:tc>
        <w:tc>
          <w:tcPr>
            <w:tcW w:w="2023" w:type="dxa"/>
            <w:vAlign w:val="center"/>
          </w:tcPr>
          <w:p w14:paraId="0318AB4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服务招标</w:t>
            </w:r>
          </w:p>
        </w:tc>
        <w:tc>
          <w:tcPr>
            <w:tcW w:w="1694" w:type="dxa"/>
            <w:vAlign w:val="center"/>
          </w:tcPr>
          <w:p w14:paraId="6470B29D"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工程招标</w:t>
            </w:r>
          </w:p>
        </w:tc>
      </w:tr>
      <w:tr w:rsidR="0022665C" w14:paraId="4BC1F762" w14:textId="77777777">
        <w:trPr>
          <w:trHeight w:val="360"/>
          <w:jc w:val="center"/>
        </w:trPr>
        <w:tc>
          <w:tcPr>
            <w:tcW w:w="3037" w:type="dxa"/>
            <w:vAlign w:val="center"/>
          </w:tcPr>
          <w:p w14:paraId="3F6ACF6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100以下</w:t>
            </w:r>
          </w:p>
        </w:tc>
        <w:tc>
          <w:tcPr>
            <w:tcW w:w="2026" w:type="dxa"/>
            <w:vAlign w:val="center"/>
          </w:tcPr>
          <w:p w14:paraId="7FA4A352"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1.5%</w:t>
            </w:r>
          </w:p>
        </w:tc>
        <w:tc>
          <w:tcPr>
            <w:tcW w:w="2023" w:type="dxa"/>
            <w:vAlign w:val="center"/>
          </w:tcPr>
          <w:p w14:paraId="6A1A845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1.5%</w:t>
            </w:r>
          </w:p>
        </w:tc>
        <w:tc>
          <w:tcPr>
            <w:tcW w:w="1694" w:type="dxa"/>
            <w:vAlign w:val="center"/>
          </w:tcPr>
          <w:p w14:paraId="1654BC21"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1.0%</w:t>
            </w:r>
          </w:p>
        </w:tc>
      </w:tr>
      <w:tr w:rsidR="0022665C" w14:paraId="1AACA0DD" w14:textId="77777777">
        <w:trPr>
          <w:trHeight w:val="360"/>
          <w:jc w:val="center"/>
        </w:trPr>
        <w:tc>
          <w:tcPr>
            <w:tcW w:w="3037" w:type="dxa"/>
            <w:vAlign w:val="center"/>
          </w:tcPr>
          <w:p w14:paraId="6B3C49A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100-500</w:t>
            </w:r>
          </w:p>
        </w:tc>
        <w:tc>
          <w:tcPr>
            <w:tcW w:w="2026" w:type="dxa"/>
            <w:vAlign w:val="center"/>
          </w:tcPr>
          <w:p w14:paraId="02E3ABAD"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1.1%</w:t>
            </w:r>
          </w:p>
        </w:tc>
        <w:tc>
          <w:tcPr>
            <w:tcW w:w="2023" w:type="dxa"/>
            <w:vAlign w:val="center"/>
          </w:tcPr>
          <w:p w14:paraId="733DAAF1"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0.8%</w:t>
            </w:r>
          </w:p>
        </w:tc>
        <w:tc>
          <w:tcPr>
            <w:tcW w:w="1694" w:type="dxa"/>
            <w:vAlign w:val="center"/>
          </w:tcPr>
          <w:p w14:paraId="1FD3C801"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0.7%</w:t>
            </w:r>
          </w:p>
        </w:tc>
      </w:tr>
      <w:tr w:rsidR="0022665C" w14:paraId="1932AA35" w14:textId="77777777">
        <w:trPr>
          <w:trHeight w:val="360"/>
          <w:jc w:val="center"/>
        </w:trPr>
        <w:tc>
          <w:tcPr>
            <w:tcW w:w="3037" w:type="dxa"/>
            <w:vAlign w:val="center"/>
          </w:tcPr>
          <w:p w14:paraId="6BA3F13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500-1000</w:t>
            </w:r>
          </w:p>
        </w:tc>
        <w:tc>
          <w:tcPr>
            <w:tcW w:w="2026" w:type="dxa"/>
            <w:vAlign w:val="center"/>
          </w:tcPr>
          <w:p w14:paraId="0B6A786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0.8%</w:t>
            </w:r>
          </w:p>
        </w:tc>
        <w:tc>
          <w:tcPr>
            <w:tcW w:w="2023" w:type="dxa"/>
            <w:vAlign w:val="center"/>
          </w:tcPr>
          <w:p w14:paraId="0E9A70D3"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0.45%</w:t>
            </w:r>
          </w:p>
        </w:tc>
        <w:tc>
          <w:tcPr>
            <w:tcW w:w="1694" w:type="dxa"/>
            <w:vAlign w:val="center"/>
          </w:tcPr>
          <w:p w14:paraId="55E6FAD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0.55%</w:t>
            </w:r>
          </w:p>
        </w:tc>
      </w:tr>
      <w:tr w:rsidR="0022665C" w14:paraId="05653E7D" w14:textId="77777777">
        <w:trPr>
          <w:trHeight w:val="360"/>
          <w:jc w:val="center"/>
        </w:trPr>
        <w:tc>
          <w:tcPr>
            <w:tcW w:w="3037" w:type="dxa"/>
            <w:vAlign w:val="center"/>
          </w:tcPr>
          <w:p w14:paraId="47B87664"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1000-5000</w:t>
            </w:r>
          </w:p>
        </w:tc>
        <w:tc>
          <w:tcPr>
            <w:tcW w:w="2026" w:type="dxa"/>
            <w:vAlign w:val="center"/>
          </w:tcPr>
          <w:p w14:paraId="0AA2AA94"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0.5%</w:t>
            </w:r>
          </w:p>
        </w:tc>
        <w:tc>
          <w:tcPr>
            <w:tcW w:w="2023" w:type="dxa"/>
            <w:vAlign w:val="center"/>
          </w:tcPr>
          <w:p w14:paraId="1D76B7D9"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0.25%</w:t>
            </w:r>
          </w:p>
        </w:tc>
        <w:tc>
          <w:tcPr>
            <w:tcW w:w="1694" w:type="dxa"/>
            <w:vAlign w:val="center"/>
          </w:tcPr>
          <w:p w14:paraId="6E77CFA1"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0.35%</w:t>
            </w:r>
          </w:p>
        </w:tc>
      </w:tr>
      <w:tr w:rsidR="0022665C" w14:paraId="0FE27559" w14:textId="77777777">
        <w:trPr>
          <w:trHeight w:val="360"/>
          <w:jc w:val="center"/>
        </w:trPr>
        <w:tc>
          <w:tcPr>
            <w:tcW w:w="3037" w:type="dxa"/>
            <w:vAlign w:val="center"/>
          </w:tcPr>
          <w:p w14:paraId="181B0393"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5000-10000</w:t>
            </w:r>
          </w:p>
        </w:tc>
        <w:tc>
          <w:tcPr>
            <w:tcW w:w="2026" w:type="dxa"/>
            <w:vAlign w:val="center"/>
          </w:tcPr>
          <w:p w14:paraId="5F64E0CA"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0.25%</w:t>
            </w:r>
          </w:p>
        </w:tc>
        <w:tc>
          <w:tcPr>
            <w:tcW w:w="2023" w:type="dxa"/>
            <w:vAlign w:val="center"/>
          </w:tcPr>
          <w:p w14:paraId="3C107CAD"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0.1%</w:t>
            </w:r>
          </w:p>
        </w:tc>
        <w:tc>
          <w:tcPr>
            <w:tcW w:w="1694" w:type="dxa"/>
            <w:vAlign w:val="center"/>
          </w:tcPr>
          <w:p w14:paraId="5F8BC3C6"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0.2%</w:t>
            </w:r>
          </w:p>
        </w:tc>
      </w:tr>
      <w:tr w:rsidR="0022665C" w14:paraId="123EA697" w14:textId="77777777">
        <w:trPr>
          <w:trHeight w:val="467"/>
          <w:jc w:val="center"/>
        </w:trPr>
        <w:tc>
          <w:tcPr>
            <w:tcW w:w="3037" w:type="dxa"/>
            <w:vAlign w:val="center"/>
          </w:tcPr>
          <w:p w14:paraId="7DBC98D1"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10000-100000</w:t>
            </w:r>
          </w:p>
        </w:tc>
        <w:tc>
          <w:tcPr>
            <w:tcW w:w="2026" w:type="dxa"/>
            <w:vAlign w:val="center"/>
          </w:tcPr>
          <w:p w14:paraId="473F80B0"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0.05%</w:t>
            </w:r>
          </w:p>
        </w:tc>
        <w:tc>
          <w:tcPr>
            <w:tcW w:w="2023" w:type="dxa"/>
            <w:vAlign w:val="center"/>
          </w:tcPr>
          <w:p w14:paraId="6A38B607"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0.05%</w:t>
            </w:r>
          </w:p>
        </w:tc>
        <w:tc>
          <w:tcPr>
            <w:tcW w:w="1694" w:type="dxa"/>
            <w:vAlign w:val="center"/>
          </w:tcPr>
          <w:p w14:paraId="1CAC1F6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0.05%</w:t>
            </w:r>
          </w:p>
        </w:tc>
      </w:tr>
    </w:tbl>
    <w:p w14:paraId="0889AA5A"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注：招标代理服务收费按差额定率累进法计算。例如：某服务项目招标代理业务中标金额为500万元，计算招标代理服务收费额如下：</w:t>
      </w:r>
    </w:p>
    <w:p w14:paraId="2458FAB7"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100万元×1.5%=1.5万元</w:t>
      </w:r>
    </w:p>
    <w:p w14:paraId="049704EB"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（500-100）万元×0.8%=3.2万元</w:t>
      </w:r>
    </w:p>
    <w:p w14:paraId="30A454F5"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合计收费=（1.5+3.2）×50%=2.35（万元）</w:t>
      </w:r>
    </w:p>
    <w:p w14:paraId="2B5C0D94"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（三）招标代理服务费缴纳账号：</w:t>
      </w:r>
    </w:p>
    <w:p w14:paraId="0581A0B0"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户  名：中招国际招标有限公司重庆分公司</w:t>
      </w:r>
    </w:p>
    <w:p w14:paraId="58FE4312"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开户行：中国工商银行股份有限公司重庆两江分行</w:t>
      </w:r>
    </w:p>
    <w:p w14:paraId="2D600027"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账  号：3100020219200339271</w:t>
      </w:r>
    </w:p>
    <w:p w14:paraId="56F2A03F"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联行号：102653000110</w:t>
      </w:r>
    </w:p>
    <w:p w14:paraId="34FA870D" w14:textId="77777777" w:rsidR="0022665C" w:rsidRDefault="00000000">
      <w:pPr>
        <w:pStyle w:val="2"/>
        <w:spacing w:line="560" w:lineRule="atLeast"/>
        <w:ind w:firstLine="480"/>
        <w:jc w:val="left"/>
        <w:rPr>
          <w:rFonts w:ascii="微软雅黑" w:eastAsia="微软雅黑" w:hAnsi="微软雅黑" w:hint="eastAsia"/>
          <w:b/>
          <w:bCs/>
          <w:sz w:val="24"/>
        </w:rPr>
      </w:pPr>
      <w:bookmarkStart w:id="226" w:name="_Toc13530"/>
      <w:bookmarkStart w:id="227" w:name="_Toc13196"/>
      <w:bookmarkStart w:id="228" w:name="_Toc150335795"/>
      <w:bookmarkStart w:id="229" w:name="_Toc38"/>
      <w:bookmarkStart w:id="230" w:name="_Toc4397"/>
      <w:r>
        <w:rPr>
          <w:rFonts w:ascii="微软雅黑" w:eastAsia="微软雅黑" w:hAnsi="微软雅黑" w:hint="eastAsia"/>
          <w:b/>
          <w:bCs/>
          <w:sz w:val="24"/>
        </w:rPr>
        <w:t>十、交易服务费</w:t>
      </w:r>
      <w:bookmarkEnd w:id="226"/>
      <w:bookmarkEnd w:id="227"/>
      <w:bookmarkEnd w:id="228"/>
      <w:bookmarkEnd w:id="229"/>
      <w:bookmarkEnd w:id="230"/>
    </w:p>
    <w:p w14:paraId="0A1BC25C"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投标人中标后向“重庆联合产权交易所集团股份有限公司”缴纳交易服务费，服务费的收取标准按照渝发改收费〔</w:t>
      </w:r>
      <w:r>
        <w:rPr>
          <w:rFonts w:ascii="微软雅黑" w:eastAsia="微软雅黑" w:hAnsi="微软雅黑"/>
          <w:szCs w:val="21"/>
        </w:rPr>
        <w:t>2023</w:t>
      </w:r>
      <w:r>
        <w:rPr>
          <w:rFonts w:ascii="微软雅黑" w:eastAsia="微软雅黑" w:hAnsi="微软雅黑" w:hint="eastAsia"/>
          <w:szCs w:val="21"/>
        </w:rPr>
        <w:t>〕</w:t>
      </w:r>
      <w:r>
        <w:rPr>
          <w:rFonts w:ascii="微软雅黑" w:eastAsia="微软雅黑" w:hAnsi="微软雅黑"/>
          <w:szCs w:val="21"/>
        </w:rPr>
        <w:t>115</w:t>
      </w:r>
      <w:r>
        <w:rPr>
          <w:rFonts w:ascii="微软雅黑" w:eastAsia="微软雅黑" w:hAnsi="微软雅黑" w:hint="eastAsia"/>
          <w:szCs w:val="21"/>
        </w:rPr>
        <w:t>号文件执行。</w:t>
      </w:r>
    </w:p>
    <w:p w14:paraId="65FC0595" w14:textId="77777777" w:rsidR="0022665C" w:rsidRDefault="00000000">
      <w:pPr>
        <w:pStyle w:val="ae"/>
        <w:spacing w:line="440" w:lineRule="atLeast"/>
        <w:ind w:firstLineChars="200" w:firstLine="420"/>
        <w:rPr>
          <w:rFonts w:ascii="微软雅黑" w:eastAsia="微软雅黑" w:hAnsi="微软雅黑" w:hint="eastAsia"/>
          <w:szCs w:val="21"/>
        </w:rPr>
      </w:pPr>
      <w:r>
        <w:rPr>
          <w:rFonts w:ascii="微软雅黑" w:eastAsia="微软雅黑" w:hAnsi="微软雅黑" w:hint="eastAsia"/>
          <w:szCs w:val="21"/>
        </w:rPr>
        <w:t>重庆市公共资源交易中心咨询电话：023-</w:t>
      </w:r>
      <w:r>
        <w:rPr>
          <w:rFonts w:ascii="微软雅黑" w:eastAsia="微软雅黑" w:hAnsi="微软雅黑"/>
          <w:szCs w:val="21"/>
        </w:rPr>
        <w:t>63625633</w:t>
      </w:r>
    </w:p>
    <w:p w14:paraId="106F0DE2" w14:textId="77777777" w:rsidR="0022665C" w:rsidRDefault="00000000">
      <w:pPr>
        <w:pStyle w:val="2"/>
        <w:spacing w:line="560" w:lineRule="atLeast"/>
        <w:ind w:firstLine="480"/>
        <w:jc w:val="left"/>
        <w:rPr>
          <w:rFonts w:ascii="微软雅黑" w:eastAsia="微软雅黑" w:hAnsi="微软雅黑" w:hint="eastAsia"/>
          <w:b/>
          <w:bCs/>
          <w:sz w:val="24"/>
        </w:rPr>
      </w:pPr>
      <w:bookmarkStart w:id="231" w:name="_Toc10665"/>
      <w:bookmarkStart w:id="232" w:name="_Toc150335796"/>
      <w:bookmarkStart w:id="233" w:name="_Toc5571"/>
      <w:bookmarkStart w:id="234" w:name="_Toc28904"/>
      <w:bookmarkStart w:id="235" w:name="_Toc16594"/>
      <w:r>
        <w:rPr>
          <w:rFonts w:ascii="微软雅黑" w:eastAsia="微软雅黑" w:hAnsi="微软雅黑" w:hint="eastAsia"/>
          <w:b/>
          <w:bCs/>
          <w:sz w:val="24"/>
        </w:rPr>
        <w:t>十一、签订合同</w:t>
      </w:r>
      <w:bookmarkEnd w:id="231"/>
      <w:bookmarkEnd w:id="232"/>
      <w:bookmarkEnd w:id="233"/>
      <w:bookmarkEnd w:id="234"/>
      <w:bookmarkEnd w:id="235"/>
    </w:p>
    <w:p w14:paraId="0F74480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（一）采购人原则上应在中标通知书发出之日起</w:t>
      </w:r>
      <w:r>
        <w:rPr>
          <w:rFonts w:ascii="微软雅黑" w:eastAsia="微软雅黑" w:hAnsi="微软雅黑" w:hint="eastAsia"/>
          <w:b/>
          <w:bCs/>
          <w:sz w:val="21"/>
          <w:szCs w:val="21"/>
        </w:rPr>
        <w:t>二十日内</w:t>
      </w:r>
      <w:r>
        <w:rPr>
          <w:rFonts w:ascii="微软雅黑" w:eastAsia="微软雅黑" w:hAnsi="微软雅黑" w:hint="eastAsia"/>
          <w:sz w:val="21"/>
          <w:szCs w:val="21"/>
        </w:rPr>
        <w:t>和中标人签订政府采购合同，无正当理由不得拒绝或拖延合同签订。所签订的合同不得对招标文件和中标人投标文件作实质性修改。其他未尽事宜由采购人和中标人在采购合同中详细约定。</w:t>
      </w:r>
    </w:p>
    <w:p w14:paraId="7AFC25D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二）采购人应当自合同签订之日起7个工作日内，在“政府采购业务管理系统”进行合同登记备案；2个工作日内按相关管理要求在重庆市政府采购网上公告政府采购合同，但政府采购合同中涉及国家秘密、商业秘密的内容除外。未按要求公告及备案的，应当及时进行补充公告及备案。</w:t>
      </w:r>
    </w:p>
    <w:p w14:paraId="36444EC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（三）招标文件、中标人的投标文件及澄清文件等，均为签订政府采购合同的依据。</w:t>
      </w:r>
    </w:p>
    <w:p w14:paraId="758FA9A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（四）合同生效条款由供需双方约定，法律、行政法规规定应当办理批准、登记等手续后生效的合同，依照其规定。</w:t>
      </w:r>
    </w:p>
    <w:p w14:paraId="236D02D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（五）合同原则上应按照《政府采购合同》签订，相关单位要求适用合同通用格式版本的，应按其要求另行签订其他合同。</w:t>
      </w:r>
    </w:p>
    <w:p w14:paraId="2813373E" w14:textId="77777777" w:rsidR="0022665C" w:rsidRDefault="00000000">
      <w:pPr>
        <w:pStyle w:val="2"/>
        <w:spacing w:line="560" w:lineRule="atLeast"/>
        <w:ind w:firstLine="480"/>
        <w:jc w:val="left"/>
        <w:rPr>
          <w:rFonts w:ascii="微软雅黑" w:eastAsia="微软雅黑" w:hAnsi="微软雅黑" w:hint="eastAsia"/>
          <w:b/>
          <w:bCs/>
          <w:sz w:val="24"/>
        </w:rPr>
      </w:pPr>
      <w:bookmarkStart w:id="236" w:name="_Toc150335797"/>
      <w:bookmarkStart w:id="237" w:name="_Toc15842"/>
      <w:bookmarkStart w:id="238" w:name="_Toc11968"/>
      <w:bookmarkStart w:id="239" w:name="_Toc11201"/>
      <w:bookmarkStart w:id="240" w:name="_Toc24698"/>
      <w:r>
        <w:rPr>
          <w:rFonts w:ascii="微软雅黑" w:eastAsia="微软雅黑" w:hAnsi="微软雅黑" w:hint="eastAsia"/>
          <w:b/>
          <w:bCs/>
          <w:sz w:val="24"/>
        </w:rPr>
        <w:t>十二、项目验收</w:t>
      </w:r>
      <w:bookmarkEnd w:id="236"/>
      <w:bookmarkEnd w:id="237"/>
      <w:bookmarkEnd w:id="238"/>
      <w:bookmarkEnd w:id="239"/>
      <w:bookmarkEnd w:id="240"/>
    </w:p>
    <w:p w14:paraId="043B1B6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合同执行完毕，采购人或采购代理机构原则上应在7个工作日内组织履约情况验收，不得无故拖延或附加额外条件。</w:t>
      </w:r>
    </w:p>
    <w:p w14:paraId="6A96AB4F" w14:textId="77777777" w:rsidR="0022665C" w:rsidRDefault="00000000">
      <w:pPr>
        <w:pStyle w:val="2"/>
        <w:spacing w:line="560" w:lineRule="atLeast"/>
        <w:ind w:firstLine="480"/>
        <w:jc w:val="left"/>
        <w:rPr>
          <w:rFonts w:ascii="微软雅黑" w:eastAsia="微软雅黑" w:hAnsi="微软雅黑" w:hint="eastAsia"/>
          <w:b/>
          <w:bCs/>
          <w:sz w:val="24"/>
        </w:rPr>
      </w:pPr>
      <w:bookmarkStart w:id="241" w:name="_Toc150335798"/>
      <w:bookmarkStart w:id="242" w:name="_Toc27876"/>
      <w:bookmarkStart w:id="243" w:name="_Toc13147"/>
      <w:bookmarkStart w:id="244" w:name="_Toc12893"/>
      <w:bookmarkStart w:id="245" w:name="_Toc289"/>
      <w:r>
        <w:rPr>
          <w:rFonts w:ascii="微软雅黑" w:eastAsia="微软雅黑" w:hAnsi="微软雅黑" w:hint="eastAsia"/>
          <w:b/>
          <w:bCs/>
          <w:sz w:val="24"/>
        </w:rPr>
        <w:t>十三、政府采购信用融资</w:t>
      </w:r>
      <w:bookmarkEnd w:id="241"/>
      <w:bookmarkEnd w:id="242"/>
      <w:bookmarkEnd w:id="243"/>
      <w:bookmarkEnd w:id="244"/>
      <w:bookmarkEnd w:id="245"/>
    </w:p>
    <w:p w14:paraId="3136E9B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参与重庆市政府采购活动，成为中标人，并与采购人签订政府采购合同后，可按照重庆市政府采购支持中小企业信用融资办法的规定，向开展政府采购信用融资业务的银行申请贷款。具体内容详见重庆市政府采购网“信用融资”信息专栏</w:t>
      </w:r>
    </w:p>
    <w:p w14:paraId="22AFE5AC" w14:textId="77777777" w:rsidR="0022665C" w:rsidRDefault="00000000">
      <w:pPr>
        <w:pStyle w:val="1"/>
        <w:numPr>
          <w:ilvl w:val="0"/>
          <w:numId w:val="3"/>
        </w:numPr>
        <w:tabs>
          <w:tab w:val="left" w:pos="1530"/>
          <w:tab w:val="left" w:pos="3940"/>
          <w:tab w:val="left" w:pos="7484"/>
          <w:tab w:val="left" w:pos="8052"/>
        </w:tabs>
        <w:spacing w:beforeLines="0" w:afterLines="0" w:line="480" w:lineRule="auto"/>
        <w:ind w:left="0" w:firstLine="0"/>
        <w:rPr>
          <w:rFonts w:ascii="微软雅黑" w:eastAsia="微软雅黑" w:hAnsi="微软雅黑" w:hint="eastAsia"/>
          <w:b/>
          <w:sz w:val="36"/>
          <w:szCs w:val="36"/>
        </w:rPr>
      </w:pPr>
      <w:r>
        <w:rPr>
          <w:rFonts w:ascii="微软雅黑" w:eastAsia="微软雅黑" w:hAnsi="微软雅黑"/>
          <w:sz w:val="21"/>
          <w:szCs w:val="21"/>
        </w:rPr>
        <w:br w:type="page"/>
      </w:r>
      <w:bookmarkStart w:id="246" w:name="_Toc150435536"/>
      <w:bookmarkStart w:id="247" w:name="_Toc32559"/>
      <w:bookmarkStart w:id="248" w:name="_Toc26766"/>
      <w:bookmarkStart w:id="249" w:name="_Toc9354"/>
      <w:bookmarkStart w:id="250" w:name="_Toc11471"/>
      <w:r>
        <w:rPr>
          <w:rFonts w:ascii="微软雅黑" w:eastAsia="微软雅黑" w:hAnsi="微软雅黑"/>
          <w:b/>
          <w:sz w:val="36"/>
          <w:szCs w:val="36"/>
        </w:rPr>
        <w:t>合同主要条款和格式合同</w:t>
      </w:r>
      <w:bookmarkEnd w:id="246"/>
      <w:bookmarkEnd w:id="247"/>
      <w:bookmarkEnd w:id="248"/>
      <w:bookmarkEnd w:id="249"/>
      <w:bookmarkEnd w:id="250"/>
    </w:p>
    <w:p w14:paraId="510ABE11" w14:textId="77777777" w:rsidR="0022665C" w:rsidRDefault="00000000">
      <w:pPr>
        <w:pStyle w:val="2"/>
        <w:spacing w:line="560" w:lineRule="atLeast"/>
        <w:ind w:firstLine="480"/>
        <w:jc w:val="left"/>
        <w:rPr>
          <w:rFonts w:ascii="微软雅黑" w:eastAsia="微软雅黑" w:hAnsi="微软雅黑" w:hint="eastAsia"/>
          <w:b/>
          <w:bCs/>
          <w:sz w:val="24"/>
        </w:rPr>
      </w:pPr>
      <w:bookmarkStart w:id="251" w:name="_Toc34316155"/>
      <w:bookmarkStart w:id="252" w:name="_Toc493506316"/>
      <w:bookmarkStart w:id="253" w:name="_Toc15521"/>
      <w:bookmarkStart w:id="254" w:name="_Toc11698"/>
      <w:bookmarkStart w:id="255" w:name="_Toc59382161"/>
      <w:bookmarkStart w:id="256" w:name="_Toc21880"/>
      <w:bookmarkStart w:id="257" w:name="_Toc24590"/>
      <w:bookmarkStart w:id="258" w:name="_Toc858"/>
      <w:bookmarkStart w:id="259" w:name="_Toc59382162"/>
      <w:bookmarkStart w:id="260" w:name="_Toc34316156"/>
      <w:r>
        <w:rPr>
          <w:rFonts w:ascii="微软雅黑" w:eastAsia="微软雅黑" w:hAnsi="微软雅黑" w:hint="eastAsia"/>
          <w:b/>
          <w:bCs/>
          <w:sz w:val="24"/>
        </w:rPr>
        <w:t>一、合同主要条款</w:t>
      </w:r>
      <w:bookmarkEnd w:id="251"/>
      <w:bookmarkEnd w:id="252"/>
      <w:bookmarkEnd w:id="253"/>
      <w:bookmarkEnd w:id="254"/>
      <w:bookmarkEnd w:id="255"/>
      <w:bookmarkEnd w:id="256"/>
      <w:bookmarkEnd w:id="257"/>
      <w:bookmarkEnd w:id="258"/>
    </w:p>
    <w:p w14:paraId="242A7010" w14:textId="77777777" w:rsidR="0022665C" w:rsidRDefault="00000000">
      <w:pPr>
        <w:spacing w:line="440" w:lineRule="atLeast"/>
        <w:ind w:firstLineChars="200" w:firstLine="420"/>
        <w:outlineLvl w:val="1"/>
        <w:rPr>
          <w:rFonts w:ascii="微软雅黑" w:eastAsia="微软雅黑" w:hAnsi="微软雅黑" w:hint="eastAsia"/>
          <w:sz w:val="21"/>
          <w:szCs w:val="21"/>
        </w:rPr>
      </w:pPr>
      <w:r>
        <w:rPr>
          <w:rFonts w:ascii="微软雅黑" w:eastAsia="微软雅黑" w:hAnsi="微软雅黑" w:hint="eastAsia"/>
          <w:sz w:val="21"/>
          <w:szCs w:val="21"/>
        </w:rPr>
        <w:t>1.定义</w:t>
      </w:r>
    </w:p>
    <w:p w14:paraId="0B19E02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1.1甲方（需方）即采购人，是指通过招标采购，接受合同货物及服务的各级国家机关。</w:t>
      </w:r>
    </w:p>
    <w:p w14:paraId="7AB8A61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1.2乙方（供方）即中标人，是指中标后提供合同货物和服务的自然人、法人及其他组织。</w:t>
      </w:r>
    </w:p>
    <w:p w14:paraId="18C962A1"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1.3合同是指由甲乙双方按照招标文件和投标文件的实质性内容，通过协商一致达成的书面协议。</w:t>
      </w:r>
    </w:p>
    <w:p w14:paraId="00D9880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1.4合同价格指以中标价格为依据，在供方全面履行合同义务后，需方（或财政部门）应支付给供方的金额。</w:t>
      </w:r>
    </w:p>
    <w:p w14:paraId="3444C166" w14:textId="77777777" w:rsidR="0022665C" w:rsidRDefault="00000000">
      <w:pPr>
        <w:spacing w:line="440" w:lineRule="atLeast"/>
        <w:ind w:firstLineChars="200" w:firstLine="420"/>
        <w:outlineLvl w:val="1"/>
        <w:rPr>
          <w:rFonts w:ascii="微软雅黑" w:eastAsia="微软雅黑" w:hAnsi="微软雅黑" w:hint="eastAsia"/>
          <w:sz w:val="21"/>
          <w:szCs w:val="21"/>
        </w:rPr>
      </w:pPr>
      <w:r>
        <w:rPr>
          <w:rFonts w:ascii="微软雅黑" w:eastAsia="微软雅黑" w:hAnsi="微软雅黑" w:hint="eastAsia"/>
          <w:sz w:val="21"/>
          <w:szCs w:val="21"/>
        </w:rPr>
        <w:t>2.采购内容</w:t>
      </w:r>
    </w:p>
    <w:p w14:paraId="4CBC30C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合同包括以下内容：名称、服务指标、数量（单位）等内容。</w:t>
      </w:r>
    </w:p>
    <w:p w14:paraId="6AA76B7C" w14:textId="77777777" w:rsidR="0022665C" w:rsidRDefault="00000000">
      <w:pPr>
        <w:spacing w:line="440" w:lineRule="atLeast"/>
        <w:ind w:firstLineChars="200" w:firstLine="420"/>
        <w:outlineLvl w:val="1"/>
        <w:rPr>
          <w:rFonts w:ascii="微软雅黑" w:eastAsia="微软雅黑" w:hAnsi="微软雅黑" w:hint="eastAsia"/>
          <w:sz w:val="21"/>
          <w:szCs w:val="21"/>
        </w:rPr>
      </w:pPr>
      <w:r>
        <w:rPr>
          <w:rFonts w:ascii="微软雅黑" w:eastAsia="微软雅黑" w:hAnsi="微软雅黑" w:hint="eastAsia"/>
          <w:sz w:val="21"/>
          <w:szCs w:val="21"/>
        </w:rPr>
        <w:t>3.合同价格</w:t>
      </w:r>
    </w:p>
    <w:p w14:paraId="33D376DF"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3.1合同价格即合同总价。</w:t>
      </w:r>
    </w:p>
    <w:p w14:paraId="52842865" w14:textId="77777777" w:rsidR="0022665C" w:rsidRDefault="00000000">
      <w:pPr>
        <w:spacing w:line="440" w:lineRule="atLeast"/>
        <w:ind w:firstLineChars="200" w:firstLine="420"/>
        <w:outlineLvl w:val="1"/>
        <w:rPr>
          <w:rFonts w:ascii="微软雅黑" w:eastAsia="微软雅黑" w:hAnsi="微软雅黑" w:hint="eastAsia"/>
          <w:sz w:val="21"/>
          <w:szCs w:val="21"/>
        </w:rPr>
      </w:pPr>
      <w:r>
        <w:rPr>
          <w:rFonts w:ascii="微软雅黑" w:eastAsia="微软雅黑" w:hAnsi="微软雅黑"/>
          <w:sz w:val="21"/>
          <w:szCs w:val="21"/>
        </w:rPr>
        <w:t>4</w:t>
      </w:r>
      <w:r>
        <w:rPr>
          <w:rFonts w:ascii="微软雅黑" w:eastAsia="微软雅黑" w:hAnsi="微软雅黑" w:hint="eastAsia"/>
          <w:sz w:val="21"/>
          <w:szCs w:val="21"/>
        </w:rPr>
        <w:t>.付款</w:t>
      </w:r>
    </w:p>
    <w:p w14:paraId="330E8D4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4</w:t>
      </w:r>
      <w:r>
        <w:rPr>
          <w:rFonts w:ascii="微软雅黑" w:eastAsia="微软雅黑" w:hAnsi="微软雅黑" w:hint="eastAsia"/>
          <w:sz w:val="21"/>
          <w:szCs w:val="21"/>
        </w:rPr>
        <w:t>.1本合同使用货币币制如未作特别说明均为人民币。</w:t>
      </w:r>
    </w:p>
    <w:p w14:paraId="504F77F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4</w:t>
      </w:r>
      <w:r>
        <w:rPr>
          <w:rFonts w:ascii="微软雅黑" w:eastAsia="微软雅黑" w:hAnsi="微软雅黑" w:hint="eastAsia"/>
          <w:sz w:val="21"/>
          <w:szCs w:val="21"/>
        </w:rPr>
        <w:t>.2付款方法：同本项目“第三篇项目商务需求”中关于付款方式的约定。</w:t>
      </w:r>
    </w:p>
    <w:p w14:paraId="13B968DE" w14:textId="77777777" w:rsidR="0022665C" w:rsidRDefault="00000000">
      <w:pPr>
        <w:spacing w:line="440" w:lineRule="atLeast"/>
        <w:ind w:firstLineChars="200" w:firstLine="420"/>
        <w:outlineLvl w:val="1"/>
        <w:rPr>
          <w:rFonts w:ascii="微软雅黑" w:eastAsia="微软雅黑" w:hAnsi="微软雅黑" w:hint="eastAsia"/>
          <w:sz w:val="21"/>
          <w:szCs w:val="21"/>
        </w:rPr>
      </w:pPr>
      <w:r>
        <w:rPr>
          <w:rFonts w:ascii="微软雅黑" w:eastAsia="微软雅黑" w:hAnsi="微软雅黑" w:hint="eastAsia"/>
          <w:sz w:val="21"/>
          <w:szCs w:val="21"/>
        </w:rPr>
        <w:t>5.违约责任</w:t>
      </w:r>
    </w:p>
    <w:p w14:paraId="4AF8B9F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按《中华人民共和国民法典》《中华人民共和国政府采购法》有关条款，或由供需双方约定。</w:t>
      </w:r>
    </w:p>
    <w:p w14:paraId="4303A7E7" w14:textId="77777777" w:rsidR="0022665C" w:rsidRDefault="00000000">
      <w:pPr>
        <w:spacing w:line="440" w:lineRule="atLeast"/>
        <w:ind w:firstLineChars="200" w:firstLine="420"/>
        <w:outlineLvl w:val="1"/>
        <w:rPr>
          <w:rFonts w:ascii="微软雅黑" w:eastAsia="微软雅黑" w:hAnsi="微软雅黑" w:hint="eastAsia"/>
          <w:sz w:val="21"/>
          <w:szCs w:val="21"/>
        </w:rPr>
      </w:pPr>
      <w:r>
        <w:rPr>
          <w:rFonts w:ascii="微软雅黑" w:eastAsia="微软雅黑" w:hAnsi="微软雅黑" w:hint="eastAsia"/>
          <w:sz w:val="21"/>
          <w:szCs w:val="21"/>
        </w:rPr>
        <w:t>6.合同生效及其他</w:t>
      </w:r>
    </w:p>
    <w:p w14:paraId="7E4D1AF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6.1合同生效及其效力应符合《中华人民共和国民法典》有关规定。</w:t>
      </w:r>
    </w:p>
    <w:p w14:paraId="6F104B99"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6.2合同应经当事人法定代表人或委托代理人签字，加盖双方合同专用章或公章。</w:t>
      </w:r>
    </w:p>
    <w:p w14:paraId="5F310CB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6.3合同所包括附件，是合同不可分割的一部分，具有同等法律效力。</w:t>
      </w:r>
    </w:p>
    <w:p w14:paraId="77C1A41D"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6.4本合同条件未尽事宜依照《中华人民共和国民法典》，由供需双方共同协商确定。</w:t>
      </w:r>
    </w:p>
    <w:p w14:paraId="5AC1F25B" w14:textId="77777777" w:rsidR="0022665C" w:rsidRDefault="00000000">
      <w:pPr>
        <w:widowControl/>
        <w:spacing w:line="440" w:lineRule="atLeast"/>
        <w:ind w:firstLine="480"/>
        <w:jc w:val="left"/>
        <w:rPr>
          <w:rFonts w:ascii="微软雅黑" w:eastAsia="微软雅黑" w:hAnsi="微软雅黑" w:hint="eastAsia"/>
          <w:b/>
          <w:sz w:val="24"/>
          <w:shd w:val="clear" w:color="auto" w:fill="FFFFFF" w:themeFill="background1"/>
        </w:rPr>
      </w:pPr>
      <w:bookmarkStart w:id="261" w:name="_Toc150435538"/>
      <w:r>
        <w:rPr>
          <w:rFonts w:ascii="微软雅黑" w:eastAsia="微软雅黑" w:hAnsi="微软雅黑"/>
          <w:b/>
          <w:sz w:val="24"/>
          <w:shd w:val="clear" w:color="auto" w:fill="FFFFFF" w:themeFill="background1"/>
        </w:rPr>
        <w:br w:type="page"/>
      </w:r>
    </w:p>
    <w:p w14:paraId="5D7B76C8" w14:textId="77777777" w:rsidR="0022665C" w:rsidRDefault="00000000">
      <w:pPr>
        <w:pStyle w:val="2"/>
        <w:numPr>
          <w:ilvl w:val="0"/>
          <w:numId w:val="10"/>
        </w:numPr>
        <w:spacing w:line="560" w:lineRule="atLeast"/>
        <w:ind w:firstLine="480"/>
        <w:jc w:val="left"/>
        <w:rPr>
          <w:rFonts w:ascii="微软雅黑" w:eastAsia="微软雅黑" w:hAnsi="微软雅黑" w:hint="eastAsia"/>
          <w:b/>
          <w:bCs/>
          <w:sz w:val="24"/>
        </w:rPr>
      </w:pPr>
      <w:bookmarkStart w:id="262" w:name="_Toc12976"/>
      <w:bookmarkStart w:id="263" w:name="_Toc11751"/>
      <w:bookmarkStart w:id="264" w:name="_Toc8175"/>
      <w:bookmarkStart w:id="265" w:name="_Toc8741"/>
      <w:r>
        <w:rPr>
          <w:rFonts w:ascii="微软雅黑" w:eastAsia="微软雅黑" w:hAnsi="微软雅黑" w:hint="eastAsia"/>
          <w:b/>
          <w:bCs/>
          <w:sz w:val="24"/>
        </w:rPr>
        <w:t>政府采购合同</w:t>
      </w:r>
      <w:bookmarkEnd w:id="259"/>
      <w:bookmarkEnd w:id="260"/>
      <w:bookmarkEnd w:id="261"/>
      <w:bookmarkEnd w:id="262"/>
      <w:bookmarkEnd w:id="263"/>
      <w:bookmarkEnd w:id="264"/>
      <w:bookmarkEnd w:id="265"/>
    </w:p>
    <w:p w14:paraId="6488BBCF" w14:textId="77777777" w:rsidR="0022665C" w:rsidRDefault="00000000">
      <w:pPr>
        <w:pStyle w:val="afffffb"/>
        <w:spacing w:beforeLines="0" w:before="0" w:afterLines="0" w:after="0" w:line="440" w:lineRule="atLeast"/>
        <w:ind w:firstLine="800"/>
        <w:rPr>
          <w:rFonts w:ascii="微软雅黑" w:eastAsia="微软雅黑" w:hAnsi="微软雅黑" w:cs="微软雅黑" w:hint="eastAsia"/>
          <w:b/>
          <w:bCs/>
          <w:kern w:val="0"/>
          <w:sz w:val="40"/>
          <w:szCs w:val="40"/>
          <w:lang w:bidi="zh-CN"/>
        </w:rPr>
      </w:pPr>
      <w:bookmarkStart w:id="266" w:name="_Toc113269403"/>
      <w:bookmarkStart w:id="267" w:name="_Toc28188"/>
      <w:bookmarkStart w:id="268" w:name="_Hlk151581703"/>
      <w:bookmarkStart w:id="269" w:name="_Toc1325"/>
      <w:r>
        <w:rPr>
          <w:rFonts w:ascii="微软雅黑" w:eastAsia="微软雅黑" w:hAnsi="微软雅黑" w:cs="微软雅黑" w:hint="eastAsia"/>
          <w:b/>
          <w:bCs/>
          <w:kern w:val="0"/>
          <w:sz w:val="40"/>
          <w:szCs w:val="40"/>
          <w:lang w:bidi="zh-CN"/>
        </w:rPr>
        <w:t>技术服务合同</w:t>
      </w:r>
    </w:p>
    <w:p w14:paraId="6C99D647" w14:textId="77777777" w:rsidR="0022665C" w:rsidRDefault="0022665C">
      <w:pPr>
        <w:pStyle w:val="afffffb"/>
        <w:spacing w:beforeLines="0" w:before="0" w:afterLines="0" w:after="0" w:line="440" w:lineRule="atLeast"/>
        <w:ind w:left="1960" w:right="1960" w:firstLineChars="800" w:firstLine="3200"/>
        <w:jc w:val="both"/>
        <w:rPr>
          <w:rFonts w:ascii="微软雅黑" w:eastAsia="微软雅黑" w:hAnsi="微软雅黑" w:cs="微软雅黑" w:hint="eastAsia"/>
          <w:b/>
          <w:bCs/>
          <w:kern w:val="0"/>
          <w:sz w:val="40"/>
          <w:szCs w:val="40"/>
          <w:lang w:bidi="zh-CN"/>
        </w:rPr>
      </w:pPr>
    </w:p>
    <w:p w14:paraId="64BE5914" w14:textId="77777777" w:rsidR="0022665C" w:rsidRDefault="00000000">
      <w:pPr>
        <w:pStyle w:val="aff"/>
        <w:spacing w:line="440" w:lineRule="atLeast"/>
        <w:ind w:firstLineChars="0" w:firstLine="0"/>
        <w:rPr>
          <w:rFonts w:ascii="微软雅黑" w:eastAsia="微软雅黑" w:hAnsi="微软雅黑" w:cs="微软雅黑" w:hint="eastAsia"/>
          <w:sz w:val="21"/>
          <w:szCs w:val="21"/>
        </w:rPr>
      </w:pPr>
      <w:r>
        <w:rPr>
          <w:rFonts w:ascii="微软雅黑" w:eastAsia="微软雅黑" w:hAnsi="微软雅黑" w:cs="微软雅黑" w:hint="eastAsia"/>
          <w:sz w:val="21"/>
          <w:szCs w:val="21"/>
        </w:rPr>
        <w:t>甲方：重庆市数字化城市运行和治理中心</w:t>
      </w:r>
    </w:p>
    <w:p w14:paraId="756C34B2" w14:textId="77777777" w:rsidR="0022665C" w:rsidRDefault="00000000">
      <w:pPr>
        <w:pStyle w:val="aff"/>
        <w:spacing w:line="440" w:lineRule="atLeast"/>
        <w:ind w:firstLineChars="0" w:firstLine="0"/>
        <w:rPr>
          <w:rFonts w:ascii="微软雅黑" w:eastAsia="微软雅黑" w:hAnsi="微软雅黑" w:cs="微软雅黑" w:hint="eastAsia"/>
          <w:sz w:val="21"/>
          <w:szCs w:val="21"/>
        </w:rPr>
      </w:pPr>
      <w:r>
        <w:rPr>
          <w:rFonts w:ascii="微软雅黑" w:eastAsia="微软雅黑" w:hAnsi="微软雅黑" w:cs="微软雅黑" w:hint="eastAsia"/>
          <w:sz w:val="21"/>
          <w:szCs w:val="21"/>
        </w:rPr>
        <w:t>统一社会信用代码：</w:t>
      </w:r>
    </w:p>
    <w:p w14:paraId="532E8819" w14:textId="77777777" w:rsidR="0022665C" w:rsidRDefault="00000000">
      <w:pPr>
        <w:pStyle w:val="aff"/>
        <w:spacing w:line="440" w:lineRule="atLeast"/>
        <w:ind w:firstLineChars="0" w:firstLine="0"/>
        <w:rPr>
          <w:rFonts w:ascii="微软雅黑" w:eastAsia="微软雅黑" w:hAnsi="微软雅黑" w:cs="微软雅黑" w:hint="eastAsia"/>
          <w:sz w:val="21"/>
          <w:szCs w:val="21"/>
        </w:rPr>
      </w:pPr>
      <w:r>
        <w:rPr>
          <w:rFonts w:ascii="微软雅黑" w:eastAsia="微软雅黑" w:hAnsi="微软雅黑" w:cs="微软雅黑" w:hint="eastAsia"/>
          <w:sz w:val="21"/>
          <w:szCs w:val="21"/>
        </w:rPr>
        <w:t>地址：</w:t>
      </w:r>
    </w:p>
    <w:p w14:paraId="3B28159A" w14:textId="77777777" w:rsidR="0022665C" w:rsidRDefault="00000000">
      <w:pPr>
        <w:pStyle w:val="aff"/>
        <w:spacing w:line="440" w:lineRule="atLeast"/>
        <w:ind w:firstLineChars="0" w:firstLine="0"/>
        <w:rPr>
          <w:rFonts w:ascii="微软雅黑" w:eastAsia="微软雅黑" w:hAnsi="微软雅黑" w:cs="微软雅黑" w:hint="eastAsia"/>
          <w:sz w:val="21"/>
          <w:szCs w:val="21"/>
        </w:rPr>
      </w:pPr>
      <w:r>
        <w:rPr>
          <w:rFonts w:ascii="微软雅黑" w:eastAsia="微软雅黑" w:hAnsi="微软雅黑" w:cs="微软雅黑" w:hint="eastAsia"/>
          <w:sz w:val="21"/>
          <w:szCs w:val="21"/>
        </w:rPr>
        <w:t>联系人：</w:t>
      </w:r>
    </w:p>
    <w:p w14:paraId="0BD18BB7" w14:textId="77777777" w:rsidR="0022665C" w:rsidRDefault="00000000">
      <w:pPr>
        <w:pStyle w:val="aff"/>
        <w:spacing w:line="440" w:lineRule="atLeast"/>
        <w:ind w:firstLineChars="0" w:firstLine="0"/>
        <w:rPr>
          <w:rFonts w:ascii="微软雅黑" w:eastAsia="微软雅黑" w:hAnsi="微软雅黑" w:cs="微软雅黑" w:hint="eastAsia"/>
          <w:sz w:val="21"/>
          <w:szCs w:val="21"/>
        </w:rPr>
      </w:pPr>
      <w:r>
        <w:rPr>
          <w:rFonts w:ascii="微软雅黑" w:eastAsia="微软雅黑" w:hAnsi="微软雅黑" w:cs="微软雅黑" w:hint="eastAsia"/>
          <w:sz w:val="21"/>
          <w:szCs w:val="21"/>
        </w:rPr>
        <w:t>联系电话：</w:t>
      </w:r>
    </w:p>
    <w:p w14:paraId="00E9ABFF" w14:textId="77777777" w:rsidR="0022665C" w:rsidRDefault="0022665C">
      <w:pPr>
        <w:spacing w:before="91" w:line="440" w:lineRule="atLeast"/>
        <w:rPr>
          <w:rFonts w:ascii="微软雅黑" w:eastAsia="微软雅黑" w:hAnsi="微软雅黑" w:cs="微软雅黑" w:hint="eastAsia"/>
          <w:sz w:val="21"/>
          <w:szCs w:val="21"/>
        </w:rPr>
      </w:pPr>
    </w:p>
    <w:p w14:paraId="1F78182D" w14:textId="77777777" w:rsidR="0022665C" w:rsidRDefault="00000000">
      <w:pPr>
        <w:spacing w:before="91"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乙方：</w:t>
      </w:r>
    </w:p>
    <w:p w14:paraId="5D443536" w14:textId="77777777" w:rsidR="0022665C" w:rsidRDefault="00000000">
      <w:pPr>
        <w:spacing w:before="91"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统一社会信用代码：</w:t>
      </w:r>
    </w:p>
    <w:p w14:paraId="1CBA4D2C" w14:textId="77777777" w:rsidR="0022665C" w:rsidRDefault="00000000">
      <w:pPr>
        <w:spacing w:before="91"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法定代表人：</w:t>
      </w:r>
    </w:p>
    <w:p w14:paraId="322F4609" w14:textId="77777777" w:rsidR="0022665C" w:rsidRDefault="00000000">
      <w:pPr>
        <w:spacing w:before="91"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地址 ：</w:t>
      </w:r>
    </w:p>
    <w:p w14:paraId="5A9E91D2" w14:textId="77777777" w:rsidR="0022665C" w:rsidRDefault="00000000">
      <w:pPr>
        <w:spacing w:before="91"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联系人 ：</w:t>
      </w:r>
    </w:p>
    <w:p w14:paraId="104D1B3B" w14:textId="77777777" w:rsidR="0022665C" w:rsidRDefault="00000000">
      <w:pPr>
        <w:spacing w:before="91"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联系电话：</w:t>
      </w:r>
    </w:p>
    <w:p w14:paraId="791A5629" w14:textId="77777777" w:rsidR="0022665C" w:rsidRDefault="0022665C">
      <w:pPr>
        <w:pStyle w:val="a3"/>
        <w:spacing w:line="440" w:lineRule="atLeast"/>
        <w:rPr>
          <w:rFonts w:ascii="微软雅黑" w:eastAsia="微软雅黑" w:hAnsi="微软雅黑" w:cs="微软雅黑" w:hint="eastAsia"/>
          <w:sz w:val="21"/>
          <w:szCs w:val="21"/>
          <w:lang w:val="zh-CN"/>
        </w:rPr>
      </w:pPr>
    </w:p>
    <w:p w14:paraId="026857C9" w14:textId="77777777" w:rsidR="0022665C" w:rsidRDefault="00000000">
      <w:pPr>
        <w:adjustRightInd w:val="0"/>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根据《中华人民共和国民法典》及有关法律规定，遵循平等、自愿、公平和诚实信用的原则，甲乙双方就相关事宜协商一致，共同签订本合同。</w:t>
      </w:r>
    </w:p>
    <w:p w14:paraId="77FC7B47"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第一条合同金额</w:t>
      </w:r>
    </w:p>
    <w:p w14:paraId="2C125B04" w14:textId="77777777" w:rsidR="0022665C" w:rsidRDefault="00000000">
      <w:pPr>
        <w:widowControl/>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 xml:space="preserve">1.本合同总金额（含税）为人民币（大写）：       </w:t>
      </w:r>
    </w:p>
    <w:p w14:paraId="573A7B8C" w14:textId="77777777" w:rsidR="0022665C" w:rsidRDefault="00000000">
      <w:pPr>
        <w:widowControl/>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2.本合同所采购标的物及税率，如下表所示：</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1214"/>
        <w:gridCol w:w="771"/>
        <w:gridCol w:w="1763"/>
        <w:gridCol w:w="1497"/>
        <w:gridCol w:w="958"/>
        <w:gridCol w:w="2115"/>
      </w:tblGrid>
      <w:tr w:rsidR="0022665C" w14:paraId="4A839E44" w14:textId="77777777">
        <w:trPr>
          <w:trHeight w:val="615"/>
          <w:tblHeader/>
          <w:jc w:val="center"/>
        </w:trPr>
        <w:tc>
          <w:tcPr>
            <w:tcW w:w="721" w:type="dxa"/>
            <w:shd w:val="clear" w:color="auto" w:fill="auto"/>
            <w:vAlign w:val="center"/>
          </w:tcPr>
          <w:p w14:paraId="79A2948E" w14:textId="77777777" w:rsidR="0022665C" w:rsidRDefault="00000000">
            <w:pPr>
              <w:widowControl/>
              <w:spacing w:line="440" w:lineRule="atLeast"/>
              <w:jc w:val="center"/>
              <w:rPr>
                <w:rFonts w:ascii="微软雅黑" w:eastAsia="微软雅黑" w:hAnsi="微软雅黑" w:cs="微软雅黑" w:hint="eastAsia"/>
                <w:b/>
                <w:bCs/>
                <w:sz w:val="21"/>
                <w:szCs w:val="21"/>
              </w:rPr>
            </w:pPr>
            <w:bookmarkStart w:id="270" w:name="_Hlk150416150"/>
            <w:r>
              <w:rPr>
                <w:rFonts w:ascii="微软雅黑" w:eastAsia="微软雅黑" w:hAnsi="微软雅黑" w:cs="微软雅黑" w:hint="eastAsia"/>
                <w:b/>
                <w:bCs/>
                <w:sz w:val="21"/>
                <w:szCs w:val="21"/>
              </w:rPr>
              <w:t>序号</w:t>
            </w:r>
          </w:p>
        </w:tc>
        <w:tc>
          <w:tcPr>
            <w:tcW w:w="1214" w:type="dxa"/>
            <w:shd w:val="clear" w:color="auto" w:fill="auto"/>
            <w:vAlign w:val="center"/>
          </w:tcPr>
          <w:p w14:paraId="6D29FE99" w14:textId="77777777" w:rsidR="0022665C" w:rsidRDefault="00000000">
            <w:pPr>
              <w:widowControl/>
              <w:spacing w:line="440" w:lineRule="atLeas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采购内容</w:t>
            </w:r>
          </w:p>
        </w:tc>
        <w:tc>
          <w:tcPr>
            <w:tcW w:w="771" w:type="dxa"/>
            <w:shd w:val="clear" w:color="auto" w:fill="auto"/>
            <w:vAlign w:val="center"/>
          </w:tcPr>
          <w:p w14:paraId="7F192CE3" w14:textId="77777777" w:rsidR="0022665C" w:rsidRDefault="00000000">
            <w:pPr>
              <w:widowControl/>
              <w:spacing w:line="440" w:lineRule="atLeas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数量</w:t>
            </w:r>
          </w:p>
        </w:tc>
        <w:tc>
          <w:tcPr>
            <w:tcW w:w="1763" w:type="dxa"/>
            <w:shd w:val="clear" w:color="auto" w:fill="auto"/>
            <w:vAlign w:val="center"/>
          </w:tcPr>
          <w:p w14:paraId="03DC03AB" w14:textId="77777777" w:rsidR="0022665C" w:rsidRDefault="00000000">
            <w:pPr>
              <w:widowControl/>
              <w:spacing w:line="440" w:lineRule="atLeas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含税单价（元）</w:t>
            </w:r>
          </w:p>
        </w:tc>
        <w:tc>
          <w:tcPr>
            <w:tcW w:w="1497" w:type="dxa"/>
            <w:shd w:val="clear" w:color="auto" w:fill="auto"/>
            <w:vAlign w:val="center"/>
          </w:tcPr>
          <w:p w14:paraId="2A856CB2" w14:textId="77777777" w:rsidR="0022665C" w:rsidRDefault="00000000">
            <w:pPr>
              <w:widowControl/>
              <w:spacing w:line="440" w:lineRule="atLeas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合计（元）</w:t>
            </w:r>
          </w:p>
        </w:tc>
        <w:tc>
          <w:tcPr>
            <w:tcW w:w="958" w:type="dxa"/>
            <w:shd w:val="clear" w:color="auto" w:fill="auto"/>
            <w:vAlign w:val="center"/>
          </w:tcPr>
          <w:p w14:paraId="5BA7BDA2" w14:textId="77777777" w:rsidR="0022665C" w:rsidRDefault="00000000">
            <w:pPr>
              <w:widowControl/>
              <w:spacing w:line="440" w:lineRule="atLeas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税率</w:t>
            </w:r>
          </w:p>
        </w:tc>
        <w:tc>
          <w:tcPr>
            <w:tcW w:w="2115" w:type="dxa"/>
            <w:shd w:val="clear" w:color="auto" w:fill="auto"/>
            <w:vAlign w:val="center"/>
          </w:tcPr>
          <w:p w14:paraId="4D22C8F1" w14:textId="77777777" w:rsidR="0022665C" w:rsidRDefault="00000000">
            <w:pPr>
              <w:widowControl/>
              <w:spacing w:line="440" w:lineRule="atLeast"/>
              <w:jc w:val="cente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备注</w:t>
            </w:r>
          </w:p>
        </w:tc>
      </w:tr>
      <w:tr w:rsidR="0022665C" w14:paraId="7B8E12EA" w14:textId="77777777">
        <w:trPr>
          <w:trHeight w:val="488"/>
          <w:jc w:val="center"/>
        </w:trPr>
        <w:tc>
          <w:tcPr>
            <w:tcW w:w="721" w:type="dxa"/>
            <w:shd w:val="clear" w:color="auto" w:fill="auto"/>
            <w:vAlign w:val="center"/>
          </w:tcPr>
          <w:p w14:paraId="365B72F1"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214" w:type="dxa"/>
            <w:shd w:val="clear" w:color="auto" w:fill="auto"/>
            <w:vAlign w:val="center"/>
          </w:tcPr>
          <w:p w14:paraId="6D555207"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771" w:type="dxa"/>
            <w:shd w:val="clear" w:color="auto" w:fill="auto"/>
            <w:vAlign w:val="center"/>
          </w:tcPr>
          <w:p w14:paraId="7D38C582"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763" w:type="dxa"/>
            <w:shd w:val="clear" w:color="auto" w:fill="auto"/>
            <w:vAlign w:val="center"/>
          </w:tcPr>
          <w:p w14:paraId="05FE0CE2"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497" w:type="dxa"/>
            <w:shd w:val="clear" w:color="auto" w:fill="auto"/>
            <w:vAlign w:val="center"/>
          </w:tcPr>
          <w:p w14:paraId="7E40E8EE"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958" w:type="dxa"/>
            <w:shd w:val="clear" w:color="auto" w:fill="auto"/>
            <w:vAlign w:val="center"/>
          </w:tcPr>
          <w:p w14:paraId="1B34E075"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2115" w:type="dxa"/>
            <w:shd w:val="clear" w:color="auto" w:fill="auto"/>
            <w:vAlign w:val="center"/>
          </w:tcPr>
          <w:p w14:paraId="5693B4DB" w14:textId="77777777" w:rsidR="0022665C" w:rsidRDefault="0022665C">
            <w:pPr>
              <w:widowControl/>
              <w:spacing w:line="440" w:lineRule="atLeast"/>
              <w:jc w:val="left"/>
              <w:rPr>
                <w:rFonts w:ascii="微软雅黑" w:eastAsia="微软雅黑" w:hAnsi="微软雅黑" w:cs="微软雅黑" w:hint="eastAsia"/>
                <w:sz w:val="21"/>
                <w:szCs w:val="21"/>
              </w:rPr>
            </w:pPr>
          </w:p>
        </w:tc>
      </w:tr>
      <w:tr w:rsidR="0022665C" w14:paraId="04864803" w14:textId="77777777">
        <w:trPr>
          <w:trHeight w:val="211"/>
          <w:jc w:val="center"/>
        </w:trPr>
        <w:tc>
          <w:tcPr>
            <w:tcW w:w="721" w:type="dxa"/>
            <w:shd w:val="clear" w:color="auto" w:fill="auto"/>
            <w:vAlign w:val="center"/>
          </w:tcPr>
          <w:p w14:paraId="1478A7A7"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214" w:type="dxa"/>
            <w:shd w:val="clear" w:color="auto" w:fill="auto"/>
            <w:vAlign w:val="center"/>
          </w:tcPr>
          <w:p w14:paraId="73C462E5"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771" w:type="dxa"/>
            <w:shd w:val="clear" w:color="auto" w:fill="auto"/>
            <w:vAlign w:val="center"/>
          </w:tcPr>
          <w:p w14:paraId="5012D1FE"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763" w:type="dxa"/>
            <w:shd w:val="clear" w:color="auto" w:fill="auto"/>
            <w:vAlign w:val="center"/>
          </w:tcPr>
          <w:p w14:paraId="7D0EDF34"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497" w:type="dxa"/>
            <w:shd w:val="clear" w:color="auto" w:fill="auto"/>
            <w:vAlign w:val="center"/>
          </w:tcPr>
          <w:p w14:paraId="3E95B73D"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958" w:type="dxa"/>
            <w:shd w:val="clear" w:color="auto" w:fill="auto"/>
            <w:vAlign w:val="center"/>
          </w:tcPr>
          <w:p w14:paraId="10A387FD"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2115" w:type="dxa"/>
            <w:shd w:val="clear" w:color="auto" w:fill="auto"/>
            <w:vAlign w:val="center"/>
          </w:tcPr>
          <w:p w14:paraId="6CA4ACCE" w14:textId="77777777" w:rsidR="0022665C" w:rsidRDefault="0022665C">
            <w:pPr>
              <w:widowControl/>
              <w:spacing w:line="440" w:lineRule="atLeast"/>
              <w:jc w:val="left"/>
              <w:rPr>
                <w:rFonts w:ascii="微软雅黑" w:eastAsia="微软雅黑" w:hAnsi="微软雅黑" w:cs="微软雅黑" w:hint="eastAsia"/>
                <w:sz w:val="21"/>
                <w:szCs w:val="21"/>
              </w:rPr>
            </w:pPr>
          </w:p>
        </w:tc>
      </w:tr>
      <w:tr w:rsidR="0022665C" w14:paraId="1EB821FE" w14:textId="77777777">
        <w:trPr>
          <w:trHeight w:val="540"/>
          <w:jc w:val="center"/>
        </w:trPr>
        <w:tc>
          <w:tcPr>
            <w:tcW w:w="721" w:type="dxa"/>
            <w:shd w:val="clear" w:color="auto" w:fill="auto"/>
            <w:vAlign w:val="center"/>
          </w:tcPr>
          <w:p w14:paraId="2E85413B"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214" w:type="dxa"/>
            <w:shd w:val="clear" w:color="auto" w:fill="auto"/>
            <w:vAlign w:val="center"/>
          </w:tcPr>
          <w:p w14:paraId="4924395E"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771" w:type="dxa"/>
            <w:shd w:val="clear" w:color="auto" w:fill="auto"/>
            <w:vAlign w:val="center"/>
          </w:tcPr>
          <w:p w14:paraId="0DB9A930"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763" w:type="dxa"/>
            <w:shd w:val="clear" w:color="auto" w:fill="auto"/>
            <w:vAlign w:val="center"/>
          </w:tcPr>
          <w:p w14:paraId="269C4857"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1497" w:type="dxa"/>
            <w:shd w:val="clear" w:color="auto" w:fill="auto"/>
            <w:vAlign w:val="center"/>
          </w:tcPr>
          <w:p w14:paraId="54900A65"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958" w:type="dxa"/>
            <w:shd w:val="clear" w:color="auto" w:fill="auto"/>
            <w:vAlign w:val="center"/>
          </w:tcPr>
          <w:p w14:paraId="34EBA7E6" w14:textId="77777777" w:rsidR="0022665C" w:rsidRDefault="0022665C">
            <w:pPr>
              <w:widowControl/>
              <w:spacing w:line="440" w:lineRule="atLeast"/>
              <w:jc w:val="center"/>
              <w:rPr>
                <w:rFonts w:ascii="微软雅黑" w:eastAsia="微软雅黑" w:hAnsi="微软雅黑" w:cs="微软雅黑" w:hint="eastAsia"/>
                <w:sz w:val="21"/>
                <w:szCs w:val="21"/>
              </w:rPr>
            </w:pPr>
          </w:p>
        </w:tc>
        <w:tc>
          <w:tcPr>
            <w:tcW w:w="2115" w:type="dxa"/>
            <w:shd w:val="clear" w:color="auto" w:fill="auto"/>
            <w:vAlign w:val="center"/>
          </w:tcPr>
          <w:p w14:paraId="4F94E8E9" w14:textId="77777777" w:rsidR="0022665C" w:rsidRDefault="0022665C">
            <w:pPr>
              <w:widowControl/>
              <w:spacing w:line="440" w:lineRule="atLeast"/>
              <w:jc w:val="left"/>
              <w:rPr>
                <w:rFonts w:ascii="微软雅黑" w:eastAsia="微软雅黑" w:hAnsi="微软雅黑" w:cs="微软雅黑" w:hint="eastAsia"/>
                <w:sz w:val="21"/>
                <w:szCs w:val="21"/>
              </w:rPr>
            </w:pPr>
          </w:p>
        </w:tc>
      </w:tr>
      <w:tr w:rsidR="0022665C" w14:paraId="06484438" w14:textId="77777777">
        <w:trPr>
          <w:trHeight w:val="578"/>
          <w:jc w:val="center"/>
        </w:trPr>
        <w:tc>
          <w:tcPr>
            <w:tcW w:w="4469" w:type="dxa"/>
            <w:gridSpan w:val="4"/>
            <w:shd w:val="clear" w:color="auto" w:fill="auto"/>
            <w:vAlign w:val="center"/>
          </w:tcPr>
          <w:p w14:paraId="18FCBD9B" w14:textId="77777777" w:rsidR="0022665C" w:rsidRDefault="00000000">
            <w:pPr>
              <w:widowControl/>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含税合同总金额（元）</w:t>
            </w:r>
          </w:p>
        </w:tc>
        <w:tc>
          <w:tcPr>
            <w:tcW w:w="4570" w:type="dxa"/>
            <w:gridSpan w:val="3"/>
            <w:shd w:val="clear" w:color="auto" w:fill="auto"/>
            <w:vAlign w:val="center"/>
          </w:tcPr>
          <w:p w14:paraId="33029CDB" w14:textId="77777777" w:rsidR="0022665C" w:rsidRDefault="0022665C">
            <w:pPr>
              <w:widowControl/>
              <w:spacing w:line="440" w:lineRule="atLeast"/>
              <w:jc w:val="left"/>
              <w:rPr>
                <w:rFonts w:ascii="微软雅黑" w:eastAsia="微软雅黑" w:hAnsi="微软雅黑" w:cs="微软雅黑" w:hint="eastAsia"/>
                <w:sz w:val="21"/>
                <w:szCs w:val="21"/>
              </w:rPr>
            </w:pPr>
          </w:p>
        </w:tc>
      </w:tr>
    </w:tbl>
    <w:bookmarkEnd w:id="270"/>
    <w:p w14:paraId="1D6DD6D6" w14:textId="77777777" w:rsidR="0022665C" w:rsidRDefault="00000000">
      <w:pPr>
        <w:pStyle w:val="aff"/>
        <w:spacing w:after="0" w:line="440" w:lineRule="atLeast"/>
        <w:ind w:firstLineChars="200"/>
        <w:rPr>
          <w:rFonts w:ascii="微软雅黑" w:eastAsia="微软雅黑" w:hAnsi="微软雅黑" w:cs="微软雅黑" w:hint="eastAsia"/>
          <w:sz w:val="21"/>
          <w:szCs w:val="21"/>
        </w:rPr>
      </w:pPr>
      <w:r>
        <w:rPr>
          <w:rFonts w:ascii="微软雅黑" w:eastAsia="微软雅黑" w:hAnsi="微软雅黑" w:cs="微软雅黑" w:hint="eastAsia"/>
          <w:sz w:val="21"/>
          <w:szCs w:val="21"/>
        </w:rPr>
        <w:t>3.本合同为固定总价合同，乙方不得额外收取任何费用。</w:t>
      </w:r>
    </w:p>
    <w:p w14:paraId="19D795F4" w14:textId="77777777" w:rsidR="0022665C" w:rsidRDefault="00000000">
      <w:pPr>
        <w:pStyle w:val="aff"/>
        <w:spacing w:after="0" w:line="440" w:lineRule="atLeast"/>
        <w:ind w:firstLineChars="200"/>
        <w:rPr>
          <w:rFonts w:ascii="微软雅黑" w:eastAsia="微软雅黑" w:hAnsi="微软雅黑" w:cs="微软雅黑" w:hint="eastAsia"/>
          <w:sz w:val="21"/>
          <w:szCs w:val="21"/>
        </w:rPr>
      </w:pPr>
      <w:r>
        <w:rPr>
          <w:rFonts w:ascii="微软雅黑" w:eastAsia="微软雅黑" w:hAnsi="微软雅黑" w:cs="微软雅黑" w:hint="eastAsia"/>
          <w:sz w:val="21"/>
          <w:szCs w:val="21"/>
        </w:rPr>
        <w:t>4.在项目需求发生重大变更，甲方可对本项目采购标的物进行减项，并按照对应标的物合同金额予以扣除，甲乙双方通过签订《合同补充协议》方式进行明确。</w:t>
      </w:r>
    </w:p>
    <w:p w14:paraId="7EA06CAE"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第二条 服务内容</w:t>
      </w:r>
    </w:p>
    <w:p w14:paraId="6B765482" w14:textId="77777777" w:rsidR="0022665C" w:rsidRDefault="00000000">
      <w:pPr>
        <w:pStyle w:val="aff"/>
        <w:spacing w:after="0" w:line="440" w:lineRule="atLeast"/>
        <w:ind w:firstLineChars="200"/>
        <w:rPr>
          <w:rFonts w:ascii="微软雅黑" w:eastAsia="微软雅黑" w:hAnsi="微软雅黑" w:cs="微软雅黑" w:hint="eastAsia"/>
          <w:sz w:val="21"/>
          <w:szCs w:val="21"/>
        </w:rPr>
      </w:pPr>
      <w:r>
        <w:rPr>
          <w:rFonts w:ascii="微软雅黑" w:eastAsia="微软雅黑" w:hAnsi="微软雅黑" w:cs="微软雅黑" w:hint="eastAsia"/>
          <w:sz w:val="21"/>
          <w:szCs w:val="21"/>
        </w:rPr>
        <w:t>1.甲方委托乙方提供的产品及服务，须满足下述要求：</w:t>
      </w:r>
    </w:p>
    <w:p w14:paraId="3594DE76" w14:textId="77777777" w:rsidR="0022665C" w:rsidRDefault="00000000">
      <w:pPr>
        <w:pStyle w:val="aff"/>
        <w:spacing w:after="0" w:line="440" w:lineRule="atLeast"/>
        <w:ind w:firstLineChars="200"/>
        <w:rPr>
          <w:rFonts w:ascii="微软雅黑" w:eastAsia="微软雅黑" w:hAnsi="微软雅黑" w:cs="微软雅黑" w:hint="eastAsia"/>
          <w:sz w:val="21"/>
          <w:szCs w:val="21"/>
        </w:rPr>
      </w:pPr>
      <w:r>
        <w:rPr>
          <w:rFonts w:ascii="微软雅黑" w:eastAsia="微软雅黑" w:hAnsi="微软雅黑" w:cs="微软雅黑" w:hint="eastAsia"/>
          <w:sz w:val="21"/>
          <w:szCs w:val="21"/>
        </w:rPr>
        <w:t>乙方须提供合同标的物产品及产品相关的软件采购、设计、开发、集成、安装调试、技术培训、售后服务等内容，当使用单位出现系统故障时，提供用户单位故障处理服务；</w:t>
      </w:r>
    </w:p>
    <w:p w14:paraId="2B27299D" w14:textId="77777777" w:rsidR="0022665C" w:rsidRDefault="00000000">
      <w:pPr>
        <w:pStyle w:val="aff"/>
        <w:spacing w:after="0" w:line="440" w:lineRule="atLeast"/>
        <w:ind w:firstLineChars="200"/>
        <w:rPr>
          <w:rFonts w:ascii="微软雅黑" w:eastAsia="微软雅黑" w:hAnsi="微软雅黑" w:cs="微软雅黑" w:hint="eastAsia"/>
          <w:sz w:val="21"/>
          <w:szCs w:val="21"/>
        </w:rPr>
      </w:pPr>
      <w:r>
        <w:rPr>
          <w:rFonts w:ascii="微软雅黑" w:eastAsia="微软雅黑" w:hAnsi="微软雅黑" w:cs="微软雅黑" w:hint="eastAsia"/>
          <w:sz w:val="21"/>
          <w:szCs w:val="21"/>
        </w:rPr>
        <w:t>乙方提供产品的开发、安装、调试、安全等必须符合中华人民共和国国家标准。同时，产品应具备较好的扩展能力满足甲方业务发展要求；</w:t>
      </w:r>
    </w:p>
    <w:p w14:paraId="18743039" w14:textId="77777777" w:rsidR="0022665C" w:rsidRDefault="00000000">
      <w:pPr>
        <w:pStyle w:val="aff"/>
        <w:spacing w:after="0" w:line="440" w:lineRule="atLeast"/>
        <w:ind w:firstLineChars="200"/>
        <w:rPr>
          <w:rFonts w:ascii="微软雅黑" w:eastAsia="微软雅黑" w:hAnsi="微软雅黑" w:cs="微软雅黑" w:hint="eastAsia"/>
          <w:sz w:val="21"/>
          <w:szCs w:val="21"/>
        </w:rPr>
      </w:pPr>
      <w:r>
        <w:rPr>
          <w:rFonts w:ascii="微软雅黑" w:eastAsia="微软雅黑" w:hAnsi="微软雅黑" w:cs="微软雅黑" w:hint="eastAsia"/>
          <w:sz w:val="21"/>
          <w:szCs w:val="21"/>
        </w:rPr>
        <w:t>乙方所提供的各种数据、依据、检测报告、证明材料等，须真实准确无误，若有虚假内容，将承担相关法律责任；</w:t>
      </w:r>
    </w:p>
    <w:p w14:paraId="3C6AB96C" w14:textId="77777777" w:rsidR="0022665C" w:rsidRDefault="00000000">
      <w:pPr>
        <w:pStyle w:val="aff"/>
        <w:spacing w:after="0" w:line="440" w:lineRule="atLeast"/>
        <w:ind w:firstLineChars="200"/>
        <w:rPr>
          <w:rFonts w:ascii="微软雅黑" w:eastAsia="微软雅黑" w:hAnsi="微软雅黑" w:cs="微软雅黑" w:hint="eastAsia"/>
          <w:sz w:val="21"/>
          <w:szCs w:val="21"/>
        </w:rPr>
      </w:pPr>
      <w:r>
        <w:rPr>
          <w:rFonts w:ascii="微软雅黑" w:eastAsia="微软雅黑" w:hAnsi="微软雅黑" w:cs="微软雅黑" w:hint="eastAsia"/>
          <w:sz w:val="21"/>
          <w:szCs w:val="21"/>
        </w:rPr>
        <w:t>乙方须遵守本项目《招标文件》相关要求及《投标文件》相关承诺；</w:t>
      </w:r>
    </w:p>
    <w:p w14:paraId="65583F58" w14:textId="77777777" w:rsidR="0022665C" w:rsidRDefault="00000000">
      <w:pPr>
        <w:pStyle w:val="aff"/>
        <w:spacing w:after="0" w:line="440" w:lineRule="atLeast"/>
        <w:ind w:firstLineChars="200"/>
        <w:rPr>
          <w:rFonts w:ascii="微软雅黑" w:eastAsia="微软雅黑" w:hAnsi="微软雅黑" w:cs="微软雅黑" w:hint="eastAsia"/>
          <w:sz w:val="21"/>
          <w:szCs w:val="21"/>
        </w:rPr>
      </w:pPr>
      <w:r>
        <w:rPr>
          <w:rFonts w:ascii="微软雅黑" w:eastAsia="微软雅黑" w:hAnsi="微软雅黑" w:cs="微软雅黑" w:hint="eastAsia"/>
          <w:sz w:val="21"/>
          <w:szCs w:val="21"/>
        </w:rPr>
        <w:t>2.乙方为甲方所提供的产品及服务，包含且不限于如下表所示内容：</w:t>
      </w:r>
    </w:p>
    <w:tbl>
      <w:tblPr>
        <w:tblW w:w="9318"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4"/>
        <w:gridCol w:w="2864"/>
        <w:gridCol w:w="3089"/>
        <w:gridCol w:w="2421"/>
      </w:tblGrid>
      <w:tr w:rsidR="0022665C" w14:paraId="5057D201" w14:textId="77777777">
        <w:trPr>
          <w:trHeight w:val="561"/>
        </w:trPr>
        <w:tc>
          <w:tcPr>
            <w:tcW w:w="944" w:type="dxa"/>
            <w:tcBorders>
              <w:bottom w:val="single" w:sz="4" w:space="0" w:color="auto"/>
            </w:tcBorders>
            <w:vAlign w:val="center"/>
          </w:tcPr>
          <w:p w14:paraId="05830E61" w14:textId="77777777" w:rsidR="0022665C" w:rsidRDefault="00000000">
            <w:pPr>
              <w:spacing w:line="440" w:lineRule="atLeast"/>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序号</w:t>
            </w:r>
          </w:p>
        </w:tc>
        <w:tc>
          <w:tcPr>
            <w:tcW w:w="2864" w:type="dxa"/>
            <w:tcBorders>
              <w:bottom w:val="single" w:sz="4" w:space="0" w:color="auto"/>
            </w:tcBorders>
            <w:vAlign w:val="center"/>
          </w:tcPr>
          <w:p w14:paraId="0FCB58F0" w14:textId="77777777" w:rsidR="0022665C" w:rsidRDefault="00000000">
            <w:pPr>
              <w:spacing w:line="440" w:lineRule="atLeast"/>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项目</w:t>
            </w:r>
          </w:p>
        </w:tc>
        <w:tc>
          <w:tcPr>
            <w:tcW w:w="3089" w:type="dxa"/>
            <w:vAlign w:val="center"/>
          </w:tcPr>
          <w:p w14:paraId="071F9D6C" w14:textId="77777777" w:rsidR="0022665C" w:rsidRDefault="00000000">
            <w:pPr>
              <w:spacing w:line="440" w:lineRule="atLeast"/>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子项目</w:t>
            </w:r>
          </w:p>
        </w:tc>
        <w:tc>
          <w:tcPr>
            <w:tcW w:w="2421" w:type="dxa"/>
            <w:vAlign w:val="center"/>
          </w:tcPr>
          <w:p w14:paraId="62E6EE7B" w14:textId="77777777" w:rsidR="0022665C" w:rsidRDefault="00000000">
            <w:pPr>
              <w:spacing w:line="440" w:lineRule="atLeast"/>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数量/单位</w:t>
            </w:r>
          </w:p>
        </w:tc>
      </w:tr>
      <w:tr w:rsidR="0022665C" w14:paraId="3B71B2BC" w14:textId="77777777">
        <w:trPr>
          <w:trHeight w:val="561"/>
        </w:trPr>
        <w:tc>
          <w:tcPr>
            <w:tcW w:w="944" w:type="dxa"/>
            <w:tcBorders>
              <w:top w:val="single" w:sz="4" w:space="0" w:color="auto"/>
              <w:left w:val="single" w:sz="4" w:space="0" w:color="auto"/>
              <w:bottom w:val="single" w:sz="4" w:space="0" w:color="auto"/>
              <w:right w:val="single" w:sz="4" w:space="0" w:color="auto"/>
            </w:tcBorders>
            <w:vAlign w:val="center"/>
          </w:tcPr>
          <w:p w14:paraId="54204ABA" w14:textId="77777777" w:rsidR="0022665C" w:rsidRDefault="0022665C">
            <w:pPr>
              <w:pStyle w:val="aa"/>
              <w:spacing w:line="440" w:lineRule="atLeast"/>
              <w:ind w:left="0"/>
              <w:jc w:val="center"/>
              <w:outlineLvl w:val="0"/>
              <w:rPr>
                <w:rFonts w:ascii="微软雅黑" w:eastAsia="微软雅黑" w:hAnsi="微软雅黑" w:cs="微软雅黑" w:hint="eastAsia"/>
                <w:sz w:val="21"/>
                <w:szCs w:val="21"/>
              </w:rPr>
            </w:pPr>
          </w:p>
        </w:tc>
        <w:tc>
          <w:tcPr>
            <w:tcW w:w="2864" w:type="dxa"/>
            <w:tcBorders>
              <w:top w:val="single" w:sz="4" w:space="0" w:color="auto"/>
              <w:left w:val="single" w:sz="4" w:space="0" w:color="auto"/>
              <w:bottom w:val="single" w:sz="4" w:space="0" w:color="auto"/>
              <w:right w:val="single" w:sz="4" w:space="0" w:color="auto"/>
            </w:tcBorders>
            <w:vAlign w:val="center"/>
          </w:tcPr>
          <w:p w14:paraId="75DF9DA7" w14:textId="77777777" w:rsidR="0022665C" w:rsidRDefault="0022665C">
            <w:pPr>
              <w:spacing w:line="440" w:lineRule="atLeast"/>
              <w:jc w:val="center"/>
              <w:rPr>
                <w:rFonts w:ascii="微软雅黑" w:eastAsia="微软雅黑" w:hAnsi="微软雅黑" w:cs="微软雅黑" w:hint="eastAsia"/>
                <w:sz w:val="21"/>
                <w:szCs w:val="21"/>
              </w:rPr>
            </w:pPr>
          </w:p>
        </w:tc>
        <w:tc>
          <w:tcPr>
            <w:tcW w:w="3089" w:type="dxa"/>
            <w:tcBorders>
              <w:left w:val="single" w:sz="4" w:space="0" w:color="auto"/>
            </w:tcBorders>
            <w:vAlign w:val="center"/>
          </w:tcPr>
          <w:p w14:paraId="1EB018F0" w14:textId="77777777" w:rsidR="0022665C" w:rsidRDefault="0022665C">
            <w:pPr>
              <w:spacing w:line="440" w:lineRule="atLeast"/>
              <w:jc w:val="center"/>
              <w:rPr>
                <w:rFonts w:ascii="微软雅黑" w:eastAsia="微软雅黑" w:hAnsi="微软雅黑" w:cs="微软雅黑" w:hint="eastAsia"/>
                <w:sz w:val="21"/>
                <w:szCs w:val="21"/>
              </w:rPr>
            </w:pPr>
          </w:p>
        </w:tc>
        <w:tc>
          <w:tcPr>
            <w:tcW w:w="2421" w:type="dxa"/>
            <w:vAlign w:val="center"/>
          </w:tcPr>
          <w:p w14:paraId="64B98009"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5432E744" w14:textId="77777777">
        <w:trPr>
          <w:trHeight w:val="561"/>
        </w:trPr>
        <w:tc>
          <w:tcPr>
            <w:tcW w:w="944" w:type="dxa"/>
            <w:tcBorders>
              <w:top w:val="single" w:sz="4" w:space="0" w:color="auto"/>
              <w:left w:val="single" w:sz="4" w:space="0" w:color="auto"/>
              <w:bottom w:val="single" w:sz="4" w:space="0" w:color="auto"/>
              <w:right w:val="single" w:sz="4" w:space="0" w:color="auto"/>
            </w:tcBorders>
            <w:vAlign w:val="center"/>
          </w:tcPr>
          <w:p w14:paraId="13E2AB7E" w14:textId="77777777" w:rsidR="0022665C" w:rsidRDefault="0022665C">
            <w:pPr>
              <w:pStyle w:val="aa"/>
              <w:spacing w:line="440" w:lineRule="atLeast"/>
              <w:ind w:left="0"/>
              <w:jc w:val="center"/>
              <w:outlineLvl w:val="0"/>
              <w:rPr>
                <w:rFonts w:ascii="微软雅黑" w:eastAsia="微软雅黑" w:hAnsi="微软雅黑" w:cs="微软雅黑" w:hint="eastAsia"/>
                <w:sz w:val="21"/>
                <w:szCs w:val="21"/>
              </w:rPr>
            </w:pPr>
          </w:p>
        </w:tc>
        <w:tc>
          <w:tcPr>
            <w:tcW w:w="2864" w:type="dxa"/>
            <w:tcBorders>
              <w:top w:val="single" w:sz="4" w:space="0" w:color="auto"/>
              <w:left w:val="single" w:sz="4" w:space="0" w:color="auto"/>
              <w:bottom w:val="single" w:sz="4" w:space="0" w:color="auto"/>
              <w:right w:val="single" w:sz="4" w:space="0" w:color="auto"/>
            </w:tcBorders>
            <w:vAlign w:val="center"/>
          </w:tcPr>
          <w:p w14:paraId="79D9C867" w14:textId="77777777" w:rsidR="0022665C" w:rsidRDefault="0022665C">
            <w:pPr>
              <w:spacing w:line="440" w:lineRule="atLeast"/>
              <w:jc w:val="center"/>
              <w:rPr>
                <w:rFonts w:ascii="微软雅黑" w:eastAsia="微软雅黑" w:hAnsi="微软雅黑" w:cs="微软雅黑" w:hint="eastAsia"/>
                <w:sz w:val="21"/>
                <w:szCs w:val="21"/>
              </w:rPr>
            </w:pPr>
          </w:p>
        </w:tc>
        <w:tc>
          <w:tcPr>
            <w:tcW w:w="3089" w:type="dxa"/>
            <w:tcBorders>
              <w:left w:val="single" w:sz="4" w:space="0" w:color="auto"/>
            </w:tcBorders>
            <w:vAlign w:val="center"/>
          </w:tcPr>
          <w:p w14:paraId="32EA0A22" w14:textId="77777777" w:rsidR="0022665C" w:rsidRDefault="0022665C">
            <w:pPr>
              <w:spacing w:line="440" w:lineRule="atLeast"/>
              <w:jc w:val="center"/>
              <w:rPr>
                <w:rFonts w:ascii="微软雅黑" w:eastAsia="微软雅黑" w:hAnsi="微软雅黑" w:cs="微软雅黑" w:hint="eastAsia"/>
                <w:sz w:val="21"/>
                <w:szCs w:val="21"/>
              </w:rPr>
            </w:pPr>
          </w:p>
        </w:tc>
        <w:tc>
          <w:tcPr>
            <w:tcW w:w="2421" w:type="dxa"/>
            <w:vAlign w:val="center"/>
          </w:tcPr>
          <w:p w14:paraId="579397C9"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3EFD5898" w14:textId="77777777">
        <w:trPr>
          <w:trHeight w:val="561"/>
        </w:trPr>
        <w:tc>
          <w:tcPr>
            <w:tcW w:w="944" w:type="dxa"/>
            <w:tcBorders>
              <w:top w:val="single" w:sz="4" w:space="0" w:color="auto"/>
            </w:tcBorders>
            <w:vAlign w:val="center"/>
          </w:tcPr>
          <w:p w14:paraId="3FDEEF19" w14:textId="77777777" w:rsidR="0022665C" w:rsidRDefault="0022665C">
            <w:pPr>
              <w:pStyle w:val="aa"/>
              <w:spacing w:line="440" w:lineRule="atLeast"/>
              <w:ind w:left="0"/>
              <w:jc w:val="center"/>
              <w:outlineLvl w:val="0"/>
              <w:rPr>
                <w:rFonts w:ascii="微软雅黑" w:eastAsia="微软雅黑" w:hAnsi="微软雅黑" w:cs="微软雅黑" w:hint="eastAsia"/>
                <w:sz w:val="21"/>
                <w:szCs w:val="21"/>
              </w:rPr>
            </w:pPr>
          </w:p>
        </w:tc>
        <w:tc>
          <w:tcPr>
            <w:tcW w:w="2864" w:type="dxa"/>
            <w:tcBorders>
              <w:top w:val="single" w:sz="4" w:space="0" w:color="auto"/>
              <w:right w:val="single" w:sz="4" w:space="0" w:color="auto"/>
            </w:tcBorders>
            <w:vAlign w:val="center"/>
          </w:tcPr>
          <w:p w14:paraId="6687724A" w14:textId="77777777" w:rsidR="0022665C" w:rsidRDefault="0022665C">
            <w:pPr>
              <w:spacing w:line="440" w:lineRule="atLeast"/>
              <w:jc w:val="center"/>
              <w:rPr>
                <w:rFonts w:ascii="微软雅黑" w:eastAsia="微软雅黑" w:hAnsi="微软雅黑" w:cs="微软雅黑" w:hint="eastAsia"/>
                <w:sz w:val="21"/>
                <w:szCs w:val="21"/>
              </w:rPr>
            </w:pPr>
          </w:p>
        </w:tc>
        <w:tc>
          <w:tcPr>
            <w:tcW w:w="3089" w:type="dxa"/>
            <w:tcBorders>
              <w:left w:val="single" w:sz="4" w:space="0" w:color="auto"/>
            </w:tcBorders>
            <w:vAlign w:val="center"/>
          </w:tcPr>
          <w:p w14:paraId="75386369" w14:textId="77777777" w:rsidR="0022665C" w:rsidRDefault="0022665C">
            <w:pPr>
              <w:spacing w:line="440" w:lineRule="atLeast"/>
              <w:jc w:val="center"/>
              <w:rPr>
                <w:rFonts w:ascii="微软雅黑" w:eastAsia="微软雅黑" w:hAnsi="微软雅黑" w:cs="微软雅黑" w:hint="eastAsia"/>
                <w:sz w:val="21"/>
                <w:szCs w:val="21"/>
              </w:rPr>
            </w:pPr>
          </w:p>
        </w:tc>
        <w:tc>
          <w:tcPr>
            <w:tcW w:w="2421" w:type="dxa"/>
            <w:vAlign w:val="center"/>
          </w:tcPr>
          <w:p w14:paraId="0F4AADE1"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6CF59679" w14:textId="77777777">
        <w:trPr>
          <w:trHeight w:val="561"/>
        </w:trPr>
        <w:tc>
          <w:tcPr>
            <w:tcW w:w="944" w:type="dxa"/>
            <w:vAlign w:val="center"/>
          </w:tcPr>
          <w:p w14:paraId="183CA07A" w14:textId="77777777" w:rsidR="0022665C" w:rsidRDefault="0022665C">
            <w:pPr>
              <w:pStyle w:val="aa"/>
              <w:spacing w:line="440" w:lineRule="atLeast"/>
              <w:ind w:left="0"/>
              <w:jc w:val="center"/>
              <w:outlineLvl w:val="0"/>
              <w:rPr>
                <w:rFonts w:ascii="微软雅黑" w:eastAsia="微软雅黑" w:hAnsi="微软雅黑" w:cs="微软雅黑" w:hint="eastAsia"/>
                <w:sz w:val="21"/>
                <w:szCs w:val="21"/>
              </w:rPr>
            </w:pPr>
          </w:p>
        </w:tc>
        <w:tc>
          <w:tcPr>
            <w:tcW w:w="2864" w:type="dxa"/>
            <w:tcBorders>
              <w:right w:val="single" w:sz="4" w:space="0" w:color="auto"/>
            </w:tcBorders>
            <w:vAlign w:val="center"/>
          </w:tcPr>
          <w:p w14:paraId="68E53951" w14:textId="77777777" w:rsidR="0022665C" w:rsidRDefault="0022665C">
            <w:pPr>
              <w:spacing w:line="440" w:lineRule="atLeast"/>
              <w:jc w:val="center"/>
              <w:rPr>
                <w:rFonts w:ascii="微软雅黑" w:eastAsia="微软雅黑" w:hAnsi="微软雅黑" w:cs="微软雅黑" w:hint="eastAsia"/>
                <w:sz w:val="21"/>
                <w:szCs w:val="21"/>
              </w:rPr>
            </w:pPr>
          </w:p>
        </w:tc>
        <w:tc>
          <w:tcPr>
            <w:tcW w:w="3089" w:type="dxa"/>
            <w:tcBorders>
              <w:left w:val="single" w:sz="4" w:space="0" w:color="auto"/>
            </w:tcBorders>
            <w:vAlign w:val="center"/>
          </w:tcPr>
          <w:p w14:paraId="3CD4BFD4" w14:textId="77777777" w:rsidR="0022665C" w:rsidRDefault="0022665C">
            <w:pPr>
              <w:spacing w:line="440" w:lineRule="atLeast"/>
              <w:jc w:val="center"/>
              <w:rPr>
                <w:rFonts w:ascii="微软雅黑" w:eastAsia="微软雅黑" w:hAnsi="微软雅黑" w:cs="微软雅黑" w:hint="eastAsia"/>
                <w:sz w:val="21"/>
                <w:szCs w:val="21"/>
              </w:rPr>
            </w:pPr>
          </w:p>
        </w:tc>
        <w:tc>
          <w:tcPr>
            <w:tcW w:w="2421" w:type="dxa"/>
            <w:vAlign w:val="center"/>
          </w:tcPr>
          <w:p w14:paraId="48CFF4F7"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15C75C59" w14:textId="77777777">
        <w:trPr>
          <w:trHeight w:val="561"/>
        </w:trPr>
        <w:tc>
          <w:tcPr>
            <w:tcW w:w="944" w:type="dxa"/>
            <w:vAlign w:val="center"/>
          </w:tcPr>
          <w:p w14:paraId="249A8BA2" w14:textId="77777777" w:rsidR="0022665C" w:rsidRDefault="0022665C">
            <w:pPr>
              <w:pStyle w:val="aa"/>
              <w:spacing w:line="440" w:lineRule="atLeast"/>
              <w:ind w:left="0"/>
              <w:jc w:val="center"/>
              <w:outlineLvl w:val="0"/>
              <w:rPr>
                <w:rFonts w:ascii="微软雅黑" w:eastAsia="微软雅黑" w:hAnsi="微软雅黑" w:cs="微软雅黑" w:hint="eastAsia"/>
                <w:sz w:val="21"/>
                <w:szCs w:val="21"/>
              </w:rPr>
            </w:pPr>
          </w:p>
        </w:tc>
        <w:tc>
          <w:tcPr>
            <w:tcW w:w="2864" w:type="dxa"/>
            <w:tcBorders>
              <w:right w:val="single" w:sz="4" w:space="0" w:color="auto"/>
            </w:tcBorders>
            <w:vAlign w:val="center"/>
          </w:tcPr>
          <w:p w14:paraId="57EB7A13" w14:textId="77777777" w:rsidR="0022665C" w:rsidRDefault="0022665C">
            <w:pPr>
              <w:spacing w:line="440" w:lineRule="atLeast"/>
              <w:jc w:val="center"/>
              <w:rPr>
                <w:rFonts w:ascii="微软雅黑" w:eastAsia="微软雅黑" w:hAnsi="微软雅黑" w:cs="微软雅黑" w:hint="eastAsia"/>
                <w:sz w:val="21"/>
                <w:szCs w:val="21"/>
              </w:rPr>
            </w:pPr>
          </w:p>
        </w:tc>
        <w:tc>
          <w:tcPr>
            <w:tcW w:w="3089" w:type="dxa"/>
            <w:tcBorders>
              <w:left w:val="single" w:sz="4" w:space="0" w:color="auto"/>
            </w:tcBorders>
            <w:vAlign w:val="center"/>
          </w:tcPr>
          <w:p w14:paraId="7FB71BE4" w14:textId="77777777" w:rsidR="0022665C" w:rsidRDefault="0022665C">
            <w:pPr>
              <w:spacing w:line="440" w:lineRule="atLeast"/>
              <w:jc w:val="center"/>
              <w:rPr>
                <w:rFonts w:ascii="微软雅黑" w:eastAsia="微软雅黑" w:hAnsi="微软雅黑" w:cs="微软雅黑" w:hint="eastAsia"/>
                <w:sz w:val="21"/>
                <w:szCs w:val="21"/>
              </w:rPr>
            </w:pPr>
          </w:p>
        </w:tc>
        <w:tc>
          <w:tcPr>
            <w:tcW w:w="2421" w:type="dxa"/>
            <w:vAlign w:val="center"/>
          </w:tcPr>
          <w:p w14:paraId="2EB5F6BC" w14:textId="77777777" w:rsidR="0022665C" w:rsidRDefault="0022665C">
            <w:pPr>
              <w:spacing w:line="440" w:lineRule="atLeast"/>
              <w:jc w:val="center"/>
              <w:rPr>
                <w:rFonts w:ascii="微软雅黑" w:eastAsia="微软雅黑" w:hAnsi="微软雅黑" w:cs="微软雅黑" w:hint="eastAsia"/>
                <w:sz w:val="21"/>
                <w:szCs w:val="21"/>
              </w:rPr>
            </w:pPr>
          </w:p>
        </w:tc>
      </w:tr>
    </w:tbl>
    <w:p w14:paraId="1C2E71D7"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第三条 开发建设期及施工组织实施</w:t>
      </w:r>
    </w:p>
    <w:p w14:paraId="3CD1FEBA"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1.开发建设期</w:t>
      </w:r>
    </w:p>
    <w:p w14:paraId="5F25F332"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采购合同签订之日</w:t>
      </w:r>
      <w:r>
        <w:rPr>
          <w:rFonts w:ascii="微软雅黑" w:eastAsia="微软雅黑" w:hAnsi="微软雅黑" w:cs="微软雅黑" w:hint="eastAsia"/>
          <w:sz w:val="21"/>
          <w:szCs w:val="21"/>
          <w:u w:val="single"/>
        </w:rPr>
        <w:t xml:space="preserve">      </w:t>
      </w:r>
      <w:r>
        <w:rPr>
          <w:rFonts w:ascii="微软雅黑" w:eastAsia="微软雅黑" w:hAnsi="微软雅黑" w:cs="微软雅黑" w:hint="eastAsia"/>
          <w:sz w:val="21"/>
          <w:szCs w:val="21"/>
        </w:rPr>
        <w:t>个日历日内完成本项目开发建设并达到最终验收标准。</w:t>
      </w:r>
    </w:p>
    <w:p w14:paraId="4DEFA5E5"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2.服务地点：甲方指定地点（甲方单位）。</w:t>
      </w:r>
    </w:p>
    <w:p w14:paraId="7DBC2F22"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3.项目管理要求：</w:t>
      </w:r>
    </w:p>
    <w:p w14:paraId="37692F9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乙方应签署《廉洁履约承诺书》见附件1，将廉洁履约纳入合同范围，乙方承诺在项目履行过程中严格按照相关要求约束自身行为，并自愿承担违反廉洁履约承诺的相应后果。</w:t>
      </w:r>
    </w:p>
    <w:p w14:paraId="5953F159"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乙方在项目实施过程中，需对项目进行规范化管理，要有项目管理组织、项目管理计划、项目进度计划、项目验收计划等方案，确保项目实施质量。</w:t>
      </w:r>
    </w:p>
    <w:p w14:paraId="045ECB5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乙方应接受甲方委派的监理机构、审计机构的监督，提供包括但不限于业务系统架构、技术架构、数据接口、消息服务接口和类型、系统接口和类型、业务流程、业务分类、基础数据、业务数据、数据字典、数据编码规则、数据模型、元数据标准、关键代码等项目资料信息并配合系统对接、联调等相关工作，不得以保密、分权分域、知识产权或其他理由拒绝。</w:t>
      </w:r>
    </w:p>
    <w:p w14:paraId="43AB5A3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乙方对提供的所有软件开发、软件购置</w:t>
      </w:r>
      <w:r>
        <w:rPr>
          <w:rFonts w:ascii="微软雅黑" w:eastAsia="微软雅黑" w:hAnsi="微软雅黑" w:hint="eastAsia"/>
          <w:sz w:val="21"/>
          <w:szCs w:val="21"/>
        </w:rPr>
        <w:t>及其他</w:t>
      </w:r>
      <w:r>
        <w:rPr>
          <w:rFonts w:ascii="微软雅黑" w:eastAsia="微软雅黑" w:hAnsi="微软雅黑"/>
          <w:sz w:val="21"/>
          <w:szCs w:val="21"/>
        </w:rPr>
        <w:t>保证系统完整性的相应工作和项目质量负责。在项目</w:t>
      </w:r>
      <w:r>
        <w:rPr>
          <w:rFonts w:ascii="微软雅黑" w:eastAsia="微软雅黑" w:hAnsi="微软雅黑" w:hint="eastAsia"/>
          <w:sz w:val="21"/>
          <w:szCs w:val="21"/>
        </w:rPr>
        <w:t>开发</w:t>
      </w:r>
      <w:r>
        <w:rPr>
          <w:rFonts w:ascii="微软雅黑" w:eastAsia="微软雅黑" w:hAnsi="微软雅黑"/>
          <w:sz w:val="21"/>
          <w:szCs w:val="21"/>
        </w:rPr>
        <w:t>建设过程中（从开始供货、安装测试、软件验收直至售后服务）严格执行本招标文件、项目</w:t>
      </w:r>
      <w:r>
        <w:rPr>
          <w:rFonts w:ascii="微软雅黑" w:eastAsia="微软雅黑" w:hAnsi="微软雅黑" w:hint="eastAsia"/>
          <w:sz w:val="21"/>
          <w:szCs w:val="21"/>
        </w:rPr>
        <w:t>开发</w:t>
      </w:r>
      <w:r>
        <w:rPr>
          <w:rFonts w:ascii="微软雅黑" w:eastAsia="微软雅黑" w:hAnsi="微软雅黑"/>
          <w:sz w:val="21"/>
          <w:szCs w:val="21"/>
        </w:rPr>
        <w:t>建设合同中有关的技术、商务条款，若招标文件与项目</w:t>
      </w:r>
      <w:r>
        <w:rPr>
          <w:rFonts w:ascii="微软雅黑" w:eastAsia="微软雅黑" w:hAnsi="微软雅黑" w:hint="eastAsia"/>
          <w:sz w:val="21"/>
          <w:szCs w:val="21"/>
        </w:rPr>
        <w:t>开发</w:t>
      </w:r>
      <w:r>
        <w:rPr>
          <w:rFonts w:ascii="微软雅黑" w:eastAsia="微软雅黑" w:hAnsi="微软雅黑"/>
          <w:sz w:val="21"/>
          <w:szCs w:val="21"/>
        </w:rPr>
        <w:t>建设合同的条款存在冲突的以项目</w:t>
      </w:r>
      <w:r>
        <w:rPr>
          <w:rFonts w:ascii="微软雅黑" w:eastAsia="微软雅黑" w:hAnsi="微软雅黑" w:hint="eastAsia"/>
          <w:sz w:val="21"/>
          <w:szCs w:val="21"/>
        </w:rPr>
        <w:t>开发</w:t>
      </w:r>
      <w:r>
        <w:rPr>
          <w:rFonts w:ascii="微软雅黑" w:eastAsia="微软雅黑" w:hAnsi="微软雅黑"/>
          <w:sz w:val="21"/>
          <w:szCs w:val="21"/>
        </w:rPr>
        <w:t>建设合同为准。</w:t>
      </w:r>
    </w:p>
    <w:p w14:paraId="1FB0BDC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乙方选用的硬件设备和系统软件，如达不到测评和验收要求的，应无条件更换并不得拖延验收时间。</w:t>
      </w:r>
    </w:p>
    <w:p w14:paraId="5A6C83C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乙方应依规安全</w:t>
      </w:r>
      <w:r>
        <w:rPr>
          <w:rFonts w:ascii="微软雅黑" w:eastAsia="微软雅黑" w:hAnsi="微软雅黑" w:hint="eastAsia"/>
          <w:sz w:val="21"/>
          <w:szCs w:val="21"/>
        </w:rPr>
        <w:t>建设、安全</w:t>
      </w:r>
      <w:r>
        <w:rPr>
          <w:rFonts w:ascii="微软雅黑" w:eastAsia="微软雅黑" w:hAnsi="微软雅黑"/>
          <w:sz w:val="21"/>
          <w:szCs w:val="21"/>
        </w:rPr>
        <w:t>施工，遵守网络</w:t>
      </w:r>
      <w:r>
        <w:rPr>
          <w:rFonts w:ascii="微软雅黑" w:eastAsia="微软雅黑" w:hAnsi="微软雅黑" w:hint="eastAsia"/>
          <w:sz w:val="21"/>
          <w:szCs w:val="21"/>
        </w:rPr>
        <w:t>安全</w:t>
      </w:r>
      <w:r>
        <w:rPr>
          <w:rFonts w:ascii="微软雅黑" w:eastAsia="微软雅黑" w:hAnsi="微软雅黑"/>
          <w:sz w:val="21"/>
          <w:szCs w:val="21"/>
        </w:rPr>
        <w:t>、数据安全和运行维护</w:t>
      </w:r>
      <w:r>
        <w:rPr>
          <w:rFonts w:ascii="微软雅黑" w:eastAsia="微软雅黑" w:hAnsi="微软雅黑" w:hint="eastAsia"/>
          <w:sz w:val="21"/>
          <w:szCs w:val="21"/>
        </w:rPr>
        <w:t>等</w:t>
      </w:r>
      <w:r>
        <w:rPr>
          <w:rFonts w:ascii="微软雅黑" w:eastAsia="微软雅黑" w:hAnsi="微软雅黑"/>
          <w:sz w:val="21"/>
          <w:szCs w:val="21"/>
        </w:rPr>
        <w:t>相关制度，对项目实施过程中所有安全生产、施工人员人身安全等事项负责</w:t>
      </w:r>
      <w:r>
        <w:rPr>
          <w:rFonts w:ascii="微软雅黑" w:eastAsia="微软雅黑" w:hAnsi="微软雅黑" w:hint="eastAsia"/>
          <w:sz w:val="21"/>
          <w:szCs w:val="21"/>
        </w:rPr>
        <w:t>。</w:t>
      </w:r>
    </w:p>
    <w:p w14:paraId="1008745D"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乙方应就本项目及其实施相关的技术、管理、控制等各方面问题向甲方提出建议，供甲方参考。</w:t>
      </w:r>
    </w:p>
    <w:p w14:paraId="2F64CC0F"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乙方</w:t>
      </w:r>
      <w:r>
        <w:rPr>
          <w:rFonts w:ascii="微软雅黑" w:eastAsia="微软雅黑" w:hAnsi="微软雅黑"/>
          <w:sz w:val="21"/>
          <w:szCs w:val="21"/>
        </w:rPr>
        <w:t>应当接受和配合相关部门对项目建设情况进行监督检查及绩效评价</w:t>
      </w:r>
      <w:r>
        <w:rPr>
          <w:rFonts w:ascii="微软雅黑" w:eastAsia="微软雅黑" w:hAnsi="微软雅黑" w:hint="eastAsia"/>
          <w:sz w:val="21"/>
          <w:szCs w:val="21"/>
        </w:rPr>
        <w:t>。</w:t>
      </w:r>
    </w:p>
    <w:p w14:paraId="48F51EB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本项目所有涉及第三方产品的采购、安装、调试均由乙方负责完成，并保证其正常运行和售后服务，且承担因此而发生的一切费用。乙方有义务为采购内容提供支持，包括但不限于产品相关技术文档、软件接口规范说明的提供，乙方不得拒绝或收取额外费用。</w:t>
      </w:r>
    </w:p>
    <w:p w14:paraId="7EA8F07A" w14:textId="77777777" w:rsidR="0022665C" w:rsidRDefault="00000000">
      <w:pPr>
        <w:spacing w:line="440" w:lineRule="atLeast"/>
        <w:ind w:firstLineChars="200" w:firstLine="420"/>
        <w:rPr>
          <w:rFonts w:ascii="微软雅黑" w:eastAsia="微软雅黑" w:hAnsi="微软雅黑" w:cs="微软雅黑" w:hint="eastAsia"/>
          <w:kern w:val="1"/>
          <w:sz w:val="21"/>
          <w:szCs w:val="21"/>
        </w:rPr>
      </w:pPr>
      <w:r>
        <w:rPr>
          <w:rFonts w:ascii="微软雅黑" w:eastAsia="微软雅黑" w:hAnsi="微软雅黑" w:cs="微软雅黑" w:hint="eastAsia"/>
          <w:kern w:val="1"/>
          <w:sz w:val="21"/>
          <w:szCs w:val="21"/>
        </w:rPr>
        <w:t>4.信息安全要求：</w:t>
      </w:r>
    </w:p>
    <w:p w14:paraId="321E84E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乙方必须遵守甲方的各项规章制度，规范组织开发建设工作，制定切实可行的措施保障计划，还应积极配合甲方完成信息安全主管部门对本项目系统信息安全所涉及的监督检查。</w:t>
      </w:r>
    </w:p>
    <w:p w14:paraId="57DCC90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乙方应确保本项目的系统不会被植入任何病毒、后门或类似的代码和工具。如果发现系统被植入病毒、后门或类似代码和工具，乙方应及时协助甲方进行清除或降低其影响。</w:t>
      </w:r>
    </w:p>
    <w:p w14:paraId="4C185C0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未经甲方的事先许可，乙方不得在用于提供服务的软件中插入任何会禁用或通过其他方式关闭服务的全部或任何部分的任何代码。</w:t>
      </w:r>
    </w:p>
    <w:p w14:paraId="5D8FF7AC" w14:textId="77777777" w:rsidR="0022665C" w:rsidRDefault="00000000">
      <w:pPr>
        <w:spacing w:line="440" w:lineRule="atLeast"/>
        <w:ind w:firstLineChars="200" w:firstLine="420"/>
        <w:rPr>
          <w:rFonts w:ascii="微软雅黑" w:eastAsia="微软雅黑" w:hAnsi="微软雅黑" w:hint="eastAsia"/>
          <w:sz w:val="21"/>
          <w:szCs w:val="21"/>
          <w:u w:val="single"/>
        </w:rPr>
      </w:pPr>
      <w:r>
        <w:rPr>
          <w:rFonts w:ascii="微软雅黑" w:eastAsia="微软雅黑" w:hAnsi="微软雅黑" w:hint="eastAsia"/>
          <w:sz w:val="21"/>
          <w:szCs w:val="21"/>
        </w:rPr>
        <w:t>5.人员要求</w:t>
      </w:r>
      <w:r>
        <w:rPr>
          <w:rFonts w:ascii="微软雅黑" w:eastAsia="微软雅黑" w:hAnsi="微软雅黑" w:hint="eastAsia"/>
          <w:sz w:val="21"/>
          <w:szCs w:val="21"/>
          <w:u w:val="single"/>
        </w:rPr>
        <w:t>：  以招标文件的要求和投标文件的响应进行填写</w:t>
      </w:r>
      <w:r>
        <w:rPr>
          <w:rFonts w:ascii="微软雅黑" w:eastAsia="微软雅黑" w:hAnsi="微软雅黑"/>
          <w:sz w:val="21"/>
          <w:szCs w:val="21"/>
          <w:u w:val="single"/>
        </w:rPr>
        <w:t xml:space="preserve"> </w:t>
      </w:r>
      <w:r>
        <w:rPr>
          <w:rFonts w:ascii="微软雅黑" w:eastAsia="微软雅黑" w:hAnsi="微软雅黑" w:hint="eastAsia"/>
          <w:sz w:val="21"/>
          <w:szCs w:val="21"/>
          <w:u w:val="single"/>
        </w:rPr>
        <w:t>。</w:t>
      </w:r>
    </w:p>
    <w:tbl>
      <w:tblPr>
        <w:tblStyle w:val="aff0"/>
        <w:tblW w:w="8522" w:type="dxa"/>
        <w:jc w:val="center"/>
        <w:tblLayout w:type="fixed"/>
        <w:tblLook w:val="04A0" w:firstRow="1" w:lastRow="0" w:firstColumn="1" w:lastColumn="0" w:noHBand="0" w:noVBand="1"/>
      </w:tblPr>
      <w:tblGrid>
        <w:gridCol w:w="1704"/>
        <w:gridCol w:w="1704"/>
        <w:gridCol w:w="1704"/>
        <w:gridCol w:w="1705"/>
        <w:gridCol w:w="1705"/>
      </w:tblGrid>
      <w:tr w:rsidR="0022665C" w14:paraId="46C7D8D3" w14:textId="77777777">
        <w:trPr>
          <w:jc w:val="center"/>
        </w:trPr>
        <w:tc>
          <w:tcPr>
            <w:tcW w:w="1704" w:type="dxa"/>
          </w:tcPr>
          <w:p w14:paraId="771D6DFA" w14:textId="77777777" w:rsidR="0022665C" w:rsidRDefault="00000000">
            <w:pPr>
              <w:spacing w:line="440" w:lineRule="atLeast"/>
              <w:jc w:val="center"/>
              <w:rPr>
                <w:rFonts w:ascii="微软雅黑" w:eastAsia="微软雅黑" w:hAnsi="微软雅黑" w:hint="eastAsia"/>
                <w:sz w:val="21"/>
                <w:szCs w:val="21"/>
                <w:u w:val="single"/>
              </w:rPr>
            </w:pPr>
            <w:r>
              <w:rPr>
                <w:rFonts w:ascii="微软雅黑" w:eastAsia="微软雅黑" w:hAnsi="微软雅黑" w:hint="eastAsia"/>
                <w:sz w:val="21"/>
                <w:szCs w:val="21"/>
                <w:u w:val="single"/>
              </w:rPr>
              <w:t>序号</w:t>
            </w:r>
          </w:p>
        </w:tc>
        <w:tc>
          <w:tcPr>
            <w:tcW w:w="1704" w:type="dxa"/>
          </w:tcPr>
          <w:p w14:paraId="3F11109F" w14:textId="77777777" w:rsidR="0022665C" w:rsidRDefault="00000000">
            <w:pPr>
              <w:spacing w:line="440" w:lineRule="atLeast"/>
              <w:jc w:val="center"/>
              <w:rPr>
                <w:rFonts w:ascii="微软雅黑" w:eastAsia="微软雅黑" w:hAnsi="微软雅黑" w:hint="eastAsia"/>
                <w:sz w:val="21"/>
                <w:szCs w:val="21"/>
                <w:u w:val="single"/>
              </w:rPr>
            </w:pPr>
            <w:r>
              <w:rPr>
                <w:rFonts w:ascii="微软雅黑" w:eastAsia="微软雅黑" w:hAnsi="微软雅黑" w:hint="eastAsia"/>
                <w:sz w:val="21"/>
                <w:szCs w:val="21"/>
                <w:u w:val="single"/>
              </w:rPr>
              <w:t>姓名</w:t>
            </w:r>
          </w:p>
        </w:tc>
        <w:tc>
          <w:tcPr>
            <w:tcW w:w="1704" w:type="dxa"/>
          </w:tcPr>
          <w:p w14:paraId="0CB786E5" w14:textId="77777777" w:rsidR="0022665C" w:rsidRDefault="00000000">
            <w:pPr>
              <w:spacing w:line="440" w:lineRule="atLeast"/>
              <w:jc w:val="center"/>
              <w:rPr>
                <w:rFonts w:ascii="微软雅黑" w:eastAsia="微软雅黑" w:hAnsi="微软雅黑" w:hint="eastAsia"/>
                <w:sz w:val="21"/>
                <w:szCs w:val="21"/>
                <w:u w:val="single"/>
              </w:rPr>
            </w:pPr>
            <w:r>
              <w:rPr>
                <w:rFonts w:ascii="微软雅黑" w:eastAsia="微软雅黑" w:hAnsi="微软雅黑" w:hint="eastAsia"/>
                <w:sz w:val="21"/>
                <w:szCs w:val="21"/>
                <w:u w:val="single"/>
              </w:rPr>
              <w:t>职务</w:t>
            </w:r>
          </w:p>
        </w:tc>
        <w:tc>
          <w:tcPr>
            <w:tcW w:w="1705" w:type="dxa"/>
          </w:tcPr>
          <w:p w14:paraId="77BEBE94" w14:textId="77777777" w:rsidR="0022665C" w:rsidRDefault="00000000">
            <w:pPr>
              <w:spacing w:line="440" w:lineRule="atLeast"/>
              <w:jc w:val="center"/>
              <w:rPr>
                <w:rFonts w:ascii="微软雅黑" w:eastAsia="微软雅黑" w:hAnsi="微软雅黑" w:hint="eastAsia"/>
                <w:sz w:val="21"/>
                <w:szCs w:val="21"/>
                <w:u w:val="single"/>
              </w:rPr>
            </w:pPr>
            <w:r>
              <w:rPr>
                <w:rFonts w:ascii="微软雅黑" w:eastAsia="微软雅黑" w:hAnsi="微软雅黑" w:hint="eastAsia"/>
                <w:sz w:val="21"/>
                <w:szCs w:val="21"/>
                <w:u w:val="single"/>
              </w:rPr>
              <w:t>职称</w:t>
            </w:r>
          </w:p>
        </w:tc>
        <w:tc>
          <w:tcPr>
            <w:tcW w:w="1705" w:type="dxa"/>
          </w:tcPr>
          <w:p w14:paraId="6BA2273A" w14:textId="77777777" w:rsidR="0022665C" w:rsidRDefault="00000000">
            <w:pPr>
              <w:spacing w:line="440" w:lineRule="atLeast"/>
              <w:jc w:val="center"/>
              <w:rPr>
                <w:rFonts w:ascii="微软雅黑" w:eastAsia="微软雅黑" w:hAnsi="微软雅黑" w:hint="eastAsia"/>
                <w:sz w:val="21"/>
                <w:szCs w:val="21"/>
                <w:u w:val="single"/>
              </w:rPr>
            </w:pPr>
            <w:r>
              <w:rPr>
                <w:rFonts w:ascii="微软雅黑" w:eastAsia="微软雅黑" w:hAnsi="微软雅黑" w:hint="eastAsia"/>
                <w:sz w:val="21"/>
                <w:szCs w:val="21"/>
                <w:u w:val="single"/>
              </w:rPr>
              <w:t>联系方式</w:t>
            </w:r>
          </w:p>
        </w:tc>
      </w:tr>
      <w:tr w:rsidR="0022665C" w14:paraId="5B5A26E2" w14:textId="77777777">
        <w:trPr>
          <w:jc w:val="center"/>
        </w:trPr>
        <w:tc>
          <w:tcPr>
            <w:tcW w:w="1704" w:type="dxa"/>
          </w:tcPr>
          <w:p w14:paraId="7BD6011F" w14:textId="77777777" w:rsidR="0022665C" w:rsidRDefault="0022665C">
            <w:pPr>
              <w:spacing w:line="440" w:lineRule="atLeast"/>
              <w:rPr>
                <w:rFonts w:ascii="微软雅黑" w:eastAsia="微软雅黑" w:hAnsi="微软雅黑" w:hint="eastAsia"/>
                <w:sz w:val="21"/>
                <w:szCs w:val="21"/>
                <w:u w:val="single"/>
              </w:rPr>
            </w:pPr>
          </w:p>
        </w:tc>
        <w:tc>
          <w:tcPr>
            <w:tcW w:w="1704" w:type="dxa"/>
          </w:tcPr>
          <w:p w14:paraId="5BF606BC" w14:textId="77777777" w:rsidR="0022665C" w:rsidRDefault="0022665C">
            <w:pPr>
              <w:spacing w:line="440" w:lineRule="atLeast"/>
              <w:rPr>
                <w:rFonts w:ascii="微软雅黑" w:eastAsia="微软雅黑" w:hAnsi="微软雅黑" w:hint="eastAsia"/>
                <w:sz w:val="21"/>
                <w:szCs w:val="21"/>
                <w:u w:val="single"/>
              </w:rPr>
            </w:pPr>
          </w:p>
        </w:tc>
        <w:tc>
          <w:tcPr>
            <w:tcW w:w="1704" w:type="dxa"/>
          </w:tcPr>
          <w:p w14:paraId="086D3989" w14:textId="77777777" w:rsidR="0022665C" w:rsidRDefault="0022665C">
            <w:pPr>
              <w:spacing w:line="440" w:lineRule="atLeast"/>
              <w:rPr>
                <w:rFonts w:ascii="微软雅黑" w:eastAsia="微软雅黑" w:hAnsi="微软雅黑" w:hint="eastAsia"/>
                <w:sz w:val="21"/>
                <w:szCs w:val="21"/>
                <w:u w:val="single"/>
              </w:rPr>
            </w:pPr>
          </w:p>
        </w:tc>
        <w:tc>
          <w:tcPr>
            <w:tcW w:w="1705" w:type="dxa"/>
          </w:tcPr>
          <w:p w14:paraId="6144EB13" w14:textId="77777777" w:rsidR="0022665C" w:rsidRDefault="0022665C">
            <w:pPr>
              <w:spacing w:line="440" w:lineRule="atLeast"/>
              <w:rPr>
                <w:rFonts w:ascii="微软雅黑" w:eastAsia="微软雅黑" w:hAnsi="微软雅黑" w:hint="eastAsia"/>
                <w:sz w:val="21"/>
                <w:szCs w:val="21"/>
                <w:u w:val="single"/>
              </w:rPr>
            </w:pPr>
          </w:p>
        </w:tc>
        <w:tc>
          <w:tcPr>
            <w:tcW w:w="1705" w:type="dxa"/>
          </w:tcPr>
          <w:p w14:paraId="2BFB1B7C" w14:textId="77777777" w:rsidR="0022665C" w:rsidRDefault="0022665C">
            <w:pPr>
              <w:spacing w:line="440" w:lineRule="atLeast"/>
              <w:rPr>
                <w:rFonts w:ascii="微软雅黑" w:eastAsia="微软雅黑" w:hAnsi="微软雅黑" w:hint="eastAsia"/>
                <w:sz w:val="21"/>
                <w:szCs w:val="21"/>
                <w:u w:val="single"/>
              </w:rPr>
            </w:pPr>
          </w:p>
        </w:tc>
      </w:tr>
      <w:tr w:rsidR="0022665C" w14:paraId="5AF813FE" w14:textId="77777777">
        <w:trPr>
          <w:jc w:val="center"/>
        </w:trPr>
        <w:tc>
          <w:tcPr>
            <w:tcW w:w="1704" w:type="dxa"/>
          </w:tcPr>
          <w:p w14:paraId="2C9286D7" w14:textId="77777777" w:rsidR="0022665C" w:rsidRDefault="0022665C">
            <w:pPr>
              <w:spacing w:line="440" w:lineRule="atLeast"/>
              <w:rPr>
                <w:rFonts w:ascii="微软雅黑" w:eastAsia="微软雅黑" w:hAnsi="微软雅黑" w:hint="eastAsia"/>
                <w:sz w:val="21"/>
                <w:szCs w:val="21"/>
                <w:u w:val="single"/>
              </w:rPr>
            </w:pPr>
          </w:p>
        </w:tc>
        <w:tc>
          <w:tcPr>
            <w:tcW w:w="1704" w:type="dxa"/>
          </w:tcPr>
          <w:p w14:paraId="0C4BBEAD" w14:textId="77777777" w:rsidR="0022665C" w:rsidRDefault="0022665C">
            <w:pPr>
              <w:spacing w:line="440" w:lineRule="atLeast"/>
              <w:rPr>
                <w:rFonts w:ascii="微软雅黑" w:eastAsia="微软雅黑" w:hAnsi="微软雅黑" w:hint="eastAsia"/>
                <w:sz w:val="21"/>
                <w:szCs w:val="21"/>
                <w:u w:val="single"/>
              </w:rPr>
            </w:pPr>
          </w:p>
        </w:tc>
        <w:tc>
          <w:tcPr>
            <w:tcW w:w="1704" w:type="dxa"/>
          </w:tcPr>
          <w:p w14:paraId="50DE9AC9" w14:textId="77777777" w:rsidR="0022665C" w:rsidRDefault="0022665C">
            <w:pPr>
              <w:spacing w:line="440" w:lineRule="atLeast"/>
              <w:rPr>
                <w:rFonts w:ascii="微软雅黑" w:eastAsia="微软雅黑" w:hAnsi="微软雅黑" w:hint="eastAsia"/>
                <w:sz w:val="21"/>
                <w:szCs w:val="21"/>
                <w:u w:val="single"/>
              </w:rPr>
            </w:pPr>
          </w:p>
        </w:tc>
        <w:tc>
          <w:tcPr>
            <w:tcW w:w="1705" w:type="dxa"/>
          </w:tcPr>
          <w:p w14:paraId="06E4E3BF" w14:textId="77777777" w:rsidR="0022665C" w:rsidRDefault="0022665C">
            <w:pPr>
              <w:spacing w:line="440" w:lineRule="atLeast"/>
              <w:rPr>
                <w:rFonts w:ascii="微软雅黑" w:eastAsia="微软雅黑" w:hAnsi="微软雅黑" w:hint="eastAsia"/>
                <w:sz w:val="21"/>
                <w:szCs w:val="21"/>
                <w:u w:val="single"/>
              </w:rPr>
            </w:pPr>
          </w:p>
        </w:tc>
        <w:tc>
          <w:tcPr>
            <w:tcW w:w="1705" w:type="dxa"/>
          </w:tcPr>
          <w:p w14:paraId="1601B7E2" w14:textId="77777777" w:rsidR="0022665C" w:rsidRDefault="0022665C">
            <w:pPr>
              <w:spacing w:line="440" w:lineRule="atLeast"/>
              <w:rPr>
                <w:rFonts w:ascii="微软雅黑" w:eastAsia="微软雅黑" w:hAnsi="微软雅黑" w:hint="eastAsia"/>
                <w:sz w:val="21"/>
                <w:szCs w:val="21"/>
                <w:u w:val="single"/>
              </w:rPr>
            </w:pPr>
          </w:p>
        </w:tc>
      </w:tr>
    </w:tbl>
    <w:p w14:paraId="7A23EEA2"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第四条 验收标准</w:t>
      </w:r>
    </w:p>
    <w:p w14:paraId="4F86A441"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一</w:t>
      </w:r>
      <w:r>
        <w:rPr>
          <w:rFonts w:ascii="微软雅黑" w:eastAsia="微软雅黑" w:hAnsi="微软雅黑"/>
          <w:sz w:val="21"/>
          <w:szCs w:val="21"/>
        </w:rPr>
        <w:t>）软件开发</w:t>
      </w:r>
    </w:p>
    <w:p w14:paraId="7B581E9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1.乙方应向甲方提交详细的软件系统开发和实施计划。包括人员组织、进度计划、质量保证计划等。</w:t>
      </w:r>
    </w:p>
    <w:p w14:paraId="7E99690E"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2.乙方负责提供本项目中的应用软件系统的开发及部署。</w:t>
      </w:r>
    </w:p>
    <w:p w14:paraId="5E6029E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3.乙方应完成合同规定的软件系统的开发工作，要求分阶段向甲方提供以下资料</w:t>
      </w:r>
      <w:r>
        <w:rPr>
          <w:rFonts w:ascii="微软雅黑" w:eastAsia="微软雅黑" w:hAnsi="微软雅黑" w:hint="eastAsia"/>
          <w:sz w:val="21"/>
          <w:szCs w:val="21"/>
        </w:rPr>
        <w:t>（需电子版）</w:t>
      </w:r>
      <w:r>
        <w:rPr>
          <w:rFonts w:ascii="微软雅黑" w:eastAsia="微软雅黑" w:hAnsi="微软雅黑"/>
          <w:sz w:val="21"/>
          <w:szCs w:val="21"/>
        </w:rPr>
        <w:t>并通过审核：</w:t>
      </w:r>
    </w:p>
    <w:p w14:paraId="2A3491CF"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①软件开发计划；</w:t>
      </w:r>
    </w:p>
    <w:p w14:paraId="3DCA7496"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②软件需求规格书；</w:t>
      </w:r>
    </w:p>
    <w:p w14:paraId="1AE775C9"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③深化设计（详细设计等）；</w:t>
      </w:r>
    </w:p>
    <w:p w14:paraId="3C9E6AF3"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④测试计划和用户使用文档。</w:t>
      </w:r>
    </w:p>
    <w:p w14:paraId="2479B85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4.在完成软件系统的开发工作后，乙方应在</w:t>
      </w:r>
      <w:r>
        <w:rPr>
          <w:rFonts w:ascii="微软雅黑" w:eastAsia="微软雅黑" w:hAnsi="微软雅黑" w:hint="eastAsia"/>
          <w:sz w:val="21"/>
          <w:szCs w:val="21"/>
        </w:rPr>
        <w:t>甲方要求的时间</w:t>
      </w:r>
      <w:r>
        <w:rPr>
          <w:rFonts w:ascii="微软雅黑" w:eastAsia="微软雅黑" w:hAnsi="微软雅黑"/>
          <w:sz w:val="21"/>
          <w:szCs w:val="21"/>
        </w:rPr>
        <w:t>内完成安装调试和培训工作。</w:t>
      </w:r>
    </w:p>
    <w:p w14:paraId="6CA1565D"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5.乙方应合理安排</w:t>
      </w:r>
      <w:r>
        <w:rPr>
          <w:rFonts w:ascii="微软雅黑" w:eastAsia="微软雅黑" w:hAnsi="微软雅黑" w:hint="eastAsia"/>
          <w:sz w:val="21"/>
          <w:szCs w:val="21"/>
        </w:rPr>
        <w:t>开发建设</w:t>
      </w:r>
      <w:r>
        <w:rPr>
          <w:rFonts w:ascii="微软雅黑" w:eastAsia="微软雅黑" w:hAnsi="微软雅黑"/>
          <w:sz w:val="21"/>
          <w:szCs w:val="21"/>
        </w:rPr>
        <w:t>计划，定时提交项目进度情况报告。</w:t>
      </w:r>
    </w:p>
    <w:p w14:paraId="047B248D"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二</w:t>
      </w:r>
      <w:r>
        <w:rPr>
          <w:rFonts w:ascii="微软雅黑" w:eastAsia="微软雅黑" w:hAnsi="微软雅黑"/>
          <w:sz w:val="21"/>
          <w:szCs w:val="21"/>
        </w:rPr>
        <w:t>）初步验收</w:t>
      </w:r>
    </w:p>
    <w:p w14:paraId="0335E4F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乙方完成系统功能建设内容后，</w:t>
      </w:r>
      <w:r>
        <w:rPr>
          <w:rFonts w:ascii="微软雅黑" w:eastAsia="微软雅黑" w:hAnsi="微软雅黑"/>
          <w:sz w:val="21"/>
          <w:szCs w:val="21"/>
        </w:rPr>
        <w:t>向</w:t>
      </w:r>
      <w:r>
        <w:rPr>
          <w:rFonts w:ascii="微软雅黑" w:eastAsia="微软雅黑" w:hAnsi="微软雅黑" w:hint="eastAsia"/>
          <w:sz w:val="21"/>
          <w:szCs w:val="21"/>
        </w:rPr>
        <w:t>甲方</w:t>
      </w:r>
      <w:r>
        <w:rPr>
          <w:rFonts w:ascii="微软雅黑" w:eastAsia="微软雅黑" w:hAnsi="微软雅黑"/>
          <w:sz w:val="21"/>
          <w:szCs w:val="21"/>
        </w:rPr>
        <w:t>申请进行项目初步验收。</w:t>
      </w:r>
      <w:r>
        <w:rPr>
          <w:rFonts w:ascii="微软雅黑" w:eastAsia="微软雅黑" w:hAnsi="微软雅黑" w:hint="eastAsia"/>
          <w:sz w:val="21"/>
          <w:szCs w:val="21"/>
        </w:rPr>
        <w:t>甲方</w:t>
      </w:r>
      <w:r>
        <w:rPr>
          <w:rFonts w:ascii="微软雅黑" w:eastAsia="微软雅黑" w:hAnsi="微软雅黑"/>
          <w:sz w:val="21"/>
          <w:szCs w:val="21"/>
        </w:rPr>
        <w:t>组织开展初步验收工作。初步验收通过后，签署初步验收报告。</w:t>
      </w:r>
      <w:r>
        <w:rPr>
          <w:rFonts w:ascii="微软雅黑" w:eastAsia="微软雅黑" w:hAnsi="微软雅黑" w:hint="eastAsia"/>
          <w:sz w:val="21"/>
          <w:szCs w:val="21"/>
        </w:rPr>
        <w:t>验收条件及内容参照《关于印发〈重庆市市级政务信息化建设项目验收工作指南（试行）〉等3个指南的通知》（渝大数据发〔2022〕51号）的验收条件及内容进行制定，若甲方制定了最新标准，则按照最新验收标准执行。</w:t>
      </w:r>
    </w:p>
    <w:p w14:paraId="459D332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.初步验收必要条件：</w:t>
      </w:r>
    </w:p>
    <w:p w14:paraId="3AC0B9E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lang w:bidi="ar"/>
        </w:rPr>
        <w:t>1.</w:t>
      </w:r>
      <w:r>
        <w:rPr>
          <w:rFonts w:ascii="微软雅黑" w:eastAsia="微软雅黑" w:hAnsi="微软雅黑" w:hint="eastAsia"/>
          <w:sz w:val="21"/>
          <w:szCs w:val="21"/>
          <w:lang w:bidi="ar"/>
        </w:rPr>
        <w:t>1</w:t>
      </w:r>
      <w:r>
        <w:rPr>
          <w:rFonts w:ascii="微软雅黑" w:eastAsia="微软雅黑" w:hAnsi="微软雅黑"/>
          <w:sz w:val="21"/>
          <w:szCs w:val="21"/>
          <w:lang w:bidi="ar"/>
        </w:rPr>
        <w:t>合同约定的产品均符合安全相关要求</w:t>
      </w:r>
      <w:r>
        <w:rPr>
          <w:rFonts w:ascii="微软雅黑" w:eastAsia="微软雅黑" w:hAnsi="微软雅黑" w:hint="eastAsia"/>
          <w:sz w:val="21"/>
          <w:szCs w:val="21"/>
          <w:lang w:bidi="ar"/>
        </w:rPr>
        <w:t>，相关应用系统性能符合本应用性能要求</w:t>
      </w:r>
      <w:r>
        <w:rPr>
          <w:rFonts w:ascii="微软雅黑" w:eastAsia="微软雅黑" w:hAnsi="微软雅黑"/>
          <w:sz w:val="21"/>
          <w:szCs w:val="21"/>
          <w:lang w:bidi="ar"/>
        </w:rPr>
        <w:t>；合同约定的网络、应用、安全等</w:t>
      </w:r>
      <w:r>
        <w:rPr>
          <w:rFonts w:ascii="微软雅黑" w:eastAsia="微软雅黑" w:hAnsi="微软雅黑" w:hint="eastAsia"/>
          <w:sz w:val="21"/>
          <w:szCs w:val="21"/>
          <w:lang w:bidi="ar"/>
        </w:rPr>
        <w:t>系统功能</w:t>
      </w:r>
      <w:r>
        <w:rPr>
          <w:rFonts w:ascii="微软雅黑" w:eastAsia="微软雅黑" w:hAnsi="微软雅黑"/>
          <w:sz w:val="21"/>
          <w:szCs w:val="21"/>
          <w:lang w:bidi="ar"/>
        </w:rPr>
        <w:t>已按照批准的</w:t>
      </w:r>
      <w:r>
        <w:rPr>
          <w:rFonts w:ascii="微软雅黑" w:eastAsia="微软雅黑" w:hAnsi="微软雅黑" w:hint="eastAsia"/>
          <w:sz w:val="21"/>
          <w:szCs w:val="21"/>
          <w:lang w:bidi="ar"/>
        </w:rPr>
        <w:t>开发</w:t>
      </w:r>
      <w:r>
        <w:rPr>
          <w:rFonts w:ascii="微软雅黑" w:eastAsia="微软雅黑" w:hAnsi="微软雅黑"/>
          <w:sz w:val="21"/>
          <w:szCs w:val="21"/>
          <w:lang w:bidi="ar"/>
        </w:rPr>
        <w:t>方案完成建设任务，经测试合格且能满足系统运行的需要</w:t>
      </w:r>
    </w:p>
    <w:p w14:paraId="0EA80BF7"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sz w:val="21"/>
          <w:szCs w:val="21"/>
          <w:lang w:bidi="ar"/>
        </w:rPr>
        <w:t>1.</w:t>
      </w:r>
      <w:r>
        <w:rPr>
          <w:rFonts w:ascii="微软雅黑" w:eastAsia="微软雅黑" w:hAnsi="微软雅黑" w:hint="eastAsia"/>
          <w:sz w:val="21"/>
          <w:szCs w:val="21"/>
          <w:lang w:bidi="ar"/>
        </w:rPr>
        <w:t>2</w:t>
      </w:r>
      <w:r>
        <w:rPr>
          <w:rFonts w:ascii="微软雅黑" w:eastAsia="微软雅黑" w:hAnsi="微软雅黑"/>
          <w:sz w:val="21"/>
          <w:szCs w:val="21"/>
          <w:lang w:bidi="ar"/>
        </w:rPr>
        <w:t>.</w:t>
      </w:r>
      <w:r>
        <w:rPr>
          <w:rFonts w:ascii="微软雅黑" w:eastAsia="微软雅黑" w:hAnsi="微软雅黑" w:hint="eastAsia"/>
          <w:sz w:val="21"/>
          <w:szCs w:val="21"/>
          <w:lang w:bidi="ar"/>
        </w:rPr>
        <w:t>应用</w:t>
      </w:r>
      <w:r>
        <w:rPr>
          <w:rFonts w:ascii="微软雅黑" w:eastAsia="微软雅黑" w:hAnsi="微软雅黑"/>
          <w:sz w:val="21"/>
          <w:szCs w:val="21"/>
          <w:lang w:bidi="ar"/>
        </w:rPr>
        <w:t>管理符合相关规范制度要求。</w:t>
      </w:r>
    </w:p>
    <w:p w14:paraId="5FDFB5AE"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sz w:val="21"/>
          <w:szCs w:val="21"/>
          <w:lang w:bidi="ar"/>
        </w:rPr>
        <w:t>1.</w:t>
      </w:r>
      <w:r>
        <w:rPr>
          <w:rFonts w:ascii="微软雅黑" w:eastAsia="微软雅黑" w:hAnsi="微软雅黑" w:hint="eastAsia"/>
          <w:sz w:val="21"/>
          <w:szCs w:val="21"/>
          <w:lang w:bidi="ar"/>
        </w:rPr>
        <w:t>3</w:t>
      </w:r>
      <w:r>
        <w:rPr>
          <w:rFonts w:ascii="微软雅黑" w:eastAsia="微软雅黑" w:hAnsi="微软雅黑"/>
          <w:sz w:val="21"/>
          <w:szCs w:val="21"/>
          <w:lang w:bidi="ar"/>
        </w:rPr>
        <w:t>.合同和补充合同约定的其他条件</w:t>
      </w:r>
      <w:r>
        <w:rPr>
          <w:rFonts w:ascii="微软雅黑" w:eastAsia="微软雅黑" w:hAnsi="微软雅黑" w:hint="eastAsia"/>
          <w:sz w:val="21"/>
          <w:szCs w:val="21"/>
          <w:lang w:bidi="ar"/>
        </w:rPr>
        <w:t>。</w:t>
      </w:r>
    </w:p>
    <w:p w14:paraId="2449C1D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w:t>
      </w:r>
      <w:r>
        <w:rPr>
          <w:rFonts w:ascii="微软雅黑" w:eastAsia="微软雅黑" w:hAnsi="微软雅黑" w:hint="eastAsia"/>
          <w:sz w:val="21"/>
          <w:szCs w:val="21"/>
        </w:rPr>
        <w:t>4</w:t>
      </w:r>
      <w:r>
        <w:rPr>
          <w:rFonts w:ascii="微软雅黑" w:eastAsia="微软雅黑" w:hAnsi="微软雅黑"/>
          <w:sz w:val="21"/>
          <w:szCs w:val="21"/>
        </w:rPr>
        <w:t>.初验资料应完整规范，且初验申请须通过甲方审核。</w:t>
      </w:r>
      <w:r>
        <w:rPr>
          <w:rFonts w:ascii="微软雅黑" w:eastAsia="微软雅黑" w:hAnsi="微软雅黑" w:hint="eastAsia"/>
          <w:sz w:val="21"/>
          <w:szCs w:val="21"/>
        </w:rPr>
        <w:t>验收结果是否通过以甲方审核意见为准。</w:t>
      </w:r>
    </w:p>
    <w:p w14:paraId="3C9DD841"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w:t>
      </w:r>
      <w:r>
        <w:rPr>
          <w:rFonts w:ascii="微软雅黑" w:eastAsia="微软雅黑" w:hAnsi="微软雅黑" w:hint="eastAsia"/>
          <w:sz w:val="21"/>
          <w:szCs w:val="21"/>
        </w:rPr>
        <w:t>验收内容</w:t>
      </w:r>
    </w:p>
    <w:p w14:paraId="0E7E0138"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.1</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是否按照</w:t>
      </w:r>
      <w:r>
        <w:rPr>
          <w:rFonts w:ascii="微软雅黑" w:eastAsia="微软雅黑" w:hAnsi="微软雅黑" w:hint="eastAsia"/>
          <w:sz w:val="21"/>
          <w:szCs w:val="21"/>
          <w:lang w:bidi="ar"/>
        </w:rPr>
        <w:t>开发方案</w:t>
      </w:r>
      <w:r>
        <w:rPr>
          <w:rFonts w:ascii="微软雅黑" w:eastAsia="微软雅黑" w:hAnsi="微软雅黑" w:hint="eastAsia"/>
          <w:sz w:val="21"/>
          <w:szCs w:val="21"/>
          <w:lang w:val="zh-CN" w:bidi="ar"/>
        </w:rPr>
        <w:t>以及招投标文件、合同进行建设，</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的变更或者调整是否履行备案程序。</w:t>
      </w:r>
    </w:p>
    <w:p w14:paraId="13017F63"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.2</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实施中强制性标准的执行情况。</w:t>
      </w:r>
    </w:p>
    <w:p w14:paraId="3B80BBBA"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.3</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中定制化软件开发内容功能点或功能项与合同约定的一致性是否符合相关标准。</w:t>
      </w:r>
    </w:p>
    <w:p w14:paraId="54AEA257"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.4</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的功能、性能、安全等技术指标满足合同要求和批准的</w:t>
      </w:r>
      <w:r>
        <w:rPr>
          <w:rFonts w:ascii="微软雅黑" w:eastAsia="微软雅黑" w:hAnsi="微软雅黑" w:hint="eastAsia"/>
          <w:sz w:val="21"/>
          <w:szCs w:val="21"/>
          <w:lang w:bidi="ar"/>
        </w:rPr>
        <w:t>应用开发</w:t>
      </w:r>
      <w:r>
        <w:rPr>
          <w:rFonts w:ascii="微软雅黑" w:eastAsia="微软雅黑" w:hAnsi="微软雅黑" w:hint="eastAsia"/>
          <w:sz w:val="21"/>
          <w:szCs w:val="21"/>
          <w:lang w:val="zh-CN" w:bidi="ar"/>
        </w:rPr>
        <w:t>方案</w:t>
      </w:r>
      <w:r>
        <w:rPr>
          <w:rFonts w:ascii="微软雅黑" w:eastAsia="微软雅黑" w:hAnsi="微软雅黑" w:hint="eastAsia"/>
          <w:sz w:val="21"/>
          <w:szCs w:val="21"/>
          <w:lang w:bidi="ar"/>
        </w:rPr>
        <w:t>要求</w:t>
      </w:r>
      <w:r>
        <w:rPr>
          <w:rFonts w:ascii="微软雅黑" w:eastAsia="微软雅黑" w:hAnsi="微软雅黑" w:hint="eastAsia"/>
          <w:sz w:val="21"/>
          <w:szCs w:val="21"/>
          <w:lang w:val="zh-CN" w:bidi="ar"/>
        </w:rPr>
        <w:t>。</w:t>
      </w:r>
    </w:p>
    <w:p w14:paraId="4A96C04B"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.5</w:t>
      </w:r>
      <w:r>
        <w:rPr>
          <w:rFonts w:ascii="微软雅黑" w:eastAsia="微软雅黑" w:hAnsi="微软雅黑" w:hint="eastAsia"/>
          <w:sz w:val="21"/>
          <w:szCs w:val="21"/>
          <w:lang w:bidi="ar"/>
        </w:rPr>
        <w:t>应用</w:t>
      </w:r>
      <w:r>
        <w:rPr>
          <w:rFonts w:ascii="微软雅黑" w:eastAsia="微软雅黑" w:hAnsi="微软雅黑" w:hint="eastAsia"/>
          <w:sz w:val="21"/>
          <w:szCs w:val="21"/>
          <w:lang w:val="zh-CN" w:bidi="ar"/>
        </w:rPr>
        <w:t>开发</w:t>
      </w:r>
      <w:r>
        <w:rPr>
          <w:rFonts w:ascii="微软雅黑" w:eastAsia="微软雅黑" w:hAnsi="微软雅黑" w:hint="eastAsia"/>
          <w:sz w:val="21"/>
          <w:szCs w:val="21"/>
          <w:lang w:bidi="ar"/>
        </w:rPr>
        <w:t>质量</w:t>
      </w:r>
      <w:r>
        <w:rPr>
          <w:rFonts w:ascii="微软雅黑" w:eastAsia="微软雅黑" w:hAnsi="微软雅黑" w:hint="eastAsia"/>
          <w:sz w:val="21"/>
          <w:szCs w:val="21"/>
          <w:lang w:val="zh-CN" w:bidi="ar"/>
        </w:rPr>
        <w:t>等情况。</w:t>
      </w:r>
    </w:p>
    <w:p w14:paraId="145BCB2D"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6应用</w:t>
      </w:r>
      <w:r>
        <w:rPr>
          <w:rFonts w:ascii="微软雅黑" w:eastAsia="微软雅黑" w:hAnsi="微软雅黑" w:hint="eastAsia"/>
          <w:sz w:val="21"/>
          <w:szCs w:val="21"/>
          <w:lang w:val="zh-CN" w:bidi="ar"/>
        </w:rPr>
        <w:t>与批准的建设计划、资金支付计划的匹配程度、合规性。</w:t>
      </w:r>
    </w:p>
    <w:p w14:paraId="208E2D3B"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7应用建设是否符合数字重庆建设</w:t>
      </w:r>
      <w:r>
        <w:rPr>
          <w:rFonts w:ascii="微软雅黑" w:eastAsia="微软雅黑" w:hAnsi="微软雅黑" w:hint="eastAsia"/>
          <w:sz w:val="21"/>
          <w:szCs w:val="21"/>
          <w:lang w:val="zh-CN" w:bidi="ar"/>
        </w:rPr>
        <w:t>工作要求。</w:t>
      </w:r>
    </w:p>
    <w:p w14:paraId="0969E689"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8应用</w:t>
      </w:r>
      <w:r>
        <w:rPr>
          <w:rFonts w:ascii="微软雅黑" w:eastAsia="微软雅黑" w:hAnsi="微软雅黑" w:hint="eastAsia"/>
          <w:sz w:val="21"/>
          <w:szCs w:val="21"/>
          <w:lang w:val="zh-CN" w:bidi="ar"/>
        </w:rPr>
        <w:t>有关文件资料的完整性和规范性，是否符合档案管理相关规范。</w:t>
      </w:r>
    </w:p>
    <w:p w14:paraId="3EBDCECA"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9应用</w:t>
      </w:r>
      <w:r>
        <w:rPr>
          <w:rFonts w:ascii="微软雅黑" w:eastAsia="微软雅黑" w:hAnsi="微软雅黑" w:hint="eastAsia"/>
          <w:sz w:val="21"/>
          <w:szCs w:val="21"/>
          <w:lang w:val="zh-CN" w:bidi="ar"/>
        </w:rPr>
        <w:t>相关的测试报告、</w:t>
      </w:r>
      <w:r>
        <w:rPr>
          <w:rFonts w:ascii="微软雅黑" w:eastAsia="微软雅黑" w:hAnsi="微软雅黑" w:hint="eastAsia"/>
          <w:sz w:val="21"/>
          <w:szCs w:val="21"/>
          <w:lang w:bidi="ar"/>
        </w:rPr>
        <w:t>需求规格说明书、深化设计（详细设计）、</w:t>
      </w:r>
      <w:r>
        <w:rPr>
          <w:rFonts w:ascii="微软雅黑" w:eastAsia="微软雅黑" w:hAnsi="微软雅黑" w:hint="eastAsia"/>
          <w:sz w:val="21"/>
          <w:szCs w:val="21"/>
          <w:lang w:val="zh-CN" w:bidi="ar"/>
        </w:rPr>
        <w:t>建设总结、数据</w:t>
      </w:r>
      <w:r>
        <w:rPr>
          <w:rFonts w:ascii="微软雅黑" w:eastAsia="微软雅黑" w:hAnsi="微软雅黑" w:hint="eastAsia"/>
          <w:sz w:val="21"/>
          <w:szCs w:val="21"/>
          <w:lang w:bidi="ar"/>
        </w:rPr>
        <w:t>库设计、</w:t>
      </w:r>
      <w:r>
        <w:rPr>
          <w:rFonts w:ascii="微软雅黑" w:eastAsia="微软雅黑" w:hAnsi="微软雅黑" w:hint="eastAsia"/>
          <w:sz w:val="21"/>
          <w:szCs w:val="21"/>
          <w:lang w:val="zh-CN" w:bidi="ar"/>
        </w:rPr>
        <w:t>数据字典、</w:t>
      </w:r>
      <w:r>
        <w:rPr>
          <w:rFonts w:ascii="微软雅黑" w:eastAsia="微软雅黑" w:hAnsi="微软雅黑" w:hint="eastAsia"/>
          <w:sz w:val="21"/>
          <w:szCs w:val="21"/>
          <w:lang w:bidi="ar"/>
        </w:rPr>
        <w:t>会议纪要、周报</w:t>
      </w:r>
      <w:r>
        <w:rPr>
          <w:rFonts w:ascii="微软雅黑" w:eastAsia="微软雅黑" w:hAnsi="微软雅黑" w:hint="eastAsia"/>
          <w:sz w:val="21"/>
          <w:szCs w:val="21"/>
          <w:lang w:val="zh-CN" w:bidi="ar"/>
        </w:rPr>
        <w:t>等文件准确性、合规性和完整性。</w:t>
      </w:r>
    </w:p>
    <w:p w14:paraId="12B2FDFE"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val="zh-CN" w:bidi="ar"/>
        </w:rPr>
        <w:t>2</w:t>
      </w:r>
      <w:r>
        <w:rPr>
          <w:rFonts w:ascii="微软雅黑" w:eastAsia="微软雅黑" w:hAnsi="微软雅黑"/>
          <w:sz w:val="21"/>
          <w:szCs w:val="21"/>
          <w:lang w:val="zh-CN" w:bidi="ar"/>
        </w:rPr>
        <w:t>.</w:t>
      </w:r>
      <w:r>
        <w:rPr>
          <w:rFonts w:ascii="微软雅黑" w:eastAsia="微软雅黑" w:hAnsi="微软雅黑" w:hint="eastAsia"/>
          <w:sz w:val="21"/>
          <w:szCs w:val="21"/>
          <w:lang w:bidi="ar"/>
        </w:rPr>
        <w:t>10应用</w:t>
      </w:r>
      <w:r>
        <w:rPr>
          <w:rFonts w:ascii="微软雅黑" w:eastAsia="微软雅黑" w:hAnsi="微软雅黑" w:hint="eastAsia"/>
          <w:sz w:val="21"/>
          <w:szCs w:val="21"/>
          <w:lang w:val="zh-CN" w:bidi="ar"/>
        </w:rPr>
        <w:t>实施、运行中相关管理制度是否建立健全，管理人员和操作人员是否达到熟练操作的程度。</w:t>
      </w:r>
    </w:p>
    <w:p w14:paraId="77C6AE3F"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2</w:t>
      </w:r>
      <w:r>
        <w:rPr>
          <w:rFonts w:ascii="微软雅黑" w:eastAsia="微软雅黑" w:hAnsi="微软雅黑"/>
          <w:sz w:val="21"/>
          <w:szCs w:val="21"/>
          <w:lang w:bidi="ar"/>
        </w:rPr>
        <w:t>.1</w:t>
      </w:r>
      <w:r>
        <w:rPr>
          <w:rFonts w:ascii="微软雅黑" w:eastAsia="微软雅黑" w:hAnsi="微软雅黑" w:hint="eastAsia"/>
          <w:sz w:val="21"/>
          <w:szCs w:val="21"/>
          <w:lang w:bidi="ar"/>
        </w:rPr>
        <w:t>1应用是否建立质量保证和售后服务体系，承建单位是否采取必要措施，方便系统的扩容和升级。</w:t>
      </w:r>
    </w:p>
    <w:p w14:paraId="1C1790D6"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三</w:t>
      </w:r>
      <w:r>
        <w:rPr>
          <w:rFonts w:ascii="微软雅黑" w:eastAsia="微软雅黑" w:hAnsi="微软雅黑"/>
          <w:sz w:val="21"/>
          <w:szCs w:val="21"/>
        </w:rPr>
        <w:t>）试运行期</w:t>
      </w:r>
    </w:p>
    <w:p w14:paraId="4F1C359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1.初步验收后，即可进入试运行期，试运行</w:t>
      </w:r>
      <w:r>
        <w:rPr>
          <w:rFonts w:ascii="微软雅黑" w:eastAsia="微软雅黑" w:hAnsi="微软雅黑" w:hint="eastAsia"/>
          <w:sz w:val="21"/>
          <w:szCs w:val="21"/>
        </w:rPr>
        <w:t>原则上不低于</w:t>
      </w:r>
      <w:r>
        <w:rPr>
          <w:rFonts w:ascii="微软雅黑" w:eastAsia="微软雅黑" w:hAnsi="微软雅黑" w:hint="eastAsia"/>
          <w:sz w:val="21"/>
          <w:szCs w:val="21"/>
          <w:u w:val="single"/>
        </w:rPr>
        <w:t xml:space="preserve"> 90 </w:t>
      </w:r>
      <w:r>
        <w:rPr>
          <w:rFonts w:ascii="微软雅黑" w:eastAsia="微软雅黑" w:hAnsi="微软雅黑" w:hint="eastAsia"/>
          <w:sz w:val="21"/>
          <w:szCs w:val="21"/>
        </w:rPr>
        <w:t>天</w:t>
      </w:r>
      <w:r>
        <w:rPr>
          <w:rFonts w:ascii="微软雅黑" w:eastAsia="微软雅黑" w:hAnsi="微软雅黑"/>
          <w:sz w:val="21"/>
          <w:szCs w:val="21"/>
        </w:rPr>
        <w:t>，试运行期间系统应保持连续正常的运行。试运行期间如果出现影响系统正常运行的重大故障或功能缺陷，乙方应立即进行修复或更换相应设施设备，试运行期从修复之日起重新开始计算。乙方应详细说明其试运行保障计划。甲方有权派出技术人员参加，乙方有义务对其进行指导。</w:t>
      </w:r>
    </w:p>
    <w:p w14:paraId="08409F27"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2.运行期间要求做好系统运行情况记录。</w:t>
      </w:r>
    </w:p>
    <w:p w14:paraId="32263E9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3.乙方负责解决系统试运行期间出现的各种故障。在试运行期间，出现非最终用户因素导致的系统故障的，甲方有权要求乙方进行更换或修复，所发生</w:t>
      </w:r>
      <w:r>
        <w:rPr>
          <w:rFonts w:ascii="微软雅黑" w:eastAsia="微软雅黑" w:hAnsi="微软雅黑" w:hint="eastAsia"/>
          <w:sz w:val="21"/>
          <w:szCs w:val="21"/>
        </w:rPr>
        <w:t>的</w:t>
      </w:r>
      <w:r>
        <w:rPr>
          <w:rFonts w:ascii="微软雅黑" w:eastAsia="微软雅黑" w:hAnsi="微软雅黑"/>
          <w:sz w:val="21"/>
          <w:szCs w:val="21"/>
        </w:rPr>
        <w:t>费用由乙方</w:t>
      </w:r>
      <w:r>
        <w:rPr>
          <w:rFonts w:ascii="微软雅黑" w:eastAsia="微软雅黑" w:hAnsi="微软雅黑" w:hint="eastAsia"/>
          <w:sz w:val="21"/>
          <w:szCs w:val="21"/>
        </w:rPr>
        <w:t>承</w:t>
      </w:r>
      <w:r>
        <w:rPr>
          <w:rFonts w:ascii="微软雅黑" w:eastAsia="微软雅黑" w:hAnsi="微软雅黑"/>
          <w:sz w:val="21"/>
          <w:szCs w:val="21"/>
        </w:rPr>
        <w:t>担。试运行合格后，可进行系统交付验收。</w:t>
      </w:r>
    </w:p>
    <w:p w14:paraId="003CBD4B"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4.系统试运行合格后，乙方提交试运行报告和终验申请，就试运行阶段所出现的问题进行总结归纳，</w:t>
      </w:r>
      <w:r>
        <w:rPr>
          <w:rFonts w:ascii="微软雅黑" w:eastAsia="微软雅黑" w:hAnsi="微软雅黑" w:hint="eastAsia"/>
          <w:sz w:val="21"/>
          <w:szCs w:val="21"/>
        </w:rPr>
        <w:t>并</w:t>
      </w:r>
      <w:r>
        <w:rPr>
          <w:rFonts w:ascii="微软雅黑" w:eastAsia="微软雅黑" w:hAnsi="微软雅黑"/>
          <w:sz w:val="21"/>
          <w:szCs w:val="21"/>
        </w:rPr>
        <w:t>报</w:t>
      </w:r>
      <w:r>
        <w:rPr>
          <w:rFonts w:ascii="微软雅黑" w:eastAsia="微软雅黑" w:hAnsi="微软雅黑" w:hint="eastAsia"/>
          <w:sz w:val="21"/>
          <w:szCs w:val="21"/>
        </w:rPr>
        <w:t>送给</w:t>
      </w:r>
      <w:r>
        <w:rPr>
          <w:rFonts w:ascii="微软雅黑" w:eastAsia="微软雅黑" w:hAnsi="微软雅黑"/>
          <w:sz w:val="21"/>
          <w:szCs w:val="21"/>
        </w:rPr>
        <w:t>甲方。扼要说明申请系统验收的准备情况和系统所具备的验收条件。乙方在提交终验申请报告时，必须按合同书的有关规定，交付相关的技术文件。</w:t>
      </w:r>
    </w:p>
    <w:p w14:paraId="353698D3" w14:textId="77777777" w:rsidR="0022665C" w:rsidRDefault="00000000">
      <w:p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四</w:t>
      </w:r>
      <w:r>
        <w:rPr>
          <w:rFonts w:ascii="微软雅黑" w:eastAsia="微软雅黑" w:hAnsi="微软雅黑"/>
          <w:sz w:val="21"/>
          <w:szCs w:val="21"/>
        </w:rPr>
        <w:t>）终验</w:t>
      </w:r>
      <w:r>
        <w:rPr>
          <w:rFonts w:ascii="微软雅黑" w:eastAsia="微软雅黑" w:hAnsi="微软雅黑" w:hint="eastAsia"/>
          <w:sz w:val="21"/>
          <w:szCs w:val="21"/>
        </w:rPr>
        <w:t>（竣工验收）</w:t>
      </w:r>
    </w:p>
    <w:p w14:paraId="0A91A17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试运行合格后，甲方根据乙方申请，按照招标文件中的有关规定和程序，进行终验。乙方须配合甲方完成终验相关工作，按照甲方要求提供终验资料、编制终验报告、参加终验验收会。乙方提供过的终验文件应至少包括项目基础资料</w:t>
      </w:r>
      <w:r>
        <w:rPr>
          <w:rFonts w:ascii="微软雅黑" w:eastAsia="微软雅黑" w:hAnsi="微软雅黑" w:hint="eastAsia"/>
          <w:sz w:val="21"/>
          <w:szCs w:val="21"/>
        </w:rPr>
        <w:t>、实施方案、工作总结、技术总结</w:t>
      </w:r>
      <w:r>
        <w:rPr>
          <w:rFonts w:ascii="微软雅黑" w:eastAsia="微软雅黑" w:hAnsi="微软雅黑"/>
          <w:sz w:val="21"/>
          <w:szCs w:val="21"/>
        </w:rPr>
        <w:t>、配置指导说明、技术变更资料</w:t>
      </w:r>
      <w:r>
        <w:rPr>
          <w:rFonts w:ascii="微软雅黑" w:eastAsia="微软雅黑" w:hAnsi="微软雅黑" w:hint="eastAsia"/>
          <w:sz w:val="21"/>
          <w:szCs w:val="21"/>
        </w:rPr>
        <w:t>（若有）</w:t>
      </w:r>
      <w:r>
        <w:rPr>
          <w:rFonts w:ascii="微软雅黑" w:eastAsia="微软雅黑" w:hAnsi="微软雅黑"/>
          <w:sz w:val="21"/>
          <w:szCs w:val="21"/>
        </w:rPr>
        <w:t>、会议纪要、洽商记录等，以及甲方终验要求提供</w:t>
      </w:r>
      <w:r>
        <w:rPr>
          <w:rFonts w:ascii="微软雅黑" w:eastAsia="微软雅黑" w:hAnsi="微软雅黑" w:hint="eastAsia"/>
          <w:sz w:val="21"/>
          <w:szCs w:val="21"/>
        </w:rPr>
        <w:t>的其他</w:t>
      </w:r>
      <w:r>
        <w:rPr>
          <w:rFonts w:ascii="微软雅黑" w:eastAsia="微软雅黑" w:hAnsi="微软雅黑"/>
          <w:sz w:val="21"/>
          <w:szCs w:val="21"/>
        </w:rPr>
        <w:t>资料。</w:t>
      </w:r>
    </w:p>
    <w:p w14:paraId="0FEAEBD4"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试运行期间若发生与技术要求不符或与初验记录不一致的情况时，乙方应负责解决问题</w:t>
      </w:r>
      <w:r>
        <w:rPr>
          <w:rFonts w:ascii="微软雅黑" w:eastAsia="微软雅黑" w:hAnsi="微软雅黑" w:hint="eastAsia"/>
          <w:sz w:val="21"/>
          <w:szCs w:val="21"/>
        </w:rPr>
        <w:t>，</w:t>
      </w:r>
      <w:r>
        <w:rPr>
          <w:rFonts w:ascii="微软雅黑" w:eastAsia="微软雅黑" w:hAnsi="微软雅黑"/>
          <w:sz w:val="21"/>
          <w:szCs w:val="21"/>
        </w:rPr>
        <w:t>否则不予终验。属于乙方工作严重失职造成较大损失的，将追究其单位及人员的责任并要求赔偿损失。项目终验条件：</w:t>
      </w:r>
    </w:p>
    <w:p w14:paraId="4265E8F3" w14:textId="77777777" w:rsidR="0022665C" w:rsidRDefault="00000000">
      <w:pPr>
        <w:spacing w:line="440" w:lineRule="atLeast"/>
        <w:ind w:firstLineChars="200" w:firstLine="420"/>
      </w:pP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lang w:bidi="ar"/>
        </w:rPr>
        <w:t>应用</w:t>
      </w:r>
      <w:r>
        <w:rPr>
          <w:rFonts w:ascii="微软雅黑" w:eastAsia="微软雅黑" w:hAnsi="微软雅黑"/>
          <w:sz w:val="21"/>
          <w:szCs w:val="21"/>
          <w:lang w:bidi="ar"/>
        </w:rPr>
        <w:t>批复的建设内容已全部完成。</w:t>
      </w:r>
    </w:p>
    <w:p w14:paraId="5AA6905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w:t>
      </w:r>
      <w:r>
        <w:rPr>
          <w:rFonts w:ascii="微软雅黑" w:eastAsia="微软雅黑" w:hAnsi="微软雅黑"/>
          <w:sz w:val="21"/>
          <w:szCs w:val="21"/>
        </w:rPr>
        <w:t>.</w:t>
      </w:r>
      <w:r>
        <w:rPr>
          <w:rFonts w:ascii="微软雅黑" w:eastAsia="微软雅黑" w:hAnsi="微软雅黑" w:hint="eastAsia"/>
          <w:sz w:val="21"/>
          <w:szCs w:val="21"/>
        </w:rPr>
        <w:t>终验资料应完整规范，且终验申请须通过甲方审核。</w:t>
      </w:r>
    </w:p>
    <w:p w14:paraId="42FB2554"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w:t>
      </w:r>
      <w:r>
        <w:rPr>
          <w:rFonts w:ascii="微软雅黑" w:eastAsia="微软雅黑" w:hAnsi="微软雅黑"/>
          <w:sz w:val="21"/>
          <w:szCs w:val="21"/>
        </w:rPr>
        <w:t>.</w:t>
      </w:r>
      <w:r>
        <w:rPr>
          <w:rFonts w:ascii="微软雅黑" w:eastAsia="微软雅黑" w:hAnsi="微软雅黑" w:hint="eastAsia"/>
          <w:sz w:val="21"/>
          <w:szCs w:val="21"/>
        </w:rPr>
        <w:t>完整提供本项目所有定制开发的源代码，并在甲方指定的开发环境（设备）中部署，并能正常运行，实现合同规定的系统功能，同时提供项目所有开发环境的详细说明。</w:t>
      </w:r>
    </w:p>
    <w:p w14:paraId="37D3E04E"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w:t>
      </w:r>
      <w:r>
        <w:rPr>
          <w:rFonts w:ascii="微软雅黑" w:eastAsia="微软雅黑" w:hAnsi="微软雅黑"/>
          <w:sz w:val="21"/>
          <w:szCs w:val="21"/>
        </w:rPr>
        <w:t>.</w:t>
      </w:r>
      <w:r>
        <w:rPr>
          <w:rFonts w:ascii="微软雅黑" w:eastAsia="微软雅黑" w:hAnsi="微软雅黑" w:hint="eastAsia"/>
          <w:sz w:val="21"/>
          <w:szCs w:val="21"/>
        </w:rPr>
        <w:t>技术要求与采购合同一致，功能及性能指标达到规定的建设标准；</w:t>
      </w:r>
    </w:p>
    <w:p w14:paraId="5650F38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5</w:t>
      </w:r>
      <w:r>
        <w:rPr>
          <w:rFonts w:ascii="微软雅黑" w:eastAsia="微软雅黑" w:hAnsi="微软雅黑"/>
          <w:sz w:val="21"/>
          <w:szCs w:val="21"/>
        </w:rPr>
        <w:t>.</w:t>
      </w:r>
      <w:r>
        <w:rPr>
          <w:rFonts w:ascii="微软雅黑" w:eastAsia="微软雅黑" w:hAnsi="微软雅黑" w:hint="eastAsia"/>
          <w:sz w:val="21"/>
          <w:szCs w:val="21"/>
        </w:rPr>
        <w:t>各种</w:t>
      </w:r>
      <w:r>
        <w:rPr>
          <w:rFonts w:ascii="微软雅黑" w:eastAsia="微软雅黑" w:hAnsi="微软雅黑"/>
          <w:sz w:val="21"/>
          <w:szCs w:val="21"/>
          <w:lang w:bidi="ar"/>
        </w:rPr>
        <w:t>设计、实施等</w:t>
      </w:r>
      <w:r>
        <w:rPr>
          <w:rFonts w:ascii="微软雅黑" w:eastAsia="微软雅黑" w:hAnsi="微软雅黑" w:hint="eastAsia"/>
          <w:sz w:val="21"/>
          <w:szCs w:val="21"/>
        </w:rPr>
        <w:t>技术文档齐全、规范，验收资料完备，符合相关要求；</w:t>
      </w:r>
      <w:r>
        <w:rPr>
          <w:rFonts w:ascii="微软雅黑" w:eastAsia="微软雅黑" w:hAnsi="微软雅黑"/>
          <w:sz w:val="21"/>
          <w:szCs w:val="21"/>
          <w:lang w:bidi="ar"/>
        </w:rPr>
        <w:t>档案管理</w:t>
      </w:r>
      <w:r>
        <w:rPr>
          <w:rFonts w:ascii="微软雅黑" w:eastAsia="微软雅黑" w:hAnsi="微软雅黑" w:hint="eastAsia"/>
          <w:sz w:val="21"/>
          <w:szCs w:val="21"/>
          <w:lang w:bidi="ar"/>
        </w:rPr>
        <w:t>还应</w:t>
      </w:r>
      <w:r>
        <w:rPr>
          <w:rFonts w:ascii="微软雅黑" w:eastAsia="微软雅黑" w:hAnsi="微软雅黑"/>
          <w:sz w:val="21"/>
          <w:szCs w:val="21"/>
          <w:lang w:bidi="ar"/>
        </w:rPr>
        <w:t>符合《国家电子政务工程建设项目档案管理暂行办法》</w:t>
      </w:r>
      <w:r>
        <w:rPr>
          <w:rFonts w:ascii="微软雅黑" w:eastAsia="微软雅黑" w:hAnsi="微软雅黑" w:hint="eastAsia"/>
          <w:sz w:val="21"/>
          <w:szCs w:val="21"/>
          <w:lang w:bidi="ar"/>
        </w:rPr>
        <w:t>的</w:t>
      </w:r>
      <w:r>
        <w:rPr>
          <w:rFonts w:ascii="微软雅黑" w:eastAsia="微软雅黑" w:hAnsi="微软雅黑"/>
          <w:sz w:val="21"/>
          <w:szCs w:val="21"/>
          <w:lang w:bidi="ar"/>
        </w:rPr>
        <w:t>有关规定。</w:t>
      </w:r>
    </w:p>
    <w:p w14:paraId="7A9BE1D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6</w:t>
      </w:r>
      <w:r>
        <w:rPr>
          <w:rFonts w:ascii="微软雅黑" w:eastAsia="微软雅黑" w:hAnsi="微软雅黑"/>
          <w:sz w:val="21"/>
          <w:szCs w:val="21"/>
        </w:rPr>
        <w:t>.</w:t>
      </w:r>
      <w:r>
        <w:rPr>
          <w:rFonts w:ascii="微软雅黑" w:eastAsia="微软雅黑" w:hAnsi="微软雅黑"/>
          <w:sz w:val="21"/>
          <w:szCs w:val="21"/>
          <w:lang w:bidi="ar"/>
        </w:rPr>
        <w:t>系统的功能、性能等技术指标满足合同及设计要求，且通过测评机构对系统功能性、兼容性、易用性、可靠性等方面的测试。系统建设、数据处理需通过具有资质的</w:t>
      </w:r>
      <w:r>
        <w:rPr>
          <w:rFonts w:ascii="微软雅黑" w:eastAsia="微软雅黑" w:hAnsi="微软雅黑" w:hint="eastAsia"/>
          <w:sz w:val="21"/>
          <w:szCs w:val="21"/>
        </w:rPr>
        <w:t>第三方</w:t>
      </w:r>
      <w:r>
        <w:rPr>
          <w:rFonts w:ascii="微软雅黑" w:eastAsia="微软雅黑" w:hAnsi="微软雅黑"/>
          <w:sz w:val="21"/>
          <w:szCs w:val="21"/>
          <w:lang w:bidi="ar"/>
        </w:rPr>
        <w:t>测评机构的网络安全等级保护测评</w:t>
      </w:r>
      <w:r>
        <w:rPr>
          <w:rFonts w:ascii="微软雅黑" w:eastAsia="微软雅黑" w:hAnsi="微软雅黑" w:hint="eastAsia"/>
          <w:sz w:val="21"/>
          <w:szCs w:val="21"/>
        </w:rPr>
        <w:t>（三级）</w:t>
      </w:r>
      <w:r>
        <w:rPr>
          <w:rFonts w:ascii="微软雅黑" w:eastAsia="微软雅黑" w:hAnsi="微软雅黑"/>
          <w:sz w:val="21"/>
          <w:szCs w:val="21"/>
          <w:lang w:bidi="ar"/>
        </w:rPr>
        <w:t>和密码应用安全性评估机构的评估。</w:t>
      </w:r>
    </w:p>
    <w:p w14:paraId="4934578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7</w:t>
      </w:r>
      <w:r>
        <w:rPr>
          <w:rFonts w:ascii="微软雅黑" w:eastAsia="微软雅黑" w:hAnsi="微软雅黑"/>
          <w:sz w:val="21"/>
          <w:szCs w:val="21"/>
        </w:rPr>
        <w:t>.</w:t>
      </w:r>
      <w:r>
        <w:rPr>
          <w:rFonts w:ascii="微软雅黑" w:eastAsia="微软雅黑" w:hAnsi="微软雅黑" w:hint="eastAsia"/>
          <w:sz w:val="21"/>
          <w:szCs w:val="21"/>
        </w:rPr>
        <w:t>系统建设和数据处理应符合网络安全、数据安全、密码安全等相关要求。</w:t>
      </w:r>
    </w:p>
    <w:p w14:paraId="780F1FF9"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8</w:t>
      </w:r>
      <w:r>
        <w:rPr>
          <w:rFonts w:ascii="微软雅黑" w:eastAsia="微软雅黑" w:hAnsi="微软雅黑"/>
          <w:sz w:val="21"/>
          <w:szCs w:val="21"/>
        </w:rPr>
        <w:t>.</w:t>
      </w:r>
      <w:r>
        <w:rPr>
          <w:rFonts w:ascii="微软雅黑" w:eastAsia="微软雅黑" w:hAnsi="微软雅黑" w:hint="eastAsia"/>
          <w:sz w:val="21"/>
          <w:szCs w:val="21"/>
        </w:rPr>
        <w:t>外购的操作系统、数据库、中间件、应用软件和开发工具（若有）符合知识产权相关政策法规的要求。</w:t>
      </w:r>
    </w:p>
    <w:p w14:paraId="774A814D"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9</w:t>
      </w:r>
      <w:r>
        <w:rPr>
          <w:rFonts w:ascii="微软雅黑" w:eastAsia="微软雅黑" w:hAnsi="微软雅黑"/>
          <w:sz w:val="21"/>
          <w:szCs w:val="21"/>
          <w:lang w:bidi="ar"/>
        </w:rPr>
        <w:t>.已完成对使用单位相关人员的技术培训，系统的主要使用人员应能够独立操作使用。</w:t>
      </w:r>
    </w:p>
    <w:p w14:paraId="004F4BE8"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10</w:t>
      </w:r>
      <w:r>
        <w:rPr>
          <w:rFonts w:ascii="微软雅黑" w:eastAsia="微软雅黑" w:hAnsi="微软雅黑"/>
          <w:sz w:val="21"/>
          <w:szCs w:val="21"/>
          <w:lang w:bidi="ar"/>
        </w:rPr>
        <w:t>.系统已完整、准确形成数据目录</w:t>
      </w:r>
      <w:r>
        <w:rPr>
          <w:rFonts w:ascii="微软雅黑" w:eastAsia="微软雅黑" w:hAnsi="微软雅黑" w:hint="eastAsia"/>
          <w:sz w:val="21"/>
          <w:szCs w:val="21"/>
          <w:lang w:bidi="ar"/>
        </w:rPr>
        <w:t>（若有）</w:t>
      </w:r>
      <w:r>
        <w:rPr>
          <w:rFonts w:ascii="微软雅黑" w:eastAsia="微软雅黑" w:hAnsi="微软雅黑"/>
          <w:sz w:val="21"/>
          <w:szCs w:val="21"/>
          <w:lang w:bidi="ar"/>
        </w:rPr>
        <w:t>，并依法依规开展共享、开放。</w:t>
      </w:r>
    </w:p>
    <w:p w14:paraId="7D1FAA2A"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w:t>
      </w: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如有必要，应用开发其他部分中的评测内容单独进行验收。</w:t>
      </w:r>
    </w:p>
    <w:p w14:paraId="42D017E0"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12.验收结果是否通过以甲方审核意见为准。</w:t>
      </w:r>
    </w:p>
    <w:p w14:paraId="4430D5F3"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第五条 质量保证</w:t>
      </w:r>
    </w:p>
    <w:p w14:paraId="208CA27F"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（一）</w:t>
      </w:r>
      <w:r>
        <w:rPr>
          <w:rFonts w:ascii="微软雅黑" w:eastAsia="微软雅黑" w:hAnsi="微软雅黑"/>
          <w:sz w:val="21"/>
          <w:szCs w:val="21"/>
        </w:rPr>
        <w:t>质量保证目标</w:t>
      </w:r>
    </w:p>
    <w:p w14:paraId="4E42A619"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能够保质保量完成</w:t>
      </w:r>
      <w:r>
        <w:rPr>
          <w:rFonts w:ascii="微软雅黑" w:eastAsia="微软雅黑" w:hAnsi="微软雅黑" w:hint="eastAsia"/>
          <w:sz w:val="21"/>
          <w:szCs w:val="21"/>
        </w:rPr>
        <w:t>本项目</w:t>
      </w:r>
      <w:r>
        <w:rPr>
          <w:rFonts w:ascii="微软雅黑" w:eastAsia="微软雅黑" w:hAnsi="微软雅黑"/>
          <w:sz w:val="21"/>
          <w:szCs w:val="21"/>
        </w:rPr>
        <w:t>的开发及实施任务，能够让产品最终展现形式满足</w:t>
      </w:r>
      <w:r>
        <w:rPr>
          <w:rFonts w:ascii="微软雅黑" w:eastAsia="微软雅黑" w:hAnsi="微软雅黑" w:hint="eastAsia"/>
          <w:sz w:val="21"/>
          <w:szCs w:val="21"/>
        </w:rPr>
        <w:t>甲方</w:t>
      </w:r>
      <w:r>
        <w:rPr>
          <w:rFonts w:ascii="微软雅黑" w:eastAsia="微软雅黑" w:hAnsi="微软雅黑"/>
          <w:sz w:val="21"/>
          <w:szCs w:val="21"/>
        </w:rPr>
        <w:t>需求，能够</w:t>
      </w:r>
      <w:r>
        <w:rPr>
          <w:rFonts w:ascii="微软雅黑" w:eastAsia="微软雅黑" w:hAnsi="微软雅黑" w:hint="eastAsia"/>
          <w:sz w:val="21"/>
          <w:szCs w:val="21"/>
        </w:rPr>
        <w:t>在</w:t>
      </w:r>
      <w:r>
        <w:rPr>
          <w:rFonts w:ascii="微软雅黑" w:eastAsia="微软雅黑" w:hAnsi="微软雅黑"/>
          <w:sz w:val="21"/>
          <w:szCs w:val="21"/>
        </w:rPr>
        <w:t>使用中得到应有的功能体现。</w:t>
      </w:r>
    </w:p>
    <w:p w14:paraId="6DEADD41"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w:t>
      </w:r>
      <w:r>
        <w:rPr>
          <w:rFonts w:ascii="微软雅黑" w:eastAsia="微软雅黑" w:hAnsi="微软雅黑"/>
          <w:sz w:val="21"/>
          <w:szCs w:val="21"/>
        </w:rPr>
        <w:t>确立质量标准体系</w:t>
      </w:r>
    </w:p>
    <w:p w14:paraId="6636EE1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乙方</w:t>
      </w:r>
      <w:r>
        <w:rPr>
          <w:rFonts w:ascii="微软雅黑" w:eastAsia="微软雅黑" w:hAnsi="微软雅黑"/>
          <w:sz w:val="21"/>
          <w:szCs w:val="21"/>
        </w:rPr>
        <w:t>建立适当的质量衡量标准进行</w:t>
      </w:r>
      <w:r>
        <w:rPr>
          <w:rFonts w:ascii="微软雅黑" w:eastAsia="微软雅黑" w:hAnsi="微软雅黑" w:hint="eastAsia"/>
          <w:sz w:val="21"/>
          <w:szCs w:val="21"/>
        </w:rPr>
        <w:t>应用</w:t>
      </w:r>
      <w:r>
        <w:rPr>
          <w:rFonts w:ascii="微软雅黑" w:eastAsia="微软雅黑" w:hAnsi="微软雅黑"/>
          <w:sz w:val="21"/>
          <w:szCs w:val="21"/>
        </w:rPr>
        <w:t>质量管理的前提性的关键性工作。根据在实施</w:t>
      </w:r>
      <w:r>
        <w:rPr>
          <w:rFonts w:ascii="微软雅黑" w:eastAsia="微软雅黑" w:hAnsi="微软雅黑" w:hint="eastAsia"/>
          <w:sz w:val="21"/>
          <w:szCs w:val="21"/>
        </w:rPr>
        <w:t>应用</w:t>
      </w:r>
      <w:r>
        <w:rPr>
          <w:rFonts w:ascii="微软雅黑" w:eastAsia="微软雅黑" w:hAnsi="微软雅黑"/>
          <w:sz w:val="21"/>
          <w:szCs w:val="21"/>
        </w:rPr>
        <w:t>方面的整体战略规划与</w:t>
      </w:r>
      <w:r>
        <w:rPr>
          <w:rFonts w:ascii="微软雅黑" w:eastAsia="微软雅黑" w:hAnsi="微软雅黑" w:hint="eastAsia"/>
          <w:sz w:val="21"/>
          <w:szCs w:val="21"/>
        </w:rPr>
        <w:t>应用</w:t>
      </w:r>
      <w:r>
        <w:rPr>
          <w:rFonts w:ascii="微软雅黑" w:eastAsia="微软雅黑" w:hAnsi="微软雅黑"/>
          <w:sz w:val="21"/>
          <w:szCs w:val="21"/>
        </w:rPr>
        <w:t>实施计划，召集</w:t>
      </w:r>
      <w:r>
        <w:rPr>
          <w:rFonts w:ascii="微软雅黑" w:eastAsia="微软雅黑" w:hAnsi="微软雅黑" w:hint="eastAsia"/>
          <w:sz w:val="21"/>
          <w:szCs w:val="21"/>
        </w:rPr>
        <w:t>应用</w:t>
      </w:r>
      <w:r>
        <w:rPr>
          <w:rFonts w:ascii="微软雅黑" w:eastAsia="微软雅黑" w:hAnsi="微软雅黑"/>
          <w:sz w:val="21"/>
          <w:szCs w:val="21"/>
        </w:rPr>
        <w:t>实施各相关主体进行讨论与沟通，制定完整、科学、合理、具备较强可实施性的</w:t>
      </w:r>
      <w:r>
        <w:rPr>
          <w:rFonts w:ascii="微软雅黑" w:eastAsia="微软雅黑" w:hAnsi="微软雅黑" w:hint="eastAsia"/>
          <w:sz w:val="21"/>
          <w:szCs w:val="21"/>
        </w:rPr>
        <w:t>应用</w:t>
      </w:r>
      <w:r>
        <w:rPr>
          <w:rFonts w:ascii="微软雅黑" w:eastAsia="微软雅黑" w:hAnsi="微软雅黑"/>
          <w:sz w:val="21"/>
          <w:szCs w:val="21"/>
        </w:rPr>
        <w:t>质量标准体系，用于衡量</w:t>
      </w:r>
      <w:r>
        <w:rPr>
          <w:rFonts w:ascii="微软雅黑" w:eastAsia="微软雅黑" w:hAnsi="微软雅黑" w:hint="eastAsia"/>
          <w:sz w:val="21"/>
          <w:szCs w:val="21"/>
        </w:rPr>
        <w:t>应用</w:t>
      </w:r>
      <w:r>
        <w:rPr>
          <w:rFonts w:ascii="微软雅黑" w:eastAsia="微软雅黑" w:hAnsi="微软雅黑"/>
          <w:sz w:val="21"/>
          <w:szCs w:val="21"/>
        </w:rPr>
        <w:t>质量。衡量</w:t>
      </w:r>
      <w:r>
        <w:rPr>
          <w:rFonts w:ascii="微软雅黑" w:eastAsia="微软雅黑" w:hAnsi="微软雅黑" w:hint="eastAsia"/>
          <w:sz w:val="21"/>
          <w:szCs w:val="21"/>
        </w:rPr>
        <w:t>应用</w:t>
      </w:r>
      <w:r>
        <w:rPr>
          <w:rFonts w:ascii="微软雅黑" w:eastAsia="微软雅黑" w:hAnsi="微软雅黑"/>
          <w:sz w:val="21"/>
          <w:szCs w:val="21"/>
        </w:rPr>
        <w:t>质量标准的指标一般包括</w:t>
      </w:r>
      <w:r>
        <w:rPr>
          <w:rFonts w:ascii="微软雅黑" w:eastAsia="微软雅黑" w:hAnsi="微软雅黑" w:hint="eastAsia"/>
          <w:sz w:val="21"/>
          <w:szCs w:val="21"/>
        </w:rPr>
        <w:t>应用</w:t>
      </w:r>
      <w:r>
        <w:rPr>
          <w:rFonts w:ascii="微软雅黑" w:eastAsia="微软雅黑" w:hAnsi="微软雅黑"/>
          <w:sz w:val="21"/>
          <w:szCs w:val="21"/>
        </w:rPr>
        <w:t>涉及范围、</w:t>
      </w:r>
      <w:r>
        <w:rPr>
          <w:rFonts w:ascii="微软雅黑" w:eastAsia="微软雅黑" w:hAnsi="微软雅黑" w:hint="eastAsia"/>
          <w:sz w:val="21"/>
          <w:szCs w:val="21"/>
        </w:rPr>
        <w:t>应用</w:t>
      </w:r>
      <w:r>
        <w:rPr>
          <w:rFonts w:ascii="微软雅黑" w:eastAsia="微软雅黑" w:hAnsi="微软雅黑"/>
          <w:sz w:val="21"/>
          <w:szCs w:val="21"/>
        </w:rPr>
        <w:t>具体的实施步骤、</w:t>
      </w:r>
      <w:r>
        <w:rPr>
          <w:rFonts w:ascii="微软雅黑" w:eastAsia="微软雅黑" w:hAnsi="微软雅黑" w:hint="eastAsia"/>
          <w:sz w:val="21"/>
          <w:szCs w:val="21"/>
        </w:rPr>
        <w:t>应用</w:t>
      </w:r>
      <w:r>
        <w:rPr>
          <w:rFonts w:ascii="微软雅黑" w:eastAsia="微软雅黑" w:hAnsi="微软雅黑"/>
          <w:sz w:val="21"/>
          <w:szCs w:val="21"/>
        </w:rPr>
        <w:t>周期估计、</w:t>
      </w:r>
      <w:r>
        <w:rPr>
          <w:rFonts w:ascii="微软雅黑" w:eastAsia="微软雅黑" w:hAnsi="微软雅黑" w:hint="eastAsia"/>
          <w:sz w:val="21"/>
          <w:szCs w:val="21"/>
        </w:rPr>
        <w:t>应用</w:t>
      </w:r>
      <w:r>
        <w:rPr>
          <w:rFonts w:ascii="微软雅黑" w:eastAsia="微软雅黑" w:hAnsi="微软雅黑"/>
          <w:sz w:val="21"/>
          <w:szCs w:val="21"/>
        </w:rPr>
        <w:t>成本预算、</w:t>
      </w:r>
      <w:r>
        <w:rPr>
          <w:rFonts w:ascii="微软雅黑" w:eastAsia="微软雅黑" w:hAnsi="微软雅黑" w:hint="eastAsia"/>
          <w:sz w:val="21"/>
          <w:szCs w:val="21"/>
        </w:rPr>
        <w:t>应用</w:t>
      </w:r>
      <w:r>
        <w:rPr>
          <w:rFonts w:ascii="微软雅黑" w:eastAsia="微软雅黑" w:hAnsi="微软雅黑"/>
          <w:sz w:val="21"/>
          <w:szCs w:val="21"/>
        </w:rPr>
        <w:t>财务预测与资金计划、</w:t>
      </w:r>
      <w:r>
        <w:rPr>
          <w:rFonts w:ascii="微软雅黑" w:eastAsia="微软雅黑" w:hAnsi="微软雅黑" w:hint="eastAsia"/>
          <w:sz w:val="21"/>
          <w:szCs w:val="21"/>
        </w:rPr>
        <w:t>应用</w:t>
      </w:r>
      <w:r>
        <w:rPr>
          <w:rFonts w:ascii="微软雅黑" w:eastAsia="微软雅黑" w:hAnsi="微软雅黑"/>
          <w:sz w:val="21"/>
          <w:szCs w:val="21"/>
        </w:rPr>
        <w:t>工作详细内容安排、质量指标要求以及客户满意度等。</w:t>
      </w:r>
    </w:p>
    <w:p w14:paraId="6458BC59"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（三）</w:t>
      </w:r>
      <w:r>
        <w:rPr>
          <w:rFonts w:ascii="微软雅黑" w:eastAsia="微软雅黑" w:hAnsi="微软雅黑"/>
          <w:sz w:val="21"/>
          <w:szCs w:val="21"/>
        </w:rPr>
        <w:t>对</w:t>
      </w:r>
      <w:r>
        <w:rPr>
          <w:rFonts w:ascii="微软雅黑" w:eastAsia="微软雅黑" w:hAnsi="微软雅黑" w:hint="eastAsia"/>
          <w:sz w:val="21"/>
          <w:szCs w:val="21"/>
        </w:rPr>
        <w:t>应用</w:t>
      </w:r>
      <w:r>
        <w:rPr>
          <w:rFonts w:ascii="微软雅黑" w:eastAsia="微软雅黑" w:hAnsi="微软雅黑"/>
          <w:sz w:val="21"/>
          <w:szCs w:val="21"/>
        </w:rPr>
        <w:t>实施进行质量监控</w:t>
      </w:r>
    </w:p>
    <w:p w14:paraId="3B3E93ED"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在</w:t>
      </w:r>
      <w:r>
        <w:rPr>
          <w:rFonts w:ascii="微软雅黑" w:eastAsia="微软雅黑" w:hAnsi="微软雅黑" w:hint="eastAsia"/>
          <w:sz w:val="21"/>
          <w:szCs w:val="21"/>
        </w:rPr>
        <w:t>应用</w:t>
      </w:r>
      <w:r>
        <w:rPr>
          <w:rFonts w:ascii="微软雅黑" w:eastAsia="微软雅黑" w:hAnsi="微软雅黑"/>
          <w:sz w:val="21"/>
          <w:szCs w:val="21"/>
        </w:rPr>
        <w:t>执行过程中采取有效措施来监控</w:t>
      </w:r>
      <w:r>
        <w:rPr>
          <w:rFonts w:ascii="微软雅黑" w:eastAsia="微软雅黑" w:hAnsi="微软雅黑" w:hint="eastAsia"/>
          <w:sz w:val="21"/>
          <w:szCs w:val="21"/>
        </w:rPr>
        <w:t>应用</w:t>
      </w:r>
      <w:r>
        <w:rPr>
          <w:rFonts w:ascii="微软雅黑" w:eastAsia="微软雅黑" w:hAnsi="微软雅黑"/>
          <w:sz w:val="21"/>
          <w:szCs w:val="21"/>
        </w:rPr>
        <w:t>的实际运行。在</w:t>
      </w:r>
      <w:r>
        <w:rPr>
          <w:rFonts w:ascii="微软雅黑" w:eastAsia="微软雅黑" w:hAnsi="微软雅黑" w:hint="eastAsia"/>
          <w:sz w:val="21"/>
          <w:szCs w:val="21"/>
        </w:rPr>
        <w:t>应用</w:t>
      </w:r>
      <w:r>
        <w:rPr>
          <w:rFonts w:ascii="微软雅黑" w:eastAsia="微软雅黑" w:hAnsi="微软雅黑"/>
          <w:sz w:val="21"/>
          <w:szCs w:val="21"/>
        </w:rPr>
        <w:t>实施过程中，根据要求收集</w:t>
      </w:r>
      <w:r>
        <w:rPr>
          <w:rFonts w:ascii="微软雅黑" w:eastAsia="微软雅黑" w:hAnsi="微软雅黑" w:hint="eastAsia"/>
          <w:sz w:val="21"/>
          <w:szCs w:val="21"/>
        </w:rPr>
        <w:t>应用</w:t>
      </w:r>
      <w:r>
        <w:rPr>
          <w:rFonts w:ascii="微软雅黑" w:eastAsia="微软雅黑" w:hAnsi="微软雅黑"/>
          <w:sz w:val="21"/>
          <w:szCs w:val="21"/>
        </w:rPr>
        <w:t>实施过程中的相关信息，观察、分析</w:t>
      </w:r>
      <w:r>
        <w:rPr>
          <w:rFonts w:ascii="微软雅黑" w:eastAsia="微软雅黑" w:hAnsi="微软雅黑" w:hint="eastAsia"/>
          <w:sz w:val="21"/>
          <w:szCs w:val="21"/>
        </w:rPr>
        <w:t>应用</w:t>
      </w:r>
      <w:r>
        <w:rPr>
          <w:rFonts w:ascii="微软雅黑" w:eastAsia="微软雅黑" w:hAnsi="微软雅黑"/>
          <w:sz w:val="21"/>
          <w:szCs w:val="21"/>
        </w:rPr>
        <w:t>实施进程中的实际情况以便监控。为了达到有效监控</w:t>
      </w:r>
      <w:r>
        <w:rPr>
          <w:rFonts w:ascii="微软雅黑" w:eastAsia="微软雅黑" w:hAnsi="微软雅黑" w:hint="eastAsia"/>
          <w:sz w:val="21"/>
          <w:szCs w:val="21"/>
        </w:rPr>
        <w:t>应用</w:t>
      </w:r>
      <w:r>
        <w:rPr>
          <w:rFonts w:ascii="微软雅黑" w:eastAsia="微软雅黑" w:hAnsi="微软雅黑"/>
          <w:sz w:val="21"/>
          <w:szCs w:val="21"/>
        </w:rPr>
        <w:t>的目的，可以利用的监控措施与沟通渠道包括：</w:t>
      </w:r>
    </w:p>
    <w:p w14:paraId="6ABDACA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.正式的监控与沟通渠道，例如</w:t>
      </w:r>
      <w:r>
        <w:rPr>
          <w:rFonts w:ascii="微软雅黑" w:eastAsia="微软雅黑" w:hAnsi="微软雅黑" w:hint="eastAsia"/>
          <w:sz w:val="21"/>
          <w:szCs w:val="21"/>
        </w:rPr>
        <w:t>应用</w:t>
      </w:r>
      <w:r>
        <w:rPr>
          <w:rFonts w:ascii="微软雅黑" w:eastAsia="微软雅黑" w:hAnsi="微软雅黑"/>
          <w:sz w:val="21"/>
          <w:szCs w:val="21"/>
        </w:rPr>
        <w:t>进度报告、</w:t>
      </w:r>
      <w:r>
        <w:rPr>
          <w:rFonts w:ascii="微软雅黑" w:eastAsia="微软雅黑" w:hAnsi="微软雅黑" w:hint="eastAsia"/>
          <w:sz w:val="21"/>
          <w:szCs w:val="21"/>
        </w:rPr>
        <w:t>应用</w:t>
      </w:r>
      <w:r>
        <w:rPr>
          <w:rFonts w:ascii="微软雅黑" w:eastAsia="微软雅黑" w:hAnsi="微软雅黑"/>
          <w:sz w:val="21"/>
          <w:szCs w:val="21"/>
        </w:rPr>
        <w:t>例会、里程碑会议、各种会议纪要等。</w:t>
      </w:r>
    </w:p>
    <w:p w14:paraId="0995A6C4"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w:t>
      </w:r>
      <w:r>
        <w:rPr>
          <w:rFonts w:ascii="微软雅黑" w:eastAsia="微软雅黑" w:hAnsi="微软雅黑"/>
          <w:sz w:val="21"/>
          <w:szCs w:val="21"/>
        </w:rPr>
        <w:t>.非正式的监控与沟通渠道，例如与</w:t>
      </w:r>
      <w:r>
        <w:rPr>
          <w:rFonts w:ascii="微软雅黑" w:eastAsia="微软雅黑" w:hAnsi="微软雅黑" w:hint="eastAsia"/>
          <w:sz w:val="21"/>
          <w:szCs w:val="21"/>
        </w:rPr>
        <w:t>应用</w:t>
      </w:r>
      <w:r>
        <w:rPr>
          <w:rFonts w:ascii="微软雅黑" w:eastAsia="微软雅黑" w:hAnsi="微软雅黑"/>
          <w:sz w:val="21"/>
          <w:szCs w:val="21"/>
        </w:rPr>
        <w:t>小组成员或最终用户进行交谈与讨论，与</w:t>
      </w:r>
      <w:r>
        <w:rPr>
          <w:rFonts w:ascii="微软雅黑" w:eastAsia="微软雅黑" w:hAnsi="微软雅黑" w:hint="eastAsia"/>
          <w:sz w:val="21"/>
          <w:szCs w:val="21"/>
        </w:rPr>
        <w:t>甲方</w:t>
      </w:r>
      <w:r>
        <w:rPr>
          <w:rFonts w:ascii="微软雅黑" w:eastAsia="微软雅黑" w:hAnsi="微软雅黑"/>
          <w:sz w:val="21"/>
          <w:szCs w:val="21"/>
        </w:rPr>
        <w:t>进行非正式的交流等。</w:t>
      </w:r>
    </w:p>
    <w:p w14:paraId="4D2B58BC"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（四）</w:t>
      </w:r>
      <w:r>
        <w:rPr>
          <w:rFonts w:ascii="微软雅黑" w:eastAsia="微软雅黑" w:hAnsi="微软雅黑"/>
          <w:sz w:val="21"/>
          <w:szCs w:val="21"/>
        </w:rPr>
        <w:t>将实际与标准对照</w:t>
      </w:r>
    </w:p>
    <w:p w14:paraId="12F8129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把</w:t>
      </w:r>
      <w:r>
        <w:rPr>
          <w:rFonts w:ascii="微软雅黑" w:eastAsia="微软雅黑" w:hAnsi="微软雅黑" w:hint="eastAsia"/>
          <w:sz w:val="21"/>
          <w:szCs w:val="21"/>
        </w:rPr>
        <w:t>应用</w:t>
      </w:r>
      <w:r>
        <w:rPr>
          <w:rFonts w:ascii="微软雅黑" w:eastAsia="微软雅黑" w:hAnsi="微软雅黑"/>
          <w:sz w:val="21"/>
          <w:szCs w:val="21"/>
        </w:rPr>
        <w:t>实施过程中的实际表现与</w:t>
      </w:r>
      <w:r>
        <w:rPr>
          <w:rFonts w:ascii="微软雅黑" w:eastAsia="微软雅黑" w:hAnsi="微软雅黑" w:hint="eastAsia"/>
          <w:sz w:val="21"/>
          <w:szCs w:val="21"/>
        </w:rPr>
        <w:t>应用</w:t>
      </w:r>
      <w:r>
        <w:rPr>
          <w:rFonts w:ascii="微软雅黑" w:eastAsia="微软雅黑" w:hAnsi="微软雅黑"/>
          <w:sz w:val="21"/>
          <w:szCs w:val="21"/>
        </w:rPr>
        <w:t>质量衡量标准进行比较，分析出差异。通过对</w:t>
      </w:r>
      <w:r>
        <w:rPr>
          <w:rFonts w:ascii="微软雅黑" w:eastAsia="微软雅黑" w:hAnsi="微软雅黑" w:hint="eastAsia"/>
          <w:sz w:val="21"/>
          <w:szCs w:val="21"/>
        </w:rPr>
        <w:t>应用</w:t>
      </w:r>
      <w:r>
        <w:rPr>
          <w:rFonts w:ascii="微软雅黑" w:eastAsia="微软雅黑" w:hAnsi="微软雅黑"/>
          <w:sz w:val="21"/>
          <w:szCs w:val="21"/>
        </w:rPr>
        <w:t>实施相关衡量指标的综合分析，为客观评价</w:t>
      </w:r>
      <w:r>
        <w:rPr>
          <w:rFonts w:ascii="微软雅黑" w:eastAsia="微软雅黑" w:hAnsi="微软雅黑" w:hint="eastAsia"/>
          <w:sz w:val="21"/>
          <w:szCs w:val="21"/>
        </w:rPr>
        <w:t>应用</w:t>
      </w:r>
      <w:r>
        <w:rPr>
          <w:rFonts w:ascii="微软雅黑" w:eastAsia="微软雅黑" w:hAnsi="微软雅黑"/>
          <w:sz w:val="21"/>
          <w:szCs w:val="21"/>
        </w:rPr>
        <w:t>质量状况提供依据，帮助</w:t>
      </w:r>
      <w:r>
        <w:rPr>
          <w:rFonts w:ascii="微软雅黑" w:eastAsia="微软雅黑" w:hAnsi="微软雅黑" w:hint="eastAsia"/>
          <w:sz w:val="21"/>
          <w:szCs w:val="21"/>
        </w:rPr>
        <w:t>应用</w:t>
      </w:r>
      <w:r>
        <w:rPr>
          <w:rFonts w:ascii="微软雅黑" w:eastAsia="微软雅黑" w:hAnsi="微软雅黑"/>
          <w:sz w:val="21"/>
          <w:szCs w:val="21"/>
        </w:rPr>
        <w:t>决策人员迅速、有效地对</w:t>
      </w:r>
      <w:r>
        <w:rPr>
          <w:rFonts w:ascii="微软雅黑" w:eastAsia="微软雅黑" w:hAnsi="微软雅黑" w:hint="eastAsia"/>
          <w:sz w:val="21"/>
          <w:szCs w:val="21"/>
        </w:rPr>
        <w:t>应用</w:t>
      </w:r>
      <w:r>
        <w:rPr>
          <w:rFonts w:ascii="微软雅黑" w:eastAsia="微软雅黑" w:hAnsi="微软雅黑"/>
          <w:sz w:val="21"/>
          <w:szCs w:val="21"/>
        </w:rPr>
        <w:t>的实际进展情况进行监控与管理，从而可以根据需要采取有效措施来保证</w:t>
      </w:r>
      <w:r>
        <w:rPr>
          <w:rFonts w:ascii="微软雅黑" w:eastAsia="微软雅黑" w:hAnsi="微软雅黑" w:hint="eastAsia"/>
          <w:sz w:val="21"/>
          <w:szCs w:val="21"/>
        </w:rPr>
        <w:t>应用</w:t>
      </w:r>
      <w:r>
        <w:rPr>
          <w:rFonts w:ascii="微软雅黑" w:eastAsia="微软雅黑" w:hAnsi="微软雅黑"/>
          <w:sz w:val="21"/>
          <w:szCs w:val="21"/>
        </w:rPr>
        <w:t>实施接着既定的轨道运行。</w:t>
      </w:r>
    </w:p>
    <w:p w14:paraId="51EE1314"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（五）</w:t>
      </w:r>
      <w:r>
        <w:rPr>
          <w:rFonts w:ascii="微软雅黑" w:eastAsia="微软雅黑" w:hAnsi="微软雅黑"/>
          <w:sz w:val="21"/>
          <w:szCs w:val="21"/>
        </w:rPr>
        <w:t>纠偏纠错</w:t>
      </w:r>
    </w:p>
    <w:p w14:paraId="355ED982"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根据具体情况采取合理的纠正措施。经过比较与分析，如果发现偏差，就要采取适当的措施进行纠正，让</w:t>
      </w:r>
      <w:r>
        <w:rPr>
          <w:rFonts w:ascii="微软雅黑" w:eastAsia="微软雅黑" w:hAnsi="微软雅黑" w:hint="eastAsia"/>
          <w:sz w:val="21"/>
          <w:szCs w:val="21"/>
        </w:rPr>
        <w:t>应用</w:t>
      </w:r>
      <w:r>
        <w:rPr>
          <w:rFonts w:ascii="微软雅黑" w:eastAsia="微软雅黑" w:hAnsi="微软雅黑"/>
          <w:sz w:val="21"/>
          <w:szCs w:val="21"/>
        </w:rPr>
        <w:t>实施回到正轨。可供选用的纠正措施包括：重新制定</w:t>
      </w:r>
      <w:r>
        <w:rPr>
          <w:rFonts w:ascii="微软雅黑" w:eastAsia="微软雅黑" w:hAnsi="微软雅黑" w:hint="eastAsia"/>
          <w:sz w:val="21"/>
          <w:szCs w:val="21"/>
        </w:rPr>
        <w:t>应用</w:t>
      </w:r>
      <w:r>
        <w:rPr>
          <w:rFonts w:ascii="微软雅黑" w:eastAsia="微软雅黑" w:hAnsi="微软雅黑"/>
          <w:sz w:val="21"/>
          <w:szCs w:val="21"/>
        </w:rPr>
        <w:t>计划、重新安排</w:t>
      </w:r>
      <w:r>
        <w:rPr>
          <w:rFonts w:ascii="微软雅黑" w:eastAsia="微软雅黑" w:hAnsi="微软雅黑" w:hint="eastAsia"/>
          <w:sz w:val="21"/>
          <w:szCs w:val="21"/>
        </w:rPr>
        <w:t>应用</w:t>
      </w:r>
      <w:r>
        <w:rPr>
          <w:rFonts w:ascii="微软雅黑" w:eastAsia="微软雅黑" w:hAnsi="微软雅黑"/>
          <w:sz w:val="21"/>
          <w:szCs w:val="21"/>
        </w:rPr>
        <w:t>步骤、重新分配</w:t>
      </w:r>
      <w:r>
        <w:rPr>
          <w:rFonts w:ascii="微软雅黑" w:eastAsia="微软雅黑" w:hAnsi="微软雅黑" w:hint="eastAsia"/>
          <w:sz w:val="21"/>
          <w:szCs w:val="21"/>
        </w:rPr>
        <w:t>应用</w:t>
      </w:r>
      <w:r>
        <w:rPr>
          <w:rFonts w:ascii="微软雅黑" w:eastAsia="微软雅黑" w:hAnsi="微软雅黑"/>
          <w:sz w:val="21"/>
          <w:szCs w:val="21"/>
        </w:rPr>
        <w:t>资源、调整</w:t>
      </w:r>
      <w:r>
        <w:rPr>
          <w:rFonts w:ascii="微软雅黑" w:eastAsia="微软雅黑" w:hAnsi="微软雅黑" w:hint="eastAsia"/>
          <w:sz w:val="21"/>
          <w:szCs w:val="21"/>
        </w:rPr>
        <w:t>应用</w:t>
      </w:r>
      <w:r>
        <w:rPr>
          <w:rFonts w:ascii="微软雅黑" w:eastAsia="微软雅黑" w:hAnsi="微软雅黑"/>
          <w:sz w:val="21"/>
          <w:szCs w:val="21"/>
        </w:rPr>
        <w:t>组织形式、调整</w:t>
      </w:r>
      <w:r>
        <w:rPr>
          <w:rFonts w:ascii="微软雅黑" w:eastAsia="微软雅黑" w:hAnsi="微软雅黑" w:hint="eastAsia"/>
          <w:sz w:val="21"/>
          <w:szCs w:val="21"/>
        </w:rPr>
        <w:t>应用</w:t>
      </w:r>
      <w:r>
        <w:rPr>
          <w:rFonts w:ascii="微软雅黑" w:eastAsia="微软雅黑" w:hAnsi="微软雅黑"/>
          <w:sz w:val="21"/>
          <w:szCs w:val="21"/>
        </w:rPr>
        <w:t>管理方式等。</w:t>
      </w:r>
    </w:p>
    <w:p w14:paraId="12CB11A4"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（六）</w:t>
      </w:r>
      <w:r>
        <w:rPr>
          <w:rFonts w:ascii="微软雅黑" w:eastAsia="微软雅黑" w:hAnsi="微软雅黑"/>
          <w:sz w:val="21"/>
          <w:szCs w:val="21"/>
        </w:rPr>
        <w:t>质量保证活动</w:t>
      </w:r>
    </w:p>
    <w:p w14:paraId="13708A0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质量保证</w:t>
      </w:r>
      <w:r>
        <w:rPr>
          <w:rFonts w:ascii="微软雅黑" w:eastAsia="微软雅黑" w:hAnsi="微软雅黑" w:hint="eastAsia"/>
          <w:sz w:val="21"/>
          <w:szCs w:val="21"/>
        </w:rPr>
        <w:t>（控制）小组</w:t>
      </w:r>
      <w:r>
        <w:rPr>
          <w:rFonts w:ascii="微软雅黑" w:eastAsia="微软雅黑" w:hAnsi="微软雅黑"/>
          <w:sz w:val="21"/>
          <w:szCs w:val="21"/>
        </w:rPr>
        <w:t>通过以下活动来确保</w:t>
      </w:r>
      <w:r>
        <w:rPr>
          <w:rFonts w:ascii="微软雅黑" w:eastAsia="微软雅黑" w:hAnsi="微软雅黑" w:hint="eastAsia"/>
          <w:sz w:val="21"/>
          <w:szCs w:val="21"/>
        </w:rPr>
        <w:t>本应用</w:t>
      </w:r>
      <w:r>
        <w:rPr>
          <w:rFonts w:ascii="微软雅黑" w:eastAsia="微软雅黑" w:hAnsi="微软雅黑"/>
          <w:sz w:val="21"/>
          <w:szCs w:val="21"/>
        </w:rPr>
        <w:t>质量：制定软件</w:t>
      </w:r>
      <w:r>
        <w:rPr>
          <w:rFonts w:ascii="微软雅黑" w:eastAsia="微软雅黑" w:hAnsi="微软雅黑" w:hint="eastAsia"/>
          <w:sz w:val="21"/>
          <w:szCs w:val="21"/>
        </w:rPr>
        <w:t>应用</w:t>
      </w:r>
      <w:r>
        <w:rPr>
          <w:rFonts w:ascii="微软雅黑" w:eastAsia="微软雅黑" w:hAnsi="微软雅黑"/>
          <w:sz w:val="21"/>
          <w:szCs w:val="21"/>
        </w:rPr>
        <w:t>质量保障计划、检查设计文档、监控代码开发、代码走查、监控软件测试、进行质量检验等</w:t>
      </w:r>
      <w:r>
        <w:rPr>
          <w:rFonts w:ascii="微软雅黑" w:eastAsia="微软雅黑" w:hAnsi="微软雅黑"/>
          <w:sz w:val="21"/>
          <w:szCs w:val="21"/>
          <w:lang w:bidi="ar"/>
        </w:rPr>
        <w:t>。</w:t>
      </w:r>
    </w:p>
    <w:p w14:paraId="5F6B48DD" w14:textId="77777777" w:rsidR="0022665C" w:rsidRDefault="00000000">
      <w:pPr>
        <w:numPr>
          <w:ilvl w:val="255"/>
          <w:numId w:val="0"/>
        </w:numPr>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（七）质量保证期</w:t>
      </w:r>
    </w:p>
    <w:p w14:paraId="31D733D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自项目竣工验收合格之日起，</w:t>
      </w:r>
      <w:r>
        <w:rPr>
          <w:rFonts w:ascii="微软雅黑" w:eastAsia="微软雅黑" w:hAnsi="微软雅黑" w:hint="eastAsia"/>
          <w:sz w:val="21"/>
          <w:szCs w:val="21"/>
        </w:rPr>
        <w:t>为本项目成品软件和定制开发系统</w:t>
      </w:r>
      <w:r>
        <w:rPr>
          <w:rFonts w:ascii="微软雅黑" w:eastAsia="微软雅黑" w:hAnsi="微软雅黑"/>
          <w:sz w:val="21"/>
          <w:szCs w:val="21"/>
        </w:rPr>
        <w:t>提供</w:t>
      </w:r>
      <w:r>
        <w:rPr>
          <w:rFonts w:ascii="微软雅黑" w:eastAsia="微软雅黑" w:hAnsi="微软雅黑"/>
          <w:b/>
          <w:bCs/>
          <w:sz w:val="21"/>
          <w:szCs w:val="21"/>
          <w:u w:val="single"/>
        </w:rPr>
        <w:t xml:space="preserve"> </w:t>
      </w:r>
      <w:r>
        <w:rPr>
          <w:rFonts w:ascii="微软雅黑" w:eastAsia="微软雅黑" w:hAnsi="微软雅黑" w:hint="eastAsia"/>
          <w:b/>
          <w:bCs/>
          <w:sz w:val="21"/>
          <w:szCs w:val="21"/>
          <w:u w:val="single"/>
        </w:rPr>
        <w:t>壹</w:t>
      </w:r>
      <w:r>
        <w:rPr>
          <w:rFonts w:ascii="微软雅黑" w:eastAsia="微软雅黑" w:hAnsi="微软雅黑"/>
          <w:b/>
          <w:bCs/>
          <w:sz w:val="21"/>
          <w:szCs w:val="21"/>
          <w:u w:val="single"/>
        </w:rPr>
        <w:t xml:space="preserve"> </w:t>
      </w:r>
      <w:r>
        <w:rPr>
          <w:rFonts w:ascii="微软雅黑" w:eastAsia="微软雅黑" w:hAnsi="微软雅黑"/>
          <w:sz w:val="21"/>
          <w:szCs w:val="21"/>
        </w:rPr>
        <w:t>年</w:t>
      </w:r>
      <w:r>
        <w:rPr>
          <w:rFonts w:ascii="微软雅黑" w:eastAsia="微软雅黑" w:hAnsi="微软雅黑" w:hint="eastAsia"/>
          <w:sz w:val="21"/>
          <w:szCs w:val="21"/>
        </w:rPr>
        <w:t>免费运维服务，硬件产品（若有）属于国家“三包”范围的，其产品质量保证不得低于“三包”规定。</w:t>
      </w:r>
    </w:p>
    <w:p w14:paraId="27EC3B49"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第六条售后服务</w:t>
      </w:r>
    </w:p>
    <w:p w14:paraId="2CAB2F3F"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（一）</w:t>
      </w:r>
      <w:r>
        <w:rPr>
          <w:rFonts w:ascii="微软雅黑" w:eastAsia="微软雅黑" w:hAnsi="微软雅黑"/>
          <w:sz w:val="21"/>
          <w:szCs w:val="21"/>
        </w:rPr>
        <w:t>服务响应</w:t>
      </w:r>
    </w:p>
    <w:p w14:paraId="3E40418E"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乙方</w:t>
      </w:r>
      <w:r>
        <w:rPr>
          <w:rFonts w:ascii="微软雅黑" w:eastAsia="微软雅黑" w:hAnsi="微软雅黑" w:hint="eastAsia"/>
          <w:sz w:val="21"/>
          <w:szCs w:val="21"/>
        </w:rPr>
        <w:t>在质量保证期内</w:t>
      </w:r>
      <w:r>
        <w:rPr>
          <w:rFonts w:ascii="微软雅黑" w:eastAsia="微软雅黑" w:hAnsi="微软雅黑"/>
          <w:sz w:val="21"/>
          <w:szCs w:val="21"/>
        </w:rPr>
        <w:t>提供7×24小时电话值守，紧急情况应立即做出响应；一般问题应在</w:t>
      </w:r>
      <w:r>
        <w:rPr>
          <w:rFonts w:ascii="微软雅黑" w:eastAsia="微软雅黑" w:hAnsi="微软雅黑" w:hint="eastAsia"/>
          <w:sz w:val="21"/>
          <w:szCs w:val="21"/>
        </w:rPr>
        <w:t>30分钟</w:t>
      </w:r>
      <w:r>
        <w:rPr>
          <w:rFonts w:ascii="微软雅黑" w:eastAsia="微软雅黑" w:hAnsi="微软雅黑"/>
          <w:sz w:val="21"/>
          <w:szCs w:val="21"/>
        </w:rPr>
        <w:t>内做出明确响应和安排，</w:t>
      </w:r>
      <w:r>
        <w:rPr>
          <w:rFonts w:ascii="微软雅黑" w:eastAsia="微软雅黑" w:hAnsi="微软雅黑" w:hint="eastAsia"/>
          <w:sz w:val="21"/>
          <w:szCs w:val="21"/>
        </w:rPr>
        <w:t>2</w:t>
      </w:r>
      <w:r>
        <w:rPr>
          <w:rFonts w:ascii="微软雅黑" w:eastAsia="微软雅黑" w:hAnsi="微软雅黑"/>
          <w:sz w:val="21"/>
          <w:szCs w:val="21"/>
        </w:rPr>
        <w:t>小时内做出故障诊断报告，如需更高能力工程师支持，具有解决故障能力的工程师应在接到服务请求后</w:t>
      </w:r>
      <w:r>
        <w:rPr>
          <w:rFonts w:ascii="微软雅黑" w:eastAsia="微软雅黑" w:hAnsi="微软雅黑" w:hint="eastAsia"/>
          <w:sz w:val="21"/>
          <w:szCs w:val="21"/>
        </w:rPr>
        <w:t>3</w:t>
      </w:r>
      <w:r>
        <w:rPr>
          <w:rFonts w:ascii="微软雅黑" w:eastAsia="微软雅黑" w:hAnsi="微软雅黑"/>
          <w:sz w:val="21"/>
          <w:szCs w:val="21"/>
        </w:rPr>
        <w:t>小时内到达用户现场提供现场技术服务，并在8小时内完成处理；较为复杂问题处理时限应不超过</w:t>
      </w:r>
      <w:r>
        <w:rPr>
          <w:rFonts w:ascii="微软雅黑" w:eastAsia="微软雅黑" w:hAnsi="微软雅黑" w:hint="eastAsia"/>
          <w:sz w:val="21"/>
          <w:szCs w:val="21"/>
        </w:rPr>
        <w:t>2</w:t>
      </w:r>
      <w:r>
        <w:rPr>
          <w:rFonts w:ascii="微软雅黑" w:eastAsia="微软雅黑" w:hAnsi="微软雅黑"/>
          <w:sz w:val="21"/>
          <w:szCs w:val="21"/>
        </w:rPr>
        <w:t>天；特殊或系统性问题应在用户规定时限内完成，且处理时限最多不超过</w:t>
      </w:r>
      <w:r>
        <w:rPr>
          <w:rFonts w:ascii="微软雅黑" w:eastAsia="微软雅黑" w:hAnsi="微软雅黑" w:hint="eastAsia"/>
          <w:sz w:val="21"/>
          <w:szCs w:val="21"/>
        </w:rPr>
        <w:t>10</w:t>
      </w:r>
      <w:r>
        <w:rPr>
          <w:rFonts w:ascii="微软雅黑" w:eastAsia="微软雅黑" w:hAnsi="微软雅黑"/>
          <w:sz w:val="21"/>
          <w:szCs w:val="21"/>
        </w:rPr>
        <w:t xml:space="preserve">日。无法在1天内完成处理的故障问题，乙方应提供临时保障方案，确保基本业务工作正常进行。 </w:t>
      </w:r>
    </w:p>
    <w:p w14:paraId="421FAADE"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（二）</w:t>
      </w:r>
      <w:r>
        <w:rPr>
          <w:rFonts w:ascii="微软雅黑" w:eastAsia="微软雅黑" w:hAnsi="微软雅黑"/>
          <w:sz w:val="21"/>
          <w:szCs w:val="21"/>
        </w:rPr>
        <w:t>系统故障处理及加固</w:t>
      </w:r>
    </w:p>
    <w:p w14:paraId="53EAEF06"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如果系统发生故障，乙方要调查故障原因并修复直至满足竣工验收指标和性能的要求，或者更换整个或部分有缺陷的模块，所有涉及的费用均包含在本次投标人的报价中。在使用中发现软件系统存在缺陷的，甲方有权要求乙方进行整改升级处理。所有升级完成后，如出现相关系统或服务运行异常等不良影响的，乙方须负责为甲方恢复受影响系统或服务至正常运行。此外，如乙方推出技术升级程序或系统补丁程序，乙方应在升级程序推出后15日内到现场为甲方提供升级服务，不得另行收取费用。</w:t>
      </w:r>
    </w:p>
    <w:p w14:paraId="76E093FD"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（三）</w:t>
      </w:r>
      <w:r>
        <w:rPr>
          <w:rFonts w:ascii="微软雅黑" w:eastAsia="微软雅黑" w:hAnsi="微软雅黑"/>
          <w:sz w:val="21"/>
          <w:szCs w:val="21"/>
        </w:rPr>
        <w:t>系统功能扩展升级</w:t>
      </w:r>
    </w:p>
    <w:p w14:paraId="209A56CF"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当甲方主动提出系统功能扩展或优化完善时，乙方应组织相关技术人员形成开发小组，在约定时限内完成相关功能设计和开发任务。对于甲方主动要求的升级开发工作，由乙方提供的代码开发工作量</w:t>
      </w:r>
      <w:r>
        <w:rPr>
          <w:rFonts w:ascii="微软雅黑" w:eastAsia="微软雅黑" w:hAnsi="微软雅黑" w:hint="eastAsia"/>
          <w:sz w:val="21"/>
          <w:szCs w:val="21"/>
        </w:rPr>
        <w:t>，经双方确认后可纳入新增需求清单</w:t>
      </w:r>
      <w:r>
        <w:rPr>
          <w:rFonts w:ascii="微软雅黑" w:eastAsia="微软雅黑" w:hAnsi="微软雅黑"/>
          <w:sz w:val="21"/>
          <w:szCs w:val="21"/>
        </w:rPr>
        <w:t>。其中，乙方为处理本条上述第</w:t>
      </w:r>
      <w:r>
        <w:rPr>
          <w:rFonts w:ascii="微软雅黑" w:eastAsia="微软雅黑" w:hAnsi="微软雅黑" w:hint="eastAsia"/>
          <w:sz w:val="21"/>
          <w:szCs w:val="21"/>
        </w:rPr>
        <w:t>（二）</w:t>
      </w:r>
      <w:r>
        <w:rPr>
          <w:rFonts w:ascii="微软雅黑" w:eastAsia="微软雅黑" w:hAnsi="微软雅黑"/>
          <w:sz w:val="21"/>
          <w:szCs w:val="21"/>
        </w:rPr>
        <w:t xml:space="preserve">款所述的“系统故障处理及加固”问题，所开展的系统升级或加固设计开发工作，是乙方必须承担的售后服务义务，故不得作为甲方主动要求的系统功能扩展升级开发工作量进行计算。 </w:t>
      </w:r>
    </w:p>
    <w:p w14:paraId="5C010D74"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（四）</w:t>
      </w:r>
      <w:r>
        <w:rPr>
          <w:rFonts w:ascii="微软雅黑" w:eastAsia="微软雅黑" w:hAnsi="微软雅黑"/>
          <w:sz w:val="21"/>
          <w:szCs w:val="21"/>
        </w:rPr>
        <w:t>应用保障服务</w:t>
      </w:r>
    </w:p>
    <w:p w14:paraId="2F6DF535"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甲方开展日常系统应急处置及演练、关联系统建设、系统功能测试/检测、重大工作应用保障等活动时，乙方须根据甲方或用户约定时间及保障服务等要求，派出相关专业技术人员及项目建设人员予以配合。提供事前筹备、事中保障、事后跟踪等服务。</w:t>
      </w:r>
    </w:p>
    <w:p w14:paraId="2864B278"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（五）</w:t>
      </w:r>
      <w:r>
        <w:rPr>
          <w:rFonts w:ascii="微软雅黑" w:eastAsia="微软雅黑" w:hAnsi="微软雅黑"/>
          <w:sz w:val="21"/>
          <w:szCs w:val="21"/>
        </w:rPr>
        <w:t xml:space="preserve">技术支援服务 </w:t>
      </w:r>
    </w:p>
    <w:p w14:paraId="3A1F729F"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当甲方计划开展与本项目相关的后续系统升级、改造、扩建等系统建设工作时，如甲方向乙方提出相应请求，乙方应在要求的时限内组织技术专家团队为甲方提供相关系统建设工作所需的设计、咨询、技术审查、本项目相关开发培训及本项目建成系统联调等技术服务工作。</w:t>
      </w:r>
    </w:p>
    <w:p w14:paraId="637D0D1C" w14:textId="77777777" w:rsidR="0022665C" w:rsidRDefault="00000000">
      <w:pPr>
        <w:numPr>
          <w:ilvl w:val="255"/>
          <w:numId w:val="0"/>
        </w:numPr>
        <w:tabs>
          <w:tab w:val="left" w:pos="6480"/>
        </w:tabs>
        <w:spacing w:line="440" w:lineRule="atLeast"/>
        <w:ind w:firstLineChars="200" w:firstLine="420"/>
        <w:outlineLvl w:val="2"/>
        <w:rPr>
          <w:rFonts w:ascii="微软雅黑" w:eastAsia="微软雅黑" w:hAnsi="微软雅黑" w:hint="eastAsia"/>
          <w:sz w:val="21"/>
          <w:szCs w:val="21"/>
        </w:rPr>
      </w:pPr>
      <w:r>
        <w:rPr>
          <w:rFonts w:ascii="微软雅黑" w:eastAsia="微软雅黑" w:hAnsi="微软雅黑" w:hint="eastAsia"/>
          <w:sz w:val="21"/>
          <w:szCs w:val="21"/>
        </w:rPr>
        <w:t>（六）</w:t>
      </w:r>
      <w:r>
        <w:rPr>
          <w:rFonts w:ascii="微软雅黑" w:eastAsia="微软雅黑" w:hAnsi="微软雅黑"/>
          <w:sz w:val="21"/>
          <w:szCs w:val="21"/>
        </w:rPr>
        <w:t xml:space="preserve">安全技术保障服务 </w:t>
      </w:r>
    </w:p>
    <w:p w14:paraId="4F6CD2B9"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 xml:space="preserve">当系统出现网络安全、数据信息保密安全威胁等事件时，以及特殊时期，乙方在接到甲方请求后，应立即组成专家技术服务小组达到甲方现场，为甲方提供应急处置和技术支援服务。 </w:t>
      </w:r>
    </w:p>
    <w:p w14:paraId="1CDCDE19"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（七）</w:t>
      </w:r>
      <w:r>
        <w:rPr>
          <w:rFonts w:ascii="微软雅黑" w:eastAsia="微软雅黑" w:hAnsi="微软雅黑"/>
          <w:sz w:val="21"/>
          <w:szCs w:val="21"/>
          <w:lang w:bidi="ar"/>
        </w:rPr>
        <w:t>技术资料服务</w:t>
      </w:r>
    </w:p>
    <w:p w14:paraId="60412538"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sz w:val="21"/>
          <w:szCs w:val="21"/>
          <w:lang w:bidi="ar"/>
        </w:rPr>
        <w:t>乙方为甲方提供保证软件正常运行的必要技术资料</w:t>
      </w:r>
      <w:r>
        <w:rPr>
          <w:rFonts w:ascii="微软雅黑" w:eastAsia="微软雅黑" w:hAnsi="微软雅黑" w:hint="eastAsia"/>
          <w:sz w:val="21"/>
          <w:szCs w:val="21"/>
          <w:lang w:bidi="ar"/>
        </w:rPr>
        <w:t>（</w:t>
      </w:r>
      <w:r>
        <w:rPr>
          <w:rFonts w:ascii="微软雅黑" w:eastAsia="微软雅黑" w:hAnsi="微软雅黑"/>
          <w:sz w:val="21"/>
          <w:szCs w:val="21"/>
          <w:lang w:bidi="ar"/>
        </w:rPr>
        <w:t>含技术和商业机密的除外</w:t>
      </w:r>
      <w:r>
        <w:rPr>
          <w:rFonts w:ascii="微软雅黑" w:eastAsia="微软雅黑" w:hAnsi="微软雅黑" w:hint="eastAsia"/>
          <w:sz w:val="21"/>
          <w:szCs w:val="21"/>
          <w:lang w:bidi="ar"/>
        </w:rPr>
        <w:t>）</w:t>
      </w:r>
      <w:r>
        <w:rPr>
          <w:rFonts w:ascii="微软雅黑" w:eastAsia="微软雅黑" w:hAnsi="微软雅黑"/>
          <w:sz w:val="21"/>
          <w:szCs w:val="21"/>
          <w:lang w:bidi="ar"/>
        </w:rPr>
        <w:t>。为甲方提供有关产品知识、操作手册、技术文档等资料。常用资料应提供纸质文档</w:t>
      </w:r>
      <w:r>
        <w:rPr>
          <w:rFonts w:ascii="微软雅黑" w:eastAsia="微软雅黑" w:hAnsi="微软雅黑" w:hint="eastAsia"/>
          <w:sz w:val="21"/>
          <w:szCs w:val="21"/>
          <w:lang w:bidi="ar"/>
        </w:rPr>
        <w:t>和电子文档</w:t>
      </w:r>
      <w:r>
        <w:rPr>
          <w:rFonts w:ascii="微软雅黑" w:eastAsia="微软雅黑" w:hAnsi="微软雅黑"/>
          <w:sz w:val="21"/>
          <w:szCs w:val="21"/>
          <w:lang w:bidi="ar"/>
        </w:rPr>
        <w:t>，保证资料方便共享，并对甲方如何访问该电子资源进行必要的培训。</w:t>
      </w:r>
    </w:p>
    <w:p w14:paraId="3E3DC1C4"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第七条知识产权</w:t>
      </w:r>
    </w:p>
    <w:p w14:paraId="623F4FAC"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（一）本招标项目所涉及的</w:t>
      </w:r>
      <w:r>
        <w:rPr>
          <w:rFonts w:ascii="微软雅黑" w:eastAsia="微软雅黑" w:hAnsi="微软雅黑"/>
          <w:sz w:val="21"/>
          <w:szCs w:val="21"/>
          <w:lang w:bidi="ar"/>
        </w:rPr>
        <w:t>定制</w:t>
      </w:r>
      <w:r>
        <w:rPr>
          <w:rFonts w:ascii="微软雅黑" w:eastAsia="微软雅黑" w:hAnsi="微软雅黑" w:hint="eastAsia"/>
          <w:sz w:val="21"/>
          <w:szCs w:val="21"/>
          <w:lang w:bidi="ar"/>
        </w:rPr>
        <w:t>开发软件（包括但不限于所有权和专利申请权）</w:t>
      </w:r>
      <w:r>
        <w:rPr>
          <w:rFonts w:ascii="微软雅黑" w:eastAsia="微软雅黑" w:hAnsi="微软雅黑"/>
          <w:sz w:val="21"/>
          <w:szCs w:val="21"/>
          <w:lang w:bidi="ar"/>
        </w:rPr>
        <w:t>和实施路径、建设方式、工作模式等知识产权归采购人所有</w:t>
      </w:r>
      <w:r>
        <w:rPr>
          <w:rFonts w:ascii="微软雅黑" w:eastAsia="微软雅黑" w:hAnsi="微软雅黑" w:hint="eastAsia"/>
          <w:sz w:val="21"/>
          <w:szCs w:val="21"/>
          <w:lang w:bidi="ar"/>
        </w:rPr>
        <w:t>，未经采购人</w:t>
      </w:r>
      <w:r>
        <w:rPr>
          <w:rFonts w:ascii="微软雅黑" w:eastAsia="微软雅黑" w:hAnsi="微软雅黑"/>
          <w:sz w:val="21"/>
          <w:szCs w:val="21"/>
          <w:lang w:bidi="ar"/>
        </w:rPr>
        <w:t>书面</w:t>
      </w:r>
      <w:r>
        <w:rPr>
          <w:rFonts w:ascii="微软雅黑" w:eastAsia="微软雅黑" w:hAnsi="微软雅黑" w:hint="eastAsia"/>
          <w:sz w:val="21"/>
          <w:szCs w:val="21"/>
          <w:lang w:bidi="ar"/>
        </w:rPr>
        <w:t>许可，中标人不得擅自使用</w:t>
      </w:r>
      <w:r>
        <w:rPr>
          <w:rFonts w:ascii="微软雅黑" w:eastAsia="微软雅黑" w:hAnsi="微软雅黑"/>
          <w:sz w:val="21"/>
          <w:szCs w:val="21"/>
          <w:lang w:bidi="ar"/>
        </w:rPr>
        <w:t>或以其他方式给任何第三方提供相关信息</w:t>
      </w:r>
      <w:r>
        <w:rPr>
          <w:rFonts w:ascii="微软雅黑" w:eastAsia="微软雅黑" w:hAnsi="微软雅黑" w:hint="eastAsia"/>
          <w:sz w:val="21"/>
          <w:szCs w:val="21"/>
          <w:lang w:bidi="ar"/>
        </w:rPr>
        <w:t>、销售该软件的全部或部分内容。中标人</w:t>
      </w:r>
      <w:r>
        <w:rPr>
          <w:rFonts w:ascii="微软雅黑" w:eastAsia="微软雅黑" w:hAnsi="微软雅黑"/>
          <w:sz w:val="21"/>
          <w:szCs w:val="21"/>
          <w:lang w:bidi="ar"/>
        </w:rPr>
        <w:t>须</w:t>
      </w:r>
      <w:r>
        <w:rPr>
          <w:rFonts w:ascii="微软雅黑" w:eastAsia="微软雅黑" w:hAnsi="微软雅黑" w:hint="eastAsia"/>
          <w:sz w:val="21"/>
          <w:szCs w:val="21"/>
          <w:lang w:bidi="ar"/>
        </w:rPr>
        <w:t>向采购人</w:t>
      </w:r>
      <w:r>
        <w:rPr>
          <w:rFonts w:ascii="微软雅黑" w:eastAsia="微软雅黑" w:hAnsi="微软雅黑"/>
          <w:sz w:val="21"/>
          <w:szCs w:val="21"/>
          <w:lang w:bidi="ar"/>
        </w:rPr>
        <w:t>提供</w:t>
      </w:r>
      <w:r>
        <w:rPr>
          <w:rFonts w:ascii="微软雅黑" w:eastAsia="微软雅黑" w:hAnsi="微软雅黑" w:hint="eastAsia"/>
          <w:sz w:val="21"/>
          <w:szCs w:val="21"/>
          <w:lang w:bidi="ar"/>
        </w:rPr>
        <w:t>系统的</w:t>
      </w:r>
      <w:r>
        <w:rPr>
          <w:rFonts w:ascii="微软雅黑" w:eastAsia="微软雅黑" w:hAnsi="微软雅黑"/>
          <w:sz w:val="21"/>
          <w:szCs w:val="21"/>
          <w:lang w:bidi="ar"/>
        </w:rPr>
        <w:t>定制开发软件（包括但不限于所有权和专利申请权）和实施路径、建设方式、工作模式等</w:t>
      </w:r>
      <w:r>
        <w:rPr>
          <w:rFonts w:ascii="微软雅黑" w:eastAsia="微软雅黑" w:hAnsi="微软雅黑" w:hint="eastAsia"/>
          <w:sz w:val="21"/>
          <w:szCs w:val="21"/>
          <w:lang w:bidi="ar"/>
        </w:rPr>
        <w:t>全部项目资料、数据、源代码（含详细注释且可编译运行）。</w:t>
      </w:r>
    </w:p>
    <w:p w14:paraId="31E060A9" w14:textId="77777777" w:rsidR="0022665C" w:rsidRDefault="00000000">
      <w:pPr>
        <w:spacing w:line="440" w:lineRule="atLeast"/>
        <w:ind w:firstLineChars="200" w:firstLine="420"/>
        <w:rPr>
          <w:rFonts w:ascii="微软雅黑" w:eastAsia="微软雅黑" w:hAnsi="微软雅黑" w:hint="eastAsia"/>
          <w:b/>
          <w:sz w:val="21"/>
          <w:szCs w:val="21"/>
          <w:lang w:bidi="ar"/>
        </w:rPr>
      </w:pPr>
      <w:r>
        <w:rPr>
          <w:rFonts w:ascii="微软雅黑" w:eastAsia="微软雅黑" w:hAnsi="微软雅黑" w:hint="eastAsia"/>
          <w:b/>
          <w:sz w:val="21"/>
          <w:szCs w:val="21"/>
          <w:lang w:bidi="ar"/>
        </w:rPr>
        <w:t>（二）</w:t>
      </w:r>
      <w:r>
        <w:rPr>
          <w:rFonts w:ascii="微软雅黑" w:eastAsia="微软雅黑" w:hAnsi="微软雅黑" w:hint="eastAsia"/>
          <w:sz w:val="21"/>
          <w:szCs w:val="21"/>
        </w:rPr>
        <w:t>本招标项目所涉及商业现货类产品（成品软件），成品软件的源代码和知识产权按采购人的相关要求执行，采购人拥有该类产品及其迭代升级产品的永久使用权，中标人不得再就此内容向采购人收取任何费用。</w:t>
      </w:r>
    </w:p>
    <w:p w14:paraId="07E911CF"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（三）</w:t>
      </w:r>
      <w:r>
        <w:rPr>
          <w:rFonts w:ascii="微软雅黑" w:eastAsia="微软雅黑" w:hAnsi="微软雅黑"/>
          <w:sz w:val="21"/>
          <w:szCs w:val="21"/>
          <w:lang w:bidi="ar"/>
        </w:rPr>
        <w:t>本招标项目所涉及商业现货类产品</w:t>
      </w:r>
      <w:r>
        <w:rPr>
          <w:rFonts w:ascii="微软雅黑" w:eastAsia="微软雅黑" w:hAnsi="微软雅黑" w:hint="eastAsia"/>
          <w:sz w:val="21"/>
          <w:szCs w:val="21"/>
          <w:lang w:bidi="ar"/>
        </w:rPr>
        <w:t>（成品软件）须支持横向节点扩展及与第三方应用系统标准化对接。</w:t>
      </w:r>
    </w:p>
    <w:p w14:paraId="135CE095"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（四）采购人在中华人民共和国境内使用中标人提供的货物及服务时免受第三方提出的侵犯其专利权或其他知识产权的起诉。如果第三方提出侵权指控，中标人应承担由此而引起的一切法律责任和费用。</w:t>
      </w:r>
    </w:p>
    <w:p w14:paraId="6D207850"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第八条 保密要求</w:t>
      </w:r>
    </w:p>
    <w:p w14:paraId="11B47A25" w14:textId="77777777" w:rsidR="0022665C" w:rsidRDefault="00000000">
      <w:pPr>
        <w:spacing w:line="440" w:lineRule="atLeast"/>
        <w:ind w:firstLineChars="200" w:firstLine="420"/>
        <w:rPr>
          <w:rFonts w:ascii="微软雅黑" w:eastAsia="微软雅黑" w:hAnsi="微软雅黑" w:hint="eastAsia"/>
          <w:sz w:val="21"/>
          <w:szCs w:val="21"/>
          <w:lang w:bidi="ar"/>
        </w:rPr>
      </w:pPr>
      <w:r>
        <w:rPr>
          <w:rFonts w:ascii="微软雅黑" w:eastAsia="微软雅黑" w:hAnsi="微软雅黑" w:hint="eastAsia"/>
          <w:sz w:val="21"/>
          <w:szCs w:val="21"/>
          <w:lang w:bidi="ar"/>
        </w:rPr>
        <w:t>（一）自合同签订之日起，乙方有责任对甲方提供的各种技术文件（软件、咨询报告、服务内容）与工作业务信息进行保密，未经甲方书面批准不得提供给第三方。如有违反，乙方应承担相应的法律责任。</w:t>
      </w:r>
    </w:p>
    <w:p w14:paraId="53BE9244"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二）签订本合同的同时，乙方必须与甲方签订《安全保密协议》见附件2，此保密协议所规定的保密义务不因本合同的终止而免除。乙方或其员工如违反《安全保密协议》，造成甲方信息泄露，乙方必须承担全部责任并赔偿甲方的一切损失，甲方有权追究乙方的法律责任并终止本合同。</w:t>
      </w:r>
    </w:p>
    <w:p w14:paraId="50FE16B7" w14:textId="77777777" w:rsidR="0022665C" w:rsidRDefault="00000000">
      <w:pPr>
        <w:spacing w:line="440" w:lineRule="atLeast"/>
        <w:ind w:firstLineChars="200" w:firstLine="420"/>
        <w:rPr>
          <w:rFonts w:ascii="微软雅黑" w:eastAsia="微软雅黑" w:hAnsi="微软雅黑" w:hint="eastAsia"/>
          <w:sz w:val="21"/>
          <w:szCs w:val="21"/>
          <w:lang w:val="zh-CN"/>
        </w:rPr>
      </w:pPr>
      <w:r>
        <w:rPr>
          <w:rFonts w:ascii="微软雅黑" w:eastAsia="微软雅黑" w:hAnsi="微软雅黑" w:hint="eastAsia"/>
          <w:sz w:val="21"/>
          <w:szCs w:val="21"/>
          <w:lang w:val="zh-CN" w:bidi="ar"/>
        </w:rPr>
        <w:t>（三）</w:t>
      </w:r>
      <w:r>
        <w:rPr>
          <w:rFonts w:ascii="微软雅黑" w:eastAsia="微软雅黑" w:hAnsi="微软雅黑"/>
          <w:sz w:val="21"/>
          <w:szCs w:val="21"/>
          <w:lang w:val="zh-CN" w:bidi="ar"/>
        </w:rPr>
        <w:t>在建设过程中，</w:t>
      </w:r>
      <w:r>
        <w:rPr>
          <w:rFonts w:ascii="微软雅黑" w:eastAsia="微软雅黑" w:hAnsi="微软雅黑" w:hint="eastAsia"/>
          <w:sz w:val="21"/>
          <w:szCs w:val="21"/>
          <w:lang w:val="zh-CN" w:bidi="ar"/>
        </w:rPr>
        <w:t>乙方应</w:t>
      </w:r>
      <w:r>
        <w:rPr>
          <w:rFonts w:ascii="微软雅黑" w:eastAsia="微软雅黑" w:hAnsi="微软雅黑"/>
          <w:sz w:val="21"/>
          <w:szCs w:val="21"/>
          <w:lang w:val="zh-CN" w:bidi="ar"/>
        </w:rPr>
        <w:t>组织所有</w:t>
      </w:r>
      <w:r>
        <w:rPr>
          <w:rFonts w:ascii="微软雅黑" w:eastAsia="微软雅黑" w:hAnsi="微软雅黑" w:hint="eastAsia"/>
          <w:sz w:val="21"/>
          <w:szCs w:val="21"/>
          <w:lang w:val="zh-CN" w:bidi="ar"/>
        </w:rPr>
        <w:t>项目</w:t>
      </w:r>
      <w:r>
        <w:rPr>
          <w:rFonts w:ascii="微软雅黑" w:eastAsia="微软雅黑" w:hAnsi="微软雅黑"/>
          <w:sz w:val="21"/>
          <w:szCs w:val="21"/>
          <w:lang w:val="zh-CN" w:bidi="ar"/>
        </w:rPr>
        <w:t>组成员进行安全和保密培训，增强所有参与</w:t>
      </w:r>
      <w:r>
        <w:rPr>
          <w:rFonts w:ascii="微软雅黑" w:eastAsia="微软雅黑" w:hAnsi="微软雅黑" w:hint="eastAsia"/>
          <w:sz w:val="21"/>
          <w:szCs w:val="21"/>
          <w:lang w:val="zh-CN" w:bidi="ar"/>
        </w:rPr>
        <w:t>项目</w:t>
      </w:r>
      <w:r>
        <w:rPr>
          <w:rFonts w:ascii="微软雅黑" w:eastAsia="微软雅黑" w:hAnsi="微软雅黑"/>
          <w:sz w:val="21"/>
          <w:szCs w:val="21"/>
          <w:lang w:val="zh-CN" w:bidi="ar"/>
        </w:rPr>
        <w:t>的人员安全和保密意识。将建立规章制度，并与所有参与者签订</w:t>
      </w:r>
      <w:r>
        <w:rPr>
          <w:rFonts w:ascii="微软雅黑" w:eastAsia="微软雅黑" w:hAnsi="微软雅黑" w:hint="eastAsia"/>
          <w:sz w:val="21"/>
          <w:szCs w:val="21"/>
          <w:lang w:val="zh-CN" w:bidi="ar"/>
        </w:rPr>
        <w:t>应用</w:t>
      </w:r>
      <w:r>
        <w:rPr>
          <w:rFonts w:ascii="微软雅黑" w:eastAsia="微软雅黑" w:hAnsi="微软雅黑"/>
          <w:sz w:val="21"/>
          <w:szCs w:val="21"/>
          <w:lang w:val="zh-CN" w:bidi="ar"/>
        </w:rPr>
        <w:t>开发保密协议。如有违反纪律泄密者将严惩，将解雇泄密者并要求其承担相应经济损失，严重违法者将扭送公安部门承担刑事责任。</w:t>
      </w:r>
    </w:p>
    <w:p w14:paraId="3EBA466B" w14:textId="77777777" w:rsidR="0022665C" w:rsidRDefault="00000000">
      <w:pPr>
        <w:spacing w:line="440" w:lineRule="atLeast"/>
        <w:ind w:firstLineChars="200" w:firstLine="420"/>
        <w:rPr>
          <w:rFonts w:ascii="微软雅黑" w:eastAsia="微软雅黑" w:hAnsi="微软雅黑" w:hint="eastAsia"/>
          <w:sz w:val="21"/>
          <w:szCs w:val="21"/>
          <w:lang w:val="zh-CN" w:bidi="ar"/>
        </w:rPr>
      </w:pPr>
      <w:r>
        <w:rPr>
          <w:rFonts w:ascii="微软雅黑" w:eastAsia="微软雅黑" w:hAnsi="微软雅黑" w:hint="eastAsia"/>
          <w:sz w:val="21"/>
          <w:szCs w:val="21"/>
          <w:lang w:val="zh-CN" w:bidi="ar"/>
        </w:rPr>
        <w:t>（四）乙方在项目建设过程中获知的甲方或为甲方提供服务的第三方的知识产权、技术文件、业务信息等，都受本条款的保护。</w:t>
      </w:r>
    </w:p>
    <w:p w14:paraId="0B2C4BD8"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lang w:val="zh-CN" w:bidi="ar"/>
        </w:rPr>
        <w:t>（五）</w:t>
      </w:r>
      <w:r>
        <w:rPr>
          <w:rFonts w:ascii="微软雅黑" w:eastAsia="微软雅黑" w:hAnsi="微软雅黑"/>
          <w:sz w:val="21"/>
          <w:szCs w:val="21"/>
        </w:rPr>
        <w:t>乙方应按</w:t>
      </w:r>
      <w:r>
        <w:rPr>
          <w:rFonts w:ascii="微软雅黑" w:eastAsia="微软雅黑" w:hAnsi="微软雅黑" w:hint="eastAsia"/>
          <w:sz w:val="21"/>
          <w:szCs w:val="21"/>
          <w:lang w:val="zh-CN" w:bidi="ar"/>
        </w:rPr>
        <w:t>《安全保密协议》的</w:t>
      </w:r>
      <w:r>
        <w:rPr>
          <w:rFonts w:ascii="微软雅黑" w:eastAsia="微软雅黑" w:hAnsi="微软雅黑"/>
          <w:sz w:val="21"/>
          <w:szCs w:val="21"/>
        </w:rPr>
        <w:t>要求，加强成果保密工作，应设置专人在项目建设期间对文档进行检查和管理，形成规范的文档体系，承担因资料等泄密造成的一切责任，项目最终验收后所有资料全部移交给甲方。</w:t>
      </w:r>
    </w:p>
    <w:p w14:paraId="3D665032" w14:textId="77777777" w:rsidR="0022665C" w:rsidRDefault="00000000">
      <w:pPr>
        <w:spacing w:line="440" w:lineRule="atLeast"/>
        <w:ind w:firstLineChars="200" w:firstLine="420"/>
        <w:rPr>
          <w:rFonts w:ascii="微软雅黑" w:eastAsia="微软雅黑" w:hAnsi="微软雅黑" w:hint="eastAsia"/>
          <w:sz w:val="21"/>
          <w:szCs w:val="21"/>
          <w:lang w:val="zh-CN"/>
        </w:rPr>
      </w:pPr>
      <w:r>
        <w:rPr>
          <w:rFonts w:ascii="微软雅黑" w:eastAsia="微软雅黑" w:hAnsi="微软雅黑" w:hint="eastAsia"/>
          <w:sz w:val="21"/>
          <w:szCs w:val="21"/>
          <w:lang w:val="zh-CN" w:bidi="ar"/>
        </w:rPr>
        <w:t>（六）保密内容</w:t>
      </w:r>
      <w:r>
        <w:rPr>
          <w:rFonts w:ascii="微软雅黑" w:eastAsia="微软雅黑" w:hAnsi="微软雅黑"/>
          <w:sz w:val="21"/>
          <w:szCs w:val="21"/>
          <w:lang w:val="zh-CN" w:bidi="ar"/>
        </w:rPr>
        <w:t>包括但不限于</w:t>
      </w:r>
      <w:r>
        <w:rPr>
          <w:rFonts w:ascii="微软雅黑" w:eastAsia="微软雅黑" w:hAnsi="微软雅黑" w:hint="eastAsia"/>
          <w:sz w:val="21"/>
          <w:szCs w:val="21"/>
          <w:lang w:val="zh-CN" w:bidi="ar"/>
        </w:rPr>
        <w:t>甲方</w:t>
      </w:r>
      <w:r>
        <w:rPr>
          <w:rFonts w:ascii="微软雅黑" w:eastAsia="微软雅黑" w:hAnsi="微软雅黑"/>
          <w:sz w:val="21"/>
          <w:szCs w:val="21"/>
          <w:lang w:val="zh-CN" w:bidi="ar"/>
        </w:rPr>
        <w:t>向</w:t>
      </w:r>
      <w:r>
        <w:rPr>
          <w:rFonts w:ascii="微软雅黑" w:eastAsia="微软雅黑" w:hAnsi="微软雅黑" w:hint="eastAsia"/>
          <w:sz w:val="21"/>
          <w:szCs w:val="21"/>
          <w:lang w:val="zh-CN" w:bidi="ar"/>
        </w:rPr>
        <w:t>乙方</w:t>
      </w:r>
      <w:r>
        <w:rPr>
          <w:rFonts w:ascii="微软雅黑" w:eastAsia="微软雅黑" w:hAnsi="微软雅黑"/>
          <w:sz w:val="21"/>
          <w:szCs w:val="21"/>
          <w:lang w:val="zh-CN" w:bidi="ar"/>
        </w:rPr>
        <w:t>通过口头、书面、电子或其他方式提供的关于技术和系统及其他方面的一切数据、报告、信息、预测和记录</w:t>
      </w:r>
      <w:r>
        <w:rPr>
          <w:rFonts w:ascii="微软雅黑" w:eastAsia="微软雅黑" w:hAnsi="微软雅黑" w:hint="eastAsia"/>
          <w:sz w:val="21"/>
          <w:szCs w:val="21"/>
          <w:lang w:val="zh-CN" w:bidi="ar"/>
        </w:rPr>
        <w:t>。</w:t>
      </w:r>
    </w:p>
    <w:p w14:paraId="191F66E2"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第九条 培训</w:t>
      </w:r>
    </w:p>
    <w:p w14:paraId="64BAA1F9"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（一）乙方应对甲方提供产品使用及维护的培训，包含产品使用期间系统用户、系统维护人员等的培训。培训人员应包括：系统应用人员、系统运行管理人员、系统维护人员等。</w:t>
      </w:r>
    </w:p>
    <w:p w14:paraId="66E4BE4C"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（二）乙方应根据项目使用需求提供详细的培训方案。</w:t>
      </w:r>
    </w:p>
    <w:p w14:paraId="70655893"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（三）培训效果要求：乙方应详尽培训产品管理的每一项功能，保证甲方系统管理维护人员能独立操作完成产品日常管理、使用、维护及常规故障判别处理。</w:t>
      </w:r>
    </w:p>
    <w:p w14:paraId="7B03FFF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（四）培训要求：</w:t>
      </w:r>
    </w:p>
    <w:p w14:paraId="63800E5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1.技术管理人员及维护人员，除需要针对应用系统、系统软硬件的使用、技术架构、常见故障排除等内容进行培训外，还应进行支撑</w:t>
      </w:r>
      <w:r>
        <w:rPr>
          <w:rFonts w:ascii="微软雅黑" w:eastAsia="微软雅黑" w:hAnsi="微软雅黑" w:hint="eastAsia"/>
          <w:sz w:val="21"/>
          <w:szCs w:val="21"/>
        </w:rPr>
        <w:t>系统</w:t>
      </w:r>
      <w:r>
        <w:rPr>
          <w:rFonts w:ascii="微软雅黑" w:eastAsia="微软雅黑" w:hAnsi="微软雅黑"/>
          <w:sz w:val="21"/>
          <w:szCs w:val="21"/>
        </w:rPr>
        <w:t>的运行维护培训。该类培训必须按照系统管理员级别进行特殊培训，务必使技术人员掌握系统所提供的各项管理维护工具，并尽量了解一些底层调试及操作知识。针对系统用户，应在应用系统试运行的同时，对系统用户进行以系统应用操作为主要内容的培训，并编写用户手册、制作培训教程，对没有参加现场培训的业务人员进行操作培训。</w:t>
      </w:r>
    </w:p>
    <w:p w14:paraId="42B2BE1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2.乙方若为联合体投标，按照联合体协议明确约定的联合体各方承担的工作内容和责任分别提供培训计划，联合体投标各成员至少提供 1 名总工程师及以上职务的专业技术人员担任培训老师，应详尽培训系统的每一项功能，保证甲方相关技术人员能掌握关键技术，独立操作完成系统日常管理、使用、维护及常规故障判别处理。培训最终结果须得到甲方认可（乙方要教好、参训人员要学会，须确保技术人员能够全面熟悉掌握系统架构、能够在现有基础上进行迭代升级，应用人员可以熟练操作），否则，甲方有权解除合同，没收乙方提交的履约保证金，乙方还应承担合同金额10%的违约金。</w:t>
      </w:r>
    </w:p>
    <w:p w14:paraId="5E33C283"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3.开发建设期内</w:t>
      </w:r>
      <w:r>
        <w:rPr>
          <w:rFonts w:ascii="微软雅黑" w:eastAsia="微软雅黑" w:hAnsi="微软雅黑"/>
          <w:sz w:val="21"/>
          <w:szCs w:val="21"/>
        </w:rPr>
        <w:t>培训次数不少于10次</w:t>
      </w:r>
      <w:r>
        <w:rPr>
          <w:rFonts w:ascii="微软雅黑" w:eastAsia="微软雅黑" w:hAnsi="微软雅黑" w:hint="eastAsia"/>
          <w:sz w:val="21"/>
          <w:szCs w:val="21"/>
        </w:rPr>
        <w:t>，</w:t>
      </w:r>
      <w:r>
        <w:rPr>
          <w:rFonts w:ascii="微软雅黑" w:eastAsia="微软雅黑" w:hAnsi="微软雅黑"/>
          <w:sz w:val="21"/>
          <w:szCs w:val="21"/>
        </w:rPr>
        <w:t>培训人数</w:t>
      </w:r>
      <w:r>
        <w:rPr>
          <w:rFonts w:ascii="微软雅黑" w:eastAsia="微软雅黑" w:hAnsi="微软雅黑" w:hint="eastAsia"/>
          <w:sz w:val="21"/>
          <w:szCs w:val="21"/>
        </w:rPr>
        <w:t>以</w:t>
      </w:r>
      <w:r>
        <w:rPr>
          <w:rFonts w:ascii="微软雅黑" w:eastAsia="微软雅黑" w:hAnsi="微软雅黑"/>
          <w:sz w:val="21"/>
          <w:szCs w:val="21"/>
        </w:rPr>
        <w:t>采购人实际需求</w:t>
      </w:r>
      <w:r>
        <w:rPr>
          <w:rFonts w:ascii="微软雅黑" w:eastAsia="微软雅黑" w:hAnsi="微软雅黑" w:hint="eastAsia"/>
          <w:sz w:val="21"/>
          <w:szCs w:val="21"/>
        </w:rPr>
        <w:t>为准</w:t>
      </w:r>
      <w:r>
        <w:rPr>
          <w:rFonts w:ascii="微软雅黑" w:eastAsia="微软雅黑" w:hAnsi="微软雅黑"/>
          <w:bCs/>
          <w:kern w:val="0"/>
          <w:sz w:val="24"/>
          <w:szCs w:val="24"/>
        </w:rPr>
        <w:t>。</w:t>
      </w:r>
    </w:p>
    <w:p w14:paraId="02B9F7FB"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第十条考核办法</w:t>
      </w:r>
    </w:p>
    <w:p w14:paraId="336B0A3D" w14:textId="77777777" w:rsidR="0022665C" w:rsidRDefault="00000000">
      <w:pPr>
        <w:pStyle w:val="aff"/>
        <w:spacing w:line="440" w:lineRule="atLeast"/>
        <w:ind w:firstLineChars="200"/>
        <w:rPr>
          <w:rFonts w:ascii="微软雅黑" w:eastAsia="微软雅黑" w:hAnsi="微软雅黑" w:hint="eastAsia"/>
          <w:sz w:val="21"/>
          <w:szCs w:val="21"/>
        </w:rPr>
      </w:pPr>
      <w:r>
        <w:rPr>
          <w:rFonts w:ascii="微软雅黑" w:eastAsia="微软雅黑" w:hAnsi="微软雅黑" w:hint="eastAsia"/>
          <w:sz w:val="21"/>
          <w:szCs w:val="21"/>
        </w:rPr>
        <w:t>为</w:t>
      </w:r>
      <w:r>
        <w:rPr>
          <w:rFonts w:ascii="微软雅黑" w:eastAsia="微软雅黑" w:hAnsi="微软雅黑"/>
          <w:sz w:val="21"/>
          <w:szCs w:val="21"/>
        </w:rPr>
        <w:t>保障系统建设服务质量和系统安全稳定运行，</w:t>
      </w:r>
      <w:r>
        <w:rPr>
          <w:rFonts w:ascii="微软雅黑" w:eastAsia="微软雅黑" w:hAnsi="微软雅黑" w:hint="eastAsia"/>
          <w:sz w:val="21"/>
          <w:szCs w:val="21"/>
        </w:rPr>
        <w:t>在合同约定的范围内，</w:t>
      </w:r>
      <w:r>
        <w:rPr>
          <w:rFonts w:ascii="微软雅黑" w:eastAsia="微软雅黑" w:hAnsi="微软雅黑"/>
          <w:sz w:val="21"/>
          <w:szCs w:val="21"/>
        </w:rPr>
        <w:t>乙方严格遵守服务质量承诺及相关管理规定，对于违反服务质量承诺和服务水平约定造成服务质量下降的进行考核。考核内容包括</w:t>
      </w:r>
      <w:r>
        <w:rPr>
          <w:rFonts w:ascii="微软雅黑" w:eastAsia="微软雅黑" w:hAnsi="微软雅黑" w:cs="微软雅黑" w:hint="eastAsia"/>
          <w:bCs/>
          <w:sz w:val="21"/>
          <w:szCs w:val="21"/>
        </w:rPr>
        <w:t>重大安全事故情形、</w:t>
      </w:r>
      <w:r>
        <w:rPr>
          <w:rFonts w:ascii="微软雅黑" w:eastAsia="微软雅黑" w:hAnsi="微软雅黑" w:hint="eastAsia"/>
          <w:sz w:val="21"/>
          <w:szCs w:val="21"/>
        </w:rPr>
        <w:t>开发建设时间、</w:t>
      </w:r>
      <w:r>
        <w:rPr>
          <w:rFonts w:ascii="微软雅黑" w:eastAsia="微软雅黑" w:hAnsi="微软雅黑"/>
          <w:sz w:val="21"/>
          <w:szCs w:val="21"/>
        </w:rPr>
        <w:t>质量</w:t>
      </w:r>
      <w:r>
        <w:rPr>
          <w:rFonts w:ascii="微软雅黑" w:eastAsia="微软雅黑" w:hAnsi="微软雅黑" w:hint="eastAsia"/>
          <w:sz w:val="21"/>
          <w:szCs w:val="21"/>
        </w:rPr>
        <w:t>考核（包含</w:t>
      </w:r>
      <w:r>
        <w:rPr>
          <w:rFonts w:ascii="微软雅黑" w:eastAsia="微软雅黑" w:hAnsi="微软雅黑"/>
          <w:sz w:val="21"/>
          <w:szCs w:val="21"/>
        </w:rPr>
        <w:t>系统安全稳定运行、安全管理</w:t>
      </w:r>
      <w:r>
        <w:rPr>
          <w:rFonts w:ascii="微软雅黑" w:eastAsia="微软雅黑" w:hAnsi="微软雅黑" w:hint="eastAsia"/>
          <w:sz w:val="21"/>
          <w:szCs w:val="21"/>
        </w:rPr>
        <w:t>等）、</w:t>
      </w:r>
      <w:r>
        <w:rPr>
          <w:rFonts w:ascii="微软雅黑" w:eastAsia="微软雅黑" w:hAnsi="微软雅黑"/>
          <w:sz w:val="21"/>
          <w:szCs w:val="21"/>
        </w:rPr>
        <w:t>技术服务</w:t>
      </w:r>
      <w:r>
        <w:rPr>
          <w:rFonts w:ascii="微软雅黑" w:eastAsia="微软雅黑" w:hAnsi="微软雅黑" w:hint="eastAsia"/>
          <w:sz w:val="21"/>
          <w:szCs w:val="21"/>
        </w:rPr>
        <w:t>、</w:t>
      </w:r>
      <w:r>
        <w:rPr>
          <w:rFonts w:ascii="微软雅黑" w:eastAsia="微软雅黑" w:hAnsi="微软雅黑"/>
          <w:sz w:val="21"/>
          <w:szCs w:val="21"/>
        </w:rPr>
        <w:t>满意度等</w:t>
      </w:r>
      <w:r>
        <w:rPr>
          <w:rFonts w:ascii="微软雅黑" w:eastAsia="微软雅黑" w:hAnsi="微软雅黑" w:hint="eastAsia"/>
          <w:sz w:val="21"/>
          <w:szCs w:val="21"/>
        </w:rPr>
        <w:t>5</w:t>
      </w:r>
      <w:r>
        <w:rPr>
          <w:rFonts w:ascii="微软雅黑" w:eastAsia="微软雅黑" w:hAnsi="微软雅黑"/>
          <w:sz w:val="21"/>
          <w:szCs w:val="21"/>
        </w:rPr>
        <w:t>个方面。具体考核细则</w:t>
      </w:r>
      <w:r>
        <w:rPr>
          <w:rFonts w:ascii="微软雅黑" w:eastAsia="微软雅黑" w:hAnsi="微软雅黑" w:hint="eastAsia"/>
          <w:sz w:val="21"/>
          <w:szCs w:val="21"/>
        </w:rPr>
        <w:t>见（附件3）。</w:t>
      </w:r>
    </w:p>
    <w:p w14:paraId="2C748687"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第十一条 付款方式</w:t>
      </w:r>
    </w:p>
    <w:p w14:paraId="0D59B4A6"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1.合同签订前，乙方向甲方缴纳合同金额的2%作为履约保证金（以支票、汇票、本票或者金融机构、担保机构出具的保函等非现金形式提交），质量保证期1年满后，甲方按相关程序无息退还履约保证金。</w:t>
      </w:r>
    </w:p>
    <w:p w14:paraId="45740258"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2.合同签订后，从乙方项目组开始提供服务之日且甲方收到乙方提供的有效发票后10个工作日内，甲方向乙方支付合同金额的 50% ，人民币大写：</w:t>
      </w:r>
      <w:r>
        <w:rPr>
          <w:rFonts w:ascii="微软雅黑" w:eastAsia="微软雅黑" w:hAnsi="微软雅黑" w:cs="微软雅黑" w:hint="eastAsia"/>
          <w:sz w:val="21"/>
          <w:szCs w:val="21"/>
          <w:u w:val="single"/>
        </w:rPr>
        <w:t xml:space="preserve">              </w:t>
      </w:r>
      <w:r>
        <w:rPr>
          <w:rFonts w:ascii="微软雅黑" w:eastAsia="微软雅黑" w:hAnsi="微软雅黑" w:cs="微软雅黑" w:hint="eastAsia"/>
          <w:sz w:val="21"/>
          <w:szCs w:val="21"/>
        </w:rPr>
        <w:t xml:space="preserve"> 小写：</w:t>
      </w:r>
      <w:r>
        <w:rPr>
          <w:rFonts w:ascii="微软雅黑" w:eastAsia="微软雅黑" w:hAnsi="微软雅黑" w:cs="微软雅黑" w:hint="eastAsia"/>
          <w:sz w:val="21"/>
          <w:szCs w:val="21"/>
          <w:u w:val="single"/>
        </w:rPr>
        <w:t xml:space="preserve">              。</w:t>
      </w:r>
    </w:p>
    <w:p w14:paraId="0E8AD319"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3.项目完成初验之日且甲方收到乙方提供的有效发票后10个工作日内，甲方向乙方支付合同金额的30%；人民币大写：</w:t>
      </w:r>
      <w:r>
        <w:rPr>
          <w:rFonts w:ascii="微软雅黑" w:eastAsia="微软雅黑" w:hAnsi="微软雅黑" w:cs="微软雅黑" w:hint="eastAsia"/>
          <w:sz w:val="21"/>
          <w:szCs w:val="21"/>
          <w:u w:val="single"/>
        </w:rPr>
        <w:t xml:space="preserve">              </w:t>
      </w:r>
      <w:r>
        <w:rPr>
          <w:rFonts w:ascii="微软雅黑" w:eastAsia="微软雅黑" w:hAnsi="微软雅黑" w:cs="微软雅黑" w:hint="eastAsia"/>
          <w:sz w:val="21"/>
          <w:szCs w:val="21"/>
        </w:rPr>
        <w:t xml:space="preserve"> 小写：</w:t>
      </w:r>
      <w:r>
        <w:rPr>
          <w:rFonts w:ascii="微软雅黑" w:eastAsia="微软雅黑" w:hAnsi="微软雅黑" w:cs="微软雅黑" w:hint="eastAsia"/>
          <w:sz w:val="21"/>
          <w:szCs w:val="21"/>
          <w:u w:val="single"/>
        </w:rPr>
        <w:t xml:space="preserve">              。</w:t>
      </w:r>
    </w:p>
    <w:p w14:paraId="7ED1137C"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4. 本项目结算审计为最终验收的一部分，项目最终验收合格（结算审计结果出具之后）</w:t>
      </w:r>
      <w:r>
        <w:rPr>
          <w:rFonts w:ascii="微软雅黑" w:eastAsia="微软雅黑" w:hAnsi="微软雅黑"/>
          <w:sz w:val="21"/>
          <w:szCs w:val="21"/>
        </w:rPr>
        <w:t>，</w:t>
      </w:r>
      <w:r>
        <w:rPr>
          <w:rFonts w:ascii="微软雅黑" w:eastAsia="微软雅黑" w:hAnsi="微软雅黑" w:hint="eastAsia"/>
          <w:sz w:val="21"/>
          <w:szCs w:val="21"/>
        </w:rPr>
        <w:t>甲方在收到乙方出具的发票之日起</w:t>
      </w:r>
      <w:r>
        <w:rPr>
          <w:rFonts w:ascii="微软雅黑" w:eastAsia="微软雅黑" w:hAnsi="微软雅黑"/>
          <w:sz w:val="21"/>
          <w:szCs w:val="21"/>
        </w:rPr>
        <w:t>5个工作日内</w:t>
      </w:r>
      <w:r>
        <w:rPr>
          <w:rFonts w:ascii="微软雅黑" w:eastAsia="微软雅黑" w:hAnsi="微软雅黑" w:hint="eastAsia"/>
          <w:sz w:val="21"/>
          <w:szCs w:val="21"/>
        </w:rPr>
        <w:t>根据结算审计审定的金额扣除考核应扣款项后，向乙方支付剩余款项。</w:t>
      </w:r>
    </w:p>
    <w:p w14:paraId="35E57F19"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5.每次付款前乙方向甲方开具等额发票，甲方以转账方式向乙方支付。</w:t>
      </w:r>
    </w:p>
    <w:p w14:paraId="4049B015"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甲方开票信息</w:t>
      </w:r>
    </w:p>
    <w:p w14:paraId="65F4F2D6"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lang w:eastAsia="zh-Hans"/>
        </w:rPr>
      </w:pPr>
      <w:r>
        <w:rPr>
          <w:rFonts w:ascii="微软雅黑" w:eastAsia="微软雅黑" w:hAnsi="微软雅黑" w:cs="微软雅黑" w:hint="eastAsia"/>
          <w:kern w:val="0"/>
          <w:sz w:val="21"/>
          <w:szCs w:val="21"/>
          <w:lang w:eastAsia="zh-Hans"/>
        </w:rPr>
        <w:t>开户银行：</w:t>
      </w:r>
    </w:p>
    <w:p w14:paraId="0114FA73"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lang w:eastAsia="zh-Hans"/>
        </w:rPr>
      </w:pPr>
      <w:r>
        <w:rPr>
          <w:rFonts w:ascii="微软雅黑" w:eastAsia="微软雅黑" w:hAnsi="微软雅黑" w:cs="微软雅黑" w:hint="eastAsia"/>
          <w:kern w:val="0"/>
          <w:sz w:val="21"/>
          <w:szCs w:val="21"/>
          <w:lang w:eastAsia="zh-Hans"/>
        </w:rPr>
        <w:t>名称：</w:t>
      </w:r>
    </w:p>
    <w:p w14:paraId="1CD8C72D"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lang w:eastAsia="zh-Hans"/>
        </w:rPr>
      </w:pPr>
      <w:r>
        <w:rPr>
          <w:rFonts w:ascii="微软雅黑" w:eastAsia="微软雅黑" w:hAnsi="微软雅黑" w:cs="微软雅黑" w:hint="eastAsia"/>
          <w:kern w:val="0"/>
          <w:sz w:val="21"/>
          <w:szCs w:val="21"/>
          <w:lang w:eastAsia="zh-Hans"/>
        </w:rPr>
        <w:t>账号：</w:t>
      </w:r>
    </w:p>
    <w:p w14:paraId="435DC212"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lang w:eastAsia="zh-Hans"/>
        </w:rPr>
        <w:t>电话号码：</w:t>
      </w:r>
    </w:p>
    <w:p w14:paraId="7EEAFEC5"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lang w:eastAsia="zh-Hans"/>
        </w:rPr>
      </w:pPr>
      <w:r>
        <w:rPr>
          <w:rFonts w:ascii="微软雅黑" w:eastAsia="微软雅黑" w:hAnsi="微软雅黑" w:cs="微软雅黑" w:hint="eastAsia"/>
          <w:kern w:val="0"/>
          <w:sz w:val="21"/>
          <w:szCs w:val="21"/>
          <w:lang w:eastAsia="zh-Hans"/>
        </w:rPr>
        <w:t>纳税人识别号：</w:t>
      </w:r>
    </w:p>
    <w:p w14:paraId="183CC601"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lang w:eastAsia="zh-Hans"/>
        </w:rPr>
        <w:t>地址：</w:t>
      </w:r>
    </w:p>
    <w:p w14:paraId="6E84C058"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乙方收款账户</w:t>
      </w:r>
    </w:p>
    <w:p w14:paraId="75D3E1B5"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开户银行：</w:t>
      </w:r>
    </w:p>
    <w:p w14:paraId="5C86D2C4"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开户名：</w:t>
      </w:r>
    </w:p>
    <w:p w14:paraId="3B508657"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开户账号：</w:t>
      </w:r>
    </w:p>
    <w:p w14:paraId="1B3E88FB"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lang w:eastAsia="zh-Hans"/>
        </w:rPr>
      </w:pPr>
      <w:r>
        <w:rPr>
          <w:rFonts w:ascii="微软雅黑" w:eastAsia="微软雅黑" w:hAnsi="微软雅黑" w:cs="微软雅黑" w:hint="eastAsia"/>
          <w:kern w:val="0"/>
          <w:sz w:val="21"/>
          <w:szCs w:val="21"/>
          <w:lang w:eastAsia="zh-Hans"/>
        </w:rPr>
        <w:t>电话号码：</w:t>
      </w:r>
    </w:p>
    <w:p w14:paraId="4919C2B3"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lang w:eastAsia="zh-Hans"/>
        </w:rPr>
      </w:pPr>
      <w:r>
        <w:rPr>
          <w:rFonts w:ascii="微软雅黑" w:eastAsia="微软雅黑" w:hAnsi="微软雅黑" w:cs="微软雅黑" w:hint="eastAsia"/>
          <w:kern w:val="0"/>
          <w:sz w:val="21"/>
          <w:szCs w:val="21"/>
          <w:lang w:eastAsia="zh-Hans"/>
        </w:rPr>
        <w:t>地址：</w:t>
      </w:r>
    </w:p>
    <w:p w14:paraId="7C4F2BBC"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第十二条 双方的权利与义务</w:t>
      </w:r>
    </w:p>
    <w:p w14:paraId="044DBBEB"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1.甲方的职责</w:t>
      </w:r>
    </w:p>
    <w:p w14:paraId="352EDA26"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lang w:eastAsia="zh-Hans"/>
        </w:rPr>
      </w:pPr>
      <w:r>
        <w:rPr>
          <w:rFonts w:ascii="微软雅黑" w:eastAsia="微软雅黑" w:hAnsi="微软雅黑" w:cs="微软雅黑" w:hint="eastAsia"/>
          <w:kern w:val="0"/>
          <w:sz w:val="21"/>
          <w:szCs w:val="21"/>
          <w:lang w:eastAsia="zh-Hans"/>
        </w:rPr>
        <w:t>甲方应及时向乙方提供项目相关基础资料，且必须保证各项资料的真实性和准确性。</w:t>
      </w:r>
    </w:p>
    <w:p w14:paraId="6173AAFC"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lang w:eastAsia="zh-Hans"/>
        </w:rPr>
      </w:pPr>
      <w:r>
        <w:rPr>
          <w:rFonts w:ascii="微软雅黑" w:eastAsia="微软雅黑" w:hAnsi="微软雅黑" w:cs="微软雅黑" w:hint="eastAsia"/>
          <w:kern w:val="0"/>
          <w:sz w:val="21"/>
          <w:szCs w:val="21"/>
          <w:lang w:eastAsia="zh-Hans"/>
        </w:rPr>
        <w:t>甲方应对乙方的工作予以配合，并提供必要的协助，包含但不限于</w:t>
      </w:r>
      <w:r>
        <w:rPr>
          <w:rFonts w:ascii="微软雅黑" w:eastAsia="微软雅黑" w:hAnsi="微软雅黑" w:cs="微软雅黑"/>
          <w:kern w:val="0"/>
          <w:sz w:val="21"/>
          <w:szCs w:val="21"/>
          <w:lang w:eastAsia="zh-Hans"/>
        </w:rPr>
        <w:t>提供通过等级保护三级测评、密评等所需的基础环境条件（如基础硬件条件、网络安全设备、密码机等）</w:t>
      </w:r>
      <w:r>
        <w:rPr>
          <w:rFonts w:ascii="微软雅黑" w:eastAsia="微软雅黑" w:hAnsi="微软雅黑" w:cs="微软雅黑" w:hint="eastAsia"/>
          <w:kern w:val="0"/>
          <w:sz w:val="21"/>
          <w:szCs w:val="21"/>
          <w:lang w:eastAsia="zh-Hans"/>
        </w:rPr>
        <w:t>；提供项目建设所需的云平台或硬件资源；提供因项目建设需要所涉及第三方单位沟通的支撑；提供因项目建设需要所涉及第三方系统对接或集成的支撑。</w:t>
      </w:r>
    </w:p>
    <w:p w14:paraId="2D7374D1" w14:textId="77777777" w:rsidR="0022665C" w:rsidRDefault="0022665C">
      <w:pPr>
        <w:adjustRightInd w:val="0"/>
        <w:spacing w:line="440" w:lineRule="atLeast"/>
        <w:ind w:firstLineChars="200" w:firstLine="420"/>
        <w:rPr>
          <w:rFonts w:ascii="微软雅黑" w:eastAsia="微软雅黑" w:hAnsi="微软雅黑" w:cs="微软雅黑" w:hint="eastAsia"/>
          <w:bCs/>
          <w:sz w:val="21"/>
          <w:szCs w:val="21"/>
        </w:rPr>
      </w:pPr>
    </w:p>
    <w:p w14:paraId="415545A6" w14:textId="77777777" w:rsidR="0022665C" w:rsidRDefault="00000000">
      <w:pPr>
        <w:adjustRightInd w:val="0"/>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根据本合同的相关要求对乙方提供的成果进行验收。</w:t>
      </w:r>
    </w:p>
    <w:p w14:paraId="7F5DD555"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2.乙方的职责</w:t>
      </w:r>
    </w:p>
    <w:p w14:paraId="4DCE0A86" w14:textId="77777777" w:rsidR="0022665C" w:rsidRDefault="00000000">
      <w:pPr>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在甲方提出的时限要求内提交成果，确保成果符合标准要求。乙方承建项目过程中，涉及第三方服务的，应建立健全紧急采购内控机制，加强内控管理，兼顾好紧迫性、合理性和资金使用绩效，自觉接受各项监督检查。</w:t>
      </w:r>
    </w:p>
    <w:p w14:paraId="74769F34" w14:textId="77777777" w:rsidR="0022665C" w:rsidRDefault="00000000">
      <w:pPr>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在项目实施过程中，乙方须遵守甲方要求，做好原始资料和成果及相关工作的保密，防止数据、文件泄露，防范保密安全风险。</w:t>
      </w:r>
    </w:p>
    <w:p w14:paraId="05C676A5" w14:textId="77777777" w:rsidR="0022665C" w:rsidRDefault="00000000">
      <w:pPr>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乙方参与项目建设员工应签署保密安全责任承诺书，并严格遵照执行。</w:t>
      </w:r>
    </w:p>
    <w:p w14:paraId="29C24905" w14:textId="77777777" w:rsidR="0022665C" w:rsidRDefault="00000000">
      <w:pPr>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未经甲方书面许可，不得向与合同无关的其他方泄漏任何技术文件、资料文档或与合同有关的数据，包括合同本身。</w:t>
      </w:r>
    </w:p>
    <w:p w14:paraId="1D781DAF"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第十三条 违约责任</w:t>
      </w:r>
    </w:p>
    <w:p w14:paraId="24178663"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1. 甲方的责任</w:t>
      </w:r>
    </w:p>
    <w:p w14:paraId="358B4634" w14:textId="77777777" w:rsidR="0022665C" w:rsidRDefault="00000000">
      <w:pPr>
        <w:tabs>
          <w:tab w:val="left" w:pos="9000"/>
        </w:tabs>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若甲方未按合同规定的付款时间准时支付合同款项时，应自款项最迟应付日15个自然日的次日起，每日向乙方偿付逾期付款部分总值的万分之一的违约金，此项违约金额以合同金额的千分之一为限。</w:t>
      </w:r>
    </w:p>
    <w:p w14:paraId="3B11023F" w14:textId="77777777" w:rsidR="0022665C" w:rsidRDefault="00000000">
      <w:pPr>
        <w:tabs>
          <w:tab w:val="left" w:pos="9000"/>
        </w:tabs>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若甲方未按合同约定的时间内准备完成软件系统及其设备安装调试环境，项目完成时间应相应顺延。</w:t>
      </w:r>
    </w:p>
    <w:p w14:paraId="168FFE0F" w14:textId="77777777" w:rsidR="0022665C" w:rsidRDefault="00000000">
      <w:pPr>
        <w:tabs>
          <w:tab w:val="left" w:pos="9000"/>
        </w:tabs>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若甲方要求乙方修改已按照合同文件要求执行内容，经双方同意后进行修改，开发建设期和验收时间相应的顺延。</w:t>
      </w:r>
    </w:p>
    <w:p w14:paraId="2D1250C1" w14:textId="77777777" w:rsidR="0022665C" w:rsidRDefault="00000000">
      <w:pPr>
        <w:adjustRightInd w:val="0"/>
        <w:spacing w:line="440" w:lineRule="atLeast"/>
        <w:ind w:firstLineChars="200" w:firstLine="420"/>
        <w:rPr>
          <w:rFonts w:ascii="微软雅黑" w:eastAsia="微软雅黑" w:hAnsi="微软雅黑" w:cs="微软雅黑" w:hint="eastAsia"/>
          <w:kern w:val="0"/>
          <w:sz w:val="21"/>
          <w:szCs w:val="21"/>
        </w:rPr>
      </w:pPr>
      <w:r>
        <w:rPr>
          <w:rFonts w:ascii="微软雅黑" w:eastAsia="微软雅黑" w:hAnsi="微软雅黑" w:cs="微软雅黑" w:hint="eastAsia"/>
          <w:kern w:val="0"/>
          <w:sz w:val="21"/>
          <w:szCs w:val="21"/>
        </w:rPr>
        <w:t>2.乙方的责任</w:t>
      </w:r>
    </w:p>
    <w:p w14:paraId="32B0C4A5" w14:textId="77777777" w:rsidR="0022665C" w:rsidRDefault="00000000">
      <w:pPr>
        <w:tabs>
          <w:tab w:val="left" w:pos="9000"/>
        </w:tabs>
        <w:spacing w:line="440" w:lineRule="atLeast"/>
        <w:ind w:firstLineChars="200" w:firstLine="420"/>
        <w:rPr>
          <w:rFonts w:ascii="微软雅黑" w:eastAsia="微软雅黑" w:hAnsi="微软雅黑" w:cs="微软雅黑" w:hint="eastAsia"/>
          <w:sz w:val="21"/>
          <w:szCs w:val="21"/>
          <w:u w:val="single"/>
        </w:rPr>
      </w:pPr>
      <w:r>
        <w:rPr>
          <w:rFonts w:ascii="微软雅黑" w:eastAsia="微软雅黑" w:hAnsi="微软雅黑" w:cs="微软雅黑" w:hint="eastAsia"/>
          <w:bCs/>
          <w:sz w:val="21"/>
          <w:szCs w:val="21"/>
        </w:rPr>
        <w:t>乙方应当向甲方、提交符合合同约定且合格的成果，若因乙方原因造成的阶段完成时间</w:t>
      </w:r>
      <w:r>
        <w:rPr>
          <w:rFonts w:ascii="微软雅黑" w:eastAsia="微软雅黑" w:hAnsi="微软雅黑" w:cs="微软雅黑" w:hint="eastAsia"/>
          <w:sz w:val="21"/>
          <w:szCs w:val="21"/>
        </w:rPr>
        <w:t>延误，按考核办法的要求执行。</w:t>
      </w:r>
    </w:p>
    <w:p w14:paraId="4274C130" w14:textId="77777777" w:rsidR="0022665C" w:rsidRDefault="00000000">
      <w:pPr>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若因甲方提供项目相关基础资料不及时、不真实、不准确，或甲方对乙方工作不给予必要配合、设置障碍等，导致乙方提交成果超过合同约定期限的，乙方不承担相应违约责任。</w:t>
      </w:r>
    </w:p>
    <w:p w14:paraId="142420B6" w14:textId="77777777" w:rsidR="0022665C" w:rsidRDefault="00000000">
      <w:pPr>
        <w:tabs>
          <w:tab w:val="left" w:pos="9000"/>
        </w:tabs>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若乙方的建设工作成果未按照甲方的要求完成建设内容，不符合甲方验收标准的，甲方有权单方解除本合同，不再退还履约保证金，并要求乙方退还甲方已经支付的款项。</w:t>
      </w:r>
    </w:p>
    <w:p w14:paraId="4907AA87" w14:textId="77777777" w:rsidR="0022665C" w:rsidRDefault="00000000">
      <w:pPr>
        <w:tabs>
          <w:tab w:val="left" w:pos="9000"/>
        </w:tabs>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若乙方违反本合同第七条知识产权条款约定，除承担由此而引起的一切法律责任和费用外，还须向甲方支付合同总价的20%的违约金，若违约金金额不足以弥补损失的，还应当赔偿损失。</w:t>
      </w:r>
    </w:p>
    <w:p w14:paraId="4625D0AA"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第十四条 送达</w:t>
      </w:r>
    </w:p>
    <w:p w14:paraId="33C2D882" w14:textId="77777777" w:rsidR="0022665C" w:rsidRDefault="00000000">
      <w:pPr>
        <w:numPr>
          <w:ilvl w:val="255"/>
          <w:numId w:val="0"/>
        </w:numPr>
        <w:adjustRightInd w:val="0"/>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合同文书约定的通讯地址为双方有效通讯地址，任一方及司法机关以快递方式向对方通讯地址发出书面函件及诉讼、仲裁文书的，自发出日（邮戳）次日起满3日视为对方收到。地址错误、无人签收或接收方拒绝签收的均不影响送达效力。任一方通讯地址发生变化的，应及时通知对方，变更地址的通知按上述规则视为被对方收到前，原地址视为没有变化。</w:t>
      </w:r>
    </w:p>
    <w:p w14:paraId="54F8C965" w14:textId="77777777" w:rsidR="0022665C" w:rsidRDefault="00000000">
      <w:pPr>
        <w:widowControl/>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第十五条 争议解决与未尽事宜</w:t>
      </w:r>
    </w:p>
    <w:p w14:paraId="6752FD2F" w14:textId="77777777" w:rsidR="0022665C" w:rsidRDefault="00000000">
      <w:pPr>
        <w:adjustRightInd w:val="0"/>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1.由于不可抗拒的因素（自然灾害、政策性调整等）致使合同无法履行时，双方应及时协商处理。</w:t>
      </w:r>
    </w:p>
    <w:p w14:paraId="75C7D793" w14:textId="77777777" w:rsidR="0022665C" w:rsidRDefault="00000000">
      <w:pPr>
        <w:tabs>
          <w:tab w:val="left" w:pos="3360"/>
        </w:tabs>
        <w:spacing w:line="440" w:lineRule="atLeast"/>
        <w:ind w:firstLineChars="200" w:firstLine="420"/>
        <w:jc w:val="left"/>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2.</w:t>
      </w:r>
      <w:r>
        <w:rPr>
          <w:rFonts w:ascii="微软雅黑" w:eastAsia="微软雅黑" w:hAnsi="微软雅黑" w:hint="eastAsia"/>
          <w:bCs/>
          <w:sz w:val="21"/>
          <w:szCs w:val="21"/>
        </w:rPr>
        <w:t>本项目招标文件及其澄清文件、投标文件和承诺是本合同不可分割的部分。</w:t>
      </w:r>
      <w:r>
        <w:rPr>
          <w:rFonts w:ascii="微软雅黑" w:eastAsia="微软雅黑" w:hAnsi="微软雅黑" w:cs="微软雅黑" w:hint="eastAsia"/>
          <w:bCs/>
          <w:sz w:val="21"/>
          <w:szCs w:val="21"/>
        </w:rPr>
        <w:t>本合同如有未尽事宜，双方可商定签订补充协议，补充协议与合同具有同等法律效力。</w:t>
      </w:r>
    </w:p>
    <w:p w14:paraId="0EA62B00" w14:textId="77777777" w:rsidR="0022665C" w:rsidRDefault="00000000">
      <w:pPr>
        <w:adjustRightInd w:val="0"/>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3.双方如对本合同发生纠纷时，应友好协商解决。如不能取得一致意见，双方均有权向甲方所在地的人民法院起诉。</w:t>
      </w:r>
    </w:p>
    <w:p w14:paraId="17CC5793" w14:textId="77777777" w:rsidR="0022665C" w:rsidRDefault="00000000">
      <w:pPr>
        <w:adjustRightInd w:val="0"/>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4.本合同一式捌份，甲、乙双方各执肆份。</w:t>
      </w:r>
    </w:p>
    <w:p w14:paraId="15485B33" w14:textId="77777777" w:rsidR="0022665C" w:rsidRDefault="00000000">
      <w:pPr>
        <w:adjustRightInd w:val="0"/>
        <w:spacing w:line="440" w:lineRule="atLeast"/>
        <w:ind w:firstLineChars="200" w:firstLine="420"/>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5.本合同自双方法定代表人或授权代表签字并加盖公章（或合同章）后生效，双方履行完本合同规定的义务后，本合同即行终止。</w:t>
      </w:r>
    </w:p>
    <w:p w14:paraId="13DF813B" w14:textId="77777777" w:rsidR="0022665C" w:rsidRDefault="0022665C">
      <w:pPr>
        <w:pStyle w:val="a9"/>
        <w:spacing w:line="440" w:lineRule="atLeast"/>
        <w:ind w:left="1600" w:firstLine="640"/>
      </w:pPr>
    </w:p>
    <w:p w14:paraId="006D75C6" w14:textId="77777777" w:rsidR="0022665C" w:rsidRDefault="00000000">
      <w:pPr>
        <w:spacing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（此页以下无正文）</w:t>
      </w:r>
    </w:p>
    <w:p w14:paraId="024BEF65" w14:textId="77777777" w:rsidR="0022665C" w:rsidRDefault="00000000">
      <w:pPr>
        <w:pStyle w:val="aff"/>
        <w:spacing w:line="440" w:lineRule="atLeast"/>
        <w:ind w:firstLine="210"/>
        <w:rPr>
          <w:rFonts w:ascii="微软雅黑" w:eastAsia="微软雅黑" w:hAnsi="微软雅黑" w:cs="微软雅黑" w:hint="eastAsia"/>
          <w:sz w:val="21"/>
          <w:szCs w:val="21"/>
        </w:rPr>
      </w:pPr>
      <w:r>
        <w:rPr>
          <w:rFonts w:ascii="微软雅黑" w:eastAsia="微软雅黑" w:hAnsi="微软雅黑" w:cs="微软雅黑" w:hint="eastAsia"/>
          <w:sz w:val="21"/>
          <w:szCs w:val="21"/>
        </w:rPr>
        <w:t>甲方（盖章）：</w:t>
      </w:r>
    </w:p>
    <w:p w14:paraId="362BAD97" w14:textId="77777777" w:rsidR="0022665C" w:rsidRDefault="00000000">
      <w:pPr>
        <w:pStyle w:val="aff"/>
        <w:spacing w:line="440" w:lineRule="atLeast"/>
        <w:ind w:firstLine="210"/>
        <w:rPr>
          <w:rFonts w:ascii="微软雅黑" w:eastAsia="微软雅黑" w:hAnsi="微软雅黑" w:cs="微软雅黑" w:hint="eastAsia"/>
          <w:sz w:val="21"/>
          <w:szCs w:val="21"/>
        </w:rPr>
      </w:pPr>
      <w:r>
        <w:rPr>
          <w:rFonts w:ascii="微软雅黑" w:eastAsia="微软雅黑" w:hAnsi="微软雅黑" w:cs="微软雅黑" w:hint="eastAsia"/>
          <w:sz w:val="21"/>
          <w:szCs w:val="21"/>
        </w:rPr>
        <w:t>法定代表人或授权代表：</w:t>
      </w:r>
    </w:p>
    <w:p w14:paraId="44AF4C29" w14:textId="77777777" w:rsidR="0022665C" w:rsidRDefault="00000000">
      <w:pPr>
        <w:pStyle w:val="aff"/>
        <w:spacing w:line="440" w:lineRule="atLeast"/>
        <w:ind w:firstLine="210"/>
        <w:rPr>
          <w:rFonts w:ascii="微软雅黑" w:eastAsia="微软雅黑" w:hAnsi="微软雅黑" w:cs="微软雅黑" w:hint="eastAsia"/>
          <w:sz w:val="21"/>
          <w:szCs w:val="21"/>
        </w:rPr>
      </w:pPr>
      <w:r>
        <w:rPr>
          <w:rFonts w:ascii="微软雅黑" w:eastAsia="微软雅黑" w:hAnsi="微软雅黑" w:cs="微软雅黑" w:hint="eastAsia"/>
          <w:sz w:val="21"/>
          <w:szCs w:val="21"/>
        </w:rPr>
        <w:t>签约日期：   年  月  日</w:t>
      </w:r>
    </w:p>
    <w:p w14:paraId="1409AB5F" w14:textId="77777777" w:rsidR="0022665C" w:rsidRDefault="00000000">
      <w:pPr>
        <w:pStyle w:val="aff"/>
        <w:spacing w:line="440" w:lineRule="atLeast"/>
        <w:ind w:firstLine="210"/>
        <w:rPr>
          <w:rFonts w:ascii="微软雅黑" w:eastAsia="微软雅黑" w:hAnsi="微软雅黑" w:cs="微软雅黑" w:hint="eastAsia"/>
          <w:sz w:val="21"/>
          <w:szCs w:val="21"/>
        </w:rPr>
      </w:pPr>
      <w:r>
        <w:rPr>
          <w:rFonts w:ascii="微软雅黑" w:eastAsia="微软雅黑" w:hAnsi="微软雅黑" w:cs="微软雅黑" w:hint="eastAsia"/>
          <w:sz w:val="21"/>
          <w:szCs w:val="21"/>
        </w:rPr>
        <w:t>乙方（盖章）：</w:t>
      </w:r>
    </w:p>
    <w:p w14:paraId="52001342" w14:textId="77777777" w:rsidR="0022665C" w:rsidRDefault="00000000">
      <w:pPr>
        <w:pStyle w:val="aff"/>
        <w:spacing w:line="440" w:lineRule="atLeast"/>
        <w:ind w:firstLine="210"/>
        <w:rPr>
          <w:rFonts w:ascii="微软雅黑" w:eastAsia="微软雅黑" w:hAnsi="微软雅黑" w:cs="微软雅黑" w:hint="eastAsia"/>
          <w:sz w:val="21"/>
          <w:szCs w:val="21"/>
        </w:rPr>
      </w:pPr>
      <w:r>
        <w:rPr>
          <w:rFonts w:ascii="微软雅黑" w:eastAsia="微软雅黑" w:hAnsi="微软雅黑" w:cs="微软雅黑" w:hint="eastAsia"/>
          <w:sz w:val="21"/>
          <w:szCs w:val="21"/>
        </w:rPr>
        <w:t>法定代表人或授权代表：</w:t>
      </w:r>
    </w:p>
    <w:p w14:paraId="67EFAA35" w14:textId="77777777" w:rsidR="0022665C" w:rsidRDefault="00000000">
      <w:pPr>
        <w:pStyle w:val="aff"/>
        <w:widowControl/>
        <w:spacing w:line="440" w:lineRule="atLeast"/>
        <w:ind w:firstLine="210"/>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 xml:space="preserve">签约日期：   年  月 </w:t>
      </w:r>
    </w:p>
    <w:p w14:paraId="7061AE49" w14:textId="77777777" w:rsidR="0022665C" w:rsidRDefault="0022665C">
      <w:pPr>
        <w:spacing w:line="440" w:lineRule="atLeast"/>
      </w:pPr>
    </w:p>
    <w:p w14:paraId="6E680A19" w14:textId="77777777" w:rsidR="0022665C" w:rsidRDefault="0022665C">
      <w:pPr>
        <w:widowControl/>
        <w:spacing w:line="440" w:lineRule="atLeast"/>
        <w:ind w:firstLineChars="200" w:firstLine="420"/>
        <w:jc w:val="left"/>
        <w:rPr>
          <w:rFonts w:ascii="微软雅黑" w:eastAsia="微软雅黑" w:hAnsi="微软雅黑" w:hint="eastAsia"/>
          <w:sz w:val="21"/>
          <w:szCs w:val="21"/>
        </w:rPr>
      </w:pPr>
    </w:p>
    <w:p w14:paraId="28584A5C" w14:textId="77777777" w:rsidR="0022665C" w:rsidRDefault="0022665C">
      <w:pPr>
        <w:pStyle w:val="a9"/>
        <w:spacing w:line="440" w:lineRule="atLeast"/>
        <w:ind w:left="1540" w:firstLine="420"/>
        <w:rPr>
          <w:rFonts w:ascii="微软雅黑" w:eastAsia="微软雅黑" w:hAnsi="微软雅黑" w:hint="eastAsia"/>
          <w:sz w:val="21"/>
          <w:szCs w:val="21"/>
        </w:rPr>
      </w:pPr>
    </w:p>
    <w:p w14:paraId="5E2966D7" w14:textId="77777777" w:rsidR="0022665C" w:rsidRDefault="00000000">
      <w:pPr>
        <w:widowControl/>
        <w:spacing w:line="440" w:lineRule="atLeast"/>
        <w:ind w:firstLine="480"/>
        <w:jc w:val="left"/>
        <w:rPr>
          <w:rFonts w:ascii="微软雅黑" w:eastAsia="微软雅黑" w:hAnsi="微软雅黑" w:hint="eastAsia"/>
          <w:b/>
          <w:bCs/>
          <w:sz w:val="24"/>
          <w:szCs w:val="24"/>
        </w:rPr>
      </w:pPr>
      <w:r>
        <w:rPr>
          <w:rFonts w:ascii="微软雅黑" w:eastAsia="微软雅黑" w:hAnsi="微软雅黑"/>
          <w:b/>
          <w:bCs/>
          <w:sz w:val="24"/>
          <w:szCs w:val="24"/>
        </w:rPr>
        <w:br w:type="page"/>
      </w:r>
    </w:p>
    <w:p w14:paraId="755B2184" w14:textId="77777777" w:rsidR="0022665C" w:rsidRDefault="00000000">
      <w:pPr>
        <w:pStyle w:val="a9"/>
        <w:spacing w:line="440" w:lineRule="atLeast"/>
        <w:ind w:firstLine="480"/>
        <w:rPr>
          <w:rFonts w:ascii="微软雅黑" w:eastAsia="微软雅黑" w:hAnsi="微软雅黑" w:hint="eastAsia"/>
          <w:b/>
          <w:bCs/>
          <w:sz w:val="24"/>
          <w:szCs w:val="24"/>
        </w:rPr>
      </w:pPr>
      <w:r>
        <w:rPr>
          <w:rFonts w:ascii="微软雅黑" w:eastAsia="微软雅黑" w:hAnsi="微软雅黑" w:hint="eastAsia"/>
          <w:b/>
          <w:bCs/>
          <w:sz w:val="24"/>
          <w:szCs w:val="24"/>
        </w:rPr>
        <w:t>附件1 ：</w:t>
      </w:r>
    </w:p>
    <w:p w14:paraId="4421B5DF" w14:textId="77777777" w:rsidR="0022665C" w:rsidRDefault="00000000">
      <w:pPr>
        <w:widowControl/>
        <w:spacing w:line="440" w:lineRule="atLeast"/>
        <w:ind w:firstLineChars="200" w:firstLine="480"/>
        <w:jc w:val="center"/>
        <w:rPr>
          <w:rFonts w:ascii="微软雅黑" w:eastAsia="微软雅黑" w:hAnsi="微软雅黑" w:hint="eastAsia"/>
          <w:b/>
          <w:bCs/>
          <w:sz w:val="24"/>
          <w:szCs w:val="24"/>
        </w:rPr>
      </w:pPr>
      <w:r>
        <w:rPr>
          <w:rFonts w:ascii="微软雅黑" w:eastAsia="微软雅黑" w:hAnsi="微软雅黑" w:hint="eastAsia"/>
          <w:b/>
          <w:bCs/>
          <w:sz w:val="24"/>
          <w:szCs w:val="24"/>
        </w:rPr>
        <w:t>廉洁履约承诺书</w:t>
      </w:r>
    </w:p>
    <w:p w14:paraId="5C4AFBA9"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为贯彻《中华人民共和国政府采购法》《政府采购质疑和投诉办法》等相关政策法规要求，营造风清气正的行业风气、净化生态环境信息化市场环境、反不正当竞争，弘扬社会正气、自觉维护行业形象，恪守职业道德。在本项目履约期间作出如下承诺：</w:t>
      </w:r>
    </w:p>
    <w:p w14:paraId="43A55F75"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一、严格履行合同约定，秉承专业态度为甲方提供高质量的产品与服务，不与甲方进行不当往来，包括但不限于宴请甲方项目相关人员、安排甲方项目相关人员旅游、娱乐、消费等，向甲方项目相关人员送礼品、礼金、有价证券和各类商业预付卡、购物卡、电子提货券、微信红包等，不出现影响甲方及其工作人员公正履行职责的其他违规行为。一经发现有上述行为，被甲方拒绝或者制止的，愿意接受甲方警告、公开通报批评的处理。</w:t>
      </w:r>
    </w:p>
    <w:p w14:paraId="3A4BD5E9"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二、若本公司及相关人员发生上述行为，致使甲方单位形象受损或者相关人员被组织调查处理的，本公司将无条件承担因不当行为而造成的结果，严肃处理不当行为人员，并愿意接受甲方提出的履约绩效或项目验收扣款要求。</w:t>
      </w:r>
    </w:p>
    <w:p w14:paraId="0A5A0D49"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三、本公司相关人员因为上述违反廉洁承诺的不当行为涉案，受到行政或者刑事处罚，愿意配合甲方依法依规解除合同，并赔偿由此对甲方造成的经济损失（包括但不限于诉讼费、仲裁费、律师费等）。</w:t>
      </w:r>
    </w:p>
    <w:p w14:paraId="3BBC617E"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如发生以上任何行为，愿意承担违约责任并接受甲方的处理，积极配合甲方按照有关规定追究相关人员责任。上述承诺为合同履行不可分割的一部分，将列作合同附件。承诺人需仔细阅读后作出承诺，并保证严格遵照执行。</w:t>
      </w:r>
    </w:p>
    <w:p w14:paraId="44F4EC8D" w14:textId="77777777" w:rsidR="0022665C" w:rsidRDefault="0022665C">
      <w:pPr>
        <w:widowControl/>
        <w:spacing w:line="440" w:lineRule="atLeast"/>
        <w:ind w:firstLineChars="200" w:firstLine="420"/>
        <w:jc w:val="left"/>
        <w:rPr>
          <w:rFonts w:ascii="微软雅黑" w:eastAsia="微软雅黑" w:hAnsi="微软雅黑" w:hint="eastAsia"/>
          <w:sz w:val="21"/>
          <w:szCs w:val="21"/>
        </w:rPr>
      </w:pPr>
    </w:p>
    <w:p w14:paraId="0323A588" w14:textId="77777777" w:rsidR="0022665C" w:rsidRDefault="00000000">
      <w:pPr>
        <w:widowControl/>
        <w:spacing w:line="440" w:lineRule="atLeast"/>
        <w:ind w:firstLineChars="1900" w:firstLine="3990"/>
        <w:jc w:val="left"/>
        <w:rPr>
          <w:rFonts w:ascii="微软雅黑" w:eastAsia="微软雅黑" w:hAnsi="微软雅黑" w:hint="eastAsia"/>
          <w:sz w:val="21"/>
          <w:szCs w:val="21"/>
        </w:rPr>
      </w:pPr>
      <w:r>
        <w:rPr>
          <w:rFonts w:ascii="微软雅黑" w:eastAsia="微软雅黑" w:hAnsi="微软雅黑" w:hint="eastAsia"/>
          <w:sz w:val="21"/>
          <w:szCs w:val="21"/>
        </w:rPr>
        <w:t>承诺人（加盖公章和法人签章）</w:t>
      </w:r>
    </w:p>
    <w:p w14:paraId="099210C0" w14:textId="77777777" w:rsidR="0022665C" w:rsidRDefault="00000000">
      <w:pPr>
        <w:widowControl/>
        <w:spacing w:line="440" w:lineRule="atLeast"/>
        <w:ind w:firstLineChars="2300" w:firstLine="4830"/>
        <w:jc w:val="left"/>
        <w:rPr>
          <w:rFonts w:ascii="微软雅黑" w:eastAsia="微软雅黑" w:hAnsi="微软雅黑" w:hint="eastAsia"/>
          <w:sz w:val="21"/>
          <w:szCs w:val="21"/>
        </w:rPr>
      </w:pPr>
      <w:r>
        <w:rPr>
          <w:rFonts w:ascii="微软雅黑" w:eastAsia="微软雅黑" w:hAnsi="微软雅黑" w:hint="eastAsia"/>
          <w:sz w:val="21"/>
          <w:szCs w:val="21"/>
        </w:rPr>
        <w:t>承诺日期：</w:t>
      </w:r>
    </w:p>
    <w:p w14:paraId="43994E06" w14:textId="77777777" w:rsidR="0022665C" w:rsidRDefault="0022665C">
      <w:pPr>
        <w:pStyle w:val="a9"/>
        <w:spacing w:line="440" w:lineRule="atLeast"/>
        <w:ind w:left="1600" w:firstLine="640"/>
      </w:pPr>
    </w:p>
    <w:p w14:paraId="6B531675" w14:textId="77777777" w:rsidR="0022665C" w:rsidRDefault="0022665C">
      <w:pPr>
        <w:widowControl/>
        <w:spacing w:line="440" w:lineRule="atLeast"/>
        <w:jc w:val="left"/>
        <w:rPr>
          <w:rFonts w:ascii="微软雅黑" w:eastAsia="微软雅黑" w:hAnsi="微软雅黑" w:hint="eastAsia"/>
          <w:sz w:val="21"/>
          <w:szCs w:val="21"/>
        </w:rPr>
      </w:pPr>
    </w:p>
    <w:p w14:paraId="6D9172B3" w14:textId="77777777" w:rsidR="0022665C" w:rsidRDefault="0022665C">
      <w:pPr>
        <w:widowControl/>
        <w:spacing w:line="440" w:lineRule="atLeast"/>
        <w:jc w:val="left"/>
        <w:rPr>
          <w:rFonts w:ascii="微软雅黑" w:eastAsia="微软雅黑" w:hAnsi="微软雅黑" w:hint="eastAsia"/>
          <w:sz w:val="21"/>
          <w:szCs w:val="21"/>
        </w:rPr>
      </w:pPr>
    </w:p>
    <w:p w14:paraId="7FEA21F4" w14:textId="77777777" w:rsidR="0022665C" w:rsidRDefault="0022665C">
      <w:pPr>
        <w:widowControl/>
        <w:spacing w:line="440" w:lineRule="atLeast"/>
        <w:jc w:val="left"/>
        <w:rPr>
          <w:rFonts w:ascii="微软雅黑" w:eastAsia="微软雅黑" w:hAnsi="微软雅黑" w:hint="eastAsia"/>
          <w:sz w:val="21"/>
          <w:szCs w:val="21"/>
        </w:rPr>
      </w:pPr>
    </w:p>
    <w:p w14:paraId="54258141" w14:textId="77777777" w:rsidR="0022665C" w:rsidRDefault="00000000">
      <w:pPr>
        <w:widowControl/>
        <w:spacing w:line="440" w:lineRule="atLeast"/>
        <w:ind w:firstLine="480"/>
        <w:jc w:val="left"/>
        <w:rPr>
          <w:rFonts w:ascii="微软雅黑" w:eastAsia="微软雅黑" w:hAnsi="微软雅黑" w:hint="eastAsia"/>
          <w:b/>
          <w:bCs/>
          <w:sz w:val="24"/>
          <w:szCs w:val="24"/>
        </w:rPr>
      </w:pPr>
      <w:r>
        <w:rPr>
          <w:rFonts w:ascii="微软雅黑" w:eastAsia="微软雅黑" w:hAnsi="微软雅黑"/>
          <w:b/>
          <w:bCs/>
          <w:sz w:val="24"/>
          <w:szCs w:val="24"/>
        </w:rPr>
        <w:br w:type="page"/>
      </w:r>
    </w:p>
    <w:p w14:paraId="3DDC7EF1" w14:textId="77777777" w:rsidR="0022665C" w:rsidRDefault="00000000">
      <w:pPr>
        <w:pStyle w:val="a9"/>
        <w:spacing w:line="440" w:lineRule="atLeast"/>
        <w:ind w:firstLine="480"/>
        <w:rPr>
          <w:rFonts w:ascii="微软雅黑" w:eastAsia="微软雅黑" w:hAnsi="微软雅黑" w:hint="eastAsia"/>
          <w:b/>
          <w:bCs/>
          <w:sz w:val="24"/>
          <w:szCs w:val="24"/>
        </w:rPr>
      </w:pPr>
      <w:r>
        <w:rPr>
          <w:rFonts w:ascii="微软雅黑" w:eastAsia="微软雅黑" w:hAnsi="微软雅黑" w:hint="eastAsia"/>
          <w:b/>
          <w:bCs/>
          <w:sz w:val="24"/>
          <w:szCs w:val="24"/>
        </w:rPr>
        <w:t>附件2 ：</w:t>
      </w:r>
    </w:p>
    <w:p w14:paraId="4EFEC5B5" w14:textId="77777777" w:rsidR="0022665C" w:rsidRDefault="00000000">
      <w:pPr>
        <w:widowControl/>
        <w:spacing w:line="440" w:lineRule="atLeast"/>
        <w:ind w:firstLineChars="200" w:firstLine="480"/>
        <w:jc w:val="center"/>
        <w:rPr>
          <w:rFonts w:ascii="微软雅黑" w:eastAsia="微软雅黑" w:hAnsi="微软雅黑" w:hint="eastAsia"/>
          <w:b/>
          <w:bCs/>
          <w:sz w:val="24"/>
          <w:szCs w:val="24"/>
        </w:rPr>
      </w:pPr>
      <w:r>
        <w:rPr>
          <w:rFonts w:ascii="微软雅黑" w:eastAsia="微软雅黑" w:hAnsi="微软雅黑" w:hint="eastAsia"/>
          <w:b/>
          <w:bCs/>
          <w:sz w:val="24"/>
          <w:szCs w:val="24"/>
        </w:rPr>
        <w:t>安全保密协议</w:t>
      </w:r>
    </w:p>
    <w:p w14:paraId="1EF388A6"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双方就本项目实施期间及项目完成后乙方保守甲方信息秘密等相关事项，签订本保密协议。</w:t>
      </w:r>
    </w:p>
    <w:p w14:paraId="7FCDFE40"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1. 需要保密的信息：见本项目招标文件</w:t>
      </w:r>
    </w:p>
    <w:p w14:paraId="1C9FD510"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 保密责任</w:t>
      </w:r>
    </w:p>
    <w:p w14:paraId="3ABD8B5F"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2.1 乙方应采取完备的方法对所有来自甲方的以上信息严格保密，包括严格的管理措施、有效的技术手段和严密的操作规程。</w:t>
      </w:r>
    </w:p>
    <w:p w14:paraId="14989D12"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2.2 乙方应与参与本项目的人员签订保密协议，保证其工作人员、主管负责人或代理人不对外披露或散布保密信息而违反本合同的条款，保密协议副本和人员资料送甲方备案。</w:t>
      </w:r>
    </w:p>
    <w:p w14:paraId="3DCE820C"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2.3 乙方应建立内部“防火墙”制度，保证接触本项目的工作人员、主管负责人之外的其他人员无法知悉涉及甲方的任何保密信息。</w:t>
      </w:r>
    </w:p>
    <w:p w14:paraId="365FDD47"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2.4 乙方承诺对相关信息的使用仅限于本项目范围，并保证不将信息泄露给第三方。乙方在实施（完成）本项目过程中遇到的问题以及双方研究的解决意见、建议、设想和解决方案，除乙方参与本项目的工作人员以外，不得向其他任何第三方泄露。</w:t>
      </w:r>
    </w:p>
    <w:p w14:paraId="16B8BB3F"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2.5 乙方有义务接受甲方的保密检查并按照甲方的要求进行整改。若整改无效，视为乙方违约，甲方有权终止合同，并有权要求乙方按照本合同约定支付违约金，由此产生的一切费用和损失由乙方承担。</w:t>
      </w:r>
    </w:p>
    <w:p w14:paraId="47F41A2E"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2.6 因乙方违反本协议导致甲方秘密泄露且造成甲方利益受损，乙方须承担因此而引发的全部法律责任。</w:t>
      </w:r>
    </w:p>
    <w:p w14:paraId="7A9D3CAF"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3. 其他</w:t>
      </w:r>
    </w:p>
    <w:p w14:paraId="7D2E0DF1"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3.1 本协议签订后立即生效，本协议项下履行保密义务的期限自本协议签订至保密信息经合法途径成为公开信息之前持续有效。</w:t>
      </w:r>
    </w:p>
    <w:p w14:paraId="6AD9C6DE"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3.2 若乙方违反保密责任，应当赔偿给甲方造成的全部经济损失，并且应当承担包括但不限于甲方为了维权而支付的律师费、诉讼费、仲裁费等。</w:t>
      </w:r>
    </w:p>
    <w:p w14:paraId="3FAF1747"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3.3 因本保密协议发生纠纷，任何一方可以向甲方所在地有管辖权的人民法院提起诉讼。</w:t>
      </w:r>
    </w:p>
    <w:p w14:paraId="3B1CD689"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 xml:space="preserve">甲方： </w:t>
      </w:r>
      <w:r>
        <w:rPr>
          <w:rFonts w:ascii="微软雅黑" w:eastAsia="微软雅黑" w:hAnsi="微软雅黑"/>
          <w:sz w:val="21"/>
          <w:szCs w:val="21"/>
        </w:rPr>
        <w:t xml:space="preserve">                           </w:t>
      </w:r>
      <w:r>
        <w:rPr>
          <w:rFonts w:ascii="微软雅黑" w:eastAsia="微软雅黑" w:hAnsi="微软雅黑" w:hint="eastAsia"/>
          <w:sz w:val="21"/>
          <w:szCs w:val="21"/>
        </w:rPr>
        <w:t xml:space="preserve"> </w:t>
      </w:r>
      <w:r>
        <w:rPr>
          <w:rFonts w:ascii="微软雅黑" w:eastAsia="微软雅黑" w:hAnsi="微软雅黑"/>
          <w:sz w:val="21"/>
          <w:szCs w:val="21"/>
        </w:rPr>
        <w:t xml:space="preserve"> </w:t>
      </w:r>
      <w:r>
        <w:rPr>
          <w:rFonts w:ascii="微软雅黑" w:eastAsia="微软雅黑" w:hAnsi="微软雅黑" w:hint="eastAsia"/>
          <w:sz w:val="21"/>
          <w:szCs w:val="21"/>
        </w:rPr>
        <w:t>乙方：</w:t>
      </w:r>
    </w:p>
    <w:p w14:paraId="5C5F1425"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 xml:space="preserve">签字（盖章）： </w:t>
      </w:r>
      <w:r>
        <w:rPr>
          <w:rFonts w:ascii="微软雅黑" w:eastAsia="微软雅黑" w:hAnsi="微软雅黑"/>
          <w:sz w:val="21"/>
          <w:szCs w:val="21"/>
        </w:rPr>
        <w:t xml:space="preserve">                       </w:t>
      </w:r>
      <w:r>
        <w:rPr>
          <w:rFonts w:ascii="微软雅黑" w:eastAsia="微软雅黑" w:hAnsi="微软雅黑" w:hint="eastAsia"/>
          <w:sz w:val="21"/>
          <w:szCs w:val="21"/>
        </w:rPr>
        <w:t>签字（盖章）：</w:t>
      </w:r>
    </w:p>
    <w:p w14:paraId="4694A921" w14:textId="77777777" w:rsidR="0022665C" w:rsidRDefault="00000000">
      <w:pPr>
        <w:widowControl/>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 xml:space="preserve">年 月 日 </w:t>
      </w:r>
      <w:r>
        <w:rPr>
          <w:rFonts w:ascii="微软雅黑" w:eastAsia="微软雅黑" w:hAnsi="微软雅黑"/>
          <w:sz w:val="21"/>
          <w:szCs w:val="21"/>
        </w:rPr>
        <w:t xml:space="preserve">                            </w:t>
      </w:r>
      <w:r>
        <w:rPr>
          <w:rFonts w:ascii="微软雅黑" w:eastAsia="微软雅黑" w:hAnsi="微软雅黑" w:hint="eastAsia"/>
          <w:sz w:val="21"/>
          <w:szCs w:val="21"/>
        </w:rPr>
        <w:t>年 月 日</w:t>
      </w:r>
    </w:p>
    <w:p w14:paraId="50294116" w14:textId="77777777" w:rsidR="0022665C" w:rsidRDefault="0022665C">
      <w:pPr>
        <w:pStyle w:val="a9"/>
        <w:spacing w:line="440" w:lineRule="atLeast"/>
        <w:ind w:left="1540" w:firstLine="420"/>
        <w:rPr>
          <w:rFonts w:ascii="微软雅黑" w:eastAsia="微软雅黑" w:hAnsi="微软雅黑" w:hint="eastAsia"/>
          <w:sz w:val="21"/>
          <w:szCs w:val="21"/>
        </w:rPr>
      </w:pPr>
    </w:p>
    <w:p w14:paraId="59B2CA9F" w14:textId="77777777" w:rsidR="0022665C" w:rsidRDefault="00000000">
      <w:pPr>
        <w:widowControl/>
        <w:spacing w:line="440" w:lineRule="atLeast"/>
        <w:ind w:firstLine="480"/>
        <w:jc w:val="left"/>
        <w:rPr>
          <w:rFonts w:ascii="微软雅黑" w:eastAsia="微软雅黑" w:hAnsi="微软雅黑" w:hint="eastAsia"/>
          <w:b/>
          <w:bCs/>
          <w:sz w:val="24"/>
          <w:szCs w:val="24"/>
        </w:rPr>
      </w:pPr>
      <w:r>
        <w:rPr>
          <w:rFonts w:ascii="微软雅黑" w:eastAsia="微软雅黑" w:hAnsi="微软雅黑"/>
          <w:b/>
          <w:bCs/>
          <w:sz w:val="24"/>
          <w:szCs w:val="24"/>
        </w:rPr>
        <w:br w:type="page"/>
      </w:r>
    </w:p>
    <w:p w14:paraId="3B14299A" w14:textId="77777777" w:rsidR="0022665C" w:rsidRDefault="00000000">
      <w:pPr>
        <w:pStyle w:val="a9"/>
        <w:spacing w:line="440" w:lineRule="atLeast"/>
        <w:ind w:firstLine="480"/>
        <w:rPr>
          <w:rFonts w:ascii="微软雅黑" w:eastAsia="微软雅黑" w:hAnsi="微软雅黑" w:hint="eastAsia"/>
          <w:b/>
          <w:bCs/>
          <w:sz w:val="24"/>
          <w:szCs w:val="24"/>
        </w:rPr>
      </w:pPr>
      <w:r>
        <w:rPr>
          <w:rFonts w:ascii="微软雅黑" w:eastAsia="微软雅黑" w:hAnsi="微软雅黑" w:hint="eastAsia"/>
          <w:b/>
          <w:bCs/>
          <w:sz w:val="24"/>
          <w:szCs w:val="24"/>
        </w:rPr>
        <w:t>附件3：</w:t>
      </w:r>
    </w:p>
    <w:p w14:paraId="0F8CCBBF" w14:textId="77777777" w:rsidR="0022665C" w:rsidRDefault="00000000">
      <w:pPr>
        <w:spacing w:line="440" w:lineRule="atLeast"/>
        <w:ind w:firstLine="480"/>
        <w:jc w:val="center"/>
        <w:rPr>
          <w:rFonts w:ascii="微软雅黑" w:eastAsia="微软雅黑" w:hAnsi="微软雅黑" w:hint="eastAsia"/>
          <w:b/>
          <w:sz w:val="24"/>
          <w:szCs w:val="24"/>
        </w:rPr>
      </w:pPr>
      <w:r>
        <w:rPr>
          <w:rFonts w:ascii="微软雅黑" w:eastAsia="微软雅黑" w:hAnsi="微软雅黑" w:hint="eastAsia"/>
          <w:b/>
          <w:sz w:val="24"/>
          <w:szCs w:val="24"/>
        </w:rPr>
        <w:t>考核办法</w:t>
      </w:r>
    </w:p>
    <w:p w14:paraId="277106DA" w14:textId="77777777" w:rsidR="0022665C" w:rsidRDefault="00000000">
      <w:pPr>
        <w:pStyle w:val="affa"/>
        <w:spacing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第一条</w:t>
      </w:r>
      <w:r>
        <w:rPr>
          <w:rFonts w:ascii="微软雅黑" w:eastAsia="微软雅黑" w:hAnsi="微软雅黑" w:cs="微软雅黑"/>
          <w:sz w:val="21"/>
          <w:szCs w:val="21"/>
        </w:rPr>
        <w:t xml:space="preserve">  </w:t>
      </w:r>
      <w:r>
        <w:rPr>
          <w:rFonts w:ascii="微软雅黑" w:eastAsia="微软雅黑" w:hAnsi="微软雅黑" w:cs="微软雅黑" w:hint="eastAsia"/>
          <w:sz w:val="21"/>
          <w:szCs w:val="21"/>
        </w:rPr>
        <w:t>为保障</w:t>
      </w:r>
      <w:r>
        <w:rPr>
          <w:rFonts w:ascii="微软雅黑" w:eastAsia="微软雅黑" w:hAnsi="微软雅黑" w:cs="微软雅黑" w:hint="eastAsia"/>
          <w:sz w:val="21"/>
          <w:szCs w:val="21"/>
          <w:lang w:bidi="ar"/>
        </w:rPr>
        <w:t>数字化城市运行和治理中心系统1.0</w:t>
      </w:r>
      <w:r>
        <w:rPr>
          <w:rFonts w:ascii="微软雅黑" w:eastAsia="微软雅黑" w:hAnsi="微软雅黑" w:cs="微软雅黑" w:hint="eastAsia"/>
          <w:sz w:val="21"/>
          <w:szCs w:val="21"/>
        </w:rPr>
        <w:t>（以下简称“系统”）安全稳定运行，达到研发、运用预期目的，落实协议约定合作事项，结合工作实际，制定本办法。</w:t>
      </w:r>
    </w:p>
    <w:p w14:paraId="36208FF8"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cs="微软雅黑" w:hint="eastAsia"/>
          <w:sz w:val="21"/>
          <w:szCs w:val="21"/>
        </w:rPr>
        <w:t>第二条</w:t>
      </w:r>
      <w:r>
        <w:rPr>
          <w:rFonts w:ascii="微软雅黑" w:eastAsia="微软雅黑" w:hAnsi="微软雅黑" w:cs="微软雅黑"/>
          <w:sz w:val="21"/>
          <w:szCs w:val="21"/>
        </w:rPr>
        <w:t xml:space="preserve">  </w:t>
      </w:r>
      <w:r>
        <w:rPr>
          <w:rFonts w:ascii="微软雅黑" w:eastAsia="微软雅黑" w:hAnsi="微软雅黑"/>
          <w:sz w:val="21"/>
          <w:szCs w:val="21"/>
        </w:rPr>
        <w:t>考核内容包括</w:t>
      </w:r>
      <w:r>
        <w:rPr>
          <w:rFonts w:ascii="微软雅黑" w:eastAsia="微软雅黑" w:hAnsi="微软雅黑" w:cs="微软雅黑" w:hint="eastAsia"/>
          <w:bCs/>
          <w:sz w:val="21"/>
          <w:szCs w:val="21"/>
        </w:rPr>
        <w:t>重大安全事故情形、</w:t>
      </w:r>
      <w:r>
        <w:rPr>
          <w:rFonts w:ascii="微软雅黑" w:eastAsia="微软雅黑" w:hAnsi="微软雅黑" w:hint="eastAsia"/>
          <w:sz w:val="21"/>
          <w:szCs w:val="21"/>
        </w:rPr>
        <w:t>开发建设时间、</w:t>
      </w:r>
      <w:r>
        <w:rPr>
          <w:rFonts w:ascii="微软雅黑" w:eastAsia="微软雅黑" w:hAnsi="微软雅黑"/>
          <w:sz w:val="21"/>
          <w:szCs w:val="21"/>
        </w:rPr>
        <w:t>质量</w:t>
      </w:r>
      <w:r>
        <w:rPr>
          <w:rFonts w:ascii="微软雅黑" w:eastAsia="微软雅黑" w:hAnsi="微软雅黑" w:hint="eastAsia"/>
          <w:sz w:val="21"/>
          <w:szCs w:val="21"/>
        </w:rPr>
        <w:t>考核（包含</w:t>
      </w:r>
      <w:r>
        <w:rPr>
          <w:rFonts w:ascii="微软雅黑" w:eastAsia="微软雅黑" w:hAnsi="微软雅黑"/>
          <w:sz w:val="21"/>
          <w:szCs w:val="21"/>
        </w:rPr>
        <w:t>系统安全稳定运行、安全管理</w:t>
      </w:r>
      <w:r>
        <w:rPr>
          <w:rFonts w:ascii="微软雅黑" w:eastAsia="微软雅黑" w:hAnsi="微软雅黑" w:hint="eastAsia"/>
          <w:sz w:val="21"/>
          <w:szCs w:val="21"/>
        </w:rPr>
        <w:t>等）、</w:t>
      </w:r>
      <w:r>
        <w:rPr>
          <w:rFonts w:ascii="微软雅黑" w:eastAsia="微软雅黑" w:hAnsi="微软雅黑"/>
          <w:sz w:val="21"/>
          <w:szCs w:val="21"/>
        </w:rPr>
        <w:t>技术服务</w:t>
      </w:r>
      <w:r>
        <w:rPr>
          <w:rFonts w:ascii="微软雅黑" w:eastAsia="微软雅黑" w:hAnsi="微软雅黑" w:hint="eastAsia"/>
          <w:sz w:val="21"/>
          <w:szCs w:val="21"/>
        </w:rPr>
        <w:t>、</w:t>
      </w:r>
      <w:r>
        <w:rPr>
          <w:rFonts w:ascii="微软雅黑" w:eastAsia="微软雅黑" w:hAnsi="微软雅黑"/>
          <w:sz w:val="21"/>
          <w:szCs w:val="21"/>
        </w:rPr>
        <w:t>满意度等</w:t>
      </w:r>
      <w:r>
        <w:rPr>
          <w:rFonts w:ascii="微软雅黑" w:eastAsia="微软雅黑" w:hAnsi="微软雅黑" w:hint="eastAsia"/>
          <w:sz w:val="21"/>
          <w:szCs w:val="21"/>
        </w:rPr>
        <w:t>5</w:t>
      </w:r>
      <w:r>
        <w:rPr>
          <w:rFonts w:ascii="微软雅黑" w:eastAsia="微软雅黑" w:hAnsi="微软雅黑"/>
          <w:sz w:val="21"/>
          <w:szCs w:val="21"/>
        </w:rPr>
        <w:t>个方面</w:t>
      </w:r>
      <w:r>
        <w:rPr>
          <w:rFonts w:ascii="微软雅黑" w:eastAsia="微软雅黑" w:hAnsi="微软雅黑" w:cs="微软雅黑" w:hint="eastAsia"/>
          <w:sz w:val="21"/>
          <w:szCs w:val="21"/>
        </w:rPr>
        <w:t>（具体详见《考核评分表》），并可根据系统服务内容及相关工作要求具体明确与适当调整。</w:t>
      </w:r>
    </w:p>
    <w:p w14:paraId="1A3FEE78" w14:textId="77777777" w:rsidR="0022665C" w:rsidRDefault="00000000">
      <w:pPr>
        <w:pStyle w:val="affa"/>
        <w:spacing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第三条</w:t>
      </w:r>
      <w:r>
        <w:rPr>
          <w:rFonts w:ascii="微软雅黑" w:eastAsia="微软雅黑" w:hAnsi="微软雅黑" w:cs="微软雅黑"/>
          <w:sz w:val="21"/>
          <w:szCs w:val="21"/>
        </w:rPr>
        <w:t xml:space="preserve">  </w:t>
      </w:r>
      <w:r>
        <w:rPr>
          <w:rFonts w:ascii="微软雅黑" w:eastAsia="微软雅黑" w:hAnsi="微软雅黑" w:cs="微软雅黑" w:hint="eastAsia"/>
          <w:sz w:val="21"/>
          <w:szCs w:val="21"/>
        </w:rPr>
        <w:t>采购人和中标人双方应明确专人负责本项目的相关联系协调工作，涉及重大安全事故、加扣分情形，以双方工作人员确认书面文书作为考核依据。</w:t>
      </w:r>
    </w:p>
    <w:p w14:paraId="21AC2F1D" w14:textId="77777777" w:rsidR="0022665C" w:rsidRDefault="00000000">
      <w:pPr>
        <w:pStyle w:val="affa"/>
        <w:spacing w:line="440" w:lineRule="atLeast"/>
        <w:rPr>
          <w:rFonts w:ascii="微软雅黑" w:eastAsia="微软雅黑" w:hAnsi="微软雅黑" w:cs="微软雅黑" w:hint="eastAsia"/>
          <w:sz w:val="21"/>
          <w:szCs w:val="21"/>
        </w:rPr>
      </w:pPr>
      <w:r>
        <w:rPr>
          <w:rFonts w:ascii="微软雅黑" w:eastAsia="微软雅黑" w:hAnsi="微软雅黑" w:cs="微软雅黑" w:hint="eastAsia"/>
          <w:sz w:val="21"/>
          <w:szCs w:val="21"/>
        </w:rPr>
        <w:t>第四条</w:t>
      </w:r>
      <w:r>
        <w:rPr>
          <w:rFonts w:ascii="微软雅黑" w:eastAsia="微软雅黑" w:hAnsi="微软雅黑" w:cs="微软雅黑"/>
          <w:sz w:val="21"/>
          <w:szCs w:val="21"/>
        </w:rPr>
        <w:t xml:space="preserve">  </w:t>
      </w:r>
      <w:r>
        <w:rPr>
          <w:rFonts w:ascii="微软雅黑" w:eastAsia="微软雅黑" w:hAnsi="微软雅黑" w:cs="微软雅黑" w:hint="eastAsia"/>
          <w:sz w:val="21"/>
          <w:szCs w:val="21"/>
        </w:rPr>
        <w:t>其他涉及运行维护考核的未尽事宜，由采购人和中标人协商确定。</w:t>
      </w:r>
    </w:p>
    <w:tbl>
      <w:tblPr>
        <w:tblW w:w="96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095"/>
        <w:gridCol w:w="2063"/>
        <w:gridCol w:w="5761"/>
      </w:tblGrid>
      <w:tr w:rsidR="0022665C" w14:paraId="18A55F5C" w14:textId="77777777">
        <w:trPr>
          <w:jc w:val="center"/>
        </w:trPr>
        <w:tc>
          <w:tcPr>
            <w:tcW w:w="9628" w:type="dxa"/>
            <w:gridSpan w:val="4"/>
            <w:vAlign w:val="center"/>
          </w:tcPr>
          <w:p w14:paraId="659823E1"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
                <w:bCs/>
                <w:sz w:val="21"/>
                <w:szCs w:val="21"/>
              </w:rPr>
              <w:t>考核评分表</w:t>
            </w:r>
          </w:p>
        </w:tc>
      </w:tr>
      <w:tr w:rsidR="0022665C" w14:paraId="34398BD7" w14:textId="77777777">
        <w:trPr>
          <w:jc w:val="center"/>
        </w:trPr>
        <w:tc>
          <w:tcPr>
            <w:tcW w:w="9628" w:type="dxa"/>
            <w:gridSpan w:val="4"/>
            <w:vAlign w:val="center"/>
          </w:tcPr>
          <w:p w14:paraId="1B480020" w14:textId="77777777" w:rsidR="0022665C" w:rsidRDefault="00000000">
            <w:pPr>
              <w:pStyle w:val="affa"/>
              <w:spacing w:line="360" w:lineRule="exact"/>
              <w:ind w:firstLineChars="0" w:firstLine="0"/>
              <w:jc w:val="left"/>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一、重大安全事故情形</w:t>
            </w:r>
          </w:p>
        </w:tc>
      </w:tr>
      <w:tr w:rsidR="0022665C" w14:paraId="01822640" w14:textId="77777777">
        <w:trPr>
          <w:jc w:val="center"/>
        </w:trPr>
        <w:tc>
          <w:tcPr>
            <w:tcW w:w="709" w:type="dxa"/>
            <w:vAlign w:val="center"/>
          </w:tcPr>
          <w:p w14:paraId="1EB68422"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
                <w:sz w:val="21"/>
                <w:szCs w:val="21"/>
              </w:rPr>
              <w:t>序号</w:t>
            </w:r>
          </w:p>
        </w:tc>
        <w:tc>
          <w:tcPr>
            <w:tcW w:w="1095" w:type="dxa"/>
            <w:vAlign w:val="center"/>
          </w:tcPr>
          <w:p w14:paraId="5AF7DBB3"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考核项目</w:t>
            </w:r>
          </w:p>
        </w:tc>
        <w:tc>
          <w:tcPr>
            <w:tcW w:w="2063" w:type="dxa"/>
            <w:vAlign w:val="center"/>
          </w:tcPr>
          <w:p w14:paraId="71B44993"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
                <w:sz w:val="21"/>
                <w:szCs w:val="21"/>
              </w:rPr>
              <w:t>考核内容</w:t>
            </w:r>
          </w:p>
        </w:tc>
        <w:tc>
          <w:tcPr>
            <w:tcW w:w="5761" w:type="dxa"/>
            <w:vAlign w:val="center"/>
          </w:tcPr>
          <w:p w14:paraId="2C778DA8"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
                <w:sz w:val="21"/>
                <w:szCs w:val="21"/>
              </w:rPr>
              <w:t>扣分标准</w:t>
            </w:r>
          </w:p>
        </w:tc>
      </w:tr>
      <w:tr w:rsidR="0022665C" w14:paraId="7E6F9580" w14:textId="77777777">
        <w:trPr>
          <w:jc w:val="center"/>
        </w:trPr>
        <w:tc>
          <w:tcPr>
            <w:tcW w:w="709" w:type="dxa"/>
            <w:vAlign w:val="center"/>
          </w:tcPr>
          <w:p w14:paraId="79020BE9"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1</w:t>
            </w:r>
          </w:p>
        </w:tc>
        <w:tc>
          <w:tcPr>
            <w:tcW w:w="1095" w:type="dxa"/>
            <w:vAlign w:val="center"/>
          </w:tcPr>
          <w:p w14:paraId="5E8FDF5B"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Cs/>
                <w:sz w:val="21"/>
                <w:szCs w:val="21"/>
              </w:rPr>
              <w:t>系统崩溃</w:t>
            </w:r>
          </w:p>
        </w:tc>
        <w:tc>
          <w:tcPr>
            <w:tcW w:w="2063" w:type="dxa"/>
            <w:vAlign w:val="center"/>
          </w:tcPr>
          <w:p w14:paraId="50789939"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Cs/>
                <w:sz w:val="21"/>
                <w:szCs w:val="21"/>
              </w:rPr>
              <w:t>发生系统崩溃、核心功能不可使用</w:t>
            </w:r>
          </w:p>
        </w:tc>
        <w:tc>
          <w:tcPr>
            <w:tcW w:w="5761" w:type="dxa"/>
            <w:vAlign w:val="center"/>
          </w:tcPr>
          <w:p w14:paraId="3D9B0084"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bCs/>
                <w:sz w:val="21"/>
                <w:szCs w:val="21"/>
              </w:rPr>
              <w:t>因中标人单方面原因，导致服务高峰时段（工作日</w:t>
            </w:r>
            <w:r>
              <w:rPr>
                <w:rFonts w:ascii="微软雅黑" w:eastAsia="微软雅黑" w:hAnsi="微软雅黑" w:cs="微软雅黑"/>
                <w:bCs/>
                <w:sz w:val="21"/>
                <w:szCs w:val="21"/>
              </w:rPr>
              <w:t>9:00-18:00</w:t>
            </w:r>
            <w:r>
              <w:rPr>
                <w:rFonts w:ascii="微软雅黑" w:eastAsia="微软雅黑" w:hAnsi="微软雅黑" w:cs="微软雅黑" w:hint="eastAsia"/>
                <w:bCs/>
                <w:sz w:val="21"/>
                <w:szCs w:val="21"/>
              </w:rPr>
              <w:t>）发生系统崩溃、核心功能不可使用，一次超过</w:t>
            </w:r>
            <w:r>
              <w:rPr>
                <w:rFonts w:ascii="微软雅黑" w:eastAsia="微软雅黑" w:hAnsi="微软雅黑" w:cs="微软雅黑"/>
                <w:bCs/>
                <w:sz w:val="21"/>
                <w:szCs w:val="21"/>
              </w:rPr>
              <w:t>2</w:t>
            </w:r>
            <w:r>
              <w:rPr>
                <w:rFonts w:ascii="微软雅黑" w:eastAsia="微软雅黑" w:hAnsi="微软雅黑" w:cs="微软雅黑" w:hint="eastAsia"/>
                <w:bCs/>
                <w:sz w:val="21"/>
                <w:szCs w:val="21"/>
              </w:rPr>
              <w:t>小时的，</w:t>
            </w:r>
            <w:r>
              <w:rPr>
                <w:rFonts w:ascii="微软雅黑" w:eastAsia="微软雅黑" w:hAnsi="微软雅黑" w:cs="微软雅黑" w:hint="eastAsia"/>
                <w:sz w:val="21"/>
                <w:szCs w:val="21"/>
              </w:rPr>
              <w:t>每次扣</w:t>
            </w:r>
            <w:r>
              <w:rPr>
                <w:rFonts w:ascii="微软雅黑" w:eastAsia="微软雅黑" w:hAnsi="微软雅黑" w:cs="微软雅黑"/>
                <w:sz w:val="21"/>
                <w:szCs w:val="21"/>
              </w:rPr>
              <w:t>10</w:t>
            </w:r>
            <w:r>
              <w:rPr>
                <w:rFonts w:ascii="微软雅黑" w:eastAsia="微软雅黑" w:hAnsi="微软雅黑" w:cs="微软雅黑" w:hint="eastAsia"/>
                <w:sz w:val="21"/>
                <w:szCs w:val="21"/>
              </w:rPr>
              <w:t>分。</w:t>
            </w:r>
          </w:p>
        </w:tc>
      </w:tr>
      <w:tr w:rsidR="0022665C" w14:paraId="0D9595B1" w14:textId="77777777">
        <w:trPr>
          <w:jc w:val="center"/>
        </w:trPr>
        <w:tc>
          <w:tcPr>
            <w:tcW w:w="709" w:type="dxa"/>
            <w:vAlign w:val="center"/>
          </w:tcPr>
          <w:p w14:paraId="19C74FA1"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bCs/>
                <w:sz w:val="21"/>
                <w:szCs w:val="21"/>
              </w:rPr>
              <w:t>2</w:t>
            </w:r>
          </w:p>
        </w:tc>
        <w:tc>
          <w:tcPr>
            <w:tcW w:w="1095" w:type="dxa"/>
            <w:vAlign w:val="center"/>
          </w:tcPr>
          <w:p w14:paraId="0E469E58"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sz w:val="21"/>
                <w:szCs w:val="21"/>
              </w:rPr>
              <w:t>恶劣影响</w:t>
            </w:r>
          </w:p>
        </w:tc>
        <w:tc>
          <w:tcPr>
            <w:tcW w:w="2063" w:type="dxa"/>
            <w:vAlign w:val="center"/>
          </w:tcPr>
          <w:p w14:paraId="46355B0D" w14:textId="77777777" w:rsidR="0022665C" w:rsidRDefault="00000000">
            <w:pPr>
              <w:pStyle w:val="affa"/>
              <w:spacing w:line="360" w:lineRule="exact"/>
              <w:ind w:firstLineChars="0" w:firstLine="0"/>
              <w:jc w:val="center"/>
              <w:rPr>
                <w:rFonts w:ascii="微软雅黑" w:eastAsia="微软雅黑" w:hAnsi="微软雅黑" w:cs="微软雅黑" w:hint="eastAsia"/>
                <w:bCs/>
                <w:sz w:val="21"/>
                <w:szCs w:val="21"/>
              </w:rPr>
            </w:pPr>
            <w:r>
              <w:rPr>
                <w:rFonts w:ascii="微软雅黑" w:eastAsia="微软雅黑" w:hAnsi="微软雅黑" w:cs="微软雅黑" w:hint="eastAsia"/>
                <w:sz w:val="21"/>
                <w:szCs w:val="21"/>
              </w:rPr>
              <w:t>造成恶劣影响的</w:t>
            </w:r>
          </w:p>
        </w:tc>
        <w:tc>
          <w:tcPr>
            <w:tcW w:w="5761" w:type="dxa"/>
            <w:vAlign w:val="center"/>
          </w:tcPr>
          <w:p w14:paraId="07F2EDB3"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bCs/>
                <w:sz w:val="21"/>
                <w:szCs w:val="21"/>
              </w:rPr>
              <w:t>因中标人原因，</w:t>
            </w:r>
            <w:r>
              <w:rPr>
                <w:rFonts w:ascii="微软雅黑" w:eastAsia="微软雅黑" w:hAnsi="微软雅黑" w:cs="微软雅黑" w:hint="eastAsia"/>
                <w:sz w:val="21"/>
                <w:szCs w:val="21"/>
              </w:rPr>
              <w:t>被重庆市相关政府部门认定发生重大安全事件，造成恶劣影响的。每次扣2</w:t>
            </w:r>
            <w:r>
              <w:rPr>
                <w:rFonts w:ascii="微软雅黑" w:eastAsia="微软雅黑" w:hAnsi="微软雅黑" w:cs="微软雅黑"/>
                <w:sz w:val="21"/>
                <w:szCs w:val="21"/>
              </w:rPr>
              <w:t>0</w:t>
            </w:r>
            <w:r>
              <w:rPr>
                <w:rFonts w:ascii="微软雅黑" w:eastAsia="微软雅黑" w:hAnsi="微软雅黑" w:cs="微软雅黑" w:hint="eastAsia"/>
                <w:sz w:val="21"/>
                <w:szCs w:val="21"/>
              </w:rPr>
              <w:t>分。</w:t>
            </w:r>
          </w:p>
        </w:tc>
      </w:tr>
      <w:tr w:rsidR="0022665C" w14:paraId="0F47D67C" w14:textId="77777777">
        <w:trPr>
          <w:jc w:val="center"/>
        </w:trPr>
        <w:tc>
          <w:tcPr>
            <w:tcW w:w="9628" w:type="dxa"/>
            <w:gridSpan w:val="4"/>
            <w:vAlign w:val="center"/>
          </w:tcPr>
          <w:p w14:paraId="3E9C5A7A" w14:textId="77777777" w:rsidR="0022665C" w:rsidRDefault="00000000">
            <w:pPr>
              <w:pStyle w:val="affa"/>
              <w:spacing w:line="360" w:lineRule="exact"/>
              <w:ind w:firstLineChars="0" w:firstLine="0"/>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二、</w:t>
            </w:r>
            <w:r>
              <w:rPr>
                <w:rFonts w:ascii="微软雅黑" w:eastAsia="微软雅黑" w:hAnsi="微软雅黑" w:hint="eastAsia"/>
                <w:b/>
                <w:sz w:val="21"/>
                <w:szCs w:val="21"/>
              </w:rPr>
              <w:t>开发建设时间</w:t>
            </w:r>
            <w:r>
              <w:rPr>
                <w:rFonts w:ascii="微软雅黑" w:eastAsia="微软雅黑" w:hAnsi="微软雅黑" w:cs="微软雅黑" w:hint="eastAsia"/>
                <w:b/>
                <w:sz w:val="21"/>
                <w:szCs w:val="21"/>
              </w:rPr>
              <w:t>考核情形</w:t>
            </w:r>
          </w:p>
        </w:tc>
      </w:tr>
      <w:tr w:rsidR="0022665C" w14:paraId="23E99537" w14:textId="77777777">
        <w:trPr>
          <w:jc w:val="center"/>
        </w:trPr>
        <w:tc>
          <w:tcPr>
            <w:tcW w:w="709" w:type="dxa"/>
            <w:vAlign w:val="center"/>
          </w:tcPr>
          <w:p w14:paraId="51FC168E"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序号</w:t>
            </w:r>
          </w:p>
        </w:tc>
        <w:tc>
          <w:tcPr>
            <w:tcW w:w="1095" w:type="dxa"/>
            <w:vAlign w:val="center"/>
          </w:tcPr>
          <w:p w14:paraId="4EFA38AD"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考核项目</w:t>
            </w:r>
          </w:p>
        </w:tc>
        <w:tc>
          <w:tcPr>
            <w:tcW w:w="2063" w:type="dxa"/>
            <w:vAlign w:val="center"/>
          </w:tcPr>
          <w:p w14:paraId="705D1EAF"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考核内容</w:t>
            </w:r>
          </w:p>
        </w:tc>
        <w:tc>
          <w:tcPr>
            <w:tcW w:w="5761" w:type="dxa"/>
            <w:vAlign w:val="center"/>
          </w:tcPr>
          <w:p w14:paraId="3F6F179C" w14:textId="77777777" w:rsidR="0022665C" w:rsidRDefault="00000000">
            <w:pPr>
              <w:pStyle w:val="affa"/>
              <w:spacing w:line="360" w:lineRule="exact"/>
              <w:ind w:firstLineChars="0" w:firstLine="0"/>
              <w:jc w:val="center"/>
              <w:rPr>
                <w:rFonts w:ascii="微软雅黑" w:eastAsia="微软雅黑" w:hAnsi="微软雅黑" w:cs="微软雅黑" w:hint="eastAsia"/>
                <w:b/>
                <w:sz w:val="21"/>
                <w:szCs w:val="21"/>
              </w:rPr>
            </w:pPr>
            <w:r>
              <w:rPr>
                <w:rFonts w:ascii="微软雅黑" w:eastAsia="微软雅黑" w:hAnsi="微软雅黑" w:cs="微软雅黑" w:hint="eastAsia"/>
                <w:b/>
                <w:sz w:val="21"/>
                <w:szCs w:val="21"/>
              </w:rPr>
              <w:t>扣分标准</w:t>
            </w:r>
          </w:p>
        </w:tc>
      </w:tr>
      <w:tr w:rsidR="0022665C" w14:paraId="1263EBD1" w14:textId="77777777">
        <w:trPr>
          <w:jc w:val="center"/>
        </w:trPr>
        <w:tc>
          <w:tcPr>
            <w:tcW w:w="709" w:type="dxa"/>
            <w:vAlign w:val="center"/>
          </w:tcPr>
          <w:p w14:paraId="530E14C7"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p>
        </w:tc>
        <w:tc>
          <w:tcPr>
            <w:tcW w:w="1095" w:type="dxa"/>
            <w:vAlign w:val="center"/>
          </w:tcPr>
          <w:p w14:paraId="5E40002A"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开发建设</w:t>
            </w:r>
          </w:p>
        </w:tc>
        <w:tc>
          <w:tcPr>
            <w:tcW w:w="2063" w:type="dxa"/>
            <w:vAlign w:val="center"/>
          </w:tcPr>
          <w:p w14:paraId="58533E59"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对系统建设进度进行考评</w:t>
            </w:r>
          </w:p>
        </w:tc>
        <w:tc>
          <w:tcPr>
            <w:tcW w:w="5761" w:type="dxa"/>
            <w:vAlign w:val="center"/>
          </w:tcPr>
          <w:p w14:paraId="0C8BB62D" w14:textId="77777777" w:rsidR="0022665C" w:rsidRDefault="00000000">
            <w:pPr>
              <w:spacing w:line="36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若因中标人单方面导致的开发建设不能在本招标文件规定的时间内达到最终验收标准的，每延迟5个工作日，扣</w:t>
            </w:r>
            <w:r>
              <w:rPr>
                <w:rFonts w:ascii="微软雅黑" w:eastAsia="微软雅黑" w:hAnsi="微软雅黑"/>
                <w:sz w:val="21"/>
                <w:szCs w:val="21"/>
              </w:rPr>
              <w:t>5</w:t>
            </w:r>
            <w:r>
              <w:rPr>
                <w:rFonts w:ascii="微软雅黑" w:eastAsia="微软雅黑" w:hAnsi="微软雅黑" w:hint="eastAsia"/>
                <w:sz w:val="21"/>
                <w:szCs w:val="21"/>
              </w:rPr>
              <w:t>分，以此类推。若中标人超过</w:t>
            </w:r>
            <w:r>
              <w:rPr>
                <w:rFonts w:ascii="微软雅黑" w:eastAsia="微软雅黑" w:hAnsi="微软雅黑"/>
                <w:sz w:val="21"/>
                <w:szCs w:val="21"/>
              </w:rPr>
              <w:t>22</w:t>
            </w:r>
            <w:r>
              <w:rPr>
                <w:rFonts w:ascii="微软雅黑" w:eastAsia="微软雅黑" w:hAnsi="微软雅黑" w:hint="eastAsia"/>
                <w:sz w:val="21"/>
                <w:szCs w:val="21"/>
              </w:rPr>
              <w:t>个工作日还未能完成开发建设并达到最终验收标准的，采购人有权解除合同并追究中标人相关责任（不可抗力因素除外）。</w:t>
            </w:r>
          </w:p>
          <w:p w14:paraId="66D887A7" w14:textId="77777777" w:rsidR="0022665C" w:rsidRDefault="00000000">
            <w:pPr>
              <w:snapToGrid w:val="0"/>
              <w:spacing w:line="360" w:lineRule="exact"/>
              <w:ind w:firstLineChars="200" w:firstLine="420"/>
              <w:rPr>
                <w:rFonts w:ascii="微软雅黑" w:eastAsia="微软雅黑" w:hAnsi="微软雅黑" w:hint="eastAsia"/>
                <w:sz w:val="21"/>
                <w:szCs w:val="21"/>
              </w:rPr>
            </w:pPr>
            <w:r>
              <w:rPr>
                <w:rFonts w:ascii="微软雅黑" w:eastAsia="微软雅黑" w:hAnsi="微软雅黑" w:cs="微软雅黑"/>
                <w:sz w:val="21"/>
                <w:szCs w:val="21"/>
              </w:rPr>
              <w:t>2.</w:t>
            </w:r>
            <w:r>
              <w:rPr>
                <w:rFonts w:ascii="微软雅黑" w:eastAsia="微软雅黑" w:hAnsi="微软雅黑" w:hint="eastAsia"/>
                <w:sz w:val="21"/>
                <w:szCs w:val="21"/>
              </w:rPr>
              <w:t>合同签订后，中标人应立即安排相关人员驻场，驻场人员专业应符合招标文件要求的。若</w:t>
            </w:r>
            <w:r>
              <w:rPr>
                <w:rFonts w:ascii="微软雅黑" w:eastAsia="微软雅黑" w:hAnsi="微软雅黑"/>
                <w:sz w:val="21"/>
                <w:szCs w:val="21"/>
              </w:rPr>
              <w:t>5</w:t>
            </w:r>
            <w:r>
              <w:rPr>
                <w:rFonts w:ascii="微软雅黑" w:eastAsia="微软雅黑" w:hAnsi="微软雅黑" w:hint="eastAsia"/>
                <w:sz w:val="21"/>
                <w:szCs w:val="21"/>
              </w:rPr>
              <w:t>个工作日内驻场人员不到岗的，或人员专业达不到招标文件要求的，采购人有权立即终止本项目的技术服务合同，拒绝支付相关费用，并保留追究相应法律责任的权利。对采购人造成损失的，采购人有权要求中标人赔偿损失。</w:t>
            </w:r>
          </w:p>
          <w:p w14:paraId="1BD9116C"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3</w:t>
            </w:r>
            <w:r>
              <w:rPr>
                <w:rFonts w:ascii="微软雅黑" w:eastAsia="微软雅黑" w:hAnsi="微软雅黑" w:cs="微软雅黑" w:hint="eastAsia"/>
                <w:sz w:val="21"/>
                <w:szCs w:val="21"/>
              </w:rPr>
              <w:t>.若因中标人单方面导致的未满足招标范围内重大业务需求功能开发进度和质量要求，视情节严重，每次扣5</w:t>
            </w:r>
            <w:r>
              <w:rPr>
                <w:rFonts w:ascii="微软雅黑" w:eastAsia="微软雅黑" w:hAnsi="微软雅黑" w:cs="微软雅黑"/>
                <w:sz w:val="21"/>
                <w:szCs w:val="21"/>
              </w:rPr>
              <w:t>-10</w:t>
            </w:r>
            <w:r>
              <w:rPr>
                <w:rFonts w:ascii="微软雅黑" w:eastAsia="微软雅黑" w:hAnsi="微软雅黑" w:cs="微软雅黑" w:hint="eastAsia"/>
                <w:sz w:val="21"/>
                <w:szCs w:val="21"/>
              </w:rPr>
              <w:t>分。</w:t>
            </w:r>
          </w:p>
          <w:p w14:paraId="717E2A75"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4</w:t>
            </w:r>
            <w:r>
              <w:rPr>
                <w:rFonts w:ascii="微软雅黑" w:eastAsia="微软雅黑" w:hAnsi="微软雅黑" w:cs="微软雅黑" w:hint="eastAsia"/>
                <w:sz w:val="21"/>
                <w:szCs w:val="21"/>
              </w:rPr>
              <w:t>.若因中标人单方面导致的未能在约定时间完成系统与第三方系统接口的对接的，视情节严重，每次扣5</w:t>
            </w:r>
            <w:r>
              <w:rPr>
                <w:rFonts w:ascii="微软雅黑" w:eastAsia="微软雅黑" w:hAnsi="微软雅黑" w:cs="微软雅黑"/>
                <w:sz w:val="21"/>
                <w:szCs w:val="21"/>
              </w:rPr>
              <w:t>-10</w:t>
            </w:r>
            <w:r>
              <w:rPr>
                <w:rFonts w:ascii="微软雅黑" w:eastAsia="微软雅黑" w:hAnsi="微软雅黑" w:cs="微软雅黑" w:hint="eastAsia"/>
                <w:sz w:val="21"/>
                <w:szCs w:val="21"/>
              </w:rPr>
              <w:t>分。</w:t>
            </w:r>
          </w:p>
          <w:p w14:paraId="102FBC9F"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5</w:t>
            </w:r>
            <w:r>
              <w:rPr>
                <w:rFonts w:ascii="微软雅黑" w:eastAsia="微软雅黑" w:hAnsi="微软雅黑" w:cs="微软雅黑" w:hint="eastAsia"/>
                <w:sz w:val="21"/>
                <w:szCs w:val="21"/>
              </w:rPr>
              <w:t>.未按照采购人要求参加工作例会的，每次扣</w:t>
            </w:r>
            <w:r>
              <w:rPr>
                <w:rFonts w:ascii="微软雅黑" w:eastAsia="微软雅黑" w:hAnsi="微软雅黑" w:cs="微软雅黑"/>
                <w:sz w:val="21"/>
                <w:szCs w:val="21"/>
              </w:rPr>
              <w:t>1</w:t>
            </w:r>
            <w:r>
              <w:rPr>
                <w:rFonts w:ascii="微软雅黑" w:eastAsia="微软雅黑" w:hAnsi="微软雅黑" w:cs="微软雅黑" w:hint="eastAsia"/>
                <w:sz w:val="21"/>
                <w:szCs w:val="21"/>
              </w:rPr>
              <w:t>分。</w:t>
            </w:r>
          </w:p>
        </w:tc>
      </w:tr>
      <w:tr w:rsidR="0022665C" w14:paraId="0EE41CE9" w14:textId="77777777">
        <w:trPr>
          <w:jc w:val="center"/>
        </w:trPr>
        <w:tc>
          <w:tcPr>
            <w:tcW w:w="9628" w:type="dxa"/>
            <w:gridSpan w:val="4"/>
            <w:vAlign w:val="center"/>
          </w:tcPr>
          <w:p w14:paraId="1E5A726A" w14:textId="77777777" w:rsidR="0022665C" w:rsidRDefault="00000000">
            <w:pPr>
              <w:spacing w:line="360" w:lineRule="exact"/>
              <w:rPr>
                <w:rFonts w:ascii="微软雅黑" w:eastAsia="微软雅黑" w:hAnsi="微软雅黑" w:cs="微软雅黑" w:hint="eastAsia"/>
                <w:b/>
                <w:bCs/>
                <w:sz w:val="21"/>
                <w:szCs w:val="21"/>
              </w:rPr>
            </w:pPr>
            <w:r>
              <w:rPr>
                <w:rFonts w:ascii="微软雅黑" w:eastAsia="微软雅黑" w:hAnsi="微软雅黑" w:hint="eastAsia"/>
                <w:b/>
                <w:bCs/>
                <w:sz w:val="21"/>
                <w:szCs w:val="21"/>
              </w:rPr>
              <w:t>三、</w:t>
            </w:r>
            <w:r>
              <w:rPr>
                <w:rFonts w:ascii="微软雅黑" w:eastAsia="微软雅黑" w:hAnsi="微软雅黑"/>
                <w:b/>
                <w:bCs/>
                <w:sz w:val="21"/>
                <w:szCs w:val="21"/>
              </w:rPr>
              <w:t>质量</w:t>
            </w:r>
            <w:r>
              <w:rPr>
                <w:rFonts w:ascii="微软雅黑" w:eastAsia="微软雅黑" w:hAnsi="微软雅黑" w:hint="eastAsia"/>
                <w:b/>
                <w:bCs/>
                <w:sz w:val="21"/>
                <w:szCs w:val="21"/>
              </w:rPr>
              <w:t>考核情形（包含</w:t>
            </w:r>
            <w:r>
              <w:rPr>
                <w:rFonts w:ascii="微软雅黑" w:eastAsia="微软雅黑" w:hAnsi="微软雅黑"/>
                <w:b/>
                <w:bCs/>
                <w:sz w:val="21"/>
                <w:szCs w:val="21"/>
              </w:rPr>
              <w:t>系统安全稳定运行、安全管理</w:t>
            </w:r>
            <w:r>
              <w:rPr>
                <w:rFonts w:ascii="微软雅黑" w:eastAsia="微软雅黑" w:hAnsi="微软雅黑" w:hint="eastAsia"/>
                <w:b/>
                <w:bCs/>
                <w:sz w:val="21"/>
                <w:szCs w:val="21"/>
              </w:rPr>
              <w:t>等）</w:t>
            </w:r>
          </w:p>
        </w:tc>
      </w:tr>
      <w:tr w:rsidR="0022665C" w14:paraId="39E5E330" w14:textId="77777777">
        <w:trPr>
          <w:jc w:val="center"/>
        </w:trPr>
        <w:tc>
          <w:tcPr>
            <w:tcW w:w="709" w:type="dxa"/>
            <w:vAlign w:val="center"/>
          </w:tcPr>
          <w:p w14:paraId="6035C64C"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序号</w:t>
            </w:r>
          </w:p>
        </w:tc>
        <w:tc>
          <w:tcPr>
            <w:tcW w:w="1095" w:type="dxa"/>
            <w:vAlign w:val="center"/>
          </w:tcPr>
          <w:p w14:paraId="0A053F88"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考核项目</w:t>
            </w:r>
          </w:p>
        </w:tc>
        <w:tc>
          <w:tcPr>
            <w:tcW w:w="2063" w:type="dxa"/>
            <w:vAlign w:val="center"/>
          </w:tcPr>
          <w:p w14:paraId="066309CB"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考核内容</w:t>
            </w:r>
          </w:p>
        </w:tc>
        <w:tc>
          <w:tcPr>
            <w:tcW w:w="5761" w:type="dxa"/>
            <w:vAlign w:val="center"/>
          </w:tcPr>
          <w:p w14:paraId="207B6BDE"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扣分标准</w:t>
            </w:r>
          </w:p>
        </w:tc>
      </w:tr>
      <w:tr w:rsidR="0022665C" w14:paraId="2C024D21" w14:textId="77777777">
        <w:trPr>
          <w:jc w:val="center"/>
        </w:trPr>
        <w:tc>
          <w:tcPr>
            <w:tcW w:w="709" w:type="dxa"/>
            <w:vAlign w:val="center"/>
          </w:tcPr>
          <w:p w14:paraId="4349837A"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sz w:val="21"/>
                <w:szCs w:val="21"/>
              </w:rPr>
              <w:t>1</w:t>
            </w:r>
          </w:p>
        </w:tc>
        <w:tc>
          <w:tcPr>
            <w:tcW w:w="1095" w:type="dxa"/>
            <w:vAlign w:val="center"/>
          </w:tcPr>
          <w:p w14:paraId="7645AD65"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系统稳定性</w:t>
            </w:r>
          </w:p>
        </w:tc>
        <w:tc>
          <w:tcPr>
            <w:tcW w:w="2063" w:type="dxa"/>
            <w:vAlign w:val="center"/>
          </w:tcPr>
          <w:p w14:paraId="6A19DFDE"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对系统日常运行稳定性、故障处理、系统性能、用户体验等方面进行综合考核</w:t>
            </w:r>
          </w:p>
        </w:tc>
        <w:tc>
          <w:tcPr>
            <w:tcW w:w="5761" w:type="dxa"/>
            <w:vAlign w:val="center"/>
          </w:tcPr>
          <w:p w14:paraId="7DAE424D"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1.</w:t>
            </w:r>
            <w:r>
              <w:rPr>
                <w:rFonts w:ascii="微软雅黑" w:eastAsia="微软雅黑" w:hAnsi="微软雅黑" w:cs="微软雅黑" w:hint="eastAsia"/>
                <w:sz w:val="21"/>
                <w:szCs w:val="21"/>
              </w:rPr>
              <w:t>若因中标人单方面导致的</w:t>
            </w:r>
            <w:r>
              <w:rPr>
                <w:rFonts w:ascii="微软雅黑" w:eastAsia="微软雅黑" w:hAnsi="微软雅黑" w:cs="微软雅黑" w:hint="eastAsia"/>
                <w:bCs/>
                <w:sz w:val="21"/>
                <w:szCs w:val="21"/>
              </w:rPr>
              <w:t>服务高峰时段（工作日</w:t>
            </w:r>
            <w:r>
              <w:rPr>
                <w:rFonts w:ascii="微软雅黑" w:eastAsia="微软雅黑" w:hAnsi="微软雅黑" w:cs="微软雅黑"/>
                <w:bCs/>
                <w:sz w:val="21"/>
                <w:szCs w:val="21"/>
              </w:rPr>
              <w:t>9:00-18:00</w:t>
            </w:r>
            <w:r>
              <w:rPr>
                <w:rFonts w:ascii="微软雅黑" w:eastAsia="微软雅黑" w:hAnsi="微软雅黑" w:cs="微软雅黑" w:hint="eastAsia"/>
                <w:bCs/>
                <w:sz w:val="21"/>
                <w:szCs w:val="21"/>
              </w:rPr>
              <w:t>）</w:t>
            </w:r>
            <w:r>
              <w:rPr>
                <w:rFonts w:ascii="微软雅黑" w:eastAsia="微软雅黑" w:hAnsi="微软雅黑" w:cs="微软雅黑" w:hint="eastAsia"/>
                <w:sz w:val="21"/>
                <w:szCs w:val="21"/>
              </w:rPr>
              <w:t>发生系统宕机、崩溃、无法访问等事故，单次时长≤60分钟的，每次扣2分；单次时长大于60分钟但小于120分钟的，每次扣4分。</w:t>
            </w:r>
          </w:p>
          <w:p w14:paraId="21329171"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2.未经授权，进行违规操作的，一次扣2分；造成业务中断的，一次扣3分；影响较大，被上级机关通报，一次扣10分。</w:t>
            </w:r>
          </w:p>
        </w:tc>
      </w:tr>
      <w:tr w:rsidR="0022665C" w14:paraId="4A5139B4" w14:textId="77777777">
        <w:trPr>
          <w:jc w:val="center"/>
        </w:trPr>
        <w:tc>
          <w:tcPr>
            <w:tcW w:w="709" w:type="dxa"/>
            <w:vAlign w:val="center"/>
          </w:tcPr>
          <w:p w14:paraId="6F55C3DA"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sz w:val="21"/>
                <w:szCs w:val="21"/>
              </w:rPr>
              <w:t>2</w:t>
            </w:r>
          </w:p>
        </w:tc>
        <w:tc>
          <w:tcPr>
            <w:tcW w:w="1095" w:type="dxa"/>
            <w:vAlign w:val="center"/>
          </w:tcPr>
          <w:p w14:paraId="48476C5E"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安全管理</w:t>
            </w:r>
          </w:p>
        </w:tc>
        <w:tc>
          <w:tcPr>
            <w:tcW w:w="2063" w:type="dxa"/>
            <w:vAlign w:val="center"/>
          </w:tcPr>
          <w:p w14:paraId="77153AD2"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对制定安全管理制度、安全管理技术手段使用、安全管理、人员管理等方面进行综合考核</w:t>
            </w:r>
          </w:p>
        </w:tc>
        <w:tc>
          <w:tcPr>
            <w:tcW w:w="5761" w:type="dxa"/>
            <w:vAlign w:val="center"/>
          </w:tcPr>
          <w:p w14:paraId="047E80FB" w14:textId="77777777" w:rsidR="0022665C" w:rsidRDefault="00000000">
            <w:pPr>
              <w:snapToGrid w:val="0"/>
              <w:spacing w:line="360" w:lineRule="exact"/>
              <w:ind w:firstLineChars="200" w:firstLine="420"/>
              <w:rPr>
                <w:rFonts w:ascii="微软雅黑" w:eastAsia="微软雅黑" w:hAnsi="微软雅黑" w:hint="eastAsia"/>
                <w:sz w:val="21"/>
                <w:szCs w:val="21"/>
              </w:rPr>
            </w:pPr>
            <w:r>
              <w:rPr>
                <w:rFonts w:ascii="微软雅黑" w:eastAsia="微软雅黑" w:hAnsi="微软雅黑" w:cs="微软雅黑"/>
                <w:sz w:val="21"/>
                <w:szCs w:val="21"/>
              </w:rPr>
              <w:t>1.</w:t>
            </w:r>
            <w:r>
              <w:rPr>
                <w:rFonts w:ascii="微软雅黑" w:eastAsia="微软雅黑" w:hAnsi="微软雅黑" w:cs="微软雅黑" w:hint="eastAsia"/>
                <w:sz w:val="21"/>
                <w:szCs w:val="21"/>
              </w:rPr>
              <w:t>未经采购人允许，中标人擅自将系统相关数据另作他用或提供给任何第三方使用的，</w:t>
            </w:r>
            <w:r>
              <w:rPr>
                <w:rFonts w:ascii="微软雅黑" w:eastAsia="微软雅黑" w:hAnsi="微软雅黑" w:hint="eastAsia"/>
                <w:sz w:val="21"/>
                <w:szCs w:val="21"/>
              </w:rPr>
              <w:t>采购人有权立即终止本项目的技术服务合同，拒绝支付相关费用，并保留追究相应法律责任的权利。对采购人造成损失的，采购人有权要求中标人赔偿损失。</w:t>
            </w:r>
          </w:p>
          <w:p w14:paraId="0426C5E0"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2.</w:t>
            </w:r>
            <w:r>
              <w:rPr>
                <w:rFonts w:ascii="微软雅黑" w:eastAsia="微软雅黑" w:hAnsi="微软雅黑" w:cs="微软雅黑" w:hint="eastAsia"/>
                <w:sz w:val="21"/>
                <w:szCs w:val="21"/>
              </w:rPr>
              <w:t>因中标人单方面原因导致系统数据泄露的，</w:t>
            </w:r>
            <w:r>
              <w:rPr>
                <w:rFonts w:ascii="微软雅黑" w:eastAsia="微软雅黑" w:hAnsi="微软雅黑" w:hint="eastAsia"/>
                <w:sz w:val="21"/>
                <w:szCs w:val="21"/>
              </w:rPr>
              <w:t>采购人有权立即终止本项目的技术服务合同，拒绝支付相关费用，并保留追究相应法律责任的权利。对采购人造成损失的，采购人有权要求中标人赔偿损失</w:t>
            </w:r>
            <w:r>
              <w:rPr>
                <w:rFonts w:ascii="微软雅黑" w:eastAsia="微软雅黑" w:hAnsi="微软雅黑" w:cs="微软雅黑" w:hint="eastAsia"/>
                <w:sz w:val="21"/>
                <w:szCs w:val="21"/>
              </w:rPr>
              <w:t>。</w:t>
            </w:r>
          </w:p>
          <w:p w14:paraId="5E81C7B0"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3</w:t>
            </w:r>
            <w:r>
              <w:rPr>
                <w:rFonts w:ascii="微软雅黑" w:eastAsia="微软雅黑" w:hAnsi="微软雅黑" w:cs="微软雅黑"/>
                <w:sz w:val="21"/>
                <w:szCs w:val="21"/>
              </w:rPr>
              <w:t>.</w:t>
            </w:r>
            <w:r>
              <w:rPr>
                <w:rFonts w:ascii="微软雅黑" w:eastAsia="微软雅黑" w:hAnsi="微软雅黑" w:cs="微软雅黑" w:hint="eastAsia"/>
                <w:sz w:val="21"/>
                <w:szCs w:val="21"/>
              </w:rPr>
              <w:t>被重庆市相关政府部门或重庆市电子政务云服务商扫描发现信息安全漏洞，在规定时间内未完成整改的，每次扣</w:t>
            </w:r>
            <w:r>
              <w:rPr>
                <w:rFonts w:ascii="微软雅黑" w:eastAsia="微软雅黑" w:hAnsi="微软雅黑" w:cs="微软雅黑"/>
                <w:sz w:val="21"/>
                <w:szCs w:val="21"/>
              </w:rPr>
              <w:t>5</w:t>
            </w:r>
            <w:r>
              <w:rPr>
                <w:rFonts w:ascii="微软雅黑" w:eastAsia="微软雅黑" w:hAnsi="微软雅黑" w:cs="微软雅黑" w:hint="eastAsia"/>
                <w:sz w:val="21"/>
                <w:szCs w:val="21"/>
              </w:rPr>
              <w:t>分。</w:t>
            </w:r>
          </w:p>
          <w:p w14:paraId="33D69650"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4.其他因中标人单方面原因导致的安全事件，视情节严重，每次扣5-</w:t>
            </w:r>
            <w:r>
              <w:rPr>
                <w:rFonts w:ascii="微软雅黑" w:eastAsia="微软雅黑" w:hAnsi="微软雅黑" w:cs="微软雅黑"/>
                <w:sz w:val="21"/>
                <w:szCs w:val="21"/>
              </w:rPr>
              <w:t>1</w:t>
            </w:r>
            <w:r>
              <w:rPr>
                <w:rFonts w:ascii="微软雅黑" w:eastAsia="微软雅黑" w:hAnsi="微软雅黑" w:cs="微软雅黑" w:hint="eastAsia"/>
                <w:sz w:val="21"/>
                <w:szCs w:val="21"/>
              </w:rPr>
              <w:t>0分。</w:t>
            </w:r>
          </w:p>
        </w:tc>
      </w:tr>
      <w:tr w:rsidR="0022665C" w14:paraId="38DF9AEF" w14:textId="77777777">
        <w:trPr>
          <w:jc w:val="center"/>
        </w:trPr>
        <w:tc>
          <w:tcPr>
            <w:tcW w:w="9628" w:type="dxa"/>
            <w:gridSpan w:val="4"/>
            <w:vAlign w:val="center"/>
          </w:tcPr>
          <w:p w14:paraId="291F8289" w14:textId="77777777" w:rsidR="0022665C" w:rsidRDefault="00000000">
            <w:pPr>
              <w:spacing w:line="360" w:lineRule="exact"/>
              <w:rPr>
                <w:rFonts w:ascii="微软雅黑" w:eastAsia="微软雅黑" w:hAnsi="微软雅黑" w:cs="微软雅黑" w:hint="eastAsia"/>
                <w:sz w:val="21"/>
                <w:szCs w:val="21"/>
              </w:rPr>
            </w:pPr>
            <w:r>
              <w:rPr>
                <w:rFonts w:ascii="微软雅黑" w:eastAsia="微软雅黑" w:hAnsi="微软雅黑" w:hint="eastAsia"/>
                <w:b/>
                <w:bCs/>
                <w:sz w:val="21"/>
                <w:szCs w:val="21"/>
              </w:rPr>
              <w:t>四、</w:t>
            </w:r>
            <w:r>
              <w:rPr>
                <w:rFonts w:ascii="微软雅黑" w:eastAsia="微软雅黑" w:hAnsi="微软雅黑"/>
                <w:b/>
                <w:bCs/>
                <w:sz w:val="21"/>
                <w:szCs w:val="21"/>
              </w:rPr>
              <w:t>技术服务</w:t>
            </w:r>
            <w:r>
              <w:rPr>
                <w:rFonts w:ascii="微软雅黑" w:eastAsia="微软雅黑" w:hAnsi="微软雅黑" w:cs="微软雅黑" w:hint="eastAsia"/>
                <w:b/>
                <w:sz w:val="21"/>
                <w:szCs w:val="21"/>
              </w:rPr>
              <w:t>考核情形</w:t>
            </w:r>
          </w:p>
        </w:tc>
      </w:tr>
      <w:tr w:rsidR="0022665C" w14:paraId="0F153A46" w14:textId="77777777">
        <w:trPr>
          <w:jc w:val="center"/>
        </w:trPr>
        <w:tc>
          <w:tcPr>
            <w:tcW w:w="709" w:type="dxa"/>
            <w:vAlign w:val="center"/>
          </w:tcPr>
          <w:p w14:paraId="7547A281"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序号</w:t>
            </w:r>
          </w:p>
        </w:tc>
        <w:tc>
          <w:tcPr>
            <w:tcW w:w="1095" w:type="dxa"/>
            <w:vAlign w:val="center"/>
          </w:tcPr>
          <w:p w14:paraId="58322D57"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考核项目</w:t>
            </w:r>
          </w:p>
        </w:tc>
        <w:tc>
          <w:tcPr>
            <w:tcW w:w="2063" w:type="dxa"/>
            <w:vAlign w:val="center"/>
          </w:tcPr>
          <w:p w14:paraId="180253D3"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考核内容</w:t>
            </w:r>
          </w:p>
        </w:tc>
        <w:tc>
          <w:tcPr>
            <w:tcW w:w="5761" w:type="dxa"/>
            <w:vAlign w:val="center"/>
          </w:tcPr>
          <w:p w14:paraId="2C568ABD"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扣分标准</w:t>
            </w:r>
          </w:p>
        </w:tc>
      </w:tr>
      <w:tr w:rsidR="0022665C" w14:paraId="5F86874B" w14:textId="77777777">
        <w:trPr>
          <w:jc w:val="center"/>
        </w:trPr>
        <w:tc>
          <w:tcPr>
            <w:tcW w:w="709" w:type="dxa"/>
            <w:vAlign w:val="center"/>
          </w:tcPr>
          <w:p w14:paraId="3C693917"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sz w:val="21"/>
                <w:szCs w:val="21"/>
              </w:rPr>
              <w:t>1</w:t>
            </w:r>
          </w:p>
        </w:tc>
        <w:tc>
          <w:tcPr>
            <w:tcW w:w="1095" w:type="dxa"/>
            <w:vAlign w:val="center"/>
          </w:tcPr>
          <w:p w14:paraId="2BC000E5"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技术服务</w:t>
            </w:r>
          </w:p>
        </w:tc>
        <w:tc>
          <w:tcPr>
            <w:tcW w:w="2063" w:type="dxa"/>
            <w:vAlign w:val="center"/>
          </w:tcPr>
          <w:p w14:paraId="7FEF2D5A" w14:textId="77777777" w:rsidR="0022665C" w:rsidRDefault="00000000">
            <w:pPr>
              <w:pStyle w:val="affa"/>
              <w:spacing w:line="360" w:lineRule="exact"/>
              <w:ind w:firstLineChars="0" w:firstLine="0"/>
              <w:rPr>
                <w:rFonts w:ascii="微软雅黑" w:eastAsia="微软雅黑" w:hAnsi="微软雅黑" w:cs="微软雅黑" w:hint="eastAsia"/>
                <w:sz w:val="21"/>
                <w:szCs w:val="21"/>
              </w:rPr>
            </w:pPr>
            <w:r>
              <w:rPr>
                <w:rFonts w:ascii="微软雅黑" w:eastAsia="微软雅黑" w:hAnsi="微软雅黑" w:cs="微软雅黑" w:hint="eastAsia"/>
                <w:sz w:val="21"/>
                <w:szCs w:val="21"/>
              </w:rPr>
              <w:t>对技术服务人员的售前支持、技术咨询、故障处理、系统培训、技术支持、服务态度等进行综合考核</w:t>
            </w:r>
          </w:p>
        </w:tc>
        <w:tc>
          <w:tcPr>
            <w:tcW w:w="5761" w:type="dxa"/>
            <w:vAlign w:val="center"/>
          </w:tcPr>
          <w:p w14:paraId="15ABBF92" w14:textId="77777777" w:rsidR="0022665C" w:rsidRDefault="00000000">
            <w:pPr>
              <w:spacing w:line="36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中标人拟派的项目经理和驻场技术人员只可担任本项目的开发建设，直至本项目服务时间结束为止，否则，采购人有权立即终止本项目的技术服务合同。</w:t>
            </w:r>
          </w:p>
          <w:p w14:paraId="78E110D6" w14:textId="77777777" w:rsidR="0022665C" w:rsidRDefault="00000000">
            <w:pPr>
              <w:spacing w:line="36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sz w:val="21"/>
                <w:szCs w:val="21"/>
              </w:rPr>
              <w:t>2.</w:t>
            </w:r>
            <w:r>
              <w:rPr>
                <w:rFonts w:ascii="微软雅黑" w:eastAsia="微软雅黑" w:hAnsi="微软雅黑" w:cs="微软雅黑" w:hint="eastAsia"/>
                <w:sz w:val="21"/>
                <w:szCs w:val="21"/>
              </w:rPr>
              <w:t>技术支持、系统维护人员不及时接听故障处理电话的，视情节严重，每次扣1-2分。</w:t>
            </w:r>
          </w:p>
          <w:p w14:paraId="6D4FE8E9"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3</w:t>
            </w:r>
            <w:r>
              <w:rPr>
                <w:rFonts w:ascii="微软雅黑" w:eastAsia="微软雅黑" w:hAnsi="微软雅黑" w:cs="微软雅黑" w:hint="eastAsia"/>
                <w:sz w:val="21"/>
                <w:szCs w:val="21"/>
              </w:rPr>
              <w:t>.</w:t>
            </w:r>
            <w:r>
              <w:rPr>
                <w:rFonts w:ascii="微软雅黑" w:eastAsia="微软雅黑" w:hAnsi="微软雅黑" w:cs="微软雅黑"/>
                <w:sz w:val="21"/>
                <w:szCs w:val="21"/>
              </w:rPr>
              <w:t>所有驻场人员应当实行甲乙双方双重管理，严格按照采购人规定的作息制度和要求开展相关工作</w:t>
            </w:r>
            <w:r>
              <w:rPr>
                <w:rFonts w:ascii="微软雅黑" w:eastAsia="微软雅黑" w:hAnsi="微软雅黑" w:cs="微软雅黑" w:hint="eastAsia"/>
                <w:sz w:val="21"/>
                <w:szCs w:val="21"/>
              </w:rPr>
              <w:t>。</w:t>
            </w:r>
            <w:r>
              <w:rPr>
                <w:rFonts w:ascii="微软雅黑" w:eastAsia="微软雅黑" w:hAnsi="微软雅黑" w:cs="微软雅黑"/>
                <w:sz w:val="21"/>
                <w:szCs w:val="21"/>
              </w:rPr>
              <w:t>重大活动、节假日、临时专项工作</w:t>
            </w:r>
            <w:r>
              <w:rPr>
                <w:rFonts w:ascii="微软雅黑" w:eastAsia="微软雅黑" w:hAnsi="微软雅黑" w:cs="微软雅黑" w:hint="eastAsia"/>
                <w:sz w:val="21"/>
                <w:szCs w:val="21"/>
              </w:rPr>
              <w:t>未</w:t>
            </w:r>
            <w:r>
              <w:rPr>
                <w:rFonts w:ascii="微软雅黑" w:eastAsia="微软雅黑" w:hAnsi="微软雅黑" w:cs="微软雅黑"/>
                <w:sz w:val="21"/>
                <w:szCs w:val="21"/>
              </w:rPr>
              <w:t>安排专人值守</w:t>
            </w:r>
            <w:r>
              <w:rPr>
                <w:rFonts w:ascii="微软雅黑" w:eastAsia="微软雅黑" w:hAnsi="微软雅黑" w:cs="微软雅黑" w:hint="eastAsia"/>
                <w:sz w:val="21"/>
                <w:szCs w:val="21"/>
              </w:rPr>
              <w:t>，每次扣5分；</w:t>
            </w:r>
            <w:r>
              <w:rPr>
                <w:rFonts w:ascii="微软雅黑" w:eastAsia="微软雅黑" w:hAnsi="微软雅黑" w:cs="微软雅黑"/>
                <w:sz w:val="21"/>
                <w:szCs w:val="21"/>
              </w:rPr>
              <w:t>驻场人员无故迟到、早退、旷工一次，扣</w:t>
            </w:r>
            <w:r>
              <w:rPr>
                <w:rFonts w:ascii="微软雅黑" w:eastAsia="微软雅黑" w:hAnsi="微软雅黑" w:cs="微软雅黑" w:hint="eastAsia"/>
                <w:sz w:val="21"/>
                <w:szCs w:val="21"/>
              </w:rPr>
              <w:t>1</w:t>
            </w:r>
            <w:r>
              <w:rPr>
                <w:rFonts w:ascii="微软雅黑" w:eastAsia="微软雅黑" w:hAnsi="微软雅黑" w:cs="微软雅黑"/>
                <w:sz w:val="21"/>
                <w:szCs w:val="21"/>
              </w:rPr>
              <w:t>分</w:t>
            </w:r>
            <w:r>
              <w:rPr>
                <w:rFonts w:ascii="微软雅黑" w:eastAsia="微软雅黑" w:hAnsi="微软雅黑" w:cs="微软雅黑" w:hint="eastAsia"/>
                <w:sz w:val="21"/>
                <w:szCs w:val="21"/>
              </w:rPr>
              <w:t>。</w:t>
            </w:r>
          </w:p>
          <w:p w14:paraId="2DA7268F"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4</w:t>
            </w:r>
            <w:r>
              <w:rPr>
                <w:rFonts w:ascii="微软雅黑" w:eastAsia="微软雅黑" w:hAnsi="微软雅黑" w:cs="微软雅黑" w:hint="eastAsia"/>
                <w:sz w:val="21"/>
                <w:szCs w:val="21"/>
              </w:rPr>
              <w:t>.未在规定时间内按照要求完成派遣工作的，一次扣2分。</w:t>
            </w:r>
          </w:p>
          <w:p w14:paraId="007F15CB" w14:textId="77777777" w:rsidR="0022665C" w:rsidRDefault="00000000">
            <w:pPr>
              <w:pStyle w:val="affa"/>
              <w:spacing w:line="360" w:lineRule="exact"/>
              <w:rPr>
                <w:rFonts w:ascii="微软雅黑" w:eastAsia="微软雅黑" w:hAnsi="微软雅黑" w:cs="微软雅黑" w:hint="eastAsia"/>
                <w:sz w:val="21"/>
                <w:szCs w:val="21"/>
              </w:rPr>
            </w:pPr>
            <w:r>
              <w:rPr>
                <w:rFonts w:ascii="微软雅黑" w:eastAsia="微软雅黑" w:hAnsi="微软雅黑" w:cs="微软雅黑"/>
                <w:sz w:val="21"/>
                <w:szCs w:val="21"/>
              </w:rPr>
              <w:t>5</w:t>
            </w:r>
            <w:r>
              <w:rPr>
                <w:rFonts w:ascii="微软雅黑" w:eastAsia="微软雅黑" w:hAnsi="微软雅黑" w:cs="微软雅黑" w:hint="eastAsia"/>
                <w:sz w:val="21"/>
                <w:szCs w:val="21"/>
              </w:rPr>
              <w:t>.对存在的问题，经采购人指出后未按时整改的；项目开发</w:t>
            </w:r>
            <w:r>
              <w:rPr>
                <w:rFonts w:ascii="微软雅黑" w:eastAsia="微软雅黑" w:hAnsi="微软雅黑" w:cs="微软雅黑"/>
                <w:sz w:val="21"/>
                <w:szCs w:val="21"/>
              </w:rPr>
              <w:t>、</w:t>
            </w:r>
            <w:r>
              <w:rPr>
                <w:rFonts w:ascii="微软雅黑" w:eastAsia="微软雅黑" w:hAnsi="微软雅黑" w:cs="微软雅黑" w:hint="eastAsia"/>
                <w:sz w:val="21"/>
                <w:szCs w:val="21"/>
              </w:rPr>
              <w:t>系统运行过程中工作不主动，经采购人反复催促三次仍不能完成工作任务的，一次扣5分。</w:t>
            </w:r>
          </w:p>
          <w:p w14:paraId="2673B80E"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6.</w:t>
            </w:r>
            <w:r>
              <w:rPr>
                <w:rFonts w:ascii="微软雅黑" w:eastAsia="微软雅黑" w:hAnsi="微软雅黑" w:cs="微软雅黑" w:hint="eastAsia"/>
                <w:sz w:val="21"/>
                <w:szCs w:val="21"/>
              </w:rPr>
              <w:t>开发建设期，未满足人员驻场要求的，每少1人，一次扣</w:t>
            </w:r>
            <w:r>
              <w:rPr>
                <w:rFonts w:ascii="微软雅黑" w:eastAsia="微软雅黑" w:hAnsi="微软雅黑" w:cs="微软雅黑"/>
                <w:sz w:val="21"/>
                <w:szCs w:val="21"/>
              </w:rPr>
              <w:t>1</w:t>
            </w:r>
            <w:r>
              <w:rPr>
                <w:rFonts w:ascii="微软雅黑" w:eastAsia="微软雅黑" w:hAnsi="微软雅黑" w:cs="微软雅黑" w:hint="eastAsia"/>
                <w:sz w:val="21"/>
                <w:szCs w:val="21"/>
              </w:rPr>
              <w:t>分。</w:t>
            </w:r>
          </w:p>
          <w:p w14:paraId="4068CA7A"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7</w:t>
            </w:r>
            <w:r>
              <w:rPr>
                <w:rFonts w:ascii="微软雅黑" w:eastAsia="微软雅黑" w:hAnsi="微软雅黑" w:cs="微软雅黑" w:hint="eastAsia"/>
                <w:sz w:val="21"/>
                <w:szCs w:val="21"/>
              </w:rPr>
              <w:t>.技术支持人员稳定，未经采购人同意更换人员，视人员重要程度，每次扣</w:t>
            </w:r>
            <w:r>
              <w:rPr>
                <w:rFonts w:ascii="微软雅黑" w:eastAsia="微软雅黑" w:hAnsi="微软雅黑" w:cs="微软雅黑"/>
                <w:sz w:val="21"/>
                <w:szCs w:val="21"/>
              </w:rPr>
              <w:t>2</w:t>
            </w:r>
            <w:r>
              <w:rPr>
                <w:rFonts w:ascii="微软雅黑" w:eastAsia="微软雅黑" w:hAnsi="微软雅黑" w:cs="微软雅黑" w:hint="eastAsia"/>
                <w:sz w:val="21"/>
                <w:szCs w:val="21"/>
              </w:rPr>
              <w:t>-</w:t>
            </w:r>
            <w:r>
              <w:rPr>
                <w:rFonts w:ascii="微软雅黑" w:eastAsia="微软雅黑" w:hAnsi="微软雅黑" w:cs="微软雅黑"/>
                <w:sz w:val="21"/>
                <w:szCs w:val="21"/>
              </w:rPr>
              <w:t>5</w:t>
            </w:r>
            <w:r>
              <w:rPr>
                <w:rFonts w:ascii="微软雅黑" w:eastAsia="微软雅黑" w:hAnsi="微软雅黑" w:cs="微软雅黑" w:hint="eastAsia"/>
                <w:sz w:val="21"/>
                <w:szCs w:val="21"/>
              </w:rPr>
              <w:t>分。</w:t>
            </w:r>
          </w:p>
          <w:p w14:paraId="0F2C840D"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8</w:t>
            </w:r>
            <w:r>
              <w:rPr>
                <w:rFonts w:ascii="微软雅黑" w:eastAsia="微软雅黑" w:hAnsi="微软雅黑" w:cs="微软雅黑" w:hint="eastAsia"/>
                <w:sz w:val="21"/>
                <w:szCs w:val="21"/>
              </w:rPr>
              <w:t>.采购人认为不服从管理、不称职的驻场人员有权要求中标人更换，中标人应在</w:t>
            </w:r>
            <w:r>
              <w:rPr>
                <w:rFonts w:ascii="微软雅黑" w:eastAsia="微软雅黑" w:hAnsi="微软雅黑" w:cs="微软雅黑"/>
                <w:sz w:val="21"/>
                <w:szCs w:val="21"/>
              </w:rPr>
              <w:t>10</w:t>
            </w:r>
            <w:r>
              <w:rPr>
                <w:rFonts w:ascii="微软雅黑" w:eastAsia="微软雅黑" w:hAnsi="微软雅黑" w:cs="微软雅黑" w:hint="eastAsia"/>
                <w:sz w:val="21"/>
                <w:szCs w:val="21"/>
              </w:rPr>
              <w:t>个工作日内将不符合采购人要求的人员更换完毕，替换人员应当同时到岗，且必须保证替换人员的专业技术能力水平不低于退场人员，如中标人违反本条约定，则每逾期1天扣</w:t>
            </w:r>
            <w:r>
              <w:rPr>
                <w:rFonts w:ascii="微软雅黑" w:eastAsia="微软雅黑" w:hAnsi="微软雅黑" w:cs="微软雅黑"/>
                <w:sz w:val="21"/>
                <w:szCs w:val="21"/>
              </w:rPr>
              <w:t>2</w:t>
            </w:r>
            <w:r>
              <w:rPr>
                <w:rFonts w:ascii="微软雅黑" w:eastAsia="微软雅黑" w:hAnsi="微软雅黑" w:cs="微软雅黑" w:hint="eastAsia"/>
                <w:sz w:val="21"/>
                <w:szCs w:val="21"/>
              </w:rPr>
              <w:t>分。</w:t>
            </w:r>
          </w:p>
          <w:p w14:paraId="39D29AB9"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9.</w:t>
            </w:r>
            <w:r>
              <w:rPr>
                <w:rFonts w:ascii="微软雅黑" w:eastAsia="微软雅黑" w:hAnsi="微软雅黑" w:cs="微软雅黑" w:hint="eastAsia"/>
                <w:sz w:val="21"/>
                <w:szCs w:val="21"/>
              </w:rPr>
              <w:t>技术服务人员不接受采购人工作管理及中标人技术工作安排。视工作表现，每次扣1-3分。</w:t>
            </w:r>
          </w:p>
        </w:tc>
      </w:tr>
      <w:tr w:rsidR="0022665C" w14:paraId="12E14805" w14:textId="77777777">
        <w:trPr>
          <w:jc w:val="center"/>
        </w:trPr>
        <w:tc>
          <w:tcPr>
            <w:tcW w:w="9628" w:type="dxa"/>
            <w:gridSpan w:val="4"/>
            <w:vAlign w:val="center"/>
          </w:tcPr>
          <w:p w14:paraId="47012B27" w14:textId="77777777" w:rsidR="0022665C" w:rsidRDefault="00000000">
            <w:pPr>
              <w:spacing w:line="360" w:lineRule="exact"/>
              <w:rPr>
                <w:rFonts w:ascii="微软雅黑" w:eastAsia="微软雅黑" w:hAnsi="微软雅黑" w:cs="微软雅黑" w:hint="eastAsia"/>
                <w:b/>
                <w:bCs/>
                <w:sz w:val="21"/>
                <w:szCs w:val="21"/>
              </w:rPr>
            </w:pPr>
            <w:r>
              <w:rPr>
                <w:rFonts w:ascii="微软雅黑" w:eastAsia="微软雅黑" w:hAnsi="微软雅黑" w:hint="eastAsia"/>
                <w:b/>
                <w:bCs/>
                <w:sz w:val="21"/>
                <w:szCs w:val="21"/>
              </w:rPr>
              <w:t>五、</w:t>
            </w:r>
            <w:r>
              <w:rPr>
                <w:rFonts w:ascii="微软雅黑" w:eastAsia="微软雅黑" w:hAnsi="微软雅黑"/>
                <w:b/>
                <w:bCs/>
                <w:sz w:val="21"/>
                <w:szCs w:val="21"/>
              </w:rPr>
              <w:t>满意度</w:t>
            </w:r>
            <w:r>
              <w:rPr>
                <w:rFonts w:ascii="微软雅黑" w:eastAsia="微软雅黑" w:hAnsi="微软雅黑" w:cs="微软雅黑" w:hint="eastAsia"/>
                <w:b/>
                <w:bCs/>
                <w:sz w:val="21"/>
                <w:szCs w:val="21"/>
              </w:rPr>
              <w:t>考核情形</w:t>
            </w:r>
          </w:p>
        </w:tc>
      </w:tr>
      <w:tr w:rsidR="0022665C" w14:paraId="70DE0F15" w14:textId="77777777">
        <w:trPr>
          <w:jc w:val="center"/>
        </w:trPr>
        <w:tc>
          <w:tcPr>
            <w:tcW w:w="709" w:type="dxa"/>
            <w:vAlign w:val="center"/>
          </w:tcPr>
          <w:p w14:paraId="67949AEA"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序号</w:t>
            </w:r>
          </w:p>
        </w:tc>
        <w:tc>
          <w:tcPr>
            <w:tcW w:w="1095" w:type="dxa"/>
            <w:vAlign w:val="center"/>
          </w:tcPr>
          <w:p w14:paraId="4B07FE90"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考核项目</w:t>
            </w:r>
          </w:p>
        </w:tc>
        <w:tc>
          <w:tcPr>
            <w:tcW w:w="2063" w:type="dxa"/>
            <w:vAlign w:val="center"/>
          </w:tcPr>
          <w:p w14:paraId="0CBDC850" w14:textId="77777777" w:rsidR="0022665C" w:rsidRDefault="00000000">
            <w:pPr>
              <w:pStyle w:val="affa"/>
              <w:spacing w:line="360" w:lineRule="exact"/>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考核内容</w:t>
            </w:r>
          </w:p>
        </w:tc>
        <w:tc>
          <w:tcPr>
            <w:tcW w:w="5761" w:type="dxa"/>
            <w:vAlign w:val="center"/>
          </w:tcPr>
          <w:p w14:paraId="67BA4B0D" w14:textId="77777777" w:rsidR="0022665C" w:rsidRDefault="00000000">
            <w:pPr>
              <w:spacing w:line="360" w:lineRule="exact"/>
              <w:ind w:firstLineChars="200" w:firstLine="420"/>
              <w:jc w:val="center"/>
              <w:rPr>
                <w:rFonts w:ascii="微软雅黑" w:eastAsia="微软雅黑" w:hAnsi="微软雅黑" w:cs="微软雅黑" w:hint="eastAsia"/>
                <w:sz w:val="21"/>
                <w:szCs w:val="21"/>
              </w:rPr>
            </w:pPr>
            <w:r>
              <w:rPr>
                <w:rFonts w:ascii="微软雅黑" w:eastAsia="微软雅黑" w:hAnsi="微软雅黑" w:cs="微软雅黑" w:hint="eastAsia"/>
                <w:b/>
                <w:sz w:val="21"/>
                <w:szCs w:val="21"/>
              </w:rPr>
              <w:t>加分标准</w:t>
            </w:r>
          </w:p>
        </w:tc>
      </w:tr>
      <w:tr w:rsidR="0022665C" w14:paraId="0A055241" w14:textId="77777777">
        <w:trPr>
          <w:jc w:val="center"/>
        </w:trPr>
        <w:tc>
          <w:tcPr>
            <w:tcW w:w="709" w:type="dxa"/>
            <w:vAlign w:val="center"/>
          </w:tcPr>
          <w:p w14:paraId="11F57EE9"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sz w:val="21"/>
                <w:szCs w:val="21"/>
              </w:rPr>
              <w:t>1</w:t>
            </w:r>
          </w:p>
        </w:tc>
        <w:tc>
          <w:tcPr>
            <w:tcW w:w="1095" w:type="dxa"/>
            <w:vAlign w:val="center"/>
          </w:tcPr>
          <w:p w14:paraId="121261E0" w14:textId="77777777" w:rsidR="0022665C" w:rsidRDefault="00000000">
            <w:pPr>
              <w:pStyle w:val="affa"/>
              <w:spacing w:line="360" w:lineRule="exact"/>
              <w:ind w:firstLineChars="0" w:firstLine="0"/>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满意度</w:t>
            </w:r>
          </w:p>
        </w:tc>
        <w:tc>
          <w:tcPr>
            <w:tcW w:w="2063" w:type="dxa"/>
            <w:vAlign w:val="center"/>
          </w:tcPr>
          <w:p w14:paraId="66418ED0" w14:textId="77777777" w:rsidR="0022665C" w:rsidRDefault="00000000">
            <w:pPr>
              <w:pStyle w:val="affa"/>
              <w:spacing w:line="360" w:lineRule="exact"/>
              <w:ind w:firstLineChars="0" w:firstLine="0"/>
              <w:jc w:val="left"/>
              <w:rPr>
                <w:rFonts w:ascii="微软雅黑" w:eastAsia="微软雅黑" w:hAnsi="微软雅黑" w:cs="微软雅黑" w:hint="eastAsia"/>
                <w:sz w:val="21"/>
                <w:szCs w:val="21"/>
              </w:rPr>
            </w:pPr>
            <w:r>
              <w:rPr>
                <w:rFonts w:ascii="微软雅黑" w:eastAsia="微软雅黑" w:hAnsi="微软雅黑" w:cs="微软雅黑" w:hint="eastAsia"/>
                <w:sz w:val="21"/>
                <w:szCs w:val="21"/>
              </w:rPr>
              <w:t>在合理化建议、知识分享、表彰表扬等方面进行加分考核</w:t>
            </w:r>
          </w:p>
        </w:tc>
        <w:tc>
          <w:tcPr>
            <w:tcW w:w="5761" w:type="dxa"/>
            <w:vAlign w:val="center"/>
          </w:tcPr>
          <w:p w14:paraId="7C10A37E"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1.</w:t>
            </w:r>
            <w:r>
              <w:rPr>
                <w:rFonts w:ascii="微软雅黑" w:eastAsia="微软雅黑" w:hAnsi="微软雅黑" w:cs="微软雅黑" w:hint="eastAsia"/>
                <w:sz w:val="21"/>
                <w:szCs w:val="21"/>
              </w:rPr>
              <w:t>对系统管理、系统推广、运维运营等提出合理化工作建议且被采纳，每次加</w:t>
            </w:r>
            <w:r>
              <w:rPr>
                <w:rFonts w:ascii="微软雅黑" w:eastAsia="微软雅黑" w:hAnsi="微软雅黑" w:cs="微软雅黑"/>
                <w:sz w:val="21"/>
                <w:szCs w:val="21"/>
              </w:rPr>
              <w:t>2</w:t>
            </w:r>
            <w:r>
              <w:rPr>
                <w:rFonts w:ascii="微软雅黑" w:eastAsia="微软雅黑" w:hAnsi="微软雅黑" w:cs="微软雅黑" w:hint="eastAsia"/>
                <w:sz w:val="21"/>
                <w:szCs w:val="21"/>
              </w:rPr>
              <w:t>分。</w:t>
            </w:r>
          </w:p>
          <w:p w14:paraId="255D0220"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2.</w:t>
            </w:r>
            <w:r>
              <w:rPr>
                <w:rFonts w:ascii="微软雅黑" w:eastAsia="微软雅黑" w:hAnsi="微软雅黑" w:cs="微软雅黑" w:hint="eastAsia"/>
                <w:sz w:val="21"/>
                <w:szCs w:val="21"/>
              </w:rPr>
              <w:t>主动进行系统推广、运维运营知识、经验、数据管理等分享与总结，并对系统建设和运营产生积极影响的，每次加</w:t>
            </w:r>
            <w:r>
              <w:rPr>
                <w:rFonts w:ascii="微软雅黑" w:eastAsia="微软雅黑" w:hAnsi="微软雅黑" w:cs="微软雅黑"/>
                <w:sz w:val="21"/>
                <w:szCs w:val="21"/>
              </w:rPr>
              <w:t>5</w:t>
            </w:r>
            <w:r>
              <w:rPr>
                <w:rFonts w:ascii="微软雅黑" w:eastAsia="微软雅黑" w:hAnsi="微软雅黑" w:cs="微软雅黑" w:hint="eastAsia"/>
                <w:sz w:val="21"/>
                <w:szCs w:val="21"/>
              </w:rPr>
              <w:t>分。</w:t>
            </w:r>
          </w:p>
          <w:p w14:paraId="7C274815" w14:textId="77777777" w:rsidR="0022665C" w:rsidRDefault="00000000">
            <w:pPr>
              <w:pStyle w:val="affa"/>
              <w:spacing w:line="360" w:lineRule="exact"/>
              <w:jc w:val="left"/>
              <w:rPr>
                <w:rFonts w:ascii="微软雅黑" w:eastAsia="微软雅黑" w:hAnsi="微软雅黑" w:cs="微软雅黑" w:hint="eastAsia"/>
                <w:sz w:val="21"/>
                <w:szCs w:val="21"/>
              </w:rPr>
            </w:pPr>
            <w:r>
              <w:rPr>
                <w:rFonts w:ascii="微软雅黑" w:eastAsia="微软雅黑" w:hAnsi="微软雅黑" w:cs="微软雅黑"/>
                <w:sz w:val="21"/>
                <w:szCs w:val="21"/>
              </w:rPr>
              <w:t>3.</w:t>
            </w:r>
            <w:r>
              <w:rPr>
                <w:rFonts w:ascii="微软雅黑" w:eastAsia="微软雅黑" w:hAnsi="微软雅黑" w:cs="微软雅黑" w:hint="eastAsia"/>
                <w:sz w:val="21"/>
                <w:szCs w:val="21"/>
              </w:rPr>
              <w:t>系统受到采购人上级机关通报表彰的，每次加5分。被中央媒体报道表彰的，每次加</w:t>
            </w:r>
            <w:r>
              <w:rPr>
                <w:rFonts w:ascii="微软雅黑" w:eastAsia="微软雅黑" w:hAnsi="微软雅黑" w:cs="微软雅黑"/>
                <w:sz w:val="21"/>
                <w:szCs w:val="21"/>
              </w:rPr>
              <w:t>10</w:t>
            </w:r>
            <w:r>
              <w:rPr>
                <w:rFonts w:ascii="微软雅黑" w:eastAsia="微软雅黑" w:hAnsi="微软雅黑" w:cs="微软雅黑" w:hint="eastAsia"/>
                <w:sz w:val="21"/>
                <w:szCs w:val="21"/>
              </w:rPr>
              <w:t>分；被省（市）级媒体报道表彰的，每次加</w:t>
            </w:r>
            <w:r>
              <w:rPr>
                <w:rFonts w:ascii="微软雅黑" w:eastAsia="微软雅黑" w:hAnsi="微软雅黑" w:cs="微软雅黑"/>
                <w:sz w:val="21"/>
                <w:szCs w:val="21"/>
              </w:rPr>
              <w:t>5</w:t>
            </w:r>
            <w:r>
              <w:rPr>
                <w:rFonts w:ascii="微软雅黑" w:eastAsia="微软雅黑" w:hAnsi="微软雅黑" w:cs="微软雅黑" w:hint="eastAsia"/>
                <w:sz w:val="21"/>
                <w:szCs w:val="21"/>
              </w:rPr>
              <w:t>分。</w:t>
            </w:r>
          </w:p>
        </w:tc>
      </w:tr>
      <w:tr w:rsidR="0022665C" w14:paraId="43A01167" w14:textId="77777777">
        <w:trPr>
          <w:jc w:val="center"/>
        </w:trPr>
        <w:tc>
          <w:tcPr>
            <w:tcW w:w="9628" w:type="dxa"/>
            <w:gridSpan w:val="4"/>
            <w:vAlign w:val="center"/>
          </w:tcPr>
          <w:p w14:paraId="09314E93" w14:textId="77777777" w:rsidR="0022665C" w:rsidRDefault="00000000">
            <w:pPr>
              <w:pStyle w:val="affa"/>
              <w:spacing w:line="360" w:lineRule="exact"/>
              <w:ind w:firstLineChars="0" w:firstLine="0"/>
              <w:jc w:val="left"/>
              <w:rPr>
                <w:rFonts w:ascii="微软雅黑" w:eastAsia="微软雅黑" w:hAnsi="微软雅黑" w:hint="eastAsia"/>
                <w:sz w:val="21"/>
                <w:szCs w:val="21"/>
              </w:rPr>
            </w:pPr>
            <w:r>
              <w:rPr>
                <w:rFonts w:ascii="微软雅黑" w:eastAsia="微软雅黑" w:hAnsi="微软雅黑" w:cs="微软雅黑" w:hint="eastAsia"/>
                <w:kern w:val="0"/>
                <w:sz w:val="21"/>
                <w:szCs w:val="21"/>
              </w:rPr>
              <w:t>注：</w:t>
            </w:r>
            <w:r>
              <w:rPr>
                <w:rFonts w:ascii="微软雅黑" w:eastAsia="微软雅黑" w:hAnsi="微软雅黑" w:cs="微软雅黑" w:hint="eastAsia"/>
                <w:sz w:val="21"/>
                <w:szCs w:val="21"/>
              </w:rPr>
              <w:t>本项目采取1</w:t>
            </w:r>
            <w:r>
              <w:rPr>
                <w:rFonts w:ascii="微软雅黑" w:eastAsia="微软雅黑" w:hAnsi="微软雅黑" w:cs="微软雅黑"/>
                <w:sz w:val="21"/>
                <w:szCs w:val="21"/>
              </w:rPr>
              <w:t>00</w:t>
            </w:r>
            <w:r>
              <w:rPr>
                <w:rFonts w:ascii="微软雅黑" w:eastAsia="微软雅黑" w:hAnsi="微软雅黑" w:cs="微软雅黑" w:hint="eastAsia"/>
                <w:sz w:val="21"/>
                <w:szCs w:val="21"/>
              </w:rPr>
              <w:t>分评分制考核，考核由采购人组织实施，对中标人实行两个月一次考核</w:t>
            </w:r>
            <w:r>
              <w:rPr>
                <w:rFonts w:ascii="微软雅黑" w:eastAsia="微软雅黑" w:hAnsi="微软雅黑" w:cs="微软雅黑" w:hint="eastAsia"/>
                <w:kern w:val="0"/>
                <w:sz w:val="21"/>
                <w:szCs w:val="21"/>
              </w:rPr>
              <w:t>，每次考核成绩高于或者等于90分，表明考核优秀。每次考核中考核成绩低于</w:t>
            </w:r>
            <w:r>
              <w:rPr>
                <w:rFonts w:ascii="微软雅黑" w:eastAsia="微软雅黑" w:hAnsi="微软雅黑" w:cs="微软雅黑"/>
                <w:kern w:val="0"/>
                <w:sz w:val="21"/>
                <w:szCs w:val="21"/>
              </w:rPr>
              <w:t>90</w:t>
            </w:r>
            <w:r>
              <w:rPr>
                <w:rFonts w:ascii="微软雅黑" w:eastAsia="微软雅黑" w:hAnsi="微软雅黑" w:cs="微软雅黑" w:hint="eastAsia"/>
                <w:kern w:val="0"/>
                <w:sz w:val="21"/>
                <w:szCs w:val="21"/>
              </w:rPr>
              <w:t>分，每低1分，对中标人进行2万元违约金处罚，在合同支付款项中扣除。</w:t>
            </w:r>
            <w:r>
              <w:rPr>
                <w:rFonts w:ascii="微软雅黑" w:eastAsia="微软雅黑" w:hAnsi="微软雅黑" w:hint="eastAsia"/>
                <w:sz w:val="21"/>
                <w:szCs w:val="21"/>
              </w:rPr>
              <w:t>单次考核成绩低于70分的，中标人应承担合同金额10%的违约金，并且采购人有权解除合同，没收中标人提交的履约保证金，采购人尚未支付的款项不再支付，已支付款项有权要求退还。</w:t>
            </w:r>
          </w:p>
        </w:tc>
      </w:tr>
    </w:tbl>
    <w:p w14:paraId="6EC87881" w14:textId="77777777" w:rsidR="0022665C" w:rsidRDefault="0022665C">
      <w:pPr>
        <w:pStyle w:val="a9"/>
        <w:spacing w:line="440" w:lineRule="atLeast"/>
      </w:pPr>
    </w:p>
    <w:p w14:paraId="1BC3CFC5" w14:textId="77777777" w:rsidR="0022665C" w:rsidRDefault="00000000">
      <w:pPr>
        <w:widowControl/>
        <w:spacing w:line="440" w:lineRule="atLeast"/>
        <w:ind w:firstLine="480"/>
        <w:jc w:val="left"/>
        <w:rPr>
          <w:rFonts w:ascii="微软雅黑" w:eastAsia="微软雅黑" w:hAnsi="微软雅黑" w:hint="eastAsia"/>
          <w:b/>
          <w:bCs/>
          <w:sz w:val="24"/>
          <w:szCs w:val="24"/>
        </w:rPr>
      </w:pPr>
      <w:r>
        <w:rPr>
          <w:rFonts w:ascii="微软雅黑" w:eastAsia="微软雅黑" w:hAnsi="微软雅黑"/>
          <w:b/>
          <w:bCs/>
          <w:sz w:val="24"/>
          <w:szCs w:val="24"/>
        </w:rPr>
        <w:br w:type="page"/>
      </w:r>
    </w:p>
    <w:p w14:paraId="4206896A" w14:textId="77777777" w:rsidR="0022665C" w:rsidRDefault="00000000">
      <w:pPr>
        <w:pStyle w:val="a9"/>
        <w:spacing w:line="440" w:lineRule="atLeast"/>
        <w:ind w:firstLine="480"/>
        <w:rPr>
          <w:rFonts w:ascii="微软雅黑" w:eastAsia="微软雅黑" w:hAnsi="微软雅黑" w:hint="eastAsia"/>
          <w:b/>
          <w:bCs/>
          <w:sz w:val="24"/>
          <w:szCs w:val="24"/>
        </w:rPr>
      </w:pPr>
      <w:r>
        <w:rPr>
          <w:rFonts w:ascii="微软雅黑" w:eastAsia="微软雅黑" w:hAnsi="微软雅黑" w:hint="eastAsia"/>
          <w:b/>
          <w:bCs/>
          <w:sz w:val="24"/>
          <w:szCs w:val="24"/>
        </w:rPr>
        <w:t>附件</w:t>
      </w:r>
      <w:r>
        <w:rPr>
          <w:rFonts w:ascii="微软雅黑" w:eastAsia="微软雅黑" w:hAnsi="微软雅黑"/>
          <w:b/>
          <w:bCs/>
          <w:sz w:val="24"/>
          <w:szCs w:val="24"/>
        </w:rPr>
        <w:t>4</w:t>
      </w:r>
      <w:r>
        <w:rPr>
          <w:rFonts w:ascii="微软雅黑" w:eastAsia="微软雅黑" w:hAnsi="微软雅黑" w:hint="eastAsia"/>
          <w:b/>
          <w:bCs/>
          <w:sz w:val="24"/>
          <w:szCs w:val="24"/>
        </w:rPr>
        <w:t xml:space="preserve"> ：         </w:t>
      </w:r>
    </w:p>
    <w:p w14:paraId="0FD280FA" w14:textId="77777777" w:rsidR="0022665C" w:rsidRDefault="00000000">
      <w:pPr>
        <w:pStyle w:val="a9"/>
        <w:spacing w:line="440" w:lineRule="atLeast"/>
        <w:ind w:firstLine="480"/>
        <w:jc w:val="center"/>
        <w:rPr>
          <w:rFonts w:ascii="微软雅黑" w:eastAsia="微软雅黑" w:hAnsi="微软雅黑" w:hint="eastAsia"/>
          <w:b/>
          <w:bCs/>
          <w:sz w:val="24"/>
          <w:szCs w:val="24"/>
        </w:rPr>
      </w:pPr>
      <w:r>
        <w:rPr>
          <w:rFonts w:ascii="微软雅黑" w:eastAsia="微软雅黑" w:hAnsi="微软雅黑" w:hint="eastAsia"/>
          <w:b/>
          <w:bCs/>
          <w:sz w:val="24"/>
          <w:szCs w:val="24"/>
        </w:rPr>
        <w:t>开发建设技术协议书</w:t>
      </w:r>
    </w:p>
    <w:p w14:paraId="19AAA5A7" w14:textId="77777777" w:rsidR="0022665C" w:rsidRDefault="0022665C">
      <w:pPr>
        <w:pStyle w:val="a9"/>
        <w:spacing w:line="440" w:lineRule="atLeast"/>
        <w:ind w:left="1600" w:firstLine="640"/>
      </w:pPr>
    </w:p>
    <w:p w14:paraId="42A1BF4D" w14:textId="77777777" w:rsidR="0022665C" w:rsidRDefault="00000000">
      <w:pPr>
        <w:rPr>
          <w:rFonts w:ascii="微软雅黑" w:eastAsia="微软雅黑" w:hAnsi="微软雅黑" w:cs="微软雅黑" w:hint="eastAsia"/>
          <w:sz w:val="21"/>
          <w:szCs w:val="21"/>
        </w:rPr>
      </w:pPr>
      <w:r>
        <w:br w:type="page"/>
      </w:r>
    </w:p>
    <w:p w14:paraId="5234B953" w14:textId="77777777" w:rsidR="0022665C" w:rsidRDefault="00000000">
      <w:pPr>
        <w:pStyle w:val="1"/>
        <w:numPr>
          <w:ilvl w:val="0"/>
          <w:numId w:val="3"/>
        </w:numPr>
        <w:tabs>
          <w:tab w:val="left" w:pos="1530"/>
          <w:tab w:val="left" w:pos="3940"/>
          <w:tab w:val="left" w:pos="8052"/>
        </w:tabs>
        <w:spacing w:beforeLines="0" w:afterLines="0" w:line="480" w:lineRule="auto"/>
        <w:ind w:left="0" w:firstLine="0"/>
        <w:rPr>
          <w:rFonts w:ascii="微软雅黑" w:eastAsia="微软雅黑" w:hAnsi="微软雅黑" w:hint="eastAsia"/>
          <w:b/>
          <w:sz w:val="36"/>
          <w:szCs w:val="36"/>
        </w:rPr>
      </w:pPr>
      <w:bookmarkStart w:id="271" w:name="_Toc4724"/>
      <w:bookmarkStart w:id="272" w:name="_Toc23880"/>
      <w:bookmarkStart w:id="273" w:name="_Toc10428"/>
      <w:bookmarkStart w:id="274" w:name="_Toc28307"/>
      <w:bookmarkEnd w:id="266"/>
      <w:bookmarkEnd w:id="267"/>
      <w:bookmarkEnd w:id="268"/>
      <w:bookmarkEnd w:id="269"/>
      <w:r>
        <w:rPr>
          <w:rFonts w:ascii="微软雅黑" w:eastAsia="微软雅黑" w:hAnsi="微软雅黑"/>
          <w:b/>
          <w:sz w:val="36"/>
          <w:szCs w:val="36"/>
        </w:rPr>
        <w:t>投标文件格式</w:t>
      </w:r>
      <w:bookmarkEnd w:id="271"/>
      <w:bookmarkEnd w:id="272"/>
      <w:bookmarkEnd w:id="273"/>
      <w:bookmarkEnd w:id="274"/>
    </w:p>
    <w:p w14:paraId="4BB68283" w14:textId="77777777" w:rsidR="0022665C" w:rsidRDefault="00000000">
      <w:pPr>
        <w:snapToGrid w:val="0"/>
        <w:spacing w:line="440" w:lineRule="atLeast"/>
        <w:ind w:firstLineChars="200" w:firstLine="480"/>
        <w:rPr>
          <w:rFonts w:ascii="微软雅黑" w:eastAsia="微软雅黑" w:hAnsi="微软雅黑" w:hint="eastAsia"/>
          <w:b/>
          <w:sz w:val="24"/>
          <w:szCs w:val="24"/>
        </w:rPr>
      </w:pPr>
      <w:r>
        <w:rPr>
          <w:rFonts w:ascii="微软雅黑" w:eastAsia="微软雅黑" w:hAnsi="微软雅黑"/>
          <w:b/>
          <w:sz w:val="24"/>
          <w:szCs w:val="24"/>
        </w:rPr>
        <w:t>一、经济文件</w:t>
      </w:r>
    </w:p>
    <w:p w14:paraId="33B9C1DE"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（一）开标一览表</w:t>
      </w:r>
    </w:p>
    <w:p w14:paraId="784F3929"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（二）分项报价明细表</w:t>
      </w:r>
    </w:p>
    <w:p w14:paraId="1250E018" w14:textId="77777777" w:rsidR="0022665C" w:rsidRDefault="00000000">
      <w:pPr>
        <w:snapToGrid w:val="0"/>
        <w:spacing w:line="440" w:lineRule="atLeast"/>
        <w:ind w:firstLineChars="200" w:firstLine="480"/>
        <w:rPr>
          <w:rFonts w:ascii="微软雅黑" w:eastAsia="微软雅黑" w:hAnsi="微软雅黑" w:hint="eastAsia"/>
          <w:b/>
          <w:sz w:val="24"/>
          <w:szCs w:val="24"/>
        </w:rPr>
      </w:pPr>
      <w:r>
        <w:rPr>
          <w:rFonts w:ascii="微软雅黑" w:eastAsia="微软雅黑" w:hAnsi="微软雅黑"/>
          <w:b/>
          <w:sz w:val="24"/>
          <w:szCs w:val="24"/>
        </w:rPr>
        <w:t>二、技术（服务）响应</w:t>
      </w:r>
    </w:p>
    <w:p w14:paraId="43B1B87C"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bookmarkStart w:id="275" w:name="_Hlk101689519"/>
      <w:r>
        <w:rPr>
          <w:rFonts w:ascii="微软雅黑" w:eastAsia="微软雅黑" w:hAnsi="微软雅黑"/>
          <w:sz w:val="21"/>
          <w:szCs w:val="21"/>
        </w:rPr>
        <w:t>（一）技术服务方案</w:t>
      </w:r>
    </w:p>
    <w:p w14:paraId="13FF36A1"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（二）技术条款差异表</w:t>
      </w:r>
    </w:p>
    <w:p w14:paraId="40DF8033"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（三）本招标文件中第二篇所需提供的证明材料（如果有）</w:t>
      </w:r>
    </w:p>
    <w:p w14:paraId="594609D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（四）其他技术资料</w:t>
      </w:r>
      <w:r>
        <w:rPr>
          <w:rFonts w:ascii="微软雅黑" w:eastAsia="微软雅黑" w:hAnsi="微软雅黑"/>
          <w:sz w:val="21"/>
          <w:szCs w:val="21"/>
        </w:rPr>
        <w:tab/>
      </w:r>
    </w:p>
    <w:p w14:paraId="6EF3FA08" w14:textId="77777777" w:rsidR="0022665C" w:rsidRDefault="00000000">
      <w:pPr>
        <w:snapToGrid w:val="0"/>
        <w:spacing w:line="440" w:lineRule="atLeast"/>
        <w:ind w:firstLineChars="200" w:firstLine="480"/>
        <w:rPr>
          <w:rFonts w:ascii="微软雅黑" w:eastAsia="微软雅黑" w:hAnsi="微软雅黑" w:hint="eastAsia"/>
          <w:b/>
          <w:sz w:val="24"/>
          <w:szCs w:val="24"/>
        </w:rPr>
      </w:pPr>
      <w:r>
        <w:rPr>
          <w:rFonts w:ascii="微软雅黑" w:eastAsia="微软雅黑" w:hAnsi="微软雅黑"/>
          <w:b/>
          <w:sz w:val="24"/>
          <w:szCs w:val="24"/>
        </w:rPr>
        <w:t>三、商务文件</w:t>
      </w:r>
    </w:p>
    <w:p w14:paraId="20CBF3F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（一）投标函（格式）</w:t>
      </w:r>
    </w:p>
    <w:p w14:paraId="4B5A929C"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（二）商务条款差异表</w:t>
      </w:r>
    </w:p>
    <w:p w14:paraId="6CB742A3"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（三）本招标文件中第三篇所需提供的证明材料（如果有）</w:t>
      </w:r>
    </w:p>
    <w:p w14:paraId="4D844A7F"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（四）其他商务资料</w:t>
      </w:r>
    </w:p>
    <w:bookmarkEnd w:id="275"/>
    <w:p w14:paraId="672AB789" w14:textId="77777777" w:rsidR="0022665C" w:rsidRDefault="00000000">
      <w:pPr>
        <w:snapToGrid w:val="0"/>
        <w:spacing w:line="440" w:lineRule="atLeast"/>
        <w:ind w:firstLineChars="200" w:firstLine="480"/>
        <w:rPr>
          <w:rFonts w:ascii="微软雅黑" w:eastAsia="微软雅黑" w:hAnsi="微软雅黑" w:hint="eastAsia"/>
          <w:b/>
          <w:sz w:val="24"/>
          <w:szCs w:val="24"/>
        </w:rPr>
      </w:pPr>
      <w:r>
        <w:rPr>
          <w:rFonts w:ascii="微软雅黑" w:eastAsia="微软雅黑" w:hAnsi="微软雅黑"/>
          <w:b/>
          <w:sz w:val="24"/>
          <w:szCs w:val="24"/>
        </w:rPr>
        <w:t>四、其他资料</w:t>
      </w:r>
    </w:p>
    <w:p w14:paraId="6CCFF4F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（一）中小企业声明函、监狱企业证明文件、残疾人福利性单位声明函</w:t>
      </w:r>
    </w:p>
    <w:p w14:paraId="00F55451" w14:textId="77777777" w:rsidR="0022665C" w:rsidRDefault="00000000">
      <w:pPr>
        <w:tabs>
          <w:tab w:val="center" w:pos="4660"/>
        </w:tabs>
        <w:snapToGrid w:val="0"/>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sz w:val="21"/>
          <w:szCs w:val="21"/>
        </w:rPr>
        <w:t>（二）其他与项目有关的资料</w:t>
      </w:r>
      <w:r>
        <w:rPr>
          <w:rFonts w:ascii="微软雅黑" w:eastAsia="微软雅黑" w:hAnsi="微软雅黑" w:cs="微软雅黑" w:hint="eastAsia"/>
          <w:b/>
          <w:bCs/>
          <w:sz w:val="21"/>
          <w:szCs w:val="21"/>
        </w:rPr>
        <w:t>（自行提供）</w:t>
      </w:r>
    </w:p>
    <w:p w14:paraId="5EB05DE6" w14:textId="77777777" w:rsidR="0022665C" w:rsidRDefault="00000000">
      <w:pPr>
        <w:tabs>
          <w:tab w:val="center" w:pos="4660"/>
        </w:tabs>
        <w:snapToGrid w:val="0"/>
        <w:spacing w:line="40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（三）联合体协议</w:t>
      </w:r>
      <w:bookmarkStart w:id="276" w:name="_Hlk150416591"/>
      <w:r>
        <w:rPr>
          <w:rFonts w:ascii="微软雅黑" w:eastAsia="微软雅黑" w:hAnsi="微软雅黑" w:hint="eastAsia"/>
          <w:sz w:val="21"/>
          <w:szCs w:val="21"/>
        </w:rPr>
        <w:t>（如有）</w:t>
      </w:r>
      <w:bookmarkEnd w:id="276"/>
    </w:p>
    <w:p w14:paraId="2F0F1C6B" w14:textId="77777777" w:rsidR="0022665C" w:rsidRDefault="00000000">
      <w:pPr>
        <w:tabs>
          <w:tab w:val="center" w:pos="4660"/>
        </w:tabs>
        <w:snapToGrid w:val="0"/>
        <w:spacing w:line="40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（四）拟分包情况说明及分包意向协议 （如需）</w:t>
      </w:r>
    </w:p>
    <w:p w14:paraId="71C20E55" w14:textId="77777777" w:rsidR="0022665C" w:rsidRDefault="00000000">
      <w:pPr>
        <w:snapToGrid w:val="0"/>
        <w:spacing w:line="440" w:lineRule="atLeast"/>
        <w:ind w:firstLineChars="200" w:firstLine="480"/>
        <w:rPr>
          <w:rFonts w:ascii="微软雅黑" w:eastAsia="微软雅黑" w:hAnsi="微软雅黑" w:hint="eastAsia"/>
          <w:b/>
          <w:sz w:val="24"/>
          <w:szCs w:val="24"/>
        </w:rPr>
      </w:pPr>
      <w:r>
        <w:rPr>
          <w:rFonts w:ascii="微软雅黑" w:eastAsia="微软雅黑" w:hAnsi="微软雅黑"/>
          <w:b/>
          <w:sz w:val="24"/>
          <w:szCs w:val="24"/>
        </w:rPr>
        <w:t>五、资格文件</w:t>
      </w:r>
    </w:p>
    <w:p w14:paraId="3CACCE7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（一）法人营业执照（副本）或事业单位法人证书（副本）或个体工商户营业执照或有效的自然人身份证明或社会团体法人登记证书复印件</w:t>
      </w:r>
    </w:p>
    <w:p w14:paraId="4C78666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（二）法定代表人身份证明书（格式）</w:t>
      </w:r>
    </w:p>
    <w:p w14:paraId="41FD0403"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（三）法定代表人授权委托书（格式）</w:t>
      </w:r>
    </w:p>
    <w:p w14:paraId="228FC05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（四）基本资格条件承诺函（格式）</w:t>
      </w:r>
    </w:p>
    <w:p w14:paraId="7FD23D2A"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sz w:val="21"/>
          <w:szCs w:val="21"/>
        </w:rPr>
        <w:t>（五）特定资格条件证书或证明文件</w:t>
      </w:r>
    </w:p>
    <w:p w14:paraId="3F816E9E" w14:textId="77777777" w:rsidR="0022665C" w:rsidRDefault="0022665C">
      <w:pPr>
        <w:pStyle w:val="a3"/>
        <w:spacing w:line="440" w:lineRule="atLeast"/>
        <w:rPr>
          <w:rFonts w:ascii="微软雅黑" w:eastAsia="微软雅黑" w:hAnsi="微软雅黑" w:hint="eastAsia"/>
          <w:sz w:val="21"/>
          <w:szCs w:val="21"/>
        </w:rPr>
      </w:pPr>
    </w:p>
    <w:p w14:paraId="637D6EB3" w14:textId="77777777" w:rsidR="0022665C" w:rsidRDefault="0022665C">
      <w:pPr>
        <w:pStyle w:val="a3"/>
        <w:spacing w:line="440" w:lineRule="atLeast"/>
        <w:rPr>
          <w:rFonts w:ascii="微软雅黑" w:eastAsia="微软雅黑" w:hAnsi="微软雅黑" w:hint="eastAsia"/>
          <w:sz w:val="21"/>
          <w:szCs w:val="21"/>
        </w:rPr>
      </w:pPr>
    </w:p>
    <w:p w14:paraId="5E0CB7EB" w14:textId="77777777" w:rsidR="0022665C" w:rsidRDefault="00000000">
      <w:pPr>
        <w:widowControl/>
        <w:spacing w:line="440" w:lineRule="atLeast"/>
        <w:jc w:val="left"/>
        <w:rPr>
          <w:rFonts w:ascii="微软雅黑" w:eastAsia="微软雅黑" w:hAnsi="微软雅黑" w:hint="eastAsia"/>
          <w:sz w:val="21"/>
          <w:szCs w:val="21"/>
        </w:rPr>
      </w:pPr>
      <w:r>
        <w:rPr>
          <w:rFonts w:ascii="微软雅黑" w:eastAsia="微软雅黑" w:hAnsi="微软雅黑"/>
          <w:sz w:val="21"/>
          <w:szCs w:val="21"/>
        </w:rPr>
        <w:br w:type="page"/>
      </w:r>
    </w:p>
    <w:p w14:paraId="28F8ABFB" w14:textId="77777777" w:rsidR="0022665C" w:rsidRDefault="00000000">
      <w:pPr>
        <w:pStyle w:val="2"/>
        <w:spacing w:line="560" w:lineRule="atLeast"/>
        <w:ind w:firstLine="480"/>
        <w:jc w:val="left"/>
        <w:rPr>
          <w:rFonts w:ascii="微软雅黑" w:eastAsia="微软雅黑" w:hAnsi="微软雅黑" w:hint="eastAsia"/>
          <w:b/>
          <w:bCs/>
          <w:sz w:val="24"/>
        </w:rPr>
      </w:pPr>
      <w:bookmarkStart w:id="277" w:name="_Toc97656415"/>
      <w:bookmarkStart w:id="278" w:name="_Toc8829"/>
      <w:bookmarkStart w:id="279" w:name="_Toc429584884"/>
      <w:bookmarkStart w:id="280" w:name="_Toc20171"/>
      <w:bookmarkStart w:id="281" w:name="_Toc21979"/>
      <w:bookmarkStart w:id="282" w:name="_Toc100240527"/>
      <w:bookmarkStart w:id="283" w:name="_Toc5613"/>
      <w:r>
        <w:rPr>
          <w:rFonts w:ascii="微软雅黑" w:eastAsia="微软雅黑" w:hAnsi="微软雅黑" w:hint="eastAsia"/>
          <w:b/>
          <w:bCs/>
          <w:sz w:val="24"/>
        </w:rPr>
        <w:t>一、经济文件</w:t>
      </w:r>
      <w:bookmarkEnd w:id="277"/>
      <w:bookmarkEnd w:id="278"/>
      <w:bookmarkEnd w:id="279"/>
      <w:bookmarkEnd w:id="280"/>
      <w:bookmarkEnd w:id="281"/>
      <w:bookmarkEnd w:id="282"/>
      <w:bookmarkEnd w:id="283"/>
    </w:p>
    <w:p w14:paraId="66EA8E74" w14:textId="77777777" w:rsidR="0022665C" w:rsidRDefault="0022665C">
      <w:pPr>
        <w:snapToGrid w:val="0"/>
        <w:spacing w:line="440" w:lineRule="atLeast"/>
        <w:ind w:firstLine="640"/>
        <w:jc w:val="center"/>
        <w:rPr>
          <w:rFonts w:ascii="微软雅黑" w:eastAsia="微软雅黑" w:hAnsi="微软雅黑" w:hint="eastAsia"/>
          <w:b/>
          <w:sz w:val="32"/>
          <w:szCs w:val="32"/>
        </w:rPr>
      </w:pPr>
    </w:p>
    <w:p w14:paraId="4F67E2EA" w14:textId="77777777" w:rsidR="0022665C" w:rsidRDefault="00000000">
      <w:pPr>
        <w:snapToGrid w:val="0"/>
        <w:spacing w:line="440" w:lineRule="atLeast"/>
        <w:ind w:firstLine="640"/>
        <w:jc w:val="center"/>
        <w:rPr>
          <w:rFonts w:ascii="微软雅黑" w:eastAsia="微软雅黑" w:hAnsi="微软雅黑" w:hint="eastAsia"/>
          <w:b/>
          <w:sz w:val="32"/>
          <w:szCs w:val="32"/>
        </w:rPr>
      </w:pPr>
      <w:r>
        <w:rPr>
          <w:rFonts w:ascii="微软雅黑" w:eastAsia="微软雅黑" w:hAnsi="微软雅黑" w:hint="eastAsia"/>
          <w:b/>
          <w:sz w:val="32"/>
          <w:szCs w:val="32"/>
        </w:rPr>
        <w:t>（一）开标一览表</w:t>
      </w:r>
    </w:p>
    <w:p w14:paraId="5F78FEA0" w14:textId="77777777" w:rsidR="0022665C" w:rsidRDefault="0022665C">
      <w:pPr>
        <w:pStyle w:val="a3"/>
        <w:spacing w:line="440" w:lineRule="atLeast"/>
        <w:ind w:firstLine="480"/>
        <w:rPr>
          <w:rFonts w:ascii="微软雅黑" w:eastAsia="微软雅黑" w:hAnsi="微软雅黑" w:hint="eastAsia"/>
        </w:rPr>
      </w:pPr>
    </w:p>
    <w:p w14:paraId="3FCD353D" w14:textId="77777777" w:rsidR="0022665C" w:rsidRDefault="00000000">
      <w:pPr>
        <w:spacing w:line="440" w:lineRule="atLeast"/>
        <w:ind w:firstLineChars="100" w:firstLine="210"/>
        <w:rPr>
          <w:rFonts w:ascii="微软雅黑" w:eastAsia="微软雅黑" w:hAnsi="微软雅黑" w:hint="eastAsia"/>
          <w:sz w:val="21"/>
          <w:szCs w:val="21"/>
          <w:u w:val="single"/>
        </w:rPr>
      </w:pPr>
      <w:r>
        <w:rPr>
          <w:rFonts w:ascii="微软雅黑" w:eastAsia="微软雅黑" w:hAnsi="微软雅黑" w:hint="eastAsia"/>
          <w:sz w:val="21"/>
          <w:szCs w:val="21"/>
        </w:rPr>
        <w:t>项目号：</w:t>
      </w:r>
      <w:r>
        <w:rPr>
          <w:rFonts w:ascii="微软雅黑" w:eastAsia="微软雅黑" w:hAnsi="微软雅黑" w:hint="eastAsia"/>
          <w:sz w:val="21"/>
          <w:szCs w:val="21"/>
          <w:u w:val="single"/>
        </w:rPr>
        <w:t xml:space="preserve"> </w:t>
      </w:r>
      <w:r>
        <w:rPr>
          <w:rFonts w:ascii="微软雅黑" w:eastAsia="微软雅黑" w:hAnsi="微软雅黑"/>
          <w:sz w:val="21"/>
          <w:szCs w:val="21"/>
          <w:u w:val="single"/>
        </w:rPr>
        <w:t xml:space="preserve">                  </w:t>
      </w:r>
    </w:p>
    <w:p w14:paraId="3E803B54"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招标项目名称：</w:t>
      </w:r>
      <w:r>
        <w:rPr>
          <w:rFonts w:ascii="微软雅黑" w:eastAsia="微软雅黑" w:hAnsi="微软雅黑" w:hint="eastAsia"/>
          <w:sz w:val="21"/>
          <w:szCs w:val="21"/>
          <w:u w:val="single"/>
        </w:rPr>
        <w:t xml:space="preserve"> </w:t>
      </w:r>
      <w:r>
        <w:rPr>
          <w:rFonts w:ascii="微软雅黑" w:eastAsia="微软雅黑" w:hAnsi="微软雅黑"/>
          <w:sz w:val="21"/>
          <w:szCs w:val="21"/>
          <w:u w:val="single"/>
        </w:rPr>
        <w:t xml:space="preserve">                 </w:t>
      </w:r>
    </w:p>
    <w:tbl>
      <w:tblPr>
        <w:tblW w:w="90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3208"/>
        <w:gridCol w:w="4303"/>
      </w:tblGrid>
      <w:tr w:rsidR="0022665C" w14:paraId="0B4B1CAB" w14:textId="77777777">
        <w:trPr>
          <w:cantSplit/>
          <w:trHeight w:val="800"/>
        </w:trPr>
        <w:tc>
          <w:tcPr>
            <w:tcW w:w="1530" w:type="dxa"/>
            <w:vAlign w:val="center"/>
          </w:tcPr>
          <w:p w14:paraId="5870DB02" w14:textId="77777777" w:rsidR="0022665C" w:rsidRDefault="00000000">
            <w:pPr>
              <w:spacing w:line="440" w:lineRule="atLeast"/>
              <w:jc w:val="center"/>
              <w:rPr>
                <w:rFonts w:ascii="微软雅黑" w:eastAsia="微软雅黑" w:hAnsi="微软雅黑" w:hint="eastAsia"/>
                <w:sz w:val="21"/>
                <w:szCs w:val="21"/>
              </w:rPr>
            </w:pPr>
            <w:r>
              <w:rPr>
                <w:rFonts w:ascii="微软雅黑" w:eastAsia="微软雅黑" w:hAnsi="微软雅黑" w:hint="eastAsia"/>
                <w:sz w:val="21"/>
                <w:szCs w:val="21"/>
              </w:rPr>
              <w:t>投标人名称</w:t>
            </w:r>
          </w:p>
        </w:tc>
        <w:tc>
          <w:tcPr>
            <w:tcW w:w="7511" w:type="dxa"/>
            <w:gridSpan w:val="2"/>
            <w:vAlign w:val="center"/>
          </w:tcPr>
          <w:p w14:paraId="7C8EBF3A" w14:textId="77777777" w:rsidR="0022665C" w:rsidRDefault="0022665C">
            <w:pPr>
              <w:spacing w:line="440" w:lineRule="atLeast"/>
              <w:jc w:val="center"/>
              <w:rPr>
                <w:rFonts w:ascii="微软雅黑" w:eastAsia="微软雅黑" w:hAnsi="微软雅黑" w:hint="eastAsia"/>
                <w:sz w:val="21"/>
                <w:szCs w:val="21"/>
              </w:rPr>
            </w:pPr>
          </w:p>
        </w:tc>
      </w:tr>
      <w:tr w:rsidR="0022665C" w14:paraId="13D6D192" w14:textId="77777777">
        <w:trPr>
          <w:cantSplit/>
          <w:trHeight w:val="629"/>
        </w:trPr>
        <w:tc>
          <w:tcPr>
            <w:tcW w:w="4738" w:type="dxa"/>
            <w:gridSpan w:val="2"/>
            <w:vAlign w:val="center"/>
          </w:tcPr>
          <w:p w14:paraId="5B9784B1" w14:textId="77777777" w:rsidR="0022665C" w:rsidRDefault="00000000">
            <w:pPr>
              <w:spacing w:line="480" w:lineRule="exact"/>
              <w:jc w:val="center"/>
              <w:rPr>
                <w:rFonts w:ascii="微软雅黑" w:eastAsia="微软雅黑" w:hAnsi="微软雅黑" w:hint="eastAsia"/>
                <w:sz w:val="21"/>
                <w:szCs w:val="21"/>
              </w:rPr>
            </w:pPr>
            <w:r>
              <w:rPr>
                <w:rFonts w:ascii="微软雅黑" w:eastAsia="微软雅黑" w:hAnsi="微软雅黑" w:hint="eastAsia"/>
                <w:sz w:val="21"/>
                <w:szCs w:val="21"/>
              </w:rPr>
              <w:t>项目名称</w:t>
            </w:r>
          </w:p>
        </w:tc>
        <w:tc>
          <w:tcPr>
            <w:tcW w:w="4303" w:type="dxa"/>
            <w:vAlign w:val="center"/>
          </w:tcPr>
          <w:p w14:paraId="5ECA5975" w14:textId="77777777" w:rsidR="0022665C" w:rsidRDefault="00000000">
            <w:pPr>
              <w:spacing w:line="440" w:lineRule="atLeast"/>
              <w:jc w:val="center"/>
              <w:rPr>
                <w:rFonts w:ascii="微软雅黑" w:eastAsia="微软雅黑" w:hAnsi="微软雅黑" w:hint="eastAsia"/>
                <w:sz w:val="21"/>
                <w:szCs w:val="21"/>
              </w:rPr>
            </w:pPr>
            <w:r>
              <w:rPr>
                <w:rFonts w:ascii="微软雅黑" w:eastAsia="微软雅黑" w:hAnsi="微软雅黑" w:hint="eastAsia"/>
                <w:sz w:val="21"/>
                <w:szCs w:val="28"/>
              </w:rPr>
              <w:t>投标报价（小写）</w:t>
            </w:r>
          </w:p>
        </w:tc>
      </w:tr>
      <w:tr w:rsidR="0022665C" w14:paraId="3879374A" w14:textId="77777777">
        <w:trPr>
          <w:cantSplit/>
          <w:trHeight w:val="709"/>
        </w:trPr>
        <w:tc>
          <w:tcPr>
            <w:tcW w:w="4738" w:type="dxa"/>
            <w:gridSpan w:val="2"/>
            <w:vAlign w:val="center"/>
          </w:tcPr>
          <w:p w14:paraId="33328F61" w14:textId="77777777" w:rsidR="0022665C" w:rsidRDefault="00000000">
            <w:pPr>
              <w:spacing w:line="440" w:lineRule="atLeast"/>
              <w:rPr>
                <w:rFonts w:ascii="微软雅黑" w:eastAsia="微软雅黑" w:hAnsi="微软雅黑" w:hint="eastAsia"/>
                <w:sz w:val="21"/>
                <w:szCs w:val="21"/>
              </w:rPr>
            </w:pPr>
            <w:r>
              <w:rPr>
                <w:rFonts w:ascii="微软雅黑" w:eastAsia="微软雅黑" w:hAnsi="微软雅黑" w:hint="eastAsia"/>
                <w:sz w:val="21"/>
                <w:szCs w:val="21"/>
              </w:rPr>
              <w:t xml:space="preserve">   </w:t>
            </w:r>
          </w:p>
        </w:tc>
        <w:tc>
          <w:tcPr>
            <w:tcW w:w="4303" w:type="dxa"/>
          </w:tcPr>
          <w:p w14:paraId="35B33EB3" w14:textId="77777777" w:rsidR="0022665C" w:rsidRDefault="00000000">
            <w:pPr>
              <w:spacing w:line="440" w:lineRule="atLeast"/>
              <w:rPr>
                <w:rFonts w:ascii="微软雅黑" w:eastAsia="微软雅黑" w:hAnsi="微软雅黑" w:hint="eastAsia"/>
                <w:sz w:val="21"/>
                <w:szCs w:val="21"/>
              </w:rPr>
            </w:pPr>
            <w:r>
              <w:rPr>
                <w:rFonts w:ascii="微软雅黑" w:eastAsia="微软雅黑" w:hAnsi="微软雅黑" w:hint="eastAsia"/>
                <w:sz w:val="21"/>
                <w:szCs w:val="21"/>
              </w:rPr>
              <w:t xml:space="preserve">            </w:t>
            </w:r>
          </w:p>
        </w:tc>
      </w:tr>
      <w:tr w:rsidR="0022665C" w14:paraId="5B67CABA" w14:textId="77777777">
        <w:trPr>
          <w:cantSplit/>
          <w:trHeight w:val="726"/>
        </w:trPr>
        <w:tc>
          <w:tcPr>
            <w:tcW w:w="9041" w:type="dxa"/>
            <w:gridSpan w:val="3"/>
            <w:tcBorders>
              <w:bottom w:val="single" w:sz="4" w:space="0" w:color="auto"/>
            </w:tcBorders>
            <w:vAlign w:val="center"/>
          </w:tcPr>
          <w:p w14:paraId="1D4AD8B1" w14:textId="77777777" w:rsidR="0022665C" w:rsidRDefault="00000000">
            <w:pPr>
              <w:spacing w:line="440" w:lineRule="atLeast"/>
              <w:rPr>
                <w:rFonts w:ascii="微软雅黑" w:eastAsia="微软雅黑" w:hAnsi="微软雅黑" w:hint="eastAsia"/>
                <w:sz w:val="21"/>
                <w:szCs w:val="21"/>
              </w:rPr>
            </w:pPr>
            <w:r>
              <w:rPr>
                <w:rFonts w:ascii="微软雅黑" w:eastAsia="微软雅黑" w:hAnsi="微软雅黑" w:hint="eastAsia"/>
                <w:sz w:val="21"/>
                <w:szCs w:val="21"/>
              </w:rPr>
              <w:t xml:space="preserve">投标报价（大写）：      </w:t>
            </w:r>
          </w:p>
        </w:tc>
      </w:tr>
    </w:tbl>
    <w:p w14:paraId="37D925E6"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投标人：                              法定代表人（或法定代表人授权代表）或自然人：</w:t>
      </w:r>
    </w:p>
    <w:p w14:paraId="208FCAB7" w14:textId="77777777" w:rsidR="0022665C" w:rsidRDefault="00000000">
      <w:pPr>
        <w:spacing w:line="440" w:lineRule="atLeast"/>
        <w:rPr>
          <w:rFonts w:ascii="微软雅黑" w:eastAsia="微软雅黑" w:hAnsi="微软雅黑" w:hint="eastAsia"/>
          <w:sz w:val="21"/>
          <w:szCs w:val="21"/>
        </w:rPr>
      </w:pPr>
      <w:r>
        <w:rPr>
          <w:rFonts w:ascii="微软雅黑" w:eastAsia="微软雅黑" w:hAnsi="微软雅黑" w:hint="eastAsia"/>
          <w:sz w:val="21"/>
          <w:szCs w:val="21"/>
        </w:rPr>
        <w:t>（投标人公章）                                                 （签署或盖章）</w:t>
      </w:r>
    </w:p>
    <w:p w14:paraId="47608002" w14:textId="77777777" w:rsidR="0022665C" w:rsidRDefault="00000000">
      <w:pPr>
        <w:spacing w:line="440" w:lineRule="atLeast"/>
        <w:ind w:firstLineChars="2950" w:firstLine="6195"/>
        <w:rPr>
          <w:rFonts w:ascii="微软雅黑" w:eastAsia="微软雅黑" w:hAnsi="微软雅黑" w:hint="eastAsia"/>
          <w:sz w:val="21"/>
          <w:szCs w:val="21"/>
        </w:rPr>
      </w:pPr>
      <w:r>
        <w:rPr>
          <w:rFonts w:ascii="微软雅黑" w:eastAsia="微软雅黑" w:hAnsi="微软雅黑" w:hint="eastAsia"/>
          <w:sz w:val="21"/>
          <w:szCs w:val="21"/>
        </w:rPr>
        <w:t>年  月   日</w:t>
      </w:r>
    </w:p>
    <w:p w14:paraId="5C1BA909" w14:textId="77777777" w:rsidR="0022665C" w:rsidRDefault="0022665C">
      <w:pPr>
        <w:pStyle w:val="a3"/>
        <w:spacing w:line="440" w:lineRule="atLeast"/>
        <w:ind w:firstLine="480"/>
        <w:rPr>
          <w:rFonts w:ascii="微软雅黑" w:eastAsia="微软雅黑" w:hAnsi="微软雅黑" w:hint="eastAsia"/>
        </w:rPr>
      </w:pPr>
    </w:p>
    <w:p w14:paraId="2C30B615"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说明：</w:t>
      </w:r>
    </w:p>
    <w:p w14:paraId="63C6081D"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1.开标一览表按格式填列；</w:t>
      </w:r>
    </w:p>
    <w:p w14:paraId="3F321B20"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2.开标一览表在开标大会上当众宣读，务必填写清楚，准确无误；</w:t>
      </w:r>
    </w:p>
    <w:p w14:paraId="00476542" w14:textId="77777777" w:rsidR="0022665C" w:rsidRDefault="00000000">
      <w:pPr>
        <w:snapToGrid w:val="0"/>
        <w:spacing w:line="360" w:lineRule="exac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3.若以联合体参与投标的，应在“投标人名称”处注明所有联合体名称。“投标人”处至少应加盖联合体主办方（主体）公章。</w:t>
      </w:r>
    </w:p>
    <w:p w14:paraId="4E044528" w14:textId="77777777" w:rsidR="0022665C" w:rsidRDefault="0022665C">
      <w:pPr>
        <w:snapToGrid w:val="0"/>
        <w:spacing w:line="440" w:lineRule="atLeast"/>
        <w:ind w:firstLineChars="200" w:firstLine="420"/>
        <w:rPr>
          <w:rFonts w:ascii="微软雅黑" w:eastAsia="微软雅黑" w:hAnsi="微软雅黑" w:hint="eastAsia"/>
          <w:sz w:val="21"/>
          <w:szCs w:val="21"/>
        </w:rPr>
      </w:pPr>
    </w:p>
    <w:p w14:paraId="14DDE182" w14:textId="77777777" w:rsidR="0022665C" w:rsidRDefault="0022665C">
      <w:pPr>
        <w:pStyle w:val="a3"/>
        <w:spacing w:line="440" w:lineRule="atLeast"/>
        <w:ind w:firstLine="480"/>
        <w:rPr>
          <w:rFonts w:ascii="微软雅黑" w:eastAsia="微软雅黑" w:hAnsi="微软雅黑" w:hint="eastAsia"/>
        </w:rPr>
      </w:pPr>
    </w:p>
    <w:p w14:paraId="1F20EF27" w14:textId="77777777" w:rsidR="0022665C" w:rsidRDefault="0022665C">
      <w:pPr>
        <w:pStyle w:val="a3"/>
        <w:spacing w:line="440" w:lineRule="atLeast"/>
        <w:ind w:firstLine="480"/>
        <w:rPr>
          <w:rFonts w:ascii="微软雅黑" w:eastAsia="微软雅黑" w:hAnsi="微软雅黑" w:hint="eastAsia"/>
        </w:rPr>
      </w:pPr>
    </w:p>
    <w:p w14:paraId="4D83641D" w14:textId="77777777" w:rsidR="0022665C" w:rsidRDefault="0022665C">
      <w:pPr>
        <w:pStyle w:val="a3"/>
        <w:spacing w:line="440" w:lineRule="atLeast"/>
        <w:ind w:firstLine="480"/>
        <w:rPr>
          <w:rFonts w:ascii="微软雅黑" w:eastAsia="微软雅黑" w:hAnsi="微软雅黑" w:hint="eastAsia"/>
        </w:rPr>
      </w:pPr>
      <w:bookmarkStart w:id="284" w:name="_Toc521402531"/>
    </w:p>
    <w:p w14:paraId="44A4882C" w14:textId="77777777" w:rsidR="0022665C" w:rsidRDefault="0022665C">
      <w:pPr>
        <w:snapToGrid w:val="0"/>
        <w:spacing w:line="440" w:lineRule="atLeast"/>
        <w:jc w:val="center"/>
        <w:rPr>
          <w:rFonts w:ascii="微软雅黑" w:eastAsia="微软雅黑" w:hAnsi="微软雅黑" w:hint="eastAsia"/>
          <w:sz w:val="21"/>
          <w:szCs w:val="21"/>
        </w:rPr>
      </w:pPr>
    </w:p>
    <w:p w14:paraId="7708DF71" w14:textId="77777777" w:rsidR="0022665C" w:rsidRDefault="0022665C">
      <w:pPr>
        <w:pStyle w:val="a9"/>
        <w:spacing w:line="440" w:lineRule="atLeast"/>
        <w:ind w:firstLine="640"/>
        <w:rPr>
          <w:rFonts w:ascii="微软雅黑" w:eastAsia="微软雅黑" w:hAnsi="微软雅黑" w:hint="eastAsia"/>
        </w:rPr>
      </w:pPr>
    </w:p>
    <w:p w14:paraId="2A70DBA0" w14:textId="77777777" w:rsidR="0022665C" w:rsidRDefault="0022665C">
      <w:pPr>
        <w:pStyle w:val="aa"/>
        <w:spacing w:line="440" w:lineRule="atLeast"/>
        <w:ind w:firstLine="880"/>
        <w:rPr>
          <w:rFonts w:ascii="微软雅黑" w:eastAsia="微软雅黑" w:hAnsi="微软雅黑" w:hint="eastAsia"/>
        </w:rPr>
      </w:pPr>
    </w:p>
    <w:p w14:paraId="46A6606B" w14:textId="77777777" w:rsidR="0022665C" w:rsidRDefault="00000000">
      <w:pPr>
        <w:widowControl/>
        <w:spacing w:line="440" w:lineRule="atLeast"/>
        <w:jc w:val="center"/>
        <w:rPr>
          <w:rFonts w:ascii="微软雅黑" w:eastAsia="微软雅黑" w:hAnsi="微软雅黑" w:hint="eastAsia"/>
          <w:b/>
          <w:sz w:val="32"/>
          <w:szCs w:val="32"/>
        </w:rPr>
      </w:pPr>
      <w:r>
        <w:rPr>
          <w:rFonts w:ascii="微软雅黑" w:eastAsia="微软雅黑" w:hAnsi="微软雅黑"/>
        </w:rPr>
        <w:br w:type="page"/>
      </w:r>
      <w:r>
        <w:rPr>
          <w:rFonts w:ascii="微软雅黑" w:eastAsia="微软雅黑" w:hAnsi="微软雅黑" w:hint="eastAsia"/>
          <w:b/>
          <w:bCs/>
          <w:sz w:val="24"/>
        </w:rPr>
        <w:t>（二）分项报价明细表</w:t>
      </w:r>
    </w:p>
    <w:p w14:paraId="77CDB3CC" w14:textId="77777777" w:rsidR="0022665C" w:rsidRDefault="0022665C">
      <w:pPr>
        <w:snapToGrid w:val="0"/>
        <w:spacing w:line="440" w:lineRule="atLeast"/>
        <w:ind w:firstLineChars="200" w:firstLine="640"/>
        <w:jc w:val="center"/>
        <w:rPr>
          <w:rFonts w:ascii="微软雅黑" w:eastAsia="微软雅黑" w:hAnsi="微软雅黑" w:hint="eastAsia"/>
          <w:b/>
          <w:sz w:val="32"/>
          <w:szCs w:val="32"/>
        </w:rPr>
      </w:pPr>
    </w:p>
    <w:p w14:paraId="29778B87"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项目号：</w:t>
      </w:r>
      <w:r>
        <w:rPr>
          <w:rFonts w:ascii="微软雅黑" w:eastAsia="微软雅黑" w:hAnsi="微软雅黑" w:hint="eastAsia"/>
          <w:sz w:val="21"/>
          <w:szCs w:val="21"/>
          <w:u w:val="single"/>
        </w:rPr>
        <w:t xml:space="preserve"> </w:t>
      </w:r>
      <w:r>
        <w:rPr>
          <w:rFonts w:ascii="微软雅黑" w:eastAsia="微软雅黑" w:hAnsi="微软雅黑"/>
          <w:sz w:val="21"/>
          <w:szCs w:val="21"/>
          <w:u w:val="single"/>
        </w:rPr>
        <w:t xml:space="preserve">                 </w:t>
      </w:r>
      <w:r>
        <w:rPr>
          <w:rFonts w:ascii="微软雅黑" w:eastAsia="微软雅黑" w:hAnsi="微软雅黑" w:hint="eastAsia"/>
          <w:sz w:val="21"/>
          <w:szCs w:val="21"/>
        </w:rPr>
        <w:t xml:space="preserve"> </w:t>
      </w:r>
      <w:r>
        <w:rPr>
          <w:rFonts w:ascii="微软雅黑" w:eastAsia="微软雅黑" w:hAnsi="微软雅黑"/>
          <w:sz w:val="21"/>
          <w:szCs w:val="21"/>
        </w:rPr>
        <w:t xml:space="preserve">                    </w:t>
      </w:r>
    </w:p>
    <w:p w14:paraId="6A307B9A"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招标项目名称：</w:t>
      </w:r>
      <w:r>
        <w:rPr>
          <w:rFonts w:ascii="微软雅黑" w:eastAsia="微软雅黑" w:hAnsi="微软雅黑" w:hint="eastAsia"/>
          <w:sz w:val="21"/>
          <w:szCs w:val="21"/>
          <w:u w:val="single"/>
        </w:rPr>
        <w:t xml:space="preserve"> </w:t>
      </w:r>
      <w:r>
        <w:rPr>
          <w:rFonts w:ascii="微软雅黑" w:eastAsia="微软雅黑" w:hAnsi="微软雅黑"/>
          <w:sz w:val="21"/>
          <w:szCs w:val="21"/>
          <w:u w:val="single"/>
        </w:rPr>
        <w:t xml:space="preserve">                 </w:t>
      </w:r>
      <w:r>
        <w:rPr>
          <w:rFonts w:ascii="微软雅黑" w:eastAsia="微软雅黑" w:hAnsi="微软雅黑" w:hint="eastAsia"/>
          <w:sz w:val="21"/>
          <w:szCs w:val="21"/>
        </w:rPr>
        <w:t xml:space="preserve">               单位：元</w:t>
      </w:r>
    </w:p>
    <w:tbl>
      <w:tblPr>
        <w:tblW w:w="96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3"/>
        <w:gridCol w:w="3060"/>
        <w:gridCol w:w="2078"/>
        <w:gridCol w:w="996"/>
        <w:gridCol w:w="1333"/>
        <w:gridCol w:w="1375"/>
      </w:tblGrid>
      <w:tr w:rsidR="0022665C" w14:paraId="30B831DC" w14:textId="77777777">
        <w:trPr>
          <w:trHeight w:hRule="exact" w:val="535"/>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6102C0AC"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序号</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41A67EBF"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项目名称</w:t>
            </w: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2B592D52"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主要内容</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172C64A7"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数量</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1D1E278C"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单价</w:t>
            </w: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28DFE746"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合计</w:t>
            </w:r>
          </w:p>
        </w:tc>
      </w:tr>
      <w:tr w:rsidR="0022665C" w14:paraId="2E97F9E8"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255D9F10"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1</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13ABEFFF"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4622D28B"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40F3EE38"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6906BE5F"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42C22F28"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5669D848"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175B1419"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2</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1C1EBC41"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6228D3CA"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5351E5D7"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07EB53CF"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69FAD27C"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37D26BCF"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359B17F3"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3</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19F29E4B"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0BAF74FF"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652814A1"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4DAC54F5"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67440721"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4E21DB44"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1E7EB07B"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4</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7D450EB6"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5D524684"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38680D18"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0ACB3514"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30BFEE33"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40A1D1C0"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03E59726"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5</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19E43F4F"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645D7D82"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71A4CCD3"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5A52AA5F"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305ED1C2"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1D97C6D2"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1AF8772A"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6</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49003384"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27C51DB4"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5011588F"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447F3B71"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6018418E"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0BCB6093"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62B31EC9"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7</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0CB0DD37"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78233270"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7952DA03"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7A829182"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7E152222"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3B5D07AA"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1444A260"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8</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2815EE7B"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6C6AA199"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51C65E45"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421B684A"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307CB5F3"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48DBA99F"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7AFBDD2C"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9</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2B60C7B6"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3ADA6C28"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6874089B"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467B067D"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78B4BDA0"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5594FCFE"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2E071467"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10</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60A66C83"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6B9DC729"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1EEE6D7A"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3BEAA548"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33D38B55"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72A9D4DF"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4FBA7031"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11</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3E6EF26D" w14:textId="77777777" w:rsidR="0022665C" w:rsidRDefault="0022665C">
            <w:pPr>
              <w:spacing w:line="440" w:lineRule="atLeast"/>
              <w:jc w:val="center"/>
              <w:rPr>
                <w:rFonts w:ascii="微软雅黑" w:eastAsia="微软雅黑" w:hAnsi="微软雅黑" w:cs="微软雅黑" w:hint="eastAsia"/>
                <w:bCs/>
                <w:kern w:val="0"/>
                <w:sz w:val="21"/>
                <w:szCs w:val="21"/>
                <w:lang w:val="zh-CN"/>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41570548"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42727226"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3B91F139"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68DFF43E"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03BF88AD"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785873DB"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12</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74619AB5" w14:textId="77777777" w:rsidR="0022665C" w:rsidRDefault="0022665C">
            <w:pPr>
              <w:spacing w:line="440" w:lineRule="atLeast"/>
              <w:jc w:val="center"/>
              <w:rPr>
                <w:rFonts w:ascii="微软雅黑" w:eastAsia="微软雅黑" w:hAnsi="微软雅黑" w:cs="微软雅黑" w:hint="eastAsia"/>
                <w:sz w:val="21"/>
                <w:szCs w:val="21"/>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5F78FF39"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3FE41615"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2C2FFE72"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48411496"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24EA8E3C"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65EB0194"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13</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03A87578" w14:textId="77777777" w:rsidR="0022665C" w:rsidRDefault="0022665C">
            <w:pPr>
              <w:spacing w:line="440" w:lineRule="atLeast"/>
              <w:jc w:val="center"/>
              <w:rPr>
                <w:rFonts w:ascii="微软雅黑" w:eastAsia="微软雅黑" w:hAnsi="微软雅黑" w:cs="微软雅黑" w:hint="eastAsia"/>
                <w:bCs/>
                <w:kern w:val="0"/>
                <w:sz w:val="21"/>
                <w:szCs w:val="21"/>
                <w:lang w:val="zh-CN"/>
              </w:rPr>
            </w:pP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70AF22E1"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09DA0AFA"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0CE3C867"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198BD802"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5E44AD10" w14:textId="77777777">
        <w:trPr>
          <w:jc w:val="center"/>
        </w:trPr>
        <w:tc>
          <w:tcPr>
            <w:tcW w:w="773" w:type="dxa"/>
            <w:tcBorders>
              <w:top w:val="single" w:sz="4" w:space="0" w:color="auto"/>
              <w:left w:val="single" w:sz="4" w:space="0" w:color="auto"/>
              <w:bottom w:val="single" w:sz="4" w:space="0" w:color="auto"/>
              <w:right w:val="single" w:sz="4" w:space="0" w:color="auto"/>
            </w:tcBorders>
            <w:shd w:val="clear" w:color="auto" w:fill="auto"/>
            <w:vAlign w:val="center"/>
          </w:tcPr>
          <w:p w14:paraId="555F4E8A" w14:textId="77777777" w:rsidR="0022665C" w:rsidRDefault="00000000">
            <w:pPr>
              <w:spacing w:line="440" w:lineRule="atLeast"/>
              <w:jc w:val="center"/>
              <w:rPr>
                <w:rFonts w:ascii="微软雅黑" w:eastAsia="微软雅黑" w:hAnsi="微软雅黑" w:cs="微软雅黑" w:hint="eastAsia"/>
                <w:sz w:val="21"/>
                <w:szCs w:val="21"/>
                <w:lang w:bidi="ar"/>
              </w:rPr>
            </w:pPr>
            <w:r>
              <w:rPr>
                <w:rFonts w:ascii="微软雅黑" w:eastAsia="微软雅黑" w:hAnsi="微软雅黑" w:cs="微软雅黑" w:hint="eastAsia"/>
                <w:sz w:val="21"/>
                <w:szCs w:val="21"/>
                <w:lang w:bidi="ar"/>
              </w:rPr>
              <w:t>14</w:t>
            </w:r>
          </w:p>
        </w:tc>
        <w:tc>
          <w:tcPr>
            <w:tcW w:w="3060" w:type="dxa"/>
            <w:tcBorders>
              <w:top w:val="single" w:sz="4" w:space="0" w:color="auto"/>
              <w:left w:val="single" w:sz="4" w:space="0" w:color="auto"/>
              <w:bottom w:val="single" w:sz="4" w:space="0" w:color="auto"/>
              <w:right w:val="single" w:sz="4" w:space="0" w:color="auto"/>
            </w:tcBorders>
            <w:shd w:val="clear" w:color="auto" w:fill="auto"/>
            <w:vAlign w:val="center"/>
          </w:tcPr>
          <w:p w14:paraId="4454ED8F" w14:textId="77777777" w:rsidR="0022665C" w:rsidRDefault="00000000">
            <w:pPr>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w:t>
            </w: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092A503C" w14:textId="77777777" w:rsidR="0022665C" w:rsidRDefault="0022665C">
            <w:pPr>
              <w:spacing w:line="440" w:lineRule="atLeast"/>
              <w:jc w:val="center"/>
              <w:rPr>
                <w:rFonts w:ascii="微软雅黑" w:eastAsia="微软雅黑" w:hAnsi="微软雅黑" w:cs="微软雅黑" w:hint="eastAsia"/>
                <w:sz w:val="21"/>
                <w:szCs w:val="21"/>
              </w:rPr>
            </w:pP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3754B3A3" w14:textId="77777777" w:rsidR="0022665C" w:rsidRDefault="0022665C">
            <w:pPr>
              <w:spacing w:line="440" w:lineRule="atLeast"/>
              <w:jc w:val="center"/>
              <w:rPr>
                <w:rFonts w:ascii="微软雅黑" w:eastAsia="微软雅黑" w:hAnsi="微软雅黑" w:cs="微软雅黑" w:hint="eastAsia"/>
                <w:sz w:val="21"/>
                <w:szCs w:val="21"/>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14:paraId="477C43A4" w14:textId="77777777" w:rsidR="0022665C" w:rsidRDefault="0022665C">
            <w:pPr>
              <w:spacing w:line="440" w:lineRule="atLeast"/>
              <w:jc w:val="center"/>
              <w:rPr>
                <w:rFonts w:ascii="微软雅黑" w:eastAsia="微软雅黑" w:hAnsi="微软雅黑" w:cs="微软雅黑" w:hint="eastAsia"/>
                <w:sz w:val="21"/>
                <w:szCs w:val="21"/>
              </w:rPr>
            </w:pPr>
          </w:p>
        </w:tc>
        <w:tc>
          <w:tcPr>
            <w:tcW w:w="1375" w:type="dxa"/>
            <w:tcBorders>
              <w:top w:val="single" w:sz="4" w:space="0" w:color="auto"/>
              <w:left w:val="single" w:sz="4" w:space="0" w:color="auto"/>
              <w:bottom w:val="single" w:sz="4" w:space="0" w:color="auto"/>
              <w:right w:val="single" w:sz="4" w:space="0" w:color="auto"/>
            </w:tcBorders>
            <w:shd w:val="clear" w:color="auto" w:fill="auto"/>
            <w:vAlign w:val="center"/>
          </w:tcPr>
          <w:p w14:paraId="053BB2BD" w14:textId="77777777" w:rsidR="0022665C" w:rsidRDefault="0022665C">
            <w:pPr>
              <w:spacing w:line="440" w:lineRule="atLeast"/>
              <w:jc w:val="center"/>
              <w:rPr>
                <w:rFonts w:ascii="微软雅黑" w:eastAsia="微软雅黑" w:hAnsi="微软雅黑" w:cs="微软雅黑" w:hint="eastAsia"/>
                <w:sz w:val="21"/>
                <w:szCs w:val="21"/>
              </w:rPr>
            </w:pPr>
          </w:p>
        </w:tc>
      </w:tr>
      <w:tr w:rsidR="0022665C" w14:paraId="7FA2B9D5" w14:textId="77777777">
        <w:trPr>
          <w:trHeight w:hRule="exact" w:val="637"/>
          <w:jc w:val="center"/>
        </w:trPr>
        <w:tc>
          <w:tcPr>
            <w:tcW w:w="96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0BB025B1" w14:textId="77777777" w:rsidR="0022665C" w:rsidRDefault="00000000">
            <w:pPr>
              <w:spacing w:line="440" w:lineRule="atLeast"/>
              <w:ind w:firstLineChars="100" w:firstLine="210"/>
              <w:rPr>
                <w:rFonts w:ascii="微软雅黑" w:eastAsia="微软雅黑" w:hAnsi="微软雅黑" w:cs="微软雅黑" w:hint="eastAsia"/>
                <w:sz w:val="21"/>
                <w:szCs w:val="21"/>
              </w:rPr>
            </w:pPr>
            <w:r>
              <w:rPr>
                <w:rFonts w:ascii="微软雅黑" w:eastAsia="微软雅黑" w:hAnsi="微软雅黑" w:cs="微软雅黑" w:hint="eastAsia"/>
                <w:sz w:val="21"/>
                <w:szCs w:val="21"/>
                <w:lang w:bidi="ar"/>
              </w:rPr>
              <w:t>总计</w:t>
            </w:r>
          </w:p>
        </w:tc>
      </w:tr>
    </w:tbl>
    <w:p w14:paraId="20C02BF9" w14:textId="77777777" w:rsidR="0022665C" w:rsidRDefault="0022665C">
      <w:pPr>
        <w:spacing w:line="440" w:lineRule="atLeast"/>
        <w:ind w:firstLineChars="100" w:firstLine="210"/>
        <w:rPr>
          <w:rFonts w:ascii="微软雅黑" w:eastAsia="微软雅黑" w:hAnsi="微软雅黑" w:hint="eastAsia"/>
          <w:sz w:val="21"/>
          <w:szCs w:val="21"/>
        </w:rPr>
      </w:pPr>
    </w:p>
    <w:p w14:paraId="0763B239"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投标人：                       法定代表人（或法定代表人授权代表）或自然人：</w:t>
      </w:r>
    </w:p>
    <w:p w14:paraId="16B8E21E"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 xml:space="preserve">  （投标人公章）                               （签署或盖章）</w:t>
      </w:r>
    </w:p>
    <w:p w14:paraId="4DC74F39" w14:textId="77777777" w:rsidR="0022665C" w:rsidRDefault="0022665C">
      <w:pPr>
        <w:spacing w:line="440" w:lineRule="atLeast"/>
        <w:ind w:firstLineChars="100" w:firstLine="210"/>
        <w:rPr>
          <w:rFonts w:ascii="微软雅黑" w:eastAsia="微软雅黑" w:hAnsi="微软雅黑" w:hint="eastAsia"/>
          <w:sz w:val="21"/>
          <w:szCs w:val="21"/>
        </w:rPr>
      </w:pPr>
    </w:p>
    <w:p w14:paraId="72370BA1"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 xml:space="preserve">                                                        年     月     日</w:t>
      </w:r>
    </w:p>
    <w:p w14:paraId="44C61C18"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注：</w:t>
      </w:r>
    </w:p>
    <w:p w14:paraId="7F30A140" w14:textId="77777777" w:rsidR="0022665C" w:rsidRDefault="00000000">
      <w:pPr>
        <w:spacing w:line="440" w:lineRule="atLeast"/>
        <w:ind w:firstLineChars="100" w:firstLine="210"/>
        <w:rPr>
          <w:rFonts w:ascii="微软雅黑" w:eastAsia="微软雅黑" w:hAnsi="微软雅黑" w:hint="eastAsia"/>
          <w:sz w:val="21"/>
          <w:szCs w:val="21"/>
        </w:rPr>
      </w:pPr>
      <w:r>
        <w:rPr>
          <w:rFonts w:ascii="微软雅黑" w:eastAsia="微软雅黑" w:hAnsi="微软雅黑" w:hint="eastAsia"/>
          <w:sz w:val="21"/>
          <w:szCs w:val="21"/>
        </w:rPr>
        <w:t>1.请投标人完整填写本表；</w:t>
      </w:r>
    </w:p>
    <w:p w14:paraId="07A720F8" w14:textId="77777777" w:rsidR="0022665C" w:rsidRDefault="00000000">
      <w:pPr>
        <w:spacing w:line="440" w:lineRule="atLeast"/>
        <w:ind w:firstLineChars="100" w:firstLine="210"/>
        <w:rPr>
          <w:rFonts w:ascii="微软雅黑" w:eastAsia="微软雅黑" w:hAnsi="微软雅黑" w:hint="eastAsia"/>
          <w:sz w:val="24"/>
          <w:szCs w:val="28"/>
        </w:rPr>
      </w:pPr>
      <w:r>
        <w:rPr>
          <w:rFonts w:ascii="微软雅黑" w:eastAsia="微软雅黑" w:hAnsi="微软雅黑" w:hint="eastAsia"/>
          <w:sz w:val="21"/>
          <w:szCs w:val="21"/>
        </w:rPr>
        <w:t>2.该表可扩展。</w:t>
      </w:r>
    </w:p>
    <w:p w14:paraId="31A8825E" w14:textId="77777777" w:rsidR="0022665C" w:rsidRDefault="00000000">
      <w:pPr>
        <w:widowControl/>
        <w:spacing w:line="440" w:lineRule="atLeast"/>
        <w:ind w:firstLine="640"/>
        <w:jc w:val="left"/>
        <w:rPr>
          <w:rFonts w:ascii="微软雅黑" w:eastAsia="微软雅黑" w:hAnsi="微软雅黑" w:hint="eastAsia"/>
          <w:b/>
          <w:sz w:val="32"/>
          <w:szCs w:val="32"/>
        </w:rPr>
      </w:pPr>
      <w:r>
        <w:rPr>
          <w:rFonts w:ascii="微软雅黑" w:eastAsia="微软雅黑" w:hAnsi="微软雅黑"/>
          <w:b/>
          <w:sz w:val="32"/>
          <w:szCs w:val="32"/>
        </w:rPr>
        <w:br w:type="page"/>
      </w:r>
    </w:p>
    <w:p w14:paraId="289E1370" w14:textId="77777777" w:rsidR="0022665C" w:rsidRDefault="00000000">
      <w:pPr>
        <w:pStyle w:val="2"/>
        <w:spacing w:line="560" w:lineRule="atLeast"/>
        <w:ind w:firstLine="480"/>
        <w:jc w:val="left"/>
        <w:rPr>
          <w:rFonts w:ascii="微软雅黑" w:eastAsia="微软雅黑" w:hAnsi="微软雅黑" w:hint="eastAsia"/>
          <w:b/>
          <w:bCs/>
          <w:sz w:val="24"/>
        </w:rPr>
      </w:pPr>
      <w:bookmarkStart w:id="285" w:name="_Toc14079"/>
      <w:bookmarkStart w:id="286" w:name="_Toc5822"/>
      <w:bookmarkStart w:id="287" w:name="_Toc24011"/>
      <w:bookmarkStart w:id="288" w:name="_Toc150335806"/>
      <w:bookmarkStart w:id="289" w:name="_Toc515"/>
      <w:r>
        <w:rPr>
          <w:rFonts w:ascii="微软雅黑" w:eastAsia="微软雅黑" w:hAnsi="微软雅黑" w:hint="eastAsia"/>
          <w:b/>
          <w:bCs/>
          <w:sz w:val="24"/>
        </w:rPr>
        <w:t>二、技术文件</w:t>
      </w:r>
      <w:bookmarkEnd w:id="285"/>
      <w:bookmarkEnd w:id="286"/>
      <w:bookmarkEnd w:id="287"/>
      <w:bookmarkEnd w:id="288"/>
      <w:bookmarkEnd w:id="289"/>
    </w:p>
    <w:p w14:paraId="535C6782" w14:textId="77777777" w:rsidR="0022665C" w:rsidRDefault="00000000">
      <w:pPr>
        <w:snapToGrid w:val="0"/>
        <w:spacing w:line="440" w:lineRule="atLeast"/>
        <w:rPr>
          <w:rFonts w:ascii="微软雅黑" w:eastAsia="微软雅黑" w:hAnsi="微软雅黑" w:hint="eastAsia"/>
          <w:sz w:val="21"/>
          <w:szCs w:val="21"/>
        </w:rPr>
      </w:pPr>
      <w:r>
        <w:rPr>
          <w:rFonts w:ascii="微软雅黑" w:eastAsia="微软雅黑" w:hAnsi="微软雅黑" w:hint="eastAsia"/>
          <w:sz w:val="21"/>
          <w:szCs w:val="21"/>
        </w:rPr>
        <w:t>（一）技术服务方案，包含但不限于第四篇评审因素技术部分所需提供的资料。</w:t>
      </w:r>
    </w:p>
    <w:p w14:paraId="1AFBCC6E" w14:textId="77777777" w:rsidR="0022665C" w:rsidRDefault="00000000">
      <w:pPr>
        <w:widowControl/>
        <w:spacing w:line="440" w:lineRule="atLeast"/>
        <w:jc w:val="left"/>
        <w:rPr>
          <w:rFonts w:ascii="微软雅黑" w:eastAsia="微软雅黑" w:hAnsi="微软雅黑" w:hint="eastAsia"/>
          <w:sz w:val="21"/>
          <w:szCs w:val="21"/>
        </w:rPr>
      </w:pPr>
      <w:r>
        <w:rPr>
          <w:rFonts w:ascii="微软雅黑" w:eastAsia="微软雅黑" w:hAnsi="微软雅黑"/>
          <w:sz w:val="21"/>
          <w:szCs w:val="21"/>
        </w:rPr>
        <w:br w:type="page"/>
      </w:r>
    </w:p>
    <w:p w14:paraId="48DE6882"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（二）技术条款差异表</w:t>
      </w:r>
    </w:p>
    <w:p w14:paraId="175C272F" w14:textId="77777777" w:rsidR="0022665C" w:rsidRDefault="00000000">
      <w:pPr>
        <w:pStyle w:val="a3"/>
        <w:spacing w:line="440" w:lineRule="atLeast"/>
        <w:ind w:firstLineChars="2100" w:firstLine="4410"/>
        <w:rPr>
          <w:rFonts w:ascii="微软雅黑" w:eastAsia="微软雅黑" w:hAnsi="微软雅黑" w:hint="eastAsia"/>
        </w:rPr>
      </w:pPr>
      <w:r>
        <w:rPr>
          <w:rFonts w:ascii="微软雅黑" w:eastAsia="微软雅黑" w:hAnsi="微软雅黑" w:hint="eastAsia"/>
          <w:sz w:val="21"/>
          <w:szCs w:val="21"/>
        </w:rPr>
        <w:t>技术条款差异表</w:t>
      </w:r>
    </w:p>
    <w:p w14:paraId="4557F563" w14:textId="77777777" w:rsidR="0022665C" w:rsidRDefault="00000000">
      <w:pPr>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项目号：</w:t>
      </w:r>
      <w:r>
        <w:rPr>
          <w:rFonts w:ascii="微软雅黑" w:eastAsia="微软雅黑" w:hAnsi="微软雅黑" w:hint="eastAsia"/>
          <w:sz w:val="21"/>
          <w:szCs w:val="21"/>
          <w:u w:val="single"/>
        </w:rPr>
        <w:t xml:space="preserve"> </w:t>
      </w:r>
      <w:r>
        <w:rPr>
          <w:rFonts w:ascii="微软雅黑" w:eastAsia="微软雅黑" w:hAnsi="微软雅黑"/>
          <w:sz w:val="21"/>
          <w:szCs w:val="21"/>
          <w:u w:val="single"/>
        </w:rPr>
        <w:t xml:space="preserve">                 </w:t>
      </w:r>
      <w:r>
        <w:rPr>
          <w:rFonts w:ascii="微软雅黑" w:eastAsia="微软雅黑" w:hAnsi="微软雅黑" w:hint="eastAsia"/>
          <w:sz w:val="21"/>
          <w:szCs w:val="21"/>
        </w:rPr>
        <w:t xml:space="preserve">              </w:t>
      </w:r>
    </w:p>
    <w:p w14:paraId="5A6DC376" w14:textId="77777777" w:rsidR="0022665C" w:rsidRDefault="00000000">
      <w:pPr>
        <w:pStyle w:val="2a"/>
        <w:spacing w:line="440" w:lineRule="atLeast"/>
        <w:ind w:leftChars="0" w:left="0"/>
        <w:rPr>
          <w:rFonts w:ascii="微软雅黑" w:eastAsia="微软雅黑" w:hAnsi="微软雅黑" w:hint="eastAsia"/>
          <w:sz w:val="21"/>
          <w:szCs w:val="21"/>
        </w:rPr>
      </w:pPr>
      <w:r>
        <w:rPr>
          <w:rFonts w:ascii="微软雅黑" w:eastAsia="微软雅黑" w:hAnsi="微软雅黑" w:hint="eastAsia"/>
          <w:sz w:val="21"/>
          <w:szCs w:val="21"/>
        </w:rPr>
        <w:t>招标项目名称：</w:t>
      </w:r>
      <w:r>
        <w:rPr>
          <w:rFonts w:ascii="微软雅黑" w:eastAsia="微软雅黑" w:hAnsi="微软雅黑" w:hint="eastAsia"/>
          <w:sz w:val="21"/>
          <w:szCs w:val="21"/>
          <w:u w:val="single"/>
        </w:rPr>
        <w:t xml:space="preserve"> </w:t>
      </w:r>
      <w:r>
        <w:rPr>
          <w:rFonts w:ascii="微软雅黑" w:eastAsia="微软雅黑" w:hAnsi="微软雅黑"/>
          <w:sz w:val="21"/>
          <w:szCs w:val="21"/>
          <w:u w:val="single"/>
        </w:rPr>
        <w:t xml:space="preserve">                 </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2750"/>
        <w:gridCol w:w="2854"/>
        <w:gridCol w:w="2139"/>
      </w:tblGrid>
      <w:tr w:rsidR="0022665C" w14:paraId="083AFF6C" w14:textId="77777777">
        <w:trPr>
          <w:trHeight w:val="529"/>
          <w:jc w:val="center"/>
        </w:trPr>
        <w:tc>
          <w:tcPr>
            <w:tcW w:w="1177" w:type="dxa"/>
            <w:vAlign w:val="center"/>
          </w:tcPr>
          <w:p w14:paraId="3FF0604E" w14:textId="77777777" w:rsidR="0022665C" w:rsidRDefault="00000000">
            <w:pPr>
              <w:snapToGrid w:val="0"/>
              <w:spacing w:line="440" w:lineRule="atLeast"/>
              <w:jc w:val="center"/>
              <w:rPr>
                <w:rFonts w:ascii="微软雅黑" w:eastAsia="微软雅黑" w:hAnsi="微软雅黑" w:hint="eastAsia"/>
                <w:b/>
                <w:bCs/>
                <w:sz w:val="21"/>
                <w:szCs w:val="21"/>
              </w:rPr>
            </w:pPr>
            <w:r>
              <w:rPr>
                <w:rFonts w:ascii="微软雅黑" w:eastAsia="微软雅黑" w:hAnsi="微软雅黑" w:hint="eastAsia"/>
                <w:b/>
                <w:bCs/>
                <w:sz w:val="21"/>
                <w:szCs w:val="21"/>
              </w:rPr>
              <w:t>序号</w:t>
            </w:r>
          </w:p>
        </w:tc>
        <w:tc>
          <w:tcPr>
            <w:tcW w:w="2750" w:type="dxa"/>
            <w:vAlign w:val="center"/>
          </w:tcPr>
          <w:p w14:paraId="03AB7365" w14:textId="77777777" w:rsidR="0022665C" w:rsidRDefault="00000000">
            <w:pPr>
              <w:snapToGrid w:val="0"/>
              <w:spacing w:line="440" w:lineRule="atLeast"/>
              <w:jc w:val="center"/>
              <w:rPr>
                <w:rFonts w:ascii="微软雅黑" w:eastAsia="微软雅黑" w:hAnsi="微软雅黑" w:hint="eastAsia"/>
                <w:b/>
                <w:bCs/>
                <w:sz w:val="21"/>
                <w:szCs w:val="21"/>
              </w:rPr>
            </w:pPr>
            <w:r>
              <w:rPr>
                <w:rFonts w:ascii="微软雅黑" w:eastAsia="微软雅黑" w:hAnsi="微软雅黑" w:hint="eastAsia"/>
                <w:b/>
                <w:bCs/>
                <w:sz w:val="21"/>
                <w:szCs w:val="21"/>
              </w:rPr>
              <w:t>招标要求</w:t>
            </w:r>
          </w:p>
        </w:tc>
        <w:tc>
          <w:tcPr>
            <w:tcW w:w="2854" w:type="dxa"/>
            <w:vAlign w:val="center"/>
          </w:tcPr>
          <w:p w14:paraId="6376A21C" w14:textId="77777777" w:rsidR="0022665C" w:rsidRDefault="00000000">
            <w:pPr>
              <w:snapToGrid w:val="0"/>
              <w:spacing w:line="440" w:lineRule="atLeast"/>
              <w:jc w:val="center"/>
              <w:rPr>
                <w:rFonts w:ascii="微软雅黑" w:eastAsia="微软雅黑" w:hAnsi="微软雅黑" w:hint="eastAsia"/>
                <w:b/>
                <w:bCs/>
                <w:sz w:val="21"/>
                <w:szCs w:val="21"/>
              </w:rPr>
            </w:pPr>
            <w:r>
              <w:rPr>
                <w:rFonts w:ascii="微软雅黑" w:eastAsia="微软雅黑" w:hAnsi="微软雅黑" w:hint="eastAsia"/>
                <w:b/>
                <w:bCs/>
                <w:sz w:val="21"/>
                <w:szCs w:val="21"/>
              </w:rPr>
              <w:t>投标应答</w:t>
            </w:r>
          </w:p>
        </w:tc>
        <w:tc>
          <w:tcPr>
            <w:tcW w:w="2139" w:type="dxa"/>
            <w:vAlign w:val="center"/>
          </w:tcPr>
          <w:p w14:paraId="593603C2" w14:textId="77777777" w:rsidR="0022665C" w:rsidRDefault="00000000">
            <w:pPr>
              <w:snapToGrid w:val="0"/>
              <w:spacing w:line="440" w:lineRule="atLeast"/>
              <w:jc w:val="center"/>
              <w:rPr>
                <w:rFonts w:ascii="微软雅黑" w:eastAsia="微软雅黑" w:hAnsi="微软雅黑" w:hint="eastAsia"/>
                <w:b/>
                <w:bCs/>
                <w:sz w:val="21"/>
                <w:szCs w:val="21"/>
              </w:rPr>
            </w:pPr>
            <w:r>
              <w:rPr>
                <w:rFonts w:ascii="微软雅黑" w:eastAsia="微软雅黑" w:hAnsi="微软雅黑" w:hint="eastAsia"/>
                <w:b/>
                <w:bCs/>
                <w:sz w:val="21"/>
                <w:szCs w:val="21"/>
              </w:rPr>
              <w:t>差异说明</w:t>
            </w:r>
          </w:p>
        </w:tc>
      </w:tr>
      <w:tr w:rsidR="0022665C" w14:paraId="6FB5EBEE" w14:textId="77777777">
        <w:trPr>
          <w:trHeight w:val="614"/>
          <w:jc w:val="center"/>
        </w:trPr>
        <w:tc>
          <w:tcPr>
            <w:tcW w:w="1177" w:type="dxa"/>
            <w:vAlign w:val="center"/>
          </w:tcPr>
          <w:p w14:paraId="5A6592D2"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750" w:type="dxa"/>
            <w:vAlign w:val="center"/>
          </w:tcPr>
          <w:p w14:paraId="05BE7229"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854" w:type="dxa"/>
            <w:vAlign w:val="center"/>
          </w:tcPr>
          <w:p w14:paraId="762E49A3" w14:textId="77777777" w:rsidR="0022665C" w:rsidRDefault="00000000">
            <w:pPr>
              <w:snapToGrid w:val="0"/>
              <w:spacing w:line="440" w:lineRule="atLeast"/>
              <w:rPr>
                <w:rFonts w:ascii="微软雅黑" w:eastAsia="微软雅黑" w:hAnsi="微软雅黑" w:hint="eastAsia"/>
                <w:sz w:val="21"/>
                <w:szCs w:val="21"/>
              </w:rPr>
            </w:pPr>
            <w:r>
              <w:rPr>
                <w:rFonts w:ascii="微软雅黑" w:eastAsia="微软雅黑" w:hAnsi="微软雅黑" w:hint="eastAsia"/>
                <w:sz w:val="21"/>
                <w:szCs w:val="21"/>
              </w:rPr>
              <w:t>提醒：请注明具体内容以及投标文件中具体内容的位置</w:t>
            </w:r>
          </w:p>
        </w:tc>
        <w:tc>
          <w:tcPr>
            <w:tcW w:w="2139" w:type="dxa"/>
            <w:vAlign w:val="center"/>
          </w:tcPr>
          <w:p w14:paraId="68CBDBA3"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r>
      <w:tr w:rsidR="0022665C" w14:paraId="78A65920" w14:textId="77777777">
        <w:trPr>
          <w:trHeight w:val="614"/>
          <w:jc w:val="center"/>
        </w:trPr>
        <w:tc>
          <w:tcPr>
            <w:tcW w:w="1177" w:type="dxa"/>
            <w:vAlign w:val="center"/>
          </w:tcPr>
          <w:p w14:paraId="312902FF"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750" w:type="dxa"/>
            <w:vAlign w:val="center"/>
          </w:tcPr>
          <w:p w14:paraId="0D64BC18"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854" w:type="dxa"/>
            <w:vAlign w:val="center"/>
          </w:tcPr>
          <w:p w14:paraId="6C9094D2"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139" w:type="dxa"/>
            <w:vAlign w:val="center"/>
          </w:tcPr>
          <w:p w14:paraId="01AA2DA9"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r>
      <w:tr w:rsidR="0022665C" w14:paraId="0E514B1B" w14:textId="77777777">
        <w:trPr>
          <w:trHeight w:val="614"/>
          <w:jc w:val="center"/>
        </w:trPr>
        <w:tc>
          <w:tcPr>
            <w:tcW w:w="1177" w:type="dxa"/>
            <w:vAlign w:val="center"/>
          </w:tcPr>
          <w:p w14:paraId="20B60B54"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750" w:type="dxa"/>
            <w:vAlign w:val="center"/>
          </w:tcPr>
          <w:p w14:paraId="02DD4759"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854" w:type="dxa"/>
            <w:vAlign w:val="center"/>
          </w:tcPr>
          <w:p w14:paraId="7E06CCC9"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139" w:type="dxa"/>
            <w:vAlign w:val="center"/>
          </w:tcPr>
          <w:p w14:paraId="65EB48B6"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r>
      <w:tr w:rsidR="0022665C" w14:paraId="4DC078F7" w14:textId="77777777">
        <w:trPr>
          <w:trHeight w:val="624"/>
          <w:jc w:val="center"/>
        </w:trPr>
        <w:tc>
          <w:tcPr>
            <w:tcW w:w="1177" w:type="dxa"/>
            <w:vAlign w:val="center"/>
          </w:tcPr>
          <w:p w14:paraId="5FBB0E3E"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750" w:type="dxa"/>
            <w:vAlign w:val="center"/>
          </w:tcPr>
          <w:p w14:paraId="261E4CA6"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854" w:type="dxa"/>
            <w:vAlign w:val="center"/>
          </w:tcPr>
          <w:p w14:paraId="736F33E6"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c>
          <w:tcPr>
            <w:tcW w:w="2139" w:type="dxa"/>
            <w:vAlign w:val="center"/>
          </w:tcPr>
          <w:p w14:paraId="0C26F638" w14:textId="77777777" w:rsidR="0022665C" w:rsidRDefault="0022665C">
            <w:pPr>
              <w:snapToGrid w:val="0"/>
              <w:spacing w:line="440" w:lineRule="atLeast"/>
              <w:ind w:firstLineChars="200" w:firstLine="420"/>
              <w:rPr>
                <w:rFonts w:ascii="微软雅黑" w:eastAsia="微软雅黑" w:hAnsi="微软雅黑" w:hint="eastAsia"/>
                <w:sz w:val="21"/>
                <w:szCs w:val="21"/>
              </w:rPr>
            </w:pPr>
          </w:p>
        </w:tc>
      </w:tr>
    </w:tbl>
    <w:p w14:paraId="6BED8587" w14:textId="77777777" w:rsidR="0022665C" w:rsidRDefault="00000000">
      <w:pPr>
        <w:snapToGrid w:val="0"/>
        <w:spacing w:line="440" w:lineRule="atLeast"/>
        <w:ind w:firstLineChars="300" w:firstLine="630"/>
        <w:rPr>
          <w:rFonts w:ascii="微软雅黑" w:eastAsia="微软雅黑" w:hAnsi="微软雅黑" w:hint="eastAsia"/>
          <w:sz w:val="21"/>
          <w:szCs w:val="21"/>
        </w:rPr>
      </w:pPr>
      <w:r>
        <w:rPr>
          <w:rFonts w:ascii="微软雅黑" w:eastAsia="微软雅黑" w:hAnsi="微软雅黑" w:hint="eastAsia"/>
          <w:sz w:val="21"/>
          <w:szCs w:val="21"/>
        </w:rPr>
        <w:t xml:space="preserve">投标人：                       </w:t>
      </w:r>
      <w:r>
        <w:rPr>
          <w:rFonts w:ascii="微软雅黑" w:eastAsia="微软雅黑" w:hAnsi="微软雅黑"/>
          <w:sz w:val="21"/>
          <w:szCs w:val="21"/>
        </w:rPr>
        <w:t xml:space="preserve"> </w:t>
      </w:r>
      <w:r>
        <w:rPr>
          <w:rFonts w:ascii="微软雅黑" w:eastAsia="微软雅黑" w:hAnsi="微软雅黑" w:hint="eastAsia"/>
          <w:sz w:val="21"/>
          <w:szCs w:val="21"/>
        </w:rPr>
        <w:t xml:space="preserve">  法定代表人（或法定代表人授权代表）或自然人：</w:t>
      </w:r>
    </w:p>
    <w:p w14:paraId="1228782B" w14:textId="77777777" w:rsidR="0022665C" w:rsidRDefault="0022665C">
      <w:pPr>
        <w:snapToGrid w:val="0"/>
        <w:spacing w:line="440" w:lineRule="atLeast"/>
        <w:ind w:firstLineChars="200" w:firstLine="420"/>
        <w:rPr>
          <w:rFonts w:ascii="微软雅黑" w:eastAsia="微软雅黑" w:hAnsi="微软雅黑" w:hint="eastAsia"/>
          <w:sz w:val="21"/>
          <w:szCs w:val="21"/>
        </w:rPr>
      </w:pPr>
    </w:p>
    <w:p w14:paraId="3596C14B"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（投标人公章）                                     （签署或盖章）</w:t>
      </w:r>
    </w:p>
    <w:p w14:paraId="73823282" w14:textId="77777777" w:rsidR="0022665C" w:rsidRDefault="00000000">
      <w:pPr>
        <w:snapToGrid w:val="0"/>
        <w:spacing w:line="440" w:lineRule="atLeast"/>
        <w:ind w:firstLineChars="3200" w:firstLine="6720"/>
        <w:rPr>
          <w:rFonts w:ascii="微软雅黑" w:eastAsia="微软雅黑" w:hAnsi="微软雅黑" w:hint="eastAsia"/>
          <w:sz w:val="21"/>
          <w:szCs w:val="21"/>
        </w:rPr>
      </w:pPr>
      <w:r>
        <w:rPr>
          <w:rFonts w:ascii="微软雅黑" w:eastAsia="微软雅黑" w:hAnsi="微软雅黑" w:hint="eastAsia"/>
          <w:sz w:val="21"/>
          <w:szCs w:val="21"/>
        </w:rPr>
        <w:t xml:space="preserve">年 </w:t>
      </w:r>
      <w:r>
        <w:rPr>
          <w:rFonts w:ascii="微软雅黑" w:eastAsia="微软雅黑" w:hAnsi="微软雅黑"/>
          <w:sz w:val="21"/>
          <w:szCs w:val="21"/>
        </w:rPr>
        <w:t xml:space="preserve">    </w:t>
      </w:r>
      <w:r>
        <w:rPr>
          <w:rFonts w:ascii="微软雅黑" w:eastAsia="微软雅黑" w:hAnsi="微软雅黑" w:hint="eastAsia"/>
          <w:sz w:val="21"/>
          <w:szCs w:val="21"/>
        </w:rPr>
        <w:t xml:space="preserve">月 </w:t>
      </w:r>
      <w:r>
        <w:rPr>
          <w:rFonts w:ascii="微软雅黑" w:eastAsia="微软雅黑" w:hAnsi="微软雅黑"/>
          <w:sz w:val="21"/>
          <w:szCs w:val="21"/>
        </w:rPr>
        <w:t xml:space="preserve">  </w:t>
      </w:r>
      <w:r>
        <w:rPr>
          <w:rFonts w:ascii="微软雅黑" w:eastAsia="微软雅黑" w:hAnsi="微软雅黑" w:hint="eastAsia"/>
          <w:sz w:val="21"/>
          <w:szCs w:val="21"/>
        </w:rPr>
        <w:t>日</w:t>
      </w:r>
    </w:p>
    <w:p w14:paraId="64D8A461" w14:textId="77777777" w:rsidR="0022665C" w:rsidRDefault="0022665C">
      <w:pPr>
        <w:pStyle w:val="a3"/>
        <w:spacing w:line="440" w:lineRule="atLeast"/>
        <w:ind w:firstLine="480"/>
        <w:rPr>
          <w:rFonts w:ascii="微软雅黑" w:eastAsia="微软雅黑" w:hAnsi="微软雅黑" w:hint="eastAsia"/>
        </w:rPr>
      </w:pPr>
    </w:p>
    <w:p w14:paraId="6627008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注：</w:t>
      </w:r>
    </w:p>
    <w:p w14:paraId="014BBBA6" w14:textId="77777777" w:rsidR="0022665C" w:rsidRDefault="00000000">
      <w:pPr>
        <w:snapToGrid w:val="0"/>
        <w:spacing w:line="440" w:lineRule="atLeast"/>
        <w:ind w:firstLineChars="200" w:firstLine="420"/>
        <w:rPr>
          <w:rFonts w:ascii="微软雅黑" w:eastAsia="微软雅黑" w:hAnsi="微软雅黑" w:hint="eastAsia"/>
          <w:b/>
          <w:bCs/>
          <w:sz w:val="21"/>
          <w:szCs w:val="21"/>
        </w:rPr>
      </w:pPr>
      <w:r>
        <w:rPr>
          <w:rFonts w:ascii="微软雅黑" w:eastAsia="微软雅黑" w:hAnsi="微软雅黑" w:hint="eastAsia"/>
          <w:sz w:val="21"/>
          <w:szCs w:val="21"/>
        </w:rPr>
        <w:t xml:space="preserve">1.本表即为对本项目“第二篇 </w:t>
      </w:r>
      <w:r>
        <w:rPr>
          <w:rFonts w:ascii="微软雅黑" w:eastAsia="微软雅黑" w:hAnsi="微软雅黑"/>
          <w:sz w:val="21"/>
          <w:szCs w:val="21"/>
        </w:rPr>
        <w:t xml:space="preserve"> </w:t>
      </w:r>
      <w:r>
        <w:rPr>
          <w:rFonts w:ascii="微软雅黑" w:eastAsia="微软雅黑" w:hAnsi="微软雅黑" w:hint="eastAsia"/>
          <w:sz w:val="21"/>
          <w:szCs w:val="21"/>
        </w:rPr>
        <w:t>项目技术服务及质量要求”中所列条款进行比较和响应；</w:t>
      </w:r>
      <w:r>
        <w:rPr>
          <w:rFonts w:ascii="微软雅黑" w:eastAsia="微软雅黑" w:hAnsi="微软雅黑"/>
          <w:b/>
          <w:bCs/>
          <w:sz w:val="21"/>
          <w:szCs w:val="21"/>
        </w:rPr>
        <w:t xml:space="preserve"> </w:t>
      </w:r>
    </w:p>
    <w:p w14:paraId="516A6DCD"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2.本表可扩展；</w:t>
      </w:r>
    </w:p>
    <w:p w14:paraId="7B03288A" w14:textId="77777777" w:rsidR="0022665C" w:rsidRDefault="00000000">
      <w:pPr>
        <w:pStyle w:val="a3"/>
        <w:spacing w:line="440" w:lineRule="atLeast"/>
        <w:ind w:firstLineChars="200"/>
        <w:rPr>
          <w:rFonts w:ascii="微软雅黑" w:eastAsia="微软雅黑" w:hAnsi="微软雅黑" w:hint="eastAsia"/>
          <w:sz w:val="21"/>
          <w:szCs w:val="21"/>
        </w:rPr>
      </w:pPr>
      <w:r>
        <w:rPr>
          <w:rFonts w:ascii="微软雅黑" w:eastAsia="微软雅黑" w:hAnsi="微软雅黑" w:hint="eastAsia"/>
          <w:sz w:val="21"/>
          <w:szCs w:val="21"/>
        </w:rPr>
        <w:t>3.可附相关技术（质量）支撑材料。（格式自定）</w:t>
      </w:r>
    </w:p>
    <w:p w14:paraId="43371DFC" w14:textId="77777777" w:rsidR="0022665C" w:rsidRDefault="00000000">
      <w:pPr>
        <w:pStyle w:val="a3"/>
        <w:spacing w:line="440" w:lineRule="atLeast"/>
        <w:ind w:firstLineChars="200"/>
        <w:rPr>
          <w:rFonts w:ascii="微软雅黑" w:eastAsia="微软雅黑" w:hAnsi="微软雅黑" w:hint="eastAsia"/>
          <w:sz w:val="21"/>
          <w:szCs w:val="21"/>
        </w:rPr>
      </w:pPr>
      <w:r>
        <w:rPr>
          <w:rFonts w:ascii="微软雅黑" w:eastAsia="微软雅黑" w:hAnsi="微软雅黑" w:hint="eastAsia"/>
          <w:sz w:val="21"/>
          <w:szCs w:val="21"/>
        </w:rPr>
        <w:t>4.投标应答栏中应当注明具体内容，且必须标注具体内容在投标文件中的位置。</w:t>
      </w:r>
    </w:p>
    <w:p w14:paraId="34861D19" w14:textId="77777777" w:rsidR="0022665C" w:rsidRDefault="0022665C">
      <w:pPr>
        <w:pStyle w:val="a3"/>
        <w:spacing w:line="440" w:lineRule="atLeast"/>
        <w:rPr>
          <w:rFonts w:ascii="微软雅黑" w:eastAsia="微软雅黑" w:hAnsi="微软雅黑" w:hint="eastAsia"/>
          <w:sz w:val="21"/>
          <w:szCs w:val="21"/>
        </w:rPr>
      </w:pPr>
    </w:p>
    <w:p w14:paraId="181705AD" w14:textId="77777777" w:rsidR="0022665C" w:rsidRDefault="00000000">
      <w:pPr>
        <w:widowControl/>
        <w:spacing w:line="440" w:lineRule="atLeast"/>
        <w:jc w:val="left"/>
        <w:rPr>
          <w:rFonts w:ascii="微软雅黑" w:eastAsia="微软雅黑" w:hAnsi="微软雅黑" w:hint="eastAsia"/>
          <w:sz w:val="21"/>
          <w:szCs w:val="21"/>
        </w:rPr>
      </w:pPr>
      <w:r>
        <w:rPr>
          <w:rFonts w:ascii="微软雅黑" w:eastAsia="微软雅黑" w:hAnsi="微软雅黑"/>
          <w:sz w:val="21"/>
          <w:szCs w:val="21"/>
        </w:rPr>
        <w:br w:type="page"/>
      </w:r>
    </w:p>
    <w:p w14:paraId="46417D29" w14:textId="77777777" w:rsidR="0022665C" w:rsidRDefault="00000000">
      <w:pPr>
        <w:pStyle w:val="affa"/>
        <w:numPr>
          <w:ilvl w:val="0"/>
          <w:numId w:val="11"/>
        </w:numPr>
        <w:snapToGrid w:val="0"/>
        <w:spacing w:line="440" w:lineRule="atLeast"/>
        <w:ind w:firstLineChars="0"/>
        <w:rPr>
          <w:rFonts w:ascii="微软雅黑" w:eastAsia="微软雅黑" w:hAnsi="微软雅黑" w:hint="eastAsia"/>
          <w:sz w:val="21"/>
          <w:szCs w:val="21"/>
        </w:rPr>
      </w:pPr>
      <w:r>
        <w:rPr>
          <w:rFonts w:ascii="微软雅黑" w:eastAsia="微软雅黑" w:hAnsi="微软雅黑" w:hint="eastAsia"/>
          <w:sz w:val="21"/>
          <w:szCs w:val="21"/>
        </w:rPr>
        <w:t>本招标文件中第二篇所需提供的证明材料（如果有）</w:t>
      </w:r>
    </w:p>
    <w:p w14:paraId="596B7A64" w14:textId="77777777" w:rsidR="0022665C" w:rsidRDefault="0022665C">
      <w:pPr>
        <w:snapToGrid w:val="0"/>
        <w:spacing w:line="440" w:lineRule="atLeast"/>
        <w:rPr>
          <w:rFonts w:ascii="微软雅黑" w:eastAsia="微软雅黑" w:hAnsi="微软雅黑" w:hint="eastAsia"/>
          <w:sz w:val="21"/>
          <w:szCs w:val="21"/>
        </w:rPr>
      </w:pPr>
    </w:p>
    <w:p w14:paraId="0B4328C5" w14:textId="77777777" w:rsidR="0022665C" w:rsidRDefault="0022665C">
      <w:pPr>
        <w:pStyle w:val="aff"/>
        <w:spacing w:line="440" w:lineRule="atLeast"/>
        <w:ind w:firstLine="320"/>
        <w:rPr>
          <w:rFonts w:ascii="微软雅黑" w:eastAsia="微软雅黑" w:hAnsi="微软雅黑" w:hint="eastAsia"/>
        </w:rPr>
      </w:pPr>
    </w:p>
    <w:p w14:paraId="2A7FCA43" w14:textId="77777777" w:rsidR="0022665C" w:rsidRDefault="0022665C">
      <w:pPr>
        <w:spacing w:line="440" w:lineRule="atLeast"/>
        <w:rPr>
          <w:rFonts w:ascii="微软雅黑" w:eastAsia="微软雅黑" w:hAnsi="微软雅黑" w:hint="eastAsia"/>
        </w:rPr>
      </w:pPr>
    </w:p>
    <w:p w14:paraId="037F24C4" w14:textId="77777777" w:rsidR="0022665C" w:rsidRDefault="00000000">
      <w:pPr>
        <w:pStyle w:val="affa"/>
        <w:numPr>
          <w:ilvl w:val="0"/>
          <w:numId w:val="11"/>
        </w:numPr>
        <w:snapToGrid w:val="0"/>
        <w:spacing w:line="440" w:lineRule="atLeast"/>
        <w:ind w:firstLineChars="0"/>
        <w:rPr>
          <w:rFonts w:ascii="微软雅黑" w:eastAsia="微软雅黑" w:hAnsi="微软雅黑" w:hint="eastAsia"/>
          <w:sz w:val="21"/>
          <w:szCs w:val="21"/>
        </w:rPr>
      </w:pPr>
      <w:r>
        <w:rPr>
          <w:rFonts w:ascii="微软雅黑" w:eastAsia="微软雅黑" w:hAnsi="微软雅黑" w:hint="eastAsia"/>
          <w:sz w:val="21"/>
          <w:szCs w:val="21"/>
        </w:rPr>
        <w:t>其他</w:t>
      </w:r>
      <w:r>
        <w:rPr>
          <w:rFonts w:ascii="微软雅黑" w:eastAsia="微软雅黑" w:hAnsi="微软雅黑"/>
          <w:sz w:val="21"/>
          <w:szCs w:val="21"/>
        </w:rPr>
        <w:t>技术资料</w:t>
      </w:r>
    </w:p>
    <w:p w14:paraId="3FB21E10" w14:textId="77777777" w:rsidR="0022665C" w:rsidRDefault="00000000">
      <w:pPr>
        <w:ind w:firstLine="480"/>
        <w:rPr>
          <w:rFonts w:ascii="微软雅黑" w:eastAsia="微软雅黑" w:hAnsi="微软雅黑" w:hint="eastAsia"/>
          <w:b/>
          <w:bCs/>
          <w:sz w:val="24"/>
        </w:rPr>
      </w:pPr>
      <w:bookmarkStart w:id="290" w:name="_Toc24895"/>
      <w:bookmarkStart w:id="291" w:name="_Toc150335807"/>
      <w:bookmarkStart w:id="292" w:name="_Toc6766"/>
      <w:bookmarkStart w:id="293" w:name="_Toc22849"/>
      <w:r>
        <w:rPr>
          <w:rFonts w:ascii="微软雅黑" w:eastAsia="微软雅黑" w:hAnsi="微软雅黑" w:hint="eastAsia"/>
          <w:b/>
          <w:bCs/>
          <w:sz w:val="24"/>
        </w:rPr>
        <w:br w:type="page"/>
      </w:r>
    </w:p>
    <w:p w14:paraId="2F3821C2" w14:textId="77777777" w:rsidR="0022665C" w:rsidRDefault="00000000">
      <w:pPr>
        <w:pStyle w:val="2"/>
        <w:spacing w:line="560" w:lineRule="atLeast"/>
        <w:ind w:firstLine="480"/>
        <w:jc w:val="left"/>
        <w:rPr>
          <w:rFonts w:ascii="微软雅黑" w:eastAsia="微软雅黑" w:hAnsi="微软雅黑" w:hint="eastAsia"/>
          <w:b/>
          <w:bCs/>
          <w:sz w:val="24"/>
        </w:rPr>
      </w:pPr>
      <w:bookmarkStart w:id="294" w:name="_Toc23433"/>
      <w:r>
        <w:rPr>
          <w:rFonts w:ascii="微软雅黑" w:eastAsia="微软雅黑" w:hAnsi="微软雅黑" w:hint="eastAsia"/>
          <w:b/>
          <w:bCs/>
          <w:sz w:val="24"/>
        </w:rPr>
        <w:t>三、商务文件</w:t>
      </w:r>
      <w:bookmarkEnd w:id="290"/>
      <w:bookmarkEnd w:id="291"/>
      <w:bookmarkEnd w:id="292"/>
      <w:bookmarkEnd w:id="293"/>
      <w:bookmarkEnd w:id="294"/>
    </w:p>
    <w:p w14:paraId="1773D011" w14:textId="77777777" w:rsidR="0022665C" w:rsidRDefault="00000000">
      <w:pPr>
        <w:snapToGrid w:val="0"/>
        <w:spacing w:beforeLines="50" w:before="120" w:line="440" w:lineRule="atLeast"/>
        <w:jc w:val="center"/>
        <w:rPr>
          <w:rFonts w:ascii="微软雅黑" w:eastAsia="微软雅黑" w:hAnsi="微软雅黑" w:hint="eastAsia"/>
          <w:b/>
          <w:bCs/>
          <w:sz w:val="21"/>
          <w:szCs w:val="21"/>
        </w:rPr>
      </w:pPr>
      <w:r>
        <w:rPr>
          <w:rFonts w:ascii="微软雅黑" w:eastAsia="微软雅黑" w:hAnsi="微软雅黑" w:hint="eastAsia"/>
          <w:b/>
          <w:bCs/>
          <w:sz w:val="21"/>
          <w:szCs w:val="21"/>
        </w:rPr>
        <w:t>（一）投标函（格式）</w:t>
      </w:r>
    </w:p>
    <w:p w14:paraId="5101E5AE" w14:textId="77777777" w:rsidR="0022665C" w:rsidRDefault="0022665C">
      <w:pPr>
        <w:spacing w:line="440" w:lineRule="atLeast"/>
        <w:rPr>
          <w:rFonts w:ascii="微软雅黑" w:eastAsia="微软雅黑" w:hAnsi="微软雅黑" w:hint="eastAsia"/>
          <w:sz w:val="21"/>
          <w:szCs w:val="21"/>
        </w:rPr>
      </w:pPr>
    </w:p>
    <w:p w14:paraId="50D52551" w14:textId="77777777" w:rsidR="0022665C" w:rsidRDefault="00000000">
      <w:pPr>
        <w:spacing w:line="440" w:lineRule="atLeast"/>
        <w:ind w:firstLineChars="200" w:firstLine="420"/>
        <w:rPr>
          <w:rFonts w:ascii="微软雅黑" w:eastAsia="微软雅黑" w:hAnsi="微软雅黑" w:hint="eastAsia"/>
          <w:sz w:val="21"/>
          <w:szCs w:val="21"/>
          <w:u w:val="single"/>
          <w:vertAlign w:val="subscript"/>
        </w:rPr>
      </w:pPr>
      <w:r>
        <w:rPr>
          <w:rFonts w:ascii="微软雅黑" w:eastAsia="微软雅黑" w:hAnsi="微软雅黑" w:hint="eastAsia"/>
          <w:sz w:val="21"/>
          <w:szCs w:val="21"/>
        </w:rPr>
        <w:t>招标项目名称：</w:t>
      </w:r>
      <w:r>
        <w:rPr>
          <w:rFonts w:ascii="微软雅黑" w:eastAsia="微软雅黑" w:hAnsi="微软雅黑"/>
          <w:sz w:val="21"/>
          <w:szCs w:val="21"/>
          <w:u w:val="single"/>
        </w:rPr>
        <w:t xml:space="preserve">                   </w:t>
      </w:r>
    </w:p>
    <w:p w14:paraId="1C057DDA" w14:textId="77777777" w:rsidR="0022665C" w:rsidRDefault="0022665C">
      <w:pPr>
        <w:tabs>
          <w:tab w:val="left" w:pos="6300"/>
        </w:tabs>
        <w:snapToGrid w:val="0"/>
        <w:spacing w:line="440" w:lineRule="atLeast"/>
        <w:rPr>
          <w:rFonts w:ascii="微软雅黑" w:eastAsia="微软雅黑" w:hAnsi="微软雅黑" w:hint="eastAsia"/>
          <w:sz w:val="21"/>
          <w:szCs w:val="21"/>
        </w:rPr>
      </w:pPr>
    </w:p>
    <w:p w14:paraId="19B9DD7A" w14:textId="77777777" w:rsidR="0022665C" w:rsidRDefault="00000000">
      <w:pPr>
        <w:tabs>
          <w:tab w:val="left" w:pos="6300"/>
        </w:tabs>
        <w:snapToGrid w:val="0"/>
        <w:spacing w:line="440" w:lineRule="atLeast"/>
        <w:rPr>
          <w:rFonts w:ascii="微软雅黑" w:eastAsia="微软雅黑" w:hAnsi="微软雅黑" w:hint="eastAsia"/>
          <w:sz w:val="21"/>
          <w:szCs w:val="21"/>
        </w:rPr>
      </w:pPr>
      <w:r>
        <w:rPr>
          <w:rFonts w:ascii="微软雅黑" w:eastAsia="微软雅黑" w:hAnsi="微软雅黑" w:hint="eastAsia"/>
          <w:sz w:val="21"/>
          <w:szCs w:val="21"/>
        </w:rPr>
        <w:t>致：</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（采购代理机构名称）：</w:t>
      </w:r>
    </w:p>
    <w:p w14:paraId="0A725D87" w14:textId="77777777" w:rsidR="0022665C" w:rsidRDefault="00000000">
      <w:pPr>
        <w:snapToGrid w:val="0"/>
        <w:spacing w:beforeLines="50" w:before="120" w:line="440" w:lineRule="atLeast"/>
        <w:ind w:firstLineChars="150" w:firstLine="315"/>
        <w:rPr>
          <w:rFonts w:ascii="微软雅黑" w:eastAsia="微软雅黑" w:hAnsi="微软雅黑" w:hint="eastAsia"/>
          <w:sz w:val="21"/>
          <w:szCs w:val="21"/>
        </w:rPr>
      </w:pP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（投标人名称）系中华人民共和国合法企业，注册地址：</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。我方就参加本次投标有关事项郑重声明如下：</w:t>
      </w:r>
    </w:p>
    <w:p w14:paraId="607AAD1A"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一、我方完全理解并接受该项目招标文件所有要求。</w:t>
      </w:r>
    </w:p>
    <w:p w14:paraId="5D4FACF7"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二、我方提交的所有投标文件、资料都是准确和真实的，如有虚假或隐瞒，我方愿意承担一切法律责任。</w:t>
      </w:r>
    </w:p>
    <w:p w14:paraId="54AB567F"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三、我方承诺按照招标文件要求，提供招标项目的技术服务。</w:t>
      </w:r>
    </w:p>
    <w:p w14:paraId="4C222D03" w14:textId="77777777" w:rsidR="0022665C" w:rsidRDefault="00000000">
      <w:pPr>
        <w:tabs>
          <w:tab w:val="left" w:pos="6300"/>
        </w:tabs>
        <w:snapToGrid w:val="0"/>
        <w:spacing w:line="440" w:lineRule="atLeast"/>
        <w:ind w:firstLineChars="300" w:firstLine="630"/>
        <w:rPr>
          <w:rFonts w:ascii="微软雅黑" w:eastAsia="微软雅黑" w:hAnsi="微软雅黑" w:hint="eastAsia"/>
          <w:sz w:val="21"/>
          <w:szCs w:val="21"/>
        </w:rPr>
      </w:pPr>
      <w:r>
        <w:rPr>
          <w:rFonts w:ascii="微软雅黑" w:eastAsia="微软雅黑" w:hAnsi="微软雅黑" w:hint="eastAsia"/>
          <w:sz w:val="21"/>
          <w:szCs w:val="21"/>
        </w:rPr>
        <w:t>四、我方按招标文件要求提交的投标文件为：投标文件正本1份，副本</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份，电子文档</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份。</w:t>
      </w:r>
    </w:p>
    <w:p w14:paraId="5625B4FD" w14:textId="77777777" w:rsidR="0022665C" w:rsidRDefault="00000000">
      <w:pPr>
        <w:tabs>
          <w:tab w:val="left" w:pos="6300"/>
        </w:tabs>
        <w:snapToGrid w:val="0"/>
        <w:spacing w:line="440" w:lineRule="atLeast"/>
        <w:ind w:leftChars="200" w:left="665" w:hangingChars="50" w:hanging="105"/>
        <w:rPr>
          <w:rFonts w:ascii="微软雅黑" w:eastAsia="微软雅黑" w:hAnsi="微软雅黑" w:hint="eastAsia"/>
          <w:sz w:val="21"/>
          <w:szCs w:val="21"/>
        </w:rPr>
      </w:pPr>
      <w:r>
        <w:rPr>
          <w:rFonts w:ascii="微软雅黑" w:eastAsia="微软雅黑" w:hAnsi="微软雅黑" w:hint="eastAsia"/>
          <w:sz w:val="21"/>
          <w:szCs w:val="21"/>
        </w:rPr>
        <w:t>五、我方承诺：本次投标的投标有效期为投标截止时间起90天。</w:t>
      </w:r>
    </w:p>
    <w:p w14:paraId="7F9D3322"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六、我方投标报价为闭口价。即在投标有效期和合同有效期内，该报价固定不变。</w:t>
      </w:r>
    </w:p>
    <w:p w14:paraId="4CBFAEC4"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七、如果我方中标，我方将履行招标文件中规定的各项要求以及我方投标文件的各项承诺，按《中华人民共和国政府采购法》《中华人民共和国民法典》及合同约定条款承担我方责任。</w:t>
      </w:r>
    </w:p>
    <w:p w14:paraId="70A06227"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八、我方未为采购项目提供整体设计、规范编制或者项目管理、监理、检测等服务。</w:t>
      </w:r>
    </w:p>
    <w:p w14:paraId="53E260E9"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九、我方理解，最低报价不是中标的唯一条件。</w:t>
      </w:r>
    </w:p>
    <w:p w14:paraId="2EACB678"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十、我方同意按有关规定及招标文件要求，交纳足额投标保证金。</w:t>
      </w:r>
    </w:p>
    <w:p w14:paraId="32E0DBAE"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十一、若我方中标，愿意按有关规定及招标文件要求缴纳招标代理服务费和交易服务费。</w:t>
      </w:r>
    </w:p>
    <w:p w14:paraId="775883FD"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19CC82B0" w14:textId="77777777" w:rsidR="0022665C" w:rsidRDefault="00000000">
      <w:pPr>
        <w:tabs>
          <w:tab w:val="left" w:pos="6300"/>
        </w:tabs>
        <w:snapToGrid w:val="0"/>
        <w:spacing w:line="440" w:lineRule="atLeast"/>
        <w:ind w:firstLineChars="2500" w:firstLine="5250"/>
        <w:rPr>
          <w:rFonts w:ascii="微软雅黑" w:eastAsia="微软雅黑" w:hAnsi="微软雅黑" w:hint="eastAsia"/>
          <w:sz w:val="21"/>
          <w:szCs w:val="21"/>
        </w:rPr>
      </w:pPr>
      <w:r>
        <w:rPr>
          <w:rFonts w:ascii="微软雅黑" w:eastAsia="微软雅黑" w:hAnsi="微软雅黑" w:hint="eastAsia"/>
          <w:sz w:val="21"/>
          <w:szCs w:val="21"/>
        </w:rPr>
        <w:t>（投标人公章或自然人签署）</w:t>
      </w:r>
    </w:p>
    <w:p w14:paraId="55BE647D" w14:textId="77777777" w:rsidR="0022665C" w:rsidRDefault="00000000">
      <w:pPr>
        <w:tabs>
          <w:tab w:val="left" w:pos="6300"/>
        </w:tabs>
        <w:snapToGrid w:val="0"/>
        <w:spacing w:line="440" w:lineRule="atLeast"/>
        <w:ind w:firstLineChars="2700" w:firstLine="5670"/>
        <w:rPr>
          <w:rFonts w:ascii="微软雅黑" w:eastAsia="微软雅黑" w:hAnsi="微软雅黑" w:hint="eastAsia"/>
          <w:sz w:val="21"/>
          <w:szCs w:val="21"/>
        </w:rPr>
      </w:pPr>
      <w:r>
        <w:rPr>
          <w:rFonts w:ascii="微软雅黑" w:eastAsia="微软雅黑" w:hAnsi="微软雅黑" w:hint="eastAsia"/>
          <w:sz w:val="21"/>
          <w:szCs w:val="21"/>
        </w:rPr>
        <w:t>年  月  日</w:t>
      </w:r>
    </w:p>
    <w:p w14:paraId="0422055A" w14:textId="77777777" w:rsidR="0022665C" w:rsidRDefault="00000000">
      <w:pPr>
        <w:widowControl/>
        <w:spacing w:line="440" w:lineRule="atLeast"/>
        <w:ind w:firstLine="480"/>
        <w:jc w:val="left"/>
        <w:rPr>
          <w:rFonts w:ascii="微软雅黑" w:eastAsia="微软雅黑" w:hAnsi="微软雅黑" w:hint="eastAsia"/>
          <w:sz w:val="24"/>
          <w:szCs w:val="24"/>
        </w:rPr>
      </w:pPr>
      <w:r>
        <w:rPr>
          <w:rFonts w:ascii="微软雅黑" w:eastAsia="微软雅黑" w:hAnsi="微软雅黑"/>
          <w:sz w:val="24"/>
          <w:szCs w:val="24"/>
        </w:rPr>
        <w:br w:type="page"/>
      </w:r>
    </w:p>
    <w:p w14:paraId="2833FD6D" w14:textId="77777777" w:rsidR="0022665C" w:rsidRDefault="00000000">
      <w:pPr>
        <w:widowControl/>
        <w:spacing w:line="440" w:lineRule="atLeast"/>
        <w:ind w:firstLine="480"/>
        <w:rPr>
          <w:rFonts w:ascii="微软雅黑" w:eastAsia="微软雅黑" w:hAnsi="微软雅黑" w:hint="eastAsia"/>
          <w:sz w:val="24"/>
          <w:szCs w:val="24"/>
        </w:rPr>
      </w:pPr>
      <w:r>
        <w:rPr>
          <w:rFonts w:ascii="微软雅黑" w:eastAsia="微软雅黑" w:hAnsi="微软雅黑" w:hint="eastAsia"/>
          <w:sz w:val="24"/>
          <w:szCs w:val="24"/>
        </w:rPr>
        <w:t>（二）商务条款差异表</w:t>
      </w:r>
    </w:p>
    <w:p w14:paraId="6D8E0D1F" w14:textId="77777777" w:rsidR="0022665C" w:rsidRDefault="00000000">
      <w:pPr>
        <w:widowControl/>
        <w:spacing w:line="440" w:lineRule="atLeast"/>
        <w:jc w:val="center"/>
        <w:rPr>
          <w:rFonts w:ascii="微软雅黑" w:eastAsia="微软雅黑" w:hAnsi="微软雅黑" w:hint="eastAsia"/>
          <w:sz w:val="21"/>
          <w:szCs w:val="21"/>
        </w:rPr>
      </w:pPr>
      <w:r>
        <w:rPr>
          <w:rFonts w:ascii="微软雅黑" w:eastAsia="微软雅黑" w:hAnsi="微软雅黑" w:hint="eastAsia"/>
          <w:sz w:val="21"/>
          <w:szCs w:val="21"/>
        </w:rPr>
        <w:t>商务条款差异表</w:t>
      </w:r>
    </w:p>
    <w:p w14:paraId="7D9A45E2" w14:textId="77777777" w:rsidR="0022665C" w:rsidRDefault="0022665C">
      <w:pPr>
        <w:widowControl/>
        <w:spacing w:line="440" w:lineRule="atLeast"/>
        <w:jc w:val="center"/>
        <w:rPr>
          <w:rFonts w:ascii="微软雅黑" w:eastAsia="微软雅黑" w:hAnsi="微软雅黑" w:hint="eastAsia"/>
          <w:sz w:val="21"/>
          <w:szCs w:val="21"/>
        </w:rPr>
      </w:pPr>
    </w:p>
    <w:p w14:paraId="2277F766" w14:textId="77777777" w:rsidR="0022665C" w:rsidRDefault="00000000">
      <w:pPr>
        <w:spacing w:line="440" w:lineRule="atLeast"/>
        <w:ind w:firstLineChars="200" w:firstLine="420"/>
        <w:rPr>
          <w:rFonts w:ascii="微软雅黑" w:eastAsia="微软雅黑" w:hAnsi="微软雅黑" w:hint="eastAsia"/>
          <w:sz w:val="21"/>
          <w:szCs w:val="21"/>
          <w:u w:val="single"/>
        </w:rPr>
      </w:pPr>
      <w:r>
        <w:rPr>
          <w:rFonts w:ascii="微软雅黑" w:eastAsia="微软雅黑" w:hAnsi="微软雅黑" w:hint="eastAsia"/>
          <w:sz w:val="21"/>
          <w:szCs w:val="21"/>
        </w:rPr>
        <w:t>项目号：</w:t>
      </w:r>
      <w:r>
        <w:rPr>
          <w:rFonts w:ascii="微软雅黑" w:eastAsia="微软雅黑" w:hAnsi="微软雅黑"/>
          <w:sz w:val="21"/>
          <w:szCs w:val="21"/>
          <w:u w:val="single"/>
        </w:rPr>
        <w:t xml:space="preserve">             </w:t>
      </w:r>
      <w:r>
        <w:rPr>
          <w:rFonts w:ascii="微软雅黑" w:eastAsia="微软雅黑" w:hAnsi="微软雅黑" w:hint="eastAsia"/>
          <w:sz w:val="21"/>
          <w:szCs w:val="21"/>
        </w:rPr>
        <w:t xml:space="preserve"> </w:t>
      </w:r>
      <w:r>
        <w:rPr>
          <w:rFonts w:ascii="微软雅黑" w:eastAsia="微软雅黑" w:hAnsi="微软雅黑"/>
          <w:sz w:val="21"/>
          <w:szCs w:val="21"/>
        </w:rPr>
        <w:t xml:space="preserve">             </w:t>
      </w:r>
    </w:p>
    <w:p w14:paraId="6F5AC71D" w14:textId="77777777" w:rsidR="0022665C" w:rsidRDefault="00000000">
      <w:pPr>
        <w:pStyle w:val="2a"/>
        <w:spacing w:line="440" w:lineRule="atLeast"/>
        <w:ind w:leftChars="0" w:left="0"/>
        <w:rPr>
          <w:rFonts w:ascii="微软雅黑" w:eastAsia="微软雅黑" w:hAnsi="微软雅黑" w:hint="eastAsia"/>
          <w:sz w:val="21"/>
          <w:szCs w:val="21"/>
          <w:u w:val="single"/>
        </w:rPr>
      </w:pPr>
      <w:r>
        <w:rPr>
          <w:rFonts w:ascii="微软雅黑" w:eastAsia="微软雅黑" w:hAnsi="微软雅黑" w:hint="eastAsia"/>
          <w:sz w:val="21"/>
          <w:szCs w:val="21"/>
        </w:rPr>
        <w:t>招标项目名称：</w:t>
      </w:r>
      <w:r>
        <w:rPr>
          <w:rFonts w:ascii="微软雅黑" w:eastAsia="微软雅黑" w:hAnsi="微软雅黑" w:hint="eastAsia"/>
          <w:sz w:val="21"/>
          <w:szCs w:val="21"/>
          <w:u w:val="single"/>
        </w:rPr>
        <w:t xml:space="preserve"> </w:t>
      </w:r>
      <w:r>
        <w:rPr>
          <w:rFonts w:ascii="微软雅黑" w:eastAsia="微软雅黑" w:hAnsi="微软雅黑"/>
          <w:sz w:val="21"/>
          <w:szCs w:val="21"/>
          <w:u w:val="single"/>
        </w:rPr>
        <w:t xml:space="preserve">                    </w:t>
      </w:r>
    </w:p>
    <w:tbl>
      <w:tblPr>
        <w:tblW w:w="8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9"/>
        <w:gridCol w:w="2698"/>
        <w:gridCol w:w="2520"/>
        <w:gridCol w:w="2601"/>
      </w:tblGrid>
      <w:tr w:rsidR="0022665C" w14:paraId="33447A99" w14:textId="77777777">
        <w:trPr>
          <w:trHeight w:val="516"/>
          <w:jc w:val="center"/>
        </w:trPr>
        <w:tc>
          <w:tcPr>
            <w:tcW w:w="769" w:type="dxa"/>
            <w:vAlign w:val="center"/>
          </w:tcPr>
          <w:p w14:paraId="0895932F" w14:textId="77777777" w:rsidR="0022665C" w:rsidRDefault="00000000">
            <w:pPr>
              <w:tabs>
                <w:tab w:val="left" w:pos="6300"/>
              </w:tabs>
              <w:snapToGrid w:val="0"/>
              <w:spacing w:line="440" w:lineRule="atLeast"/>
              <w:jc w:val="center"/>
              <w:outlineLvl w:val="0"/>
              <w:rPr>
                <w:rFonts w:ascii="微软雅黑" w:eastAsia="微软雅黑" w:hAnsi="微软雅黑" w:hint="eastAsia"/>
                <w:sz w:val="21"/>
                <w:szCs w:val="21"/>
              </w:rPr>
            </w:pPr>
            <w:r>
              <w:rPr>
                <w:rFonts w:ascii="微软雅黑" w:eastAsia="微软雅黑" w:hAnsi="微软雅黑" w:hint="eastAsia"/>
                <w:sz w:val="21"/>
                <w:szCs w:val="21"/>
              </w:rPr>
              <w:t>序号</w:t>
            </w:r>
          </w:p>
        </w:tc>
        <w:tc>
          <w:tcPr>
            <w:tcW w:w="2698" w:type="dxa"/>
            <w:vAlign w:val="center"/>
          </w:tcPr>
          <w:p w14:paraId="6D3C180F" w14:textId="77777777" w:rsidR="0022665C" w:rsidRDefault="00000000">
            <w:pPr>
              <w:tabs>
                <w:tab w:val="left" w:pos="6300"/>
              </w:tabs>
              <w:snapToGrid w:val="0"/>
              <w:spacing w:line="440" w:lineRule="atLeast"/>
              <w:jc w:val="center"/>
              <w:outlineLvl w:val="0"/>
              <w:rPr>
                <w:rFonts w:ascii="微软雅黑" w:eastAsia="微软雅黑" w:hAnsi="微软雅黑" w:hint="eastAsia"/>
                <w:sz w:val="21"/>
                <w:szCs w:val="21"/>
              </w:rPr>
            </w:pPr>
            <w:r>
              <w:rPr>
                <w:rFonts w:ascii="微软雅黑" w:eastAsia="微软雅黑" w:hAnsi="微软雅黑" w:hint="eastAsia"/>
                <w:sz w:val="21"/>
                <w:szCs w:val="21"/>
              </w:rPr>
              <w:t>招标商务要求</w:t>
            </w:r>
          </w:p>
        </w:tc>
        <w:tc>
          <w:tcPr>
            <w:tcW w:w="2520" w:type="dxa"/>
            <w:vAlign w:val="center"/>
          </w:tcPr>
          <w:p w14:paraId="3573FB2D" w14:textId="77777777" w:rsidR="0022665C" w:rsidRDefault="00000000">
            <w:pPr>
              <w:tabs>
                <w:tab w:val="left" w:pos="6300"/>
              </w:tabs>
              <w:snapToGrid w:val="0"/>
              <w:spacing w:line="440" w:lineRule="atLeast"/>
              <w:jc w:val="center"/>
              <w:outlineLvl w:val="0"/>
              <w:rPr>
                <w:rFonts w:ascii="微软雅黑" w:eastAsia="微软雅黑" w:hAnsi="微软雅黑" w:hint="eastAsia"/>
                <w:sz w:val="21"/>
                <w:szCs w:val="21"/>
              </w:rPr>
            </w:pPr>
            <w:r>
              <w:rPr>
                <w:rFonts w:ascii="微软雅黑" w:eastAsia="微软雅黑" w:hAnsi="微软雅黑" w:hint="eastAsia"/>
                <w:sz w:val="21"/>
                <w:szCs w:val="21"/>
              </w:rPr>
              <w:t>投标商务应答</w:t>
            </w:r>
          </w:p>
        </w:tc>
        <w:tc>
          <w:tcPr>
            <w:tcW w:w="2601" w:type="dxa"/>
            <w:vAlign w:val="center"/>
          </w:tcPr>
          <w:p w14:paraId="3D77AD69" w14:textId="77777777" w:rsidR="0022665C" w:rsidRDefault="00000000">
            <w:pPr>
              <w:tabs>
                <w:tab w:val="left" w:pos="6300"/>
              </w:tabs>
              <w:snapToGrid w:val="0"/>
              <w:spacing w:line="440" w:lineRule="atLeast"/>
              <w:jc w:val="center"/>
              <w:outlineLvl w:val="0"/>
              <w:rPr>
                <w:rFonts w:ascii="微软雅黑" w:eastAsia="微软雅黑" w:hAnsi="微软雅黑" w:hint="eastAsia"/>
                <w:sz w:val="21"/>
                <w:szCs w:val="21"/>
              </w:rPr>
            </w:pPr>
            <w:r>
              <w:rPr>
                <w:rFonts w:ascii="微软雅黑" w:eastAsia="微软雅黑" w:hAnsi="微软雅黑" w:hint="eastAsia"/>
                <w:sz w:val="21"/>
                <w:szCs w:val="21"/>
              </w:rPr>
              <w:t>差异说明</w:t>
            </w:r>
          </w:p>
        </w:tc>
      </w:tr>
      <w:tr w:rsidR="0022665C" w14:paraId="566A46CC" w14:textId="77777777">
        <w:trPr>
          <w:trHeight w:val="600"/>
          <w:jc w:val="center"/>
        </w:trPr>
        <w:tc>
          <w:tcPr>
            <w:tcW w:w="769" w:type="dxa"/>
            <w:vAlign w:val="center"/>
          </w:tcPr>
          <w:p w14:paraId="6520172C"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98" w:type="dxa"/>
            <w:vAlign w:val="center"/>
          </w:tcPr>
          <w:p w14:paraId="1B25D9CA"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520" w:type="dxa"/>
            <w:vAlign w:val="center"/>
          </w:tcPr>
          <w:p w14:paraId="1620D5F4" w14:textId="77777777" w:rsidR="0022665C" w:rsidRDefault="00000000">
            <w:pPr>
              <w:tabs>
                <w:tab w:val="left" w:pos="6300"/>
              </w:tabs>
              <w:snapToGrid w:val="0"/>
              <w:spacing w:line="440" w:lineRule="atLeast"/>
              <w:jc w:val="center"/>
              <w:outlineLvl w:val="0"/>
              <w:rPr>
                <w:rFonts w:ascii="微软雅黑" w:eastAsia="微软雅黑" w:hAnsi="微软雅黑" w:hint="eastAsia"/>
                <w:sz w:val="21"/>
                <w:szCs w:val="21"/>
              </w:rPr>
            </w:pPr>
            <w:r>
              <w:rPr>
                <w:rFonts w:ascii="微软雅黑" w:eastAsia="微软雅黑" w:hAnsi="微软雅黑" w:hint="eastAsia"/>
                <w:sz w:val="21"/>
                <w:szCs w:val="21"/>
              </w:rPr>
              <w:t>提醒：请注明具体内容以及投标文件中具体内容的位置</w:t>
            </w:r>
          </w:p>
        </w:tc>
        <w:tc>
          <w:tcPr>
            <w:tcW w:w="2601" w:type="dxa"/>
            <w:vAlign w:val="center"/>
          </w:tcPr>
          <w:p w14:paraId="04BCB4A1"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r>
      <w:tr w:rsidR="0022665C" w14:paraId="1ECAA7E4" w14:textId="77777777">
        <w:trPr>
          <w:trHeight w:val="600"/>
          <w:jc w:val="center"/>
        </w:trPr>
        <w:tc>
          <w:tcPr>
            <w:tcW w:w="769" w:type="dxa"/>
            <w:vAlign w:val="center"/>
          </w:tcPr>
          <w:p w14:paraId="462AF6CC"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98" w:type="dxa"/>
            <w:vAlign w:val="center"/>
          </w:tcPr>
          <w:p w14:paraId="794ABF28"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520" w:type="dxa"/>
            <w:vAlign w:val="center"/>
          </w:tcPr>
          <w:p w14:paraId="43945392"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01" w:type="dxa"/>
            <w:vAlign w:val="center"/>
          </w:tcPr>
          <w:p w14:paraId="2C56F390"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r>
      <w:tr w:rsidR="0022665C" w14:paraId="34DC0BAC" w14:textId="77777777">
        <w:trPr>
          <w:trHeight w:val="600"/>
          <w:jc w:val="center"/>
        </w:trPr>
        <w:tc>
          <w:tcPr>
            <w:tcW w:w="769" w:type="dxa"/>
            <w:vAlign w:val="center"/>
          </w:tcPr>
          <w:p w14:paraId="5F97A1BB"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98" w:type="dxa"/>
            <w:vAlign w:val="center"/>
          </w:tcPr>
          <w:p w14:paraId="57245CD9"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520" w:type="dxa"/>
            <w:vAlign w:val="center"/>
          </w:tcPr>
          <w:p w14:paraId="290AC979"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01" w:type="dxa"/>
            <w:vAlign w:val="center"/>
          </w:tcPr>
          <w:p w14:paraId="1DDFFC3A"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r>
      <w:tr w:rsidR="0022665C" w14:paraId="2BA97CA3" w14:textId="77777777">
        <w:trPr>
          <w:trHeight w:val="600"/>
          <w:jc w:val="center"/>
        </w:trPr>
        <w:tc>
          <w:tcPr>
            <w:tcW w:w="769" w:type="dxa"/>
            <w:vAlign w:val="center"/>
          </w:tcPr>
          <w:p w14:paraId="78B88DB6"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98" w:type="dxa"/>
            <w:vAlign w:val="center"/>
          </w:tcPr>
          <w:p w14:paraId="5B218337"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520" w:type="dxa"/>
            <w:vAlign w:val="center"/>
          </w:tcPr>
          <w:p w14:paraId="2FB3B7D0"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01" w:type="dxa"/>
            <w:vAlign w:val="center"/>
          </w:tcPr>
          <w:p w14:paraId="1C9F7072"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r>
      <w:tr w:rsidR="0022665C" w14:paraId="70FF2125" w14:textId="77777777">
        <w:trPr>
          <w:trHeight w:val="600"/>
          <w:jc w:val="center"/>
        </w:trPr>
        <w:tc>
          <w:tcPr>
            <w:tcW w:w="769" w:type="dxa"/>
            <w:vAlign w:val="center"/>
          </w:tcPr>
          <w:p w14:paraId="201F4E09"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98" w:type="dxa"/>
            <w:vAlign w:val="center"/>
          </w:tcPr>
          <w:p w14:paraId="6C017A6C"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520" w:type="dxa"/>
            <w:vAlign w:val="center"/>
          </w:tcPr>
          <w:p w14:paraId="0FC26232"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01" w:type="dxa"/>
            <w:vAlign w:val="center"/>
          </w:tcPr>
          <w:p w14:paraId="2F3DCD70"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r>
      <w:tr w:rsidR="0022665C" w14:paraId="07C37F2D" w14:textId="77777777">
        <w:trPr>
          <w:trHeight w:val="600"/>
          <w:jc w:val="center"/>
        </w:trPr>
        <w:tc>
          <w:tcPr>
            <w:tcW w:w="769" w:type="dxa"/>
            <w:vAlign w:val="center"/>
          </w:tcPr>
          <w:p w14:paraId="06A77205"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98" w:type="dxa"/>
            <w:vAlign w:val="center"/>
          </w:tcPr>
          <w:p w14:paraId="60CDDABE"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520" w:type="dxa"/>
            <w:vAlign w:val="center"/>
          </w:tcPr>
          <w:p w14:paraId="544D9C50"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01" w:type="dxa"/>
            <w:vAlign w:val="center"/>
          </w:tcPr>
          <w:p w14:paraId="40729B7A"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r>
      <w:tr w:rsidR="0022665C" w14:paraId="49F6BEEE" w14:textId="77777777">
        <w:trPr>
          <w:trHeight w:val="600"/>
          <w:jc w:val="center"/>
        </w:trPr>
        <w:tc>
          <w:tcPr>
            <w:tcW w:w="769" w:type="dxa"/>
            <w:vAlign w:val="center"/>
          </w:tcPr>
          <w:p w14:paraId="71F28B61"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98" w:type="dxa"/>
            <w:vAlign w:val="center"/>
          </w:tcPr>
          <w:p w14:paraId="00DA04A0"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520" w:type="dxa"/>
            <w:vAlign w:val="center"/>
          </w:tcPr>
          <w:p w14:paraId="46F00F51"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c>
          <w:tcPr>
            <w:tcW w:w="2601" w:type="dxa"/>
            <w:vAlign w:val="center"/>
          </w:tcPr>
          <w:p w14:paraId="0288822E" w14:textId="77777777" w:rsidR="0022665C" w:rsidRDefault="0022665C">
            <w:pPr>
              <w:tabs>
                <w:tab w:val="left" w:pos="6300"/>
              </w:tabs>
              <w:snapToGrid w:val="0"/>
              <w:spacing w:line="440" w:lineRule="atLeast"/>
              <w:jc w:val="center"/>
              <w:outlineLvl w:val="0"/>
              <w:rPr>
                <w:rFonts w:ascii="微软雅黑" w:eastAsia="微软雅黑" w:hAnsi="微软雅黑" w:hint="eastAsia"/>
                <w:sz w:val="21"/>
                <w:szCs w:val="21"/>
              </w:rPr>
            </w:pPr>
          </w:p>
        </w:tc>
      </w:tr>
    </w:tbl>
    <w:p w14:paraId="1A078E5A"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投标人：                       法定代表人（或法定代表人授权代表）或自然人：</w:t>
      </w:r>
    </w:p>
    <w:p w14:paraId="2EECCDAA"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（投标人公章）                                        （签署或盖章）</w:t>
      </w:r>
    </w:p>
    <w:p w14:paraId="4D9ACAB9" w14:textId="77777777" w:rsidR="0022665C" w:rsidRDefault="00000000">
      <w:pPr>
        <w:tabs>
          <w:tab w:val="left" w:pos="6300"/>
        </w:tabs>
        <w:snapToGrid w:val="0"/>
        <w:spacing w:line="440" w:lineRule="atLeast"/>
        <w:ind w:firstLineChars="3100" w:firstLine="6510"/>
        <w:rPr>
          <w:rFonts w:ascii="微软雅黑" w:eastAsia="微软雅黑" w:hAnsi="微软雅黑" w:hint="eastAsia"/>
          <w:sz w:val="21"/>
          <w:szCs w:val="21"/>
        </w:rPr>
      </w:pPr>
      <w:r>
        <w:rPr>
          <w:rFonts w:ascii="微软雅黑" w:eastAsia="微软雅黑" w:hAnsi="微软雅黑" w:hint="eastAsia"/>
          <w:sz w:val="21"/>
          <w:szCs w:val="21"/>
        </w:rPr>
        <w:t>年 月  日</w:t>
      </w:r>
    </w:p>
    <w:p w14:paraId="465FFE7D"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注：</w:t>
      </w:r>
    </w:p>
    <w:p w14:paraId="6BB2CEBC" w14:textId="77777777" w:rsidR="0022665C" w:rsidRDefault="00000000">
      <w:pPr>
        <w:tabs>
          <w:tab w:val="left" w:pos="6300"/>
        </w:tabs>
        <w:snapToGrid w:val="0"/>
        <w:spacing w:line="440" w:lineRule="atLeast"/>
        <w:ind w:firstLineChars="250" w:firstLine="525"/>
        <w:rPr>
          <w:rFonts w:ascii="微软雅黑" w:eastAsia="微软雅黑" w:hAnsi="微软雅黑" w:hint="eastAsia"/>
          <w:sz w:val="21"/>
          <w:szCs w:val="21"/>
        </w:rPr>
      </w:pPr>
      <w:r>
        <w:rPr>
          <w:rFonts w:ascii="微软雅黑" w:eastAsia="微软雅黑" w:hAnsi="微软雅黑" w:hint="eastAsia"/>
          <w:sz w:val="21"/>
          <w:szCs w:val="21"/>
        </w:rPr>
        <w:t>1.本表即为对本项目“第三篇项目商务需求”中所列条款进行比较和响应</w:t>
      </w:r>
    </w:p>
    <w:p w14:paraId="45B1ED85" w14:textId="77777777" w:rsidR="0022665C" w:rsidRDefault="00000000">
      <w:pPr>
        <w:tabs>
          <w:tab w:val="left" w:pos="6300"/>
        </w:tabs>
        <w:snapToGrid w:val="0"/>
        <w:spacing w:line="440" w:lineRule="atLeast"/>
        <w:ind w:firstLineChars="250" w:firstLine="525"/>
        <w:rPr>
          <w:rFonts w:ascii="微软雅黑" w:eastAsia="微软雅黑" w:hAnsi="微软雅黑" w:hint="eastAsia"/>
          <w:sz w:val="21"/>
          <w:szCs w:val="21"/>
        </w:rPr>
      </w:pPr>
      <w:r>
        <w:rPr>
          <w:rFonts w:ascii="微软雅黑" w:eastAsia="微软雅黑" w:hAnsi="微软雅黑" w:hint="eastAsia"/>
          <w:sz w:val="21"/>
          <w:szCs w:val="21"/>
        </w:rPr>
        <w:t>2.本表可扩展。</w:t>
      </w:r>
    </w:p>
    <w:p w14:paraId="55F1DE75" w14:textId="77777777" w:rsidR="0022665C" w:rsidRDefault="00000000">
      <w:pPr>
        <w:tabs>
          <w:tab w:val="left" w:pos="6300"/>
        </w:tabs>
        <w:snapToGrid w:val="0"/>
        <w:spacing w:line="440" w:lineRule="atLeast"/>
        <w:ind w:firstLineChars="250" w:firstLine="525"/>
        <w:rPr>
          <w:rFonts w:ascii="微软雅黑" w:eastAsia="微软雅黑" w:hAnsi="微软雅黑" w:hint="eastAsia"/>
          <w:sz w:val="21"/>
          <w:szCs w:val="21"/>
        </w:rPr>
      </w:pPr>
      <w:r>
        <w:rPr>
          <w:rFonts w:ascii="微软雅黑" w:eastAsia="微软雅黑" w:hAnsi="微软雅黑" w:hint="eastAsia"/>
          <w:sz w:val="21"/>
          <w:szCs w:val="21"/>
        </w:rPr>
        <w:t>3.投标应答栏中应当注明具体内容，且必须标注具体内容在投标文件中的位置。</w:t>
      </w:r>
    </w:p>
    <w:p w14:paraId="3AF011DC"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br w:type="page"/>
        <w:t>（三）本招标文件中第三篇所需提供的证明材料（如果有）</w:t>
      </w:r>
    </w:p>
    <w:p w14:paraId="26E9F938" w14:textId="77777777" w:rsidR="0022665C" w:rsidRDefault="0022665C">
      <w:pPr>
        <w:pStyle w:val="aff"/>
        <w:spacing w:line="440" w:lineRule="atLeast"/>
        <w:ind w:firstLine="320"/>
        <w:rPr>
          <w:rFonts w:ascii="微软雅黑" w:eastAsia="微软雅黑" w:hAnsi="微软雅黑" w:hint="eastAsia"/>
        </w:rPr>
      </w:pPr>
    </w:p>
    <w:p w14:paraId="790A9A14" w14:textId="77777777" w:rsidR="0022665C" w:rsidRDefault="00000000">
      <w:pPr>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（四）其他商务资料，包含但不限于第四篇评审因素商务部分所需证明材料</w:t>
      </w:r>
    </w:p>
    <w:p w14:paraId="26C5EF12" w14:textId="77777777" w:rsidR="0022665C" w:rsidRDefault="0022665C">
      <w:pPr>
        <w:snapToGrid w:val="0"/>
        <w:spacing w:line="440" w:lineRule="atLeast"/>
        <w:ind w:firstLineChars="200" w:firstLine="420"/>
        <w:rPr>
          <w:rFonts w:ascii="微软雅黑" w:eastAsia="微软雅黑" w:hAnsi="微软雅黑" w:hint="eastAsia"/>
          <w:sz w:val="21"/>
          <w:szCs w:val="21"/>
        </w:rPr>
      </w:pPr>
    </w:p>
    <w:p w14:paraId="12715E7B" w14:textId="77777777" w:rsidR="0022665C" w:rsidRDefault="00000000">
      <w:pPr>
        <w:ind w:firstLine="480"/>
        <w:rPr>
          <w:rFonts w:ascii="微软雅黑" w:eastAsia="微软雅黑" w:hAnsi="微软雅黑" w:hint="eastAsia"/>
          <w:b/>
          <w:bCs/>
          <w:sz w:val="24"/>
        </w:rPr>
      </w:pPr>
      <w:bookmarkStart w:id="295" w:name="_Toc150335808"/>
      <w:bookmarkStart w:id="296" w:name="_Toc18230"/>
      <w:bookmarkStart w:id="297" w:name="_Toc7910"/>
      <w:bookmarkStart w:id="298" w:name="_Toc20196"/>
      <w:r>
        <w:rPr>
          <w:rFonts w:ascii="微软雅黑" w:eastAsia="微软雅黑" w:hAnsi="微软雅黑" w:hint="eastAsia"/>
          <w:b/>
          <w:bCs/>
          <w:sz w:val="24"/>
        </w:rPr>
        <w:br w:type="page"/>
      </w:r>
    </w:p>
    <w:p w14:paraId="22425F77" w14:textId="77777777" w:rsidR="0022665C" w:rsidRDefault="00000000">
      <w:pPr>
        <w:pStyle w:val="2"/>
        <w:spacing w:line="560" w:lineRule="atLeast"/>
        <w:ind w:firstLine="480"/>
        <w:jc w:val="left"/>
        <w:rPr>
          <w:rFonts w:ascii="微软雅黑" w:eastAsia="微软雅黑" w:hAnsi="微软雅黑" w:hint="eastAsia"/>
          <w:b/>
          <w:bCs/>
          <w:sz w:val="24"/>
        </w:rPr>
      </w:pPr>
      <w:bookmarkStart w:id="299" w:name="_Toc20886"/>
      <w:r>
        <w:rPr>
          <w:rFonts w:ascii="微软雅黑" w:eastAsia="微软雅黑" w:hAnsi="微软雅黑" w:hint="eastAsia"/>
          <w:b/>
          <w:bCs/>
          <w:sz w:val="24"/>
        </w:rPr>
        <w:t>四、其他资料</w:t>
      </w:r>
      <w:bookmarkEnd w:id="295"/>
      <w:bookmarkEnd w:id="296"/>
      <w:bookmarkEnd w:id="297"/>
      <w:bookmarkEnd w:id="298"/>
      <w:bookmarkEnd w:id="299"/>
    </w:p>
    <w:p w14:paraId="67551658" w14:textId="77777777" w:rsidR="0022665C" w:rsidRDefault="00000000">
      <w:pPr>
        <w:tabs>
          <w:tab w:val="left" w:pos="6300"/>
        </w:tabs>
        <w:snapToGrid w:val="0"/>
        <w:spacing w:line="440" w:lineRule="atLeast"/>
        <w:ind w:firstLine="420"/>
        <w:jc w:val="left"/>
        <w:rPr>
          <w:rFonts w:ascii="微软雅黑" w:eastAsia="微软雅黑" w:hAnsi="微软雅黑" w:hint="eastAsia"/>
          <w:sz w:val="21"/>
          <w:szCs w:val="21"/>
        </w:rPr>
      </w:pPr>
      <w:r>
        <w:rPr>
          <w:rFonts w:ascii="微软雅黑" w:eastAsia="微软雅黑" w:hAnsi="微软雅黑" w:hint="eastAsia"/>
          <w:sz w:val="21"/>
          <w:szCs w:val="21"/>
        </w:rPr>
        <w:t>（一）中小企业声明函、监狱企业证明文件、残疾人福利性单位声明函</w:t>
      </w:r>
    </w:p>
    <w:p w14:paraId="46471E10" w14:textId="77777777" w:rsidR="0022665C" w:rsidRDefault="00000000">
      <w:pPr>
        <w:tabs>
          <w:tab w:val="left" w:pos="6300"/>
        </w:tabs>
        <w:snapToGrid w:val="0"/>
        <w:spacing w:line="440" w:lineRule="atLeas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中小企业声明函（服务类）</w:t>
      </w:r>
    </w:p>
    <w:p w14:paraId="31591B76"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本公司（联合体）郑重声明，根据《政府采购促进中小企业发展管理办法》（财库〔2020〕46号）的规定，本公司（联合体）参加</w:t>
      </w:r>
      <w:r>
        <w:rPr>
          <w:rFonts w:ascii="微软雅黑" w:eastAsia="微软雅黑" w:hAnsi="微软雅黑" w:cs="微软雅黑" w:hint="eastAsia"/>
          <w:i/>
          <w:sz w:val="21"/>
          <w:szCs w:val="21"/>
          <w:u w:val="single"/>
        </w:rPr>
        <w:t>（单位名称）</w:t>
      </w:r>
      <w:r>
        <w:rPr>
          <w:rFonts w:ascii="微软雅黑" w:eastAsia="微软雅黑" w:hAnsi="微软雅黑" w:cs="微软雅黑" w:hint="eastAsia"/>
          <w:sz w:val="21"/>
          <w:szCs w:val="21"/>
        </w:rPr>
        <w:t>的</w:t>
      </w:r>
      <w:r>
        <w:rPr>
          <w:rFonts w:ascii="微软雅黑" w:eastAsia="微软雅黑" w:hAnsi="微软雅黑" w:cs="微软雅黑" w:hint="eastAsia"/>
          <w:i/>
          <w:sz w:val="21"/>
          <w:szCs w:val="21"/>
          <w:u w:val="single"/>
        </w:rPr>
        <w:t>（项目名称）</w:t>
      </w:r>
      <w:r>
        <w:rPr>
          <w:rFonts w:ascii="微软雅黑" w:eastAsia="微软雅黑" w:hAnsi="微软雅黑" w:cs="微软雅黑" w:hint="eastAsia"/>
          <w:sz w:val="21"/>
          <w:szCs w:val="21"/>
        </w:rPr>
        <w:t>采购活动，服务全部由符合政策要求的中小企业承接。相关企业（含联合体中的中小企业、签订分包意向协议的中小企业）的具体情况如下：</w:t>
      </w:r>
    </w:p>
    <w:p w14:paraId="427F5AEE"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w:t>
      </w:r>
      <w:r>
        <w:rPr>
          <w:rFonts w:ascii="微软雅黑" w:eastAsia="微软雅黑" w:hAnsi="微软雅黑" w:cs="微软雅黑" w:hint="eastAsia"/>
          <w:i/>
          <w:sz w:val="21"/>
          <w:szCs w:val="21"/>
          <w:u w:val="single"/>
        </w:rPr>
        <w:t xml:space="preserve">（标的名称 </w:t>
      </w:r>
      <w:r>
        <w:rPr>
          <w:rFonts w:ascii="微软雅黑" w:eastAsia="微软雅黑" w:hAnsi="微软雅黑" w:cs="微软雅黑"/>
          <w:i/>
          <w:sz w:val="21"/>
          <w:szCs w:val="21"/>
          <w:u w:val="single"/>
        </w:rPr>
        <w:t xml:space="preserve"> </w:t>
      </w:r>
      <w:r>
        <w:rPr>
          <w:rFonts w:ascii="微软雅黑" w:eastAsia="微软雅黑" w:hAnsi="微软雅黑" w:cs="微软雅黑" w:hint="eastAsia"/>
          <w:i/>
          <w:sz w:val="21"/>
          <w:szCs w:val="21"/>
          <w:u w:val="single"/>
        </w:rPr>
        <w:t>）</w:t>
      </w:r>
      <w:r>
        <w:rPr>
          <w:rFonts w:ascii="微软雅黑" w:eastAsia="微软雅黑" w:hAnsi="微软雅黑" w:cs="微软雅黑" w:hint="eastAsia"/>
          <w:sz w:val="21"/>
          <w:szCs w:val="21"/>
        </w:rPr>
        <w:t>，属于</w:t>
      </w:r>
      <w:r>
        <w:rPr>
          <w:rFonts w:ascii="微软雅黑" w:eastAsia="微软雅黑" w:hAnsi="微软雅黑" w:cs="微软雅黑" w:hint="eastAsia"/>
          <w:i/>
          <w:sz w:val="21"/>
          <w:szCs w:val="21"/>
          <w:u w:val="single"/>
        </w:rPr>
        <w:t>（采购文件中明确的所属行业）</w:t>
      </w:r>
      <w:r>
        <w:rPr>
          <w:rFonts w:ascii="微软雅黑" w:eastAsia="微软雅黑" w:hAnsi="微软雅黑" w:cs="微软雅黑" w:hint="eastAsia"/>
          <w:sz w:val="21"/>
          <w:szCs w:val="21"/>
        </w:rPr>
        <w:t>；承接企业为</w:t>
      </w:r>
      <w:r>
        <w:rPr>
          <w:rFonts w:ascii="微软雅黑" w:eastAsia="微软雅黑" w:hAnsi="微软雅黑" w:cs="微软雅黑" w:hint="eastAsia"/>
          <w:i/>
          <w:sz w:val="21"/>
          <w:szCs w:val="21"/>
          <w:u w:val="single"/>
        </w:rPr>
        <w:t xml:space="preserve">（企业名称） </w:t>
      </w:r>
      <w:r>
        <w:rPr>
          <w:rFonts w:ascii="微软雅黑" w:eastAsia="微软雅黑" w:hAnsi="微软雅黑" w:cs="微软雅黑"/>
          <w:i/>
          <w:sz w:val="21"/>
          <w:szCs w:val="21"/>
          <w:u w:val="single"/>
        </w:rPr>
        <w:t xml:space="preserve"> </w:t>
      </w:r>
      <w:r>
        <w:rPr>
          <w:rFonts w:ascii="微软雅黑" w:eastAsia="微软雅黑" w:hAnsi="微软雅黑" w:cs="微软雅黑" w:hint="eastAsia"/>
          <w:sz w:val="21"/>
          <w:szCs w:val="21"/>
        </w:rPr>
        <w:t>，从业人员</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人，营业收入为</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万元，资产总额为</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万元，属于</w:t>
      </w:r>
      <w:r>
        <w:rPr>
          <w:rFonts w:ascii="微软雅黑" w:eastAsia="微软雅黑" w:hAnsi="微软雅黑" w:cs="微软雅黑" w:hint="eastAsia"/>
          <w:i/>
          <w:sz w:val="21"/>
          <w:szCs w:val="21"/>
          <w:u w:val="single"/>
        </w:rPr>
        <w:t>（中型企业、小型企业、微型企业）</w:t>
      </w:r>
      <w:r>
        <w:rPr>
          <w:rFonts w:ascii="微软雅黑" w:eastAsia="微软雅黑" w:hAnsi="微软雅黑" w:cs="微软雅黑" w:hint="eastAsia"/>
          <w:sz w:val="21"/>
          <w:szCs w:val="21"/>
        </w:rPr>
        <w:t>；</w:t>
      </w:r>
    </w:p>
    <w:p w14:paraId="2AD026DE"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为本标的提供的服务人员</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人，其中与本企业签订劳动合同</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人，其他人员</w:t>
      </w:r>
      <w:r>
        <w:rPr>
          <w:rFonts w:ascii="微软雅黑" w:eastAsia="微软雅黑" w:hAnsi="微软雅黑" w:cs="微软雅黑" w:hint="eastAsia"/>
          <w:i/>
          <w:iCs/>
          <w:sz w:val="21"/>
          <w:szCs w:val="21"/>
          <w:u w:val="single"/>
        </w:rPr>
        <w:t xml:space="preserve"> </w:t>
      </w:r>
      <w:r>
        <w:rPr>
          <w:rFonts w:ascii="微软雅黑" w:eastAsia="微软雅黑" w:hAnsi="微软雅黑" w:cs="微软雅黑"/>
          <w:i/>
          <w:iCs/>
          <w:sz w:val="21"/>
          <w:szCs w:val="21"/>
          <w:u w:val="single"/>
        </w:rPr>
        <w:t xml:space="preserve">  </w:t>
      </w:r>
      <w:r>
        <w:rPr>
          <w:rFonts w:ascii="微软雅黑" w:eastAsia="微软雅黑" w:hAnsi="微软雅黑" w:cs="微软雅黑" w:hint="eastAsia"/>
          <w:sz w:val="21"/>
          <w:szCs w:val="21"/>
        </w:rPr>
        <w:t>人。有其他人员的不符合中小企业扶持政策；</w:t>
      </w:r>
    </w:p>
    <w:p w14:paraId="0E6FD44A"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2.</w:t>
      </w:r>
      <w:r>
        <w:rPr>
          <w:rFonts w:ascii="微软雅黑" w:eastAsia="微软雅黑" w:hAnsi="微软雅黑" w:cs="微软雅黑" w:hint="eastAsia"/>
          <w:i/>
          <w:sz w:val="21"/>
          <w:szCs w:val="21"/>
          <w:u w:val="single"/>
        </w:rPr>
        <w:t xml:space="preserve">（标的名称） </w:t>
      </w:r>
      <w:r>
        <w:rPr>
          <w:rFonts w:ascii="微软雅黑" w:eastAsia="微软雅黑" w:hAnsi="微软雅黑" w:cs="微软雅黑"/>
          <w:i/>
          <w:sz w:val="21"/>
          <w:szCs w:val="21"/>
          <w:u w:val="single"/>
        </w:rPr>
        <w:t xml:space="preserve"> </w:t>
      </w:r>
      <w:r>
        <w:rPr>
          <w:rFonts w:ascii="微软雅黑" w:eastAsia="微软雅黑" w:hAnsi="微软雅黑" w:cs="微软雅黑" w:hint="eastAsia"/>
          <w:sz w:val="21"/>
          <w:szCs w:val="21"/>
        </w:rPr>
        <w:t>，属于</w:t>
      </w:r>
      <w:r>
        <w:rPr>
          <w:rFonts w:ascii="微软雅黑" w:eastAsia="微软雅黑" w:hAnsi="微软雅黑" w:cs="微软雅黑" w:hint="eastAsia"/>
          <w:i/>
          <w:sz w:val="21"/>
          <w:szCs w:val="21"/>
          <w:u w:val="single"/>
        </w:rPr>
        <w:t xml:space="preserve">（采购文件中明确的所属行业） </w:t>
      </w:r>
      <w:r>
        <w:rPr>
          <w:rFonts w:ascii="微软雅黑" w:eastAsia="微软雅黑" w:hAnsi="微软雅黑" w:cs="微软雅黑"/>
          <w:i/>
          <w:sz w:val="21"/>
          <w:szCs w:val="21"/>
          <w:u w:val="single"/>
        </w:rPr>
        <w:t xml:space="preserve"> </w:t>
      </w:r>
      <w:r>
        <w:rPr>
          <w:rFonts w:ascii="微软雅黑" w:eastAsia="微软雅黑" w:hAnsi="微软雅黑" w:cs="微软雅黑" w:hint="eastAsia"/>
          <w:sz w:val="21"/>
          <w:szCs w:val="21"/>
        </w:rPr>
        <w:t>；承接企业为</w:t>
      </w:r>
      <w:r>
        <w:rPr>
          <w:rFonts w:ascii="微软雅黑" w:eastAsia="微软雅黑" w:hAnsi="微软雅黑" w:cs="微软雅黑" w:hint="eastAsia"/>
          <w:i/>
          <w:sz w:val="21"/>
          <w:szCs w:val="21"/>
          <w:u w:val="single"/>
        </w:rPr>
        <w:t xml:space="preserve">（企业名称） </w:t>
      </w:r>
      <w:r>
        <w:rPr>
          <w:rFonts w:ascii="微软雅黑" w:eastAsia="微软雅黑" w:hAnsi="微软雅黑" w:cs="微软雅黑"/>
          <w:i/>
          <w:sz w:val="21"/>
          <w:szCs w:val="21"/>
          <w:u w:val="single"/>
        </w:rPr>
        <w:t xml:space="preserve"> </w:t>
      </w:r>
      <w:r>
        <w:rPr>
          <w:rFonts w:ascii="微软雅黑" w:eastAsia="微软雅黑" w:hAnsi="微软雅黑" w:cs="微软雅黑" w:hint="eastAsia"/>
          <w:sz w:val="21"/>
          <w:szCs w:val="21"/>
        </w:rPr>
        <w:t>，从业人员</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人，营业收入为</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万元，资产总额为</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万元，属于</w:t>
      </w:r>
      <w:r>
        <w:rPr>
          <w:rFonts w:ascii="微软雅黑" w:eastAsia="微软雅黑" w:hAnsi="微软雅黑" w:cs="微软雅黑" w:hint="eastAsia"/>
          <w:i/>
          <w:sz w:val="21"/>
          <w:szCs w:val="21"/>
          <w:u w:val="single"/>
        </w:rPr>
        <w:t>（中型企业、小型企业、微型企业）</w:t>
      </w:r>
      <w:r>
        <w:rPr>
          <w:rFonts w:ascii="微软雅黑" w:eastAsia="微软雅黑" w:hAnsi="微软雅黑" w:cs="微软雅黑" w:hint="eastAsia"/>
          <w:sz w:val="21"/>
          <w:szCs w:val="21"/>
        </w:rPr>
        <w:t>；</w:t>
      </w:r>
    </w:p>
    <w:p w14:paraId="732FD2DA"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为本标的提供的服务人员</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人，其中与本企业签订劳动合同</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人，其他人员</w:t>
      </w:r>
      <w:r>
        <w:rPr>
          <w:rFonts w:ascii="微软雅黑" w:eastAsia="微软雅黑" w:hAnsi="微软雅黑" w:cs="微软雅黑" w:hint="eastAsia"/>
          <w:sz w:val="21"/>
          <w:szCs w:val="21"/>
          <w:u w:val="single"/>
        </w:rPr>
        <w:t xml:space="preserve"> </w:t>
      </w:r>
      <w:r>
        <w:rPr>
          <w:rFonts w:ascii="微软雅黑" w:eastAsia="微软雅黑" w:hAnsi="微软雅黑" w:cs="微软雅黑"/>
          <w:sz w:val="21"/>
          <w:szCs w:val="21"/>
          <w:u w:val="single"/>
        </w:rPr>
        <w:t xml:space="preserve">  </w:t>
      </w:r>
      <w:r>
        <w:rPr>
          <w:rFonts w:ascii="微软雅黑" w:eastAsia="微软雅黑" w:hAnsi="微软雅黑" w:cs="微软雅黑" w:hint="eastAsia"/>
          <w:sz w:val="21"/>
          <w:szCs w:val="21"/>
        </w:rPr>
        <w:t>人。有其他人员的不符合中小企业扶持政策；</w:t>
      </w:r>
    </w:p>
    <w:p w14:paraId="0CB8E956"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w:t>
      </w:r>
    </w:p>
    <w:p w14:paraId="2CDC50B3"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以上企业，不属于大企业的分支机构，不存在控股股东为大企业的情形，也不存在与大企业的负责人为同一人的情形。</w:t>
      </w:r>
    </w:p>
    <w:p w14:paraId="1B10AF4F"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本企业对上述声明内容的真实性负责。如有虚假，将依法承担相应责任。</w:t>
      </w:r>
    </w:p>
    <w:p w14:paraId="6A2219BA" w14:textId="77777777" w:rsidR="0022665C" w:rsidRDefault="00000000">
      <w:pPr>
        <w:tabs>
          <w:tab w:val="left" w:pos="6300"/>
        </w:tabs>
        <w:snapToGrid w:val="0"/>
        <w:spacing w:line="440" w:lineRule="atLeast"/>
        <w:ind w:firstLineChars="2550" w:firstLine="5355"/>
        <w:rPr>
          <w:rFonts w:ascii="微软雅黑" w:eastAsia="微软雅黑" w:hAnsi="微软雅黑" w:cs="微软雅黑" w:hint="eastAsia"/>
          <w:sz w:val="21"/>
          <w:szCs w:val="21"/>
        </w:rPr>
      </w:pPr>
      <w:r>
        <w:rPr>
          <w:rFonts w:ascii="微软雅黑" w:eastAsia="微软雅黑" w:hAnsi="微软雅黑" w:cs="微软雅黑" w:hint="eastAsia"/>
          <w:sz w:val="21"/>
          <w:szCs w:val="21"/>
        </w:rPr>
        <w:t>企业名称（盖章）：</w:t>
      </w:r>
    </w:p>
    <w:p w14:paraId="3941DEF8" w14:textId="77777777" w:rsidR="0022665C" w:rsidRDefault="00000000">
      <w:pPr>
        <w:tabs>
          <w:tab w:val="left" w:pos="6300"/>
        </w:tabs>
        <w:snapToGrid w:val="0"/>
        <w:spacing w:line="440" w:lineRule="atLeast"/>
        <w:ind w:firstLineChars="2700" w:firstLine="5670"/>
        <w:rPr>
          <w:rFonts w:ascii="微软雅黑" w:eastAsia="微软雅黑" w:hAnsi="微软雅黑" w:cs="微软雅黑" w:hint="eastAsia"/>
          <w:sz w:val="21"/>
          <w:szCs w:val="21"/>
        </w:rPr>
      </w:pPr>
      <w:r>
        <w:rPr>
          <w:rFonts w:ascii="微软雅黑" w:eastAsia="微软雅黑" w:hAnsi="微软雅黑" w:cs="微软雅黑" w:hint="eastAsia"/>
          <w:sz w:val="21"/>
          <w:szCs w:val="21"/>
        </w:rPr>
        <w:t>日期：</w:t>
      </w:r>
    </w:p>
    <w:p w14:paraId="2F13A73D" w14:textId="77777777" w:rsidR="0022665C" w:rsidRDefault="00000000">
      <w:pPr>
        <w:tabs>
          <w:tab w:val="left" w:pos="6300"/>
        </w:tabs>
        <w:snapToGrid w:val="0"/>
        <w:spacing w:line="440" w:lineRule="atLeast"/>
        <w:jc w:val="lef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填写时应注意以下事项：</w:t>
      </w:r>
    </w:p>
    <w:p w14:paraId="20038C27" w14:textId="77777777" w:rsidR="0022665C" w:rsidRDefault="00000000">
      <w:pPr>
        <w:tabs>
          <w:tab w:val="left" w:pos="6300"/>
        </w:tabs>
        <w:snapToGrid w:val="0"/>
        <w:spacing w:line="440" w:lineRule="atLeast"/>
        <w:ind w:firstLineChars="200" w:firstLine="420"/>
        <w:jc w:val="left"/>
        <w:rPr>
          <w:rFonts w:ascii="微软雅黑" w:eastAsia="微软雅黑" w:hAnsi="微软雅黑" w:cs="宋体" w:hint="eastAsia"/>
          <w:kern w:val="0"/>
          <w:sz w:val="21"/>
          <w:szCs w:val="21"/>
        </w:rPr>
      </w:pPr>
      <w:r>
        <w:rPr>
          <w:rFonts w:ascii="微软雅黑" w:eastAsia="微软雅黑" w:hAnsi="微软雅黑" w:cs="宋体" w:hint="eastAsia"/>
          <w:kern w:val="0"/>
          <w:sz w:val="21"/>
          <w:szCs w:val="21"/>
        </w:rPr>
        <w:t>1.从业人员、营业收入、资产总额填报上一年度数据，无上一年度数据的新成立企业可不填报。</w:t>
      </w:r>
    </w:p>
    <w:p w14:paraId="43248876" w14:textId="77777777" w:rsidR="0022665C" w:rsidRDefault="00000000">
      <w:pPr>
        <w:tabs>
          <w:tab w:val="left" w:pos="6300"/>
        </w:tabs>
        <w:snapToGrid w:val="0"/>
        <w:spacing w:line="440" w:lineRule="atLeast"/>
        <w:ind w:firstLineChars="200" w:firstLine="420"/>
        <w:jc w:val="left"/>
        <w:rPr>
          <w:rFonts w:ascii="微软雅黑" w:eastAsia="微软雅黑" w:hAnsi="微软雅黑" w:cs="宋体" w:hint="eastAsia"/>
          <w:b/>
          <w:kern w:val="0"/>
          <w:sz w:val="21"/>
          <w:szCs w:val="21"/>
          <w:u w:val="single"/>
        </w:rPr>
      </w:pPr>
      <w:r>
        <w:rPr>
          <w:rFonts w:ascii="微软雅黑" w:eastAsia="微软雅黑" w:hAnsi="微软雅黑" w:cs="宋体" w:hint="eastAsia"/>
          <w:b/>
          <w:kern w:val="0"/>
          <w:sz w:val="21"/>
          <w:szCs w:val="21"/>
          <w:u w:val="single"/>
        </w:rPr>
        <w:t>2.中小企业应当按照《中小企业划型标准规定》（工信部联企业〔2011〕300号），如实填写并提交《中小企业声明函》。</w:t>
      </w:r>
    </w:p>
    <w:p w14:paraId="6B93FDF7" w14:textId="77777777" w:rsidR="0022665C" w:rsidRDefault="00000000">
      <w:pPr>
        <w:tabs>
          <w:tab w:val="left" w:pos="6300"/>
        </w:tabs>
        <w:snapToGrid w:val="0"/>
        <w:spacing w:line="440" w:lineRule="atLeast"/>
        <w:ind w:firstLineChars="200" w:firstLine="420"/>
        <w:jc w:val="left"/>
        <w:rPr>
          <w:rFonts w:ascii="微软雅黑" w:eastAsia="微软雅黑" w:hAnsi="微软雅黑" w:cs="宋体" w:hint="eastAsia"/>
          <w:b/>
          <w:kern w:val="0"/>
          <w:sz w:val="21"/>
          <w:szCs w:val="21"/>
          <w:u w:val="single"/>
        </w:rPr>
      </w:pPr>
      <w:r>
        <w:rPr>
          <w:rFonts w:ascii="微软雅黑" w:eastAsia="微软雅黑" w:hAnsi="微软雅黑" w:cs="宋体" w:hint="eastAsia"/>
          <w:b/>
          <w:kern w:val="0"/>
          <w:sz w:val="21"/>
          <w:szCs w:val="21"/>
          <w:u w:val="single"/>
        </w:rPr>
        <w:t>3.投标人填写《中小企业声明函》中所属行业时，应与采购文件第一篇“采购标的对应的中小企业划分标准所属行业”中填写的所属行业一致。</w:t>
      </w:r>
    </w:p>
    <w:p w14:paraId="2782EA89" w14:textId="77777777" w:rsidR="0022665C" w:rsidRDefault="00000000">
      <w:pPr>
        <w:tabs>
          <w:tab w:val="left" w:pos="6300"/>
        </w:tabs>
        <w:snapToGrid w:val="0"/>
        <w:spacing w:line="440" w:lineRule="atLeast"/>
        <w:ind w:firstLineChars="200" w:firstLine="420"/>
        <w:jc w:val="left"/>
        <w:rPr>
          <w:rFonts w:ascii="微软雅黑" w:eastAsia="微软雅黑" w:hAnsi="微软雅黑" w:cs="宋体" w:hint="eastAsia"/>
          <w:b/>
          <w:kern w:val="0"/>
          <w:sz w:val="21"/>
          <w:szCs w:val="21"/>
          <w:u w:val="single"/>
        </w:rPr>
      </w:pPr>
      <w:r>
        <w:rPr>
          <w:rFonts w:ascii="微软雅黑" w:eastAsia="微软雅黑" w:hAnsi="微软雅黑" w:cs="宋体" w:hint="eastAsia"/>
          <w:b/>
          <w:kern w:val="0"/>
          <w:sz w:val="21"/>
          <w:szCs w:val="21"/>
          <w:u w:val="single"/>
        </w:rPr>
        <w:t>4.《中小企业声明函》由参加政府采购活动的投标人出具。联合体投标的，《中小企业声明函》可由牵头人出具。</w:t>
      </w:r>
    </w:p>
    <w:p w14:paraId="646C62B5" w14:textId="77777777" w:rsidR="0022665C" w:rsidRDefault="00000000">
      <w:pPr>
        <w:tabs>
          <w:tab w:val="left" w:pos="6300"/>
        </w:tabs>
        <w:snapToGrid w:val="0"/>
        <w:spacing w:line="440" w:lineRule="atLeast"/>
        <w:ind w:firstLineChars="200" w:firstLine="420"/>
        <w:jc w:val="left"/>
        <w:rPr>
          <w:rFonts w:ascii="微软雅黑" w:eastAsia="微软雅黑" w:hAnsi="微软雅黑" w:cs="宋体" w:hint="eastAsia"/>
          <w:b/>
          <w:kern w:val="0"/>
          <w:sz w:val="21"/>
          <w:szCs w:val="21"/>
          <w:u w:val="single"/>
        </w:rPr>
      </w:pPr>
      <w:r>
        <w:rPr>
          <w:rFonts w:ascii="微软雅黑" w:eastAsia="微软雅黑" w:hAnsi="微软雅黑" w:cs="宋体" w:hint="eastAsia"/>
          <w:b/>
          <w:kern w:val="0"/>
          <w:sz w:val="21"/>
          <w:szCs w:val="21"/>
          <w:u w:val="single"/>
        </w:rPr>
        <w:t xml:space="preserve">5.对于联合体中由中小企业承担的部分，或者分包给中小企业的部分，必须全部由中小企业制造、承建或者承接。供应商应当在声明函“标的名称”部分标明联合体中中小企业承担的具体内容或者中小企业的具体分包内容。 </w:t>
      </w:r>
    </w:p>
    <w:p w14:paraId="2D13AAE6" w14:textId="77777777" w:rsidR="0022665C" w:rsidRDefault="00000000">
      <w:pPr>
        <w:tabs>
          <w:tab w:val="left" w:pos="6300"/>
        </w:tabs>
        <w:snapToGrid w:val="0"/>
        <w:spacing w:line="440" w:lineRule="atLeast"/>
        <w:ind w:firstLineChars="200" w:firstLine="420"/>
        <w:jc w:val="left"/>
        <w:rPr>
          <w:rFonts w:ascii="微软雅黑" w:eastAsia="微软雅黑" w:hAnsi="微软雅黑" w:cs="宋体" w:hint="eastAsia"/>
          <w:b/>
          <w:kern w:val="0"/>
          <w:sz w:val="21"/>
          <w:szCs w:val="21"/>
          <w:u w:val="single"/>
        </w:rPr>
      </w:pPr>
      <w:r>
        <w:rPr>
          <w:rFonts w:ascii="微软雅黑" w:eastAsia="微软雅黑" w:hAnsi="微软雅黑" w:cs="宋体" w:hint="eastAsia"/>
          <w:b/>
          <w:kern w:val="0"/>
          <w:sz w:val="21"/>
          <w:szCs w:val="21"/>
          <w:u w:val="single"/>
        </w:rPr>
        <w:t>6.对于多标的采购项目，投标人应充分、准确地了解所提供货物的制造企业、提供服务的承接企业信息。对相关情况了解不清楚的，不建议填报本声明函。</w:t>
      </w:r>
    </w:p>
    <w:p w14:paraId="668FF7AB"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注：各行业划型标准：</w:t>
      </w:r>
    </w:p>
    <w:p w14:paraId="3C1D4B37"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（一）农、林、牧、渔业。营业收入20000万元以下的为中小微型企业。其中，营业收入500万元及以上的为中型企业，营业收入50万元及以上的为小型企业，营业收入50万元以下的为微型企业。</w:t>
      </w:r>
    </w:p>
    <w:p w14:paraId="4ADB4CA1"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5A17998C"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566A80A0"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4ED56220"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6B2243F5"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1C960225"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41DD0DE6"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586AFCD5"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1B724DC6"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0B1E68F8"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28ADA2E0"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284E285E"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596F7271"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23864027"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7057EF9B" w14:textId="77777777" w:rsidR="0022665C" w:rsidRDefault="00000000">
      <w:pPr>
        <w:tabs>
          <w:tab w:val="left" w:pos="6300"/>
        </w:tabs>
        <w:snapToGrid w:val="0"/>
        <w:spacing w:line="440" w:lineRule="atLeast"/>
        <w:ind w:firstLineChars="200" w:firstLine="420"/>
        <w:jc w:val="left"/>
        <w:rPr>
          <w:rFonts w:ascii="微软雅黑" w:eastAsia="微软雅黑" w:hAnsi="微软雅黑" w:hint="eastAsia"/>
          <w:sz w:val="21"/>
          <w:szCs w:val="21"/>
        </w:rPr>
      </w:pPr>
      <w:r>
        <w:rPr>
          <w:rFonts w:ascii="微软雅黑" w:eastAsia="微软雅黑" w:hAnsi="微软雅黑" w:hint="eastAsia"/>
          <w:sz w:val="21"/>
          <w:szCs w:val="21"/>
        </w:rPr>
        <w:t>（十六）其他未列明行业。从业人员300人以下的为中小微型企业。其中，从业人员100人及以上的为中型企业；从业人员10人及以上的为小型企业；从业人员10人以下的为微型企业。</w:t>
      </w:r>
    </w:p>
    <w:p w14:paraId="78900C89" w14:textId="77777777" w:rsidR="0022665C" w:rsidRDefault="00000000">
      <w:pPr>
        <w:tabs>
          <w:tab w:val="left" w:pos="6300"/>
        </w:tabs>
        <w:snapToGrid w:val="0"/>
        <w:spacing w:line="440" w:lineRule="atLeast"/>
        <w:jc w:val="center"/>
        <w:rPr>
          <w:rFonts w:ascii="微软雅黑" w:eastAsia="微软雅黑" w:hAnsi="微软雅黑" w:hint="eastAsia"/>
          <w:sz w:val="24"/>
          <w:szCs w:val="24"/>
        </w:rPr>
      </w:pPr>
      <w:r>
        <w:rPr>
          <w:rFonts w:ascii="微软雅黑" w:eastAsia="微软雅黑" w:hAnsi="微软雅黑"/>
        </w:rPr>
        <w:br w:type="page"/>
      </w:r>
      <w:r>
        <w:rPr>
          <w:rFonts w:ascii="微软雅黑" w:eastAsia="微软雅黑" w:hAnsi="微软雅黑" w:hint="eastAsia"/>
          <w:sz w:val="24"/>
          <w:szCs w:val="24"/>
        </w:rPr>
        <w:t>监狱企业证明文件</w:t>
      </w:r>
    </w:p>
    <w:p w14:paraId="493DCE18" w14:textId="77777777" w:rsidR="0022665C" w:rsidRDefault="00000000">
      <w:pPr>
        <w:pStyle w:val="afffff5"/>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以省级以上监狱管理局、戒毒管理局（含新疆生产建设兵团）出具的属于监狱企业的证明文件为准。</w:t>
      </w:r>
    </w:p>
    <w:p w14:paraId="63183EF7" w14:textId="77777777" w:rsidR="0022665C" w:rsidRDefault="00000000">
      <w:pPr>
        <w:pStyle w:val="a3"/>
        <w:spacing w:line="440" w:lineRule="atLeast"/>
        <w:ind w:firstLine="480"/>
        <w:rPr>
          <w:rFonts w:ascii="微软雅黑" w:eastAsia="微软雅黑" w:hAnsi="微软雅黑" w:hint="eastAsia"/>
        </w:rPr>
      </w:pPr>
      <w:r>
        <w:rPr>
          <w:rFonts w:ascii="微软雅黑" w:eastAsia="微软雅黑" w:hAnsi="微软雅黑"/>
        </w:rPr>
        <w:br w:type="page"/>
      </w:r>
    </w:p>
    <w:p w14:paraId="3434782D" w14:textId="77777777" w:rsidR="0022665C" w:rsidRDefault="00000000">
      <w:pPr>
        <w:tabs>
          <w:tab w:val="left" w:pos="6300"/>
        </w:tabs>
        <w:snapToGrid w:val="0"/>
        <w:spacing w:line="440" w:lineRule="atLeast"/>
        <w:ind w:firstLine="480"/>
        <w:jc w:val="center"/>
        <w:rPr>
          <w:rFonts w:ascii="微软雅黑" w:eastAsia="微软雅黑" w:hAnsi="微软雅黑" w:hint="eastAsia"/>
          <w:sz w:val="24"/>
          <w:szCs w:val="24"/>
        </w:rPr>
      </w:pPr>
      <w:r>
        <w:rPr>
          <w:rFonts w:ascii="微软雅黑" w:eastAsia="微软雅黑" w:hAnsi="微软雅黑" w:hint="eastAsia"/>
          <w:sz w:val="24"/>
          <w:szCs w:val="24"/>
        </w:rPr>
        <w:t>残疾人福利性单位声明函</w:t>
      </w:r>
    </w:p>
    <w:p w14:paraId="5BF32625"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A0B4471"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本单位对上述声明的真实性负责。如有虚假，将依法承担相应责任。</w:t>
      </w:r>
    </w:p>
    <w:p w14:paraId="3D4D6537" w14:textId="77777777" w:rsidR="0022665C" w:rsidRDefault="0022665C">
      <w:pPr>
        <w:tabs>
          <w:tab w:val="left" w:pos="6300"/>
        </w:tabs>
        <w:snapToGrid w:val="0"/>
        <w:spacing w:line="440" w:lineRule="atLeast"/>
        <w:ind w:firstLineChars="200" w:firstLine="420"/>
        <w:rPr>
          <w:rFonts w:ascii="微软雅黑" w:eastAsia="微软雅黑" w:hAnsi="微软雅黑" w:hint="eastAsia"/>
          <w:sz w:val="21"/>
          <w:szCs w:val="21"/>
        </w:rPr>
      </w:pPr>
    </w:p>
    <w:p w14:paraId="5D30B15E" w14:textId="77777777" w:rsidR="0022665C" w:rsidRDefault="0022665C">
      <w:pPr>
        <w:tabs>
          <w:tab w:val="left" w:pos="6300"/>
        </w:tabs>
        <w:snapToGrid w:val="0"/>
        <w:spacing w:line="440" w:lineRule="atLeast"/>
        <w:ind w:firstLineChars="200" w:firstLine="420"/>
        <w:rPr>
          <w:rFonts w:ascii="微软雅黑" w:eastAsia="微软雅黑" w:hAnsi="微软雅黑" w:hint="eastAsia"/>
          <w:sz w:val="21"/>
          <w:szCs w:val="21"/>
        </w:rPr>
      </w:pPr>
    </w:p>
    <w:p w14:paraId="30113A71" w14:textId="77777777" w:rsidR="0022665C" w:rsidRDefault="00000000">
      <w:pPr>
        <w:tabs>
          <w:tab w:val="left" w:pos="6300"/>
        </w:tabs>
        <w:snapToGrid w:val="0"/>
        <w:spacing w:line="440" w:lineRule="atLeast"/>
        <w:ind w:firstLineChars="2700" w:firstLine="5670"/>
        <w:rPr>
          <w:rFonts w:ascii="微软雅黑" w:eastAsia="微软雅黑" w:hAnsi="微软雅黑" w:hint="eastAsia"/>
          <w:sz w:val="21"/>
          <w:szCs w:val="21"/>
        </w:rPr>
      </w:pPr>
      <w:r>
        <w:rPr>
          <w:rFonts w:ascii="微软雅黑" w:eastAsia="微软雅黑" w:hAnsi="微软雅黑" w:hint="eastAsia"/>
          <w:sz w:val="21"/>
          <w:szCs w:val="21"/>
        </w:rPr>
        <w:t>投标人名称（盖章）：</w:t>
      </w:r>
    </w:p>
    <w:p w14:paraId="1FFBCBFB" w14:textId="77777777" w:rsidR="0022665C" w:rsidRDefault="00000000">
      <w:pPr>
        <w:tabs>
          <w:tab w:val="left" w:pos="6300"/>
        </w:tabs>
        <w:snapToGrid w:val="0"/>
        <w:spacing w:line="440" w:lineRule="atLeast"/>
        <w:ind w:firstLineChars="2700" w:firstLine="5670"/>
        <w:jc w:val="left"/>
        <w:rPr>
          <w:rFonts w:ascii="微软雅黑" w:eastAsia="微软雅黑" w:hAnsi="微软雅黑" w:hint="eastAsia"/>
          <w:sz w:val="21"/>
          <w:szCs w:val="21"/>
        </w:rPr>
      </w:pPr>
      <w:r>
        <w:rPr>
          <w:rFonts w:ascii="微软雅黑" w:eastAsia="微软雅黑" w:hAnsi="微软雅黑" w:hint="eastAsia"/>
          <w:sz w:val="21"/>
          <w:szCs w:val="21"/>
        </w:rPr>
        <w:t>日期：</w:t>
      </w:r>
    </w:p>
    <w:p w14:paraId="19CD283D" w14:textId="77777777" w:rsidR="0022665C" w:rsidRDefault="0022665C">
      <w:pPr>
        <w:pStyle w:val="afffff5"/>
        <w:spacing w:line="440" w:lineRule="atLeast"/>
        <w:ind w:firstLine="480"/>
        <w:rPr>
          <w:rFonts w:ascii="微软雅黑" w:eastAsia="微软雅黑" w:hAnsi="微软雅黑" w:hint="eastAsia"/>
        </w:rPr>
      </w:pPr>
    </w:p>
    <w:p w14:paraId="6E8D6DA5" w14:textId="77777777" w:rsidR="0022665C" w:rsidRDefault="00000000">
      <w:pPr>
        <w:pStyle w:val="afffff5"/>
        <w:spacing w:line="440" w:lineRule="atLeast"/>
        <w:ind w:firstLine="420"/>
        <w:rPr>
          <w:rFonts w:ascii="微软雅黑" w:eastAsia="微软雅黑" w:hAnsi="微软雅黑" w:cs="微软雅黑" w:hint="eastAsia"/>
          <w:b/>
          <w:bCs/>
          <w:sz w:val="21"/>
          <w:szCs w:val="21"/>
        </w:rPr>
      </w:pPr>
      <w:r>
        <w:rPr>
          <w:rFonts w:ascii="微软雅黑" w:eastAsia="微软雅黑" w:hAnsi="微软雅黑" w:hint="eastAsia"/>
          <w:sz w:val="21"/>
          <w:szCs w:val="21"/>
        </w:rPr>
        <w:t>注：若中标人为残疾人福利性单位的，将在结果公告时公告其《残疾人福利性单位声明函》</w:t>
      </w:r>
      <w:r>
        <w:rPr>
          <w:rFonts w:ascii="微软雅黑" w:eastAsia="微软雅黑" w:hAnsi="微软雅黑" w:hint="eastAsia"/>
        </w:rPr>
        <w:br w:type="page"/>
      </w:r>
      <w:r>
        <w:rPr>
          <w:rFonts w:ascii="微软雅黑" w:eastAsia="微软雅黑" w:hAnsi="微软雅黑" w:cs="微软雅黑" w:hint="eastAsia"/>
          <w:b/>
          <w:bCs/>
          <w:sz w:val="21"/>
          <w:szCs w:val="21"/>
        </w:rPr>
        <w:t>（二）其他与项目有关的资料（自行提供）</w:t>
      </w:r>
    </w:p>
    <w:p w14:paraId="42B449B4" w14:textId="77777777" w:rsidR="0022665C" w:rsidRDefault="0022665C">
      <w:pPr>
        <w:spacing w:line="440" w:lineRule="atLeast"/>
        <w:ind w:firstLine="420"/>
        <w:rPr>
          <w:rFonts w:ascii="微软雅黑" w:eastAsia="微软雅黑" w:hAnsi="微软雅黑" w:cs="微软雅黑" w:hint="eastAsia"/>
          <w:b/>
          <w:bCs/>
          <w:sz w:val="21"/>
          <w:szCs w:val="21"/>
        </w:rPr>
      </w:pPr>
    </w:p>
    <w:p w14:paraId="197C547C" w14:textId="77777777" w:rsidR="0022665C" w:rsidRDefault="0022665C">
      <w:pPr>
        <w:spacing w:line="440" w:lineRule="atLeast"/>
        <w:ind w:firstLine="420"/>
        <w:rPr>
          <w:rFonts w:ascii="微软雅黑" w:eastAsia="微软雅黑" w:hAnsi="微软雅黑" w:cs="微软雅黑" w:hint="eastAsia"/>
          <w:b/>
          <w:bCs/>
          <w:sz w:val="21"/>
          <w:szCs w:val="21"/>
        </w:rPr>
      </w:pPr>
    </w:p>
    <w:p w14:paraId="51C1E792" w14:textId="77777777" w:rsidR="0022665C" w:rsidRDefault="00000000">
      <w:pPr>
        <w:pStyle w:val="a3"/>
        <w:ind w:firstLine="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（三）联合体协议（如有，</w:t>
      </w:r>
      <w:r>
        <w:rPr>
          <w:rFonts w:ascii="微软雅黑" w:eastAsia="微软雅黑" w:hAnsi="微软雅黑" w:cs="微软雅黑" w:hint="eastAsia"/>
          <w:b/>
          <w:bCs/>
          <w:kern w:val="0"/>
          <w:sz w:val="21"/>
          <w:szCs w:val="21"/>
          <w:lang w:bidi="ar"/>
        </w:rPr>
        <w:t>参考格式</w:t>
      </w:r>
      <w:r>
        <w:rPr>
          <w:rFonts w:ascii="微软雅黑" w:eastAsia="微软雅黑" w:hAnsi="微软雅黑" w:cs="微软雅黑" w:hint="eastAsia"/>
          <w:b/>
          <w:bCs/>
          <w:sz w:val="21"/>
          <w:szCs w:val="21"/>
        </w:rPr>
        <w:t>）</w:t>
      </w:r>
    </w:p>
    <w:p w14:paraId="16DDB3AB" w14:textId="77777777" w:rsidR="0022665C" w:rsidRDefault="00000000">
      <w:pPr>
        <w:widowControl/>
        <w:spacing w:line="440" w:lineRule="exact"/>
        <w:ind w:firstLineChars="1700" w:firstLine="3570"/>
        <w:jc w:val="left"/>
        <w:rPr>
          <w:rFonts w:ascii="微软雅黑" w:eastAsia="微软雅黑" w:hAnsi="微软雅黑" w:cs="微软雅黑" w:hint="eastAsia"/>
          <w:b/>
          <w:bCs/>
          <w:kern w:val="0"/>
          <w:sz w:val="21"/>
          <w:szCs w:val="21"/>
          <w:lang w:bidi="ar"/>
        </w:rPr>
      </w:pPr>
      <w:r>
        <w:rPr>
          <w:rFonts w:ascii="微软雅黑" w:eastAsia="微软雅黑" w:hAnsi="微软雅黑" w:cs="微软雅黑" w:hint="eastAsia"/>
          <w:b/>
          <w:bCs/>
          <w:kern w:val="0"/>
          <w:sz w:val="21"/>
          <w:szCs w:val="21"/>
          <w:lang w:bidi="ar"/>
        </w:rPr>
        <w:t xml:space="preserve">联合体协议 </w:t>
      </w:r>
    </w:p>
    <w:p w14:paraId="5242629D" w14:textId="77777777" w:rsidR="0022665C" w:rsidRDefault="0022665C">
      <w:pPr>
        <w:widowControl/>
        <w:spacing w:line="440" w:lineRule="exact"/>
        <w:ind w:firstLineChars="1800" w:firstLine="3780"/>
        <w:jc w:val="left"/>
        <w:rPr>
          <w:rFonts w:ascii="微软雅黑" w:eastAsia="微软雅黑" w:hAnsi="微软雅黑" w:cs="微软雅黑" w:hint="eastAsia"/>
          <w:b/>
          <w:bCs/>
          <w:kern w:val="0"/>
          <w:sz w:val="21"/>
          <w:szCs w:val="21"/>
          <w:lang w:bidi="ar"/>
        </w:rPr>
      </w:pPr>
    </w:p>
    <w:p w14:paraId="57CE036A"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______ 、 _____ 及 _____就“________（项目名称）”____包招标项目的投标 事宜，经各方充分协商一致，达成如下协议： </w:t>
      </w:r>
    </w:p>
    <w:p w14:paraId="1565E64E"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一、 由_________牵头，_________、__________参加，组成联合体共同进行招标项目的投标工作。 </w:t>
      </w:r>
    </w:p>
    <w:p w14:paraId="01410E4A"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二、 联合体中标后，联合体各方共同与采购人签订合同，就采购合同约定的事项对采购人承担连带责任。 </w:t>
      </w:r>
    </w:p>
    <w:p w14:paraId="37CDD917"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三、 联合体各方均同意由牵头人代表其他联合体成员单位按招标文件要求出具《授权委托书》。 </w:t>
      </w:r>
    </w:p>
    <w:p w14:paraId="6F0E27A3"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四、 牵头人为项目的总负责单位；组织各参加方进行项目实施工作。 </w:t>
      </w:r>
    </w:p>
    <w:p w14:paraId="0D138D2E"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五、 ______负责_____，具体工作范围、内容以投标文件及合同为准。 </w:t>
      </w:r>
    </w:p>
    <w:p w14:paraId="421BE604"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六、 ______负责_____，具体工作范围、内容以投标文件及合同为准。 </w:t>
      </w:r>
    </w:p>
    <w:p w14:paraId="43540C28"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七、 ______负责_____（如有），具体工作范围、内容以投标文件及合同为准。 </w:t>
      </w:r>
    </w:p>
    <w:p w14:paraId="0A63392B"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八、 本项目联合协议合同总额为________元，联合体各成员按照如下比例分摊（按联合体成员分别列明）： </w:t>
      </w:r>
    </w:p>
    <w:p w14:paraId="1B94E9E9"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（1）______为□大型企业  □中型企业  □小型企业  □微型企业（包含监狱企业、残疾人福利性单位）、□其他，合同金额为_____元，占合同金额的比例</w:t>
      </w:r>
      <w:r>
        <w:rPr>
          <w:rFonts w:ascii="微软雅黑" w:eastAsia="微软雅黑" w:hAnsi="微软雅黑" w:cs="微软雅黑" w:hint="eastAsia"/>
          <w:kern w:val="0"/>
          <w:sz w:val="21"/>
          <w:szCs w:val="21"/>
          <w:u w:val="single"/>
          <w:lang w:bidi="ar"/>
        </w:rPr>
        <w:t xml:space="preserve">     </w:t>
      </w:r>
      <w:r>
        <w:rPr>
          <w:rFonts w:ascii="微软雅黑" w:eastAsia="微软雅黑" w:hAnsi="微软雅黑" w:cs="微软雅黑" w:hint="eastAsia"/>
          <w:kern w:val="0"/>
          <w:sz w:val="21"/>
          <w:szCs w:val="21"/>
          <w:lang w:bidi="ar"/>
        </w:rPr>
        <w:t xml:space="preserve">%； </w:t>
      </w:r>
    </w:p>
    <w:p w14:paraId="3ADE4777"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（2）______为□大型企业  □中型企业  □小型企业  □微型企业（包含监狱企业、残疾人福利性单位）、□其他，合同金额为_____元，占合同金额的比例</w:t>
      </w:r>
      <w:r>
        <w:rPr>
          <w:rFonts w:ascii="微软雅黑" w:eastAsia="微软雅黑" w:hAnsi="微软雅黑" w:cs="微软雅黑" w:hint="eastAsia"/>
          <w:kern w:val="0"/>
          <w:sz w:val="21"/>
          <w:szCs w:val="21"/>
          <w:u w:val="single"/>
          <w:lang w:bidi="ar"/>
        </w:rPr>
        <w:t xml:space="preserve">     </w:t>
      </w:r>
      <w:r>
        <w:rPr>
          <w:rFonts w:ascii="微软雅黑" w:eastAsia="微软雅黑" w:hAnsi="微软雅黑" w:cs="微软雅黑" w:hint="eastAsia"/>
          <w:kern w:val="0"/>
          <w:sz w:val="21"/>
          <w:szCs w:val="21"/>
          <w:lang w:bidi="ar"/>
        </w:rPr>
        <w:t xml:space="preserve">%； </w:t>
      </w:r>
    </w:p>
    <w:p w14:paraId="7C68866E"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（…）______为□大型企业  □中型企业  □小型企业  □微型企业（包含监狱企业、残疾人福利性单位）、□其他，合同金额为_____元，占合同金额的比例</w:t>
      </w:r>
      <w:r>
        <w:rPr>
          <w:rFonts w:ascii="微软雅黑" w:eastAsia="微软雅黑" w:hAnsi="微软雅黑" w:cs="微软雅黑" w:hint="eastAsia"/>
          <w:kern w:val="0"/>
          <w:sz w:val="21"/>
          <w:szCs w:val="21"/>
          <w:u w:val="single"/>
          <w:lang w:bidi="ar"/>
        </w:rPr>
        <w:t xml:space="preserve">     </w:t>
      </w:r>
      <w:r>
        <w:rPr>
          <w:rFonts w:ascii="微软雅黑" w:eastAsia="微软雅黑" w:hAnsi="微软雅黑" w:cs="微软雅黑" w:hint="eastAsia"/>
          <w:kern w:val="0"/>
          <w:sz w:val="21"/>
          <w:szCs w:val="21"/>
          <w:lang w:bidi="ar"/>
        </w:rPr>
        <w:t xml:space="preserve">%。  </w:t>
      </w:r>
    </w:p>
    <w:p w14:paraId="50FA20DF"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九、 以联合体形式参加政府采购活动的，联合体各方不得再单独参加或者与其他供应 </w:t>
      </w:r>
    </w:p>
    <w:p w14:paraId="26CBEF0B"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商另外组成联合体参加同一合同项下的政府采购活动。 </w:t>
      </w:r>
    </w:p>
    <w:p w14:paraId="789E3F47"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十、 其他约定（如有）：_______。 </w:t>
      </w:r>
    </w:p>
    <w:p w14:paraId="69EE6F2A"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本协议自各方盖章后生效，采购合同履行完毕后自动失效。如未中标，本协议自动终止。 </w:t>
      </w:r>
    </w:p>
    <w:p w14:paraId="7B2B9F81" w14:textId="77777777" w:rsidR="0022665C" w:rsidRDefault="00000000">
      <w:pPr>
        <w:widowControl/>
        <w:spacing w:line="440" w:lineRule="exact"/>
        <w:ind w:firstLineChars="200" w:firstLine="420"/>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 xml:space="preserve">联合体牵头人名称：______                        联合体成员名称：______ </w:t>
      </w:r>
    </w:p>
    <w:p w14:paraId="539324BA"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盖章：______                                    盖章：______ </w:t>
      </w:r>
    </w:p>
    <w:p w14:paraId="4EF4DFFE" w14:textId="77777777" w:rsidR="0022665C" w:rsidRDefault="0022665C">
      <w:pPr>
        <w:widowControl/>
        <w:spacing w:line="440" w:lineRule="exact"/>
        <w:jc w:val="left"/>
        <w:rPr>
          <w:rFonts w:ascii="微软雅黑" w:eastAsia="微软雅黑" w:hAnsi="微软雅黑" w:cs="微软雅黑" w:hint="eastAsia"/>
          <w:kern w:val="0"/>
          <w:sz w:val="21"/>
          <w:szCs w:val="21"/>
          <w:lang w:bidi="ar"/>
        </w:rPr>
      </w:pPr>
    </w:p>
    <w:p w14:paraId="2341E6BF" w14:textId="77777777" w:rsidR="0022665C" w:rsidRDefault="00000000">
      <w:pPr>
        <w:widowControl/>
        <w:spacing w:line="440" w:lineRule="exact"/>
        <w:ind w:firstLineChars="200" w:firstLine="420"/>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 xml:space="preserve">联合体成员名称：______ </w:t>
      </w:r>
    </w:p>
    <w:p w14:paraId="323DEE33"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盖章：______ </w:t>
      </w:r>
    </w:p>
    <w:p w14:paraId="0CE7F8F1" w14:textId="77777777" w:rsidR="0022665C" w:rsidRDefault="00000000">
      <w:pPr>
        <w:widowControl/>
        <w:spacing w:line="440" w:lineRule="exact"/>
        <w:ind w:firstLineChars="2700" w:firstLine="567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日期：_____年______月______日 </w:t>
      </w:r>
    </w:p>
    <w:p w14:paraId="3A45E3EF"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注： </w:t>
      </w:r>
    </w:p>
    <w:p w14:paraId="26460C03"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1. 如本项目（包）接受供应商以联合体形式参加采购活动，且供应商以联合体形式参与时，须提供《联合体协议》，否则</w:t>
      </w:r>
      <w:r>
        <w:rPr>
          <w:rFonts w:ascii="微软雅黑" w:eastAsia="微软雅黑" w:hAnsi="微软雅黑" w:cs="微软雅黑" w:hint="eastAsia"/>
          <w:b/>
          <w:bCs/>
          <w:kern w:val="0"/>
          <w:sz w:val="21"/>
          <w:szCs w:val="21"/>
          <w:lang w:bidi="ar"/>
        </w:rPr>
        <w:t>投标无效</w:t>
      </w:r>
      <w:r>
        <w:rPr>
          <w:rFonts w:ascii="微软雅黑" w:eastAsia="微软雅黑" w:hAnsi="微软雅黑" w:cs="微软雅黑" w:hint="eastAsia"/>
          <w:kern w:val="0"/>
          <w:sz w:val="21"/>
          <w:szCs w:val="21"/>
          <w:lang w:bidi="ar"/>
        </w:rPr>
        <w:t xml:space="preserve">。 </w:t>
      </w:r>
    </w:p>
    <w:p w14:paraId="68478DCD" w14:textId="77777777" w:rsidR="0022665C" w:rsidRDefault="00000000">
      <w:pPr>
        <w:spacing w:line="440" w:lineRule="atLeast"/>
        <w:ind w:firstLineChars="200" w:firstLine="420"/>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2. 联合体各方成员需在本协议上共同盖章。</w:t>
      </w:r>
    </w:p>
    <w:p w14:paraId="1C17F2F4" w14:textId="77777777" w:rsidR="0022665C" w:rsidRDefault="0022665C">
      <w:pPr>
        <w:spacing w:line="440" w:lineRule="atLeast"/>
        <w:rPr>
          <w:rFonts w:ascii="微软雅黑" w:eastAsia="微软雅黑" w:hAnsi="微软雅黑" w:cs="微软雅黑" w:hint="eastAsia"/>
          <w:kern w:val="0"/>
          <w:sz w:val="21"/>
          <w:szCs w:val="21"/>
          <w:lang w:bidi="ar"/>
        </w:rPr>
      </w:pPr>
    </w:p>
    <w:p w14:paraId="5DD02952" w14:textId="77777777" w:rsidR="0022665C" w:rsidRDefault="00000000">
      <w:pPr>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br w:type="page"/>
      </w:r>
    </w:p>
    <w:p w14:paraId="15CE0EDA" w14:textId="77777777" w:rsidR="0022665C" w:rsidRDefault="00000000">
      <w:pPr>
        <w:pStyle w:val="a3"/>
        <w:ind w:firstLine="0"/>
        <w:rPr>
          <w:rFonts w:ascii="微软雅黑" w:eastAsia="微软雅黑" w:hAnsi="微软雅黑" w:cs="微软雅黑" w:hint="eastAsia"/>
          <w:b/>
          <w:bCs/>
          <w:sz w:val="21"/>
          <w:szCs w:val="21"/>
        </w:rPr>
      </w:pPr>
      <w:r>
        <w:rPr>
          <w:rFonts w:ascii="微软雅黑" w:eastAsia="微软雅黑" w:hAnsi="微软雅黑" w:cs="微软雅黑" w:hint="eastAsia"/>
          <w:b/>
          <w:bCs/>
          <w:sz w:val="21"/>
          <w:szCs w:val="21"/>
        </w:rPr>
        <w:t>（四）拟分包情况说明及分包意向协议 （如需）</w:t>
      </w:r>
    </w:p>
    <w:p w14:paraId="1D1C6F6E" w14:textId="77777777" w:rsidR="0022665C" w:rsidRDefault="00000000">
      <w:pPr>
        <w:widowControl/>
        <w:ind w:firstLineChars="1700" w:firstLine="3570"/>
        <w:jc w:val="left"/>
        <w:rPr>
          <w:rFonts w:ascii="微软雅黑" w:eastAsia="微软雅黑" w:hAnsi="微软雅黑" w:cs="微软雅黑" w:hint="eastAsia"/>
          <w:sz w:val="21"/>
          <w:szCs w:val="21"/>
        </w:rPr>
      </w:pPr>
      <w:r>
        <w:rPr>
          <w:rFonts w:ascii="微软雅黑" w:eastAsia="微软雅黑" w:hAnsi="微软雅黑" w:cs="微软雅黑" w:hint="eastAsia"/>
          <w:b/>
          <w:bCs/>
          <w:kern w:val="0"/>
          <w:sz w:val="21"/>
          <w:szCs w:val="21"/>
          <w:lang w:bidi="ar"/>
        </w:rPr>
        <w:t xml:space="preserve">拟分包情况说明 </w:t>
      </w:r>
    </w:p>
    <w:p w14:paraId="66EB8535" w14:textId="77777777" w:rsidR="0022665C" w:rsidRDefault="00000000">
      <w:pPr>
        <w:widowControl/>
        <w:spacing w:line="440" w:lineRule="exact"/>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致：</w:t>
      </w:r>
      <w:r>
        <w:rPr>
          <w:rFonts w:ascii="微软雅黑" w:eastAsia="微软雅黑" w:hAnsi="微软雅黑" w:cs="微软雅黑" w:hint="eastAsia"/>
          <w:kern w:val="0"/>
          <w:sz w:val="21"/>
          <w:szCs w:val="21"/>
          <w:u w:val="single"/>
          <w:lang w:bidi="ar"/>
        </w:rPr>
        <w:t>（采购人或采购代理机构）</w:t>
      </w:r>
      <w:r>
        <w:rPr>
          <w:rFonts w:ascii="微软雅黑" w:eastAsia="微软雅黑" w:hAnsi="微软雅黑" w:cs="微软雅黑" w:hint="eastAsia"/>
          <w:kern w:val="0"/>
          <w:sz w:val="21"/>
          <w:szCs w:val="21"/>
          <w:lang w:bidi="ar"/>
        </w:rPr>
        <w:t xml:space="preserve"> </w:t>
      </w:r>
    </w:p>
    <w:p w14:paraId="74622F92"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我单位参加贵单位组织采购的项目号为__ _____的____</w:t>
      </w:r>
      <w:r>
        <w:rPr>
          <w:rFonts w:ascii="微软雅黑" w:eastAsia="微软雅黑" w:hAnsi="微软雅黑" w:cs="微软雅黑" w:hint="eastAsia"/>
          <w:kern w:val="0"/>
          <w:sz w:val="21"/>
          <w:szCs w:val="21"/>
          <w:u w:val="single"/>
          <w:lang w:bidi="ar"/>
        </w:rPr>
        <w:t>___</w:t>
      </w:r>
      <w:r>
        <w:rPr>
          <w:rFonts w:ascii="微软雅黑" w:eastAsia="微软雅黑" w:hAnsi="微软雅黑" w:cs="微软雅黑" w:hint="eastAsia"/>
          <w:kern w:val="0"/>
          <w:sz w:val="21"/>
          <w:szCs w:val="21"/>
          <w:lang w:bidi="ar"/>
        </w:rPr>
        <w:t xml:space="preserve">__项目（填写采购项目名称）的投标。拟签订分包合同的单位情况如下表所示，我单位承诺一旦在该项目中获得采购合同将按下表所列情况进行分包，同时承诺分包承担主体不再次分包。 </w:t>
      </w:r>
    </w:p>
    <w:tbl>
      <w:tblPr>
        <w:tblStyle w:val="aff0"/>
        <w:tblW w:w="0" w:type="auto"/>
        <w:tblLook w:val="04A0" w:firstRow="1" w:lastRow="0" w:firstColumn="1" w:lastColumn="0" w:noHBand="0" w:noVBand="1"/>
      </w:tblPr>
      <w:tblGrid>
        <w:gridCol w:w="880"/>
        <w:gridCol w:w="1360"/>
        <w:gridCol w:w="1666"/>
        <w:gridCol w:w="1302"/>
        <w:gridCol w:w="1303"/>
        <w:gridCol w:w="1303"/>
        <w:gridCol w:w="1303"/>
      </w:tblGrid>
      <w:tr w:rsidR="0022665C" w14:paraId="38276E98" w14:textId="77777777">
        <w:trPr>
          <w:trHeight w:val="920"/>
        </w:trPr>
        <w:tc>
          <w:tcPr>
            <w:tcW w:w="880" w:type="dxa"/>
            <w:vAlign w:val="center"/>
          </w:tcPr>
          <w:p w14:paraId="75C7F4C3" w14:textId="77777777" w:rsidR="0022665C" w:rsidRDefault="00000000">
            <w:pPr>
              <w:spacing w:line="24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序号</w:t>
            </w:r>
          </w:p>
        </w:tc>
        <w:tc>
          <w:tcPr>
            <w:tcW w:w="1360" w:type="dxa"/>
            <w:vAlign w:val="center"/>
          </w:tcPr>
          <w:p w14:paraId="1305DF71"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分包承担</w:t>
            </w:r>
          </w:p>
          <w:p w14:paraId="6359BC9A"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主体名称</w:t>
            </w:r>
          </w:p>
          <w:p w14:paraId="04A555E3" w14:textId="77777777" w:rsidR="0022665C" w:rsidRDefault="0022665C">
            <w:pPr>
              <w:spacing w:line="240" w:lineRule="exact"/>
              <w:jc w:val="center"/>
              <w:rPr>
                <w:rFonts w:ascii="微软雅黑" w:eastAsia="微软雅黑" w:hAnsi="微软雅黑" w:hint="eastAsia"/>
                <w:b/>
                <w:bCs/>
                <w:sz w:val="21"/>
                <w:szCs w:val="21"/>
              </w:rPr>
            </w:pPr>
          </w:p>
        </w:tc>
        <w:tc>
          <w:tcPr>
            <w:tcW w:w="1666" w:type="dxa"/>
            <w:vAlign w:val="center"/>
          </w:tcPr>
          <w:p w14:paraId="55DC9531"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分包承担</w:t>
            </w:r>
          </w:p>
          <w:p w14:paraId="0A546DB1"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主体类型</w:t>
            </w:r>
          </w:p>
          <w:p w14:paraId="6400E090"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（选择）</w:t>
            </w:r>
          </w:p>
          <w:p w14:paraId="10B3D62C" w14:textId="77777777" w:rsidR="0022665C" w:rsidRDefault="0022665C">
            <w:pPr>
              <w:spacing w:line="240" w:lineRule="exact"/>
              <w:jc w:val="center"/>
              <w:rPr>
                <w:rFonts w:ascii="微软雅黑" w:eastAsia="微软雅黑" w:hAnsi="微软雅黑" w:hint="eastAsia"/>
                <w:b/>
                <w:bCs/>
                <w:sz w:val="21"/>
                <w:szCs w:val="21"/>
              </w:rPr>
            </w:pPr>
          </w:p>
        </w:tc>
        <w:tc>
          <w:tcPr>
            <w:tcW w:w="1302" w:type="dxa"/>
            <w:vAlign w:val="center"/>
          </w:tcPr>
          <w:p w14:paraId="5E2C1200"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资质等级</w:t>
            </w:r>
          </w:p>
          <w:p w14:paraId="5BBB76CB" w14:textId="77777777" w:rsidR="0022665C" w:rsidRDefault="0022665C">
            <w:pPr>
              <w:spacing w:line="240" w:lineRule="exact"/>
              <w:jc w:val="center"/>
              <w:rPr>
                <w:rFonts w:ascii="微软雅黑" w:eastAsia="微软雅黑" w:hAnsi="微软雅黑" w:hint="eastAsia"/>
                <w:b/>
                <w:bCs/>
                <w:sz w:val="21"/>
                <w:szCs w:val="21"/>
              </w:rPr>
            </w:pPr>
          </w:p>
        </w:tc>
        <w:tc>
          <w:tcPr>
            <w:tcW w:w="1303" w:type="dxa"/>
            <w:vAlign w:val="center"/>
          </w:tcPr>
          <w:p w14:paraId="41C9400F"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拟分包</w:t>
            </w:r>
          </w:p>
          <w:p w14:paraId="60AB5205"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合同内容</w:t>
            </w:r>
          </w:p>
          <w:p w14:paraId="27766A1A" w14:textId="77777777" w:rsidR="0022665C" w:rsidRDefault="0022665C">
            <w:pPr>
              <w:spacing w:line="240" w:lineRule="exact"/>
              <w:jc w:val="center"/>
              <w:rPr>
                <w:rFonts w:ascii="微软雅黑" w:eastAsia="微软雅黑" w:hAnsi="微软雅黑" w:hint="eastAsia"/>
                <w:b/>
                <w:bCs/>
                <w:sz w:val="21"/>
                <w:szCs w:val="21"/>
              </w:rPr>
            </w:pPr>
          </w:p>
        </w:tc>
        <w:tc>
          <w:tcPr>
            <w:tcW w:w="1303" w:type="dxa"/>
            <w:vAlign w:val="center"/>
          </w:tcPr>
          <w:p w14:paraId="04D12A96"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拟分包</w:t>
            </w:r>
          </w:p>
          <w:p w14:paraId="675B6660"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合同金额</w:t>
            </w:r>
          </w:p>
          <w:p w14:paraId="38735F52"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（人民币元）</w:t>
            </w:r>
          </w:p>
          <w:p w14:paraId="3D1C9C97" w14:textId="77777777" w:rsidR="0022665C" w:rsidRDefault="0022665C">
            <w:pPr>
              <w:spacing w:line="240" w:lineRule="exact"/>
              <w:jc w:val="center"/>
              <w:rPr>
                <w:rFonts w:ascii="微软雅黑" w:eastAsia="微软雅黑" w:hAnsi="微软雅黑" w:hint="eastAsia"/>
                <w:b/>
                <w:bCs/>
                <w:sz w:val="21"/>
                <w:szCs w:val="21"/>
              </w:rPr>
            </w:pPr>
          </w:p>
        </w:tc>
        <w:tc>
          <w:tcPr>
            <w:tcW w:w="1303" w:type="dxa"/>
            <w:vAlign w:val="center"/>
          </w:tcPr>
          <w:p w14:paraId="0DB0117E"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占</w:t>
            </w:r>
          </w:p>
          <w:p w14:paraId="369BD0F0"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合同金额的</w:t>
            </w:r>
          </w:p>
          <w:p w14:paraId="12AB4994"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比例（%）</w:t>
            </w:r>
          </w:p>
          <w:p w14:paraId="503263B1" w14:textId="77777777" w:rsidR="0022665C" w:rsidRDefault="0022665C">
            <w:pPr>
              <w:spacing w:line="240" w:lineRule="exact"/>
              <w:jc w:val="center"/>
              <w:rPr>
                <w:rFonts w:ascii="微软雅黑" w:eastAsia="微软雅黑" w:hAnsi="微软雅黑" w:hint="eastAsia"/>
                <w:b/>
                <w:bCs/>
                <w:sz w:val="21"/>
                <w:szCs w:val="21"/>
              </w:rPr>
            </w:pPr>
          </w:p>
        </w:tc>
      </w:tr>
      <w:tr w:rsidR="0022665C" w14:paraId="0D1E83DD" w14:textId="77777777">
        <w:trPr>
          <w:trHeight w:val="180"/>
        </w:trPr>
        <w:tc>
          <w:tcPr>
            <w:tcW w:w="880" w:type="dxa"/>
          </w:tcPr>
          <w:p w14:paraId="5BCA8945" w14:textId="77777777" w:rsidR="0022665C" w:rsidRDefault="00000000">
            <w:pPr>
              <w:widowControl/>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c>
          <w:tcPr>
            <w:tcW w:w="1360" w:type="dxa"/>
          </w:tcPr>
          <w:p w14:paraId="040103EC" w14:textId="77777777" w:rsidR="0022665C" w:rsidRDefault="0022665C">
            <w:pPr>
              <w:widowControl/>
              <w:jc w:val="left"/>
              <w:rPr>
                <w:rFonts w:ascii="微软雅黑" w:eastAsia="微软雅黑" w:hAnsi="微软雅黑" w:cs="微软雅黑" w:hint="eastAsia"/>
                <w:kern w:val="0"/>
                <w:sz w:val="21"/>
                <w:szCs w:val="21"/>
                <w:lang w:bidi="ar"/>
              </w:rPr>
            </w:pPr>
          </w:p>
        </w:tc>
        <w:tc>
          <w:tcPr>
            <w:tcW w:w="1666" w:type="dxa"/>
          </w:tcPr>
          <w:p w14:paraId="36001EC5"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hint="eastAsia"/>
                <w:sz w:val="21"/>
                <w:szCs w:val="21"/>
              </w:rPr>
              <w:t xml:space="preserve">□中型企业 </w:t>
            </w:r>
          </w:p>
          <w:p w14:paraId="3DA94196"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 xml:space="preserve">小型企业 </w:t>
            </w:r>
          </w:p>
          <w:p w14:paraId="2145DF0D"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微型企业</w:t>
            </w:r>
          </w:p>
          <w:p w14:paraId="108ABB1C" w14:textId="77777777" w:rsidR="0022665C" w:rsidRDefault="00000000">
            <w:pPr>
              <w:spacing w:line="240" w:lineRule="exact"/>
              <w:jc w:val="left"/>
              <w:rPr>
                <w:rFonts w:ascii="微软雅黑" w:eastAsia="微软雅黑" w:hAnsi="微软雅黑" w:cs="微软雅黑" w:hint="eastAsia"/>
                <w:kern w:val="0"/>
                <w:sz w:val="21"/>
                <w:szCs w:val="21"/>
                <w:lang w:bidi="ar"/>
              </w:rPr>
            </w:pPr>
            <w:r>
              <w:rPr>
                <w:rFonts w:ascii="微软雅黑" w:eastAsia="微软雅黑" w:hAnsi="微软雅黑" w:hint="eastAsia"/>
                <w:sz w:val="21"/>
                <w:szCs w:val="21"/>
              </w:rPr>
              <w:t xml:space="preserve">□其他 </w:t>
            </w:r>
          </w:p>
        </w:tc>
        <w:tc>
          <w:tcPr>
            <w:tcW w:w="1302" w:type="dxa"/>
          </w:tcPr>
          <w:p w14:paraId="3538DC4B"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6167E8C9"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6A5A420E"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23A50787" w14:textId="77777777" w:rsidR="0022665C" w:rsidRDefault="0022665C">
            <w:pPr>
              <w:widowControl/>
              <w:jc w:val="left"/>
              <w:rPr>
                <w:rFonts w:ascii="微软雅黑" w:eastAsia="微软雅黑" w:hAnsi="微软雅黑" w:cs="微软雅黑" w:hint="eastAsia"/>
                <w:kern w:val="0"/>
                <w:sz w:val="21"/>
                <w:szCs w:val="21"/>
                <w:lang w:bidi="ar"/>
              </w:rPr>
            </w:pPr>
          </w:p>
        </w:tc>
      </w:tr>
      <w:tr w:rsidR="0022665C" w14:paraId="4C39486E" w14:textId="77777777">
        <w:tc>
          <w:tcPr>
            <w:tcW w:w="880" w:type="dxa"/>
          </w:tcPr>
          <w:p w14:paraId="66B56324" w14:textId="77777777" w:rsidR="0022665C" w:rsidRDefault="00000000">
            <w:pPr>
              <w:widowControl/>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2</w:t>
            </w:r>
          </w:p>
        </w:tc>
        <w:tc>
          <w:tcPr>
            <w:tcW w:w="1360" w:type="dxa"/>
          </w:tcPr>
          <w:p w14:paraId="57A93C36" w14:textId="77777777" w:rsidR="0022665C" w:rsidRDefault="0022665C">
            <w:pPr>
              <w:widowControl/>
              <w:jc w:val="left"/>
              <w:rPr>
                <w:rFonts w:ascii="微软雅黑" w:eastAsia="微软雅黑" w:hAnsi="微软雅黑" w:cs="微软雅黑" w:hint="eastAsia"/>
                <w:kern w:val="0"/>
                <w:sz w:val="21"/>
                <w:szCs w:val="21"/>
                <w:lang w:bidi="ar"/>
              </w:rPr>
            </w:pPr>
          </w:p>
        </w:tc>
        <w:tc>
          <w:tcPr>
            <w:tcW w:w="1666" w:type="dxa"/>
          </w:tcPr>
          <w:p w14:paraId="1277BF2F"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hint="eastAsia"/>
                <w:sz w:val="21"/>
                <w:szCs w:val="21"/>
              </w:rPr>
              <w:t xml:space="preserve">□中型企业 </w:t>
            </w:r>
          </w:p>
          <w:p w14:paraId="16EE2034"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 xml:space="preserve">小型企业 </w:t>
            </w:r>
          </w:p>
          <w:p w14:paraId="48563239"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微型企业</w:t>
            </w:r>
          </w:p>
          <w:p w14:paraId="2DD18B8D" w14:textId="77777777" w:rsidR="0022665C" w:rsidRDefault="00000000">
            <w:pPr>
              <w:spacing w:line="240" w:lineRule="exact"/>
              <w:jc w:val="left"/>
              <w:rPr>
                <w:rFonts w:ascii="微软雅黑" w:eastAsia="微软雅黑" w:hAnsi="微软雅黑" w:cs="微软雅黑" w:hint="eastAsia"/>
                <w:kern w:val="0"/>
                <w:sz w:val="21"/>
                <w:szCs w:val="21"/>
                <w:lang w:bidi="ar"/>
              </w:rPr>
            </w:pPr>
            <w:r>
              <w:rPr>
                <w:rFonts w:ascii="微软雅黑" w:eastAsia="微软雅黑" w:hAnsi="微软雅黑" w:hint="eastAsia"/>
                <w:sz w:val="21"/>
                <w:szCs w:val="21"/>
              </w:rPr>
              <w:t>□其他</w:t>
            </w:r>
          </w:p>
        </w:tc>
        <w:tc>
          <w:tcPr>
            <w:tcW w:w="1302" w:type="dxa"/>
          </w:tcPr>
          <w:p w14:paraId="5AE367B4"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610E492B"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7C19DC38"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07225C3D" w14:textId="77777777" w:rsidR="0022665C" w:rsidRDefault="0022665C">
            <w:pPr>
              <w:widowControl/>
              <w:jc w:val="left"/>
              <w:rPr>
                <w:rFonts w:ascii="微软雅黑" w:eastAsia="微软雅黑" w:hAnsi="微软雅黑" w:cs="微软雅黑" w:hint="eastAsia"/>
                <w:kern w:val="0"/>
                <w:sz w:val="21"/>
                <w:szCs w:val="21"/>
                <w:lang w:bidi="ar"/>
              </w:rPr>
            </w:pPr>
          </w:p>
        </w:tc>
      </w:tr>
      <w:tr w:rsidR="0022665C" w14:paraId="070728F2" w14:textId="77777777">
        <w:tc>
          <w:tcPr>
            <w:tcW w:w="880" w:type="dxa"/>
          </w:tcPr>
          <w:p w14:paraId="4C9C8D9C" w14:textId="77777777" w:rsidR="0022665C" w:rsidRDefault="00000000">
            <w:pPr>
              <w:widowControl/>
              <w:jc w:val="left"/>
              <w:rPr>
                <w:rFonts w:ascii="微软雅黑" w:eastAsia="微软雅黑" w:hAnsi="微软雅黑" w:cs="微软雅黑" w:hint="eastAsia"/>
                <w:kern w:val="0"/>
                <w:sz w:val="21"/>
                <w:szCs w:val="21"/>
                <w:lang w:bidi="ar"/>
              </w:rPr>
            </w:pPr>
            <w:r>
              <w:rPr>
                <w:rFonts w:ascii="Arial" w:eastAsia="微软雅黑" w:hAnsi="Arial" w:cs="Arial"/>
                <w:kern w:val="0"/>
                <w:sz w:val="21"/>
                <w:szCs w:val="21"/>
                <w:lang w:bidi="ar"/>
              </w:rPr>
              <w:t>…</w:t>
            </w:r>
          </w:p>
        </w:tc>
        <w:tc>
          <w:tcPr>
            <w:tcW w:w="1360" w:type="dxa"/>
          </w:tcPr>
          <w:p w14:paraId="2CF177DC" w14:textId="77777777" w:rsidR="0022665C" w:rsidRDefault="0022665C">
            <w:pPr>
              <w:widowControl/>
              <w:jc w:val="left"/>
              <w:rPr>
                <w:rFonts w:ascii="微软雅黑" w:eastAsia="微软雅黑" w:hAnsi="微软雅黑" w:cs="微软雅黑" w:hint="eastAsia"/>
                <w:kern w:val="0"/>
                <w:sz w:val="21"/>
                <w:szCs w:val="21"/>
                <w:lang w:bidi="ar"/>
              </w:rPr>
            </w:pPr>
          </w:p>
        </w:tc>
        <w:tc>
          <w:tcPr>
            <w:tcW w:w="1666" w:type="dxa"/>
          </w:tcPr>
          <w:p w14:paraId="468FF2C3" w14:textId="77777777" w:rsidR="0022665C" w:rsidRDefault="0022665C">
            <w:pPr>
              <w:widowControl/>
              <w:jc w:val="left"/>
              <w:rPr>
                <w:rFonts w:ascii="微软雅黑" w:eastAsia="微软雅黑" w:hAnsi="微软雅黑" w:cs="微软雅黑" w:hint="eastAsia"/>
                <w:kern w:val="0"/>
                <w:sz w:val="21"/>
                <w:szCs w:val="21"/>
                <w:lang w:bidi="ar"/>
              </w:rPr>
            </w:pPr>
          </w:p>
        </w:tc>
        <w:tc>
          <w:tcPr>
            <w:tcW w:w="1302" w:type="dxa"/>
          </w:tcPr>
          <w:p w14:paraId="1B60F364"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716600EB"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713E1D0C"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tcPr>
          <w:p w14:paraId="76ED41ED" w14:textId="77777777" w:rsidR="0022665C" w:rsidRDefault="0022665C">
            <w:pPr>
              <w:widowControl/>
              <w:jc w:val="left"/>
              <w:rPr>
                <w:rFonts w:ascii="微软雅黑" w:eastAsia="微软雅黑" w:hAnsi="微软雅黑" w:cs="微软雅黑" w:hint="eastAsia"/>
                <w:kern w:val="0"/>
                <w:sz w:val="21"/>
                <w:szCs w:val="21"/>
                <w:lang w:bidi="ar"/>
              </w:rPr>
            </w:pPr>
          </w:p>
        </w:tc>
      </w:tr>
    </w:tbl>
    <w:p w14:paraId="38BA8B87" w14:textId="77777777" w:rsidR="0022665C" w:rsidRDefault="00000000">
      <w:pPr>
        <w:widowControl/>
        <w:ind w:firstLineChars="1900" w:firstLine="399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投标人名称（加盖公章）：____________ </w:t>
      </w:r>
    </w:p>
    <w:p w14:paraId="67879C0C" w14:textId="77777777" w:rsidR="0022665C" w:rsidRDefault="00000000">
      <w:pPr>
        <w:widowControl/>
        <w:ind w:firstLineChars="2100" w:firstLine="4410"/>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 xml:space="preserve">日期：_____年______月______日 </w:t>
      </w:r>
    </w:p>
    <w:p w14:paraId="587A68AD" w14:textId="77777777" w:rsidR="0022665C" w:rsidRDefault="0022665C">
      <w:pPr>
        <w:pStyle w:val="a9"/>
        <w:rPr>
          <w:rFonts w:ascii="微软雅黑" w:eastAsia="微软雅黑" w:hAnsi="微软雅黑" w:cs="微软雅黑" w:hint="eastAsia"/>
          <w:kern w:val="0"/>
          <w:sz w:val="21"/>
          <w:szCs w:val="21"/>
          <w:lang w:bidi="ar"/>
        </w:rPr>
      </w:pPr>
    </w:p>
    <w:p w14:paraId="6B0E9966" w14:textId="77777777" w:rsidR="0022665C" w:rsidRDefault="0022665C">
      <w:pPr>
        <w:pStyle w:val="a9"/>
        <w:rPr>
          <w:rFonts w:ascii="微软雅黑" w:eastAsia="微软雅黑" w:hAnsi="微软雅黑" w:cs="微软雅黑" w:hint="eastAsia"/>
          <w:kern w:val="0"/>
          <w:sz w:val="21"/>
          <w:szCs w:val="21"/>
          <w:lang w:bidi="ar"/>
        </w:rPr>
      </w:pPr>
    </w:p>
    <w:p w14:paraId="2A1FD51E" w14:textId="77777777" w:rsidR="0022665C" w:rsidRDefault="0022665C">
      <w:pPr>
        <w:pStyle w:val="a9"/>
        <w:rPr>
          <w:rFonts w:ascii="微软雅黑" w:eastAsia="微软雅黑" w:hAnsi="微软雅黑" w:cs="微软雅黑" w:hint="eastAsia"/>
          <w:kern w:val="0"/>
          <w:sz w:val="21"/>
          <w:szCs w:val="21"/>
          <w:lang w:bidi="ar"/>
        </w:rPr>
      </w:pPr>
    </w:p>
    <w:p w14:paraId="223FAB81" w14:textId="77777777" w:rsidR="0022665C" w:rsidRDefault="0022665C">
      <w:pPr>
        <w:pStyle w:val="a9"/>
        <w:rPr>
          <w:rFonts w:ascii="微软雅黑" w:eastAsia="微软雅黑" w:hAnsi="微软雅黑" w:cs="微软雅黑" w:hint="eastAsia"/>
          <w:kern w:val="0"/>
          <w:sz w:val="21"/>
          <w:szCs w:val="21"/>
          <w:lang w:bidi="ar"/>
        </w:rPr>
      </w:pPr>
    </w:p>
    <w:p w14:paraId="7FA331E6" w14:textId="77777777" w:rsidR="0022665C" w:rsidRDefault="0022665C">
      <w:pPr>
        <w:pStyle w:val="a9"/>
        <w:rPr>
          <w:rFonts w:ascii="微软雅黑" w:eastAsia="微软雅黑" w:hAnsi="微软雅黑" w:cs="微软雅黑" w:hint="eastAsia"/>
          <w:kern w:val="0"/>
          <w:sz w:val="21"/>
          <w:szCs w:val="21"/>
          <w:lang w:bidi="ar"/>
        </w:rPr>
      </w:pPr>
    </w:p>
    <w:p w14:paraId="32BE540B" w14:textId="77777777" w:rsidR="0022665C" w:rsidRDefault="0022665C">
      <w:pPr>
        <w:pStyle w:val="a9"/>
        <w:rPr>
          <w:rFonts w:ascii="微软雅黑" w:eastAsia="微软雅黑" w:hAnsi="微软雅黑" w:cs="微软雅黑" w:hint="eastAsia"/>
          <w:kern w:val="0"/>
          <w:sz w:val="21"/>
          <w:szCs w:val="21"/>
          <w:lang w:bidi="ar"/>
        </w:rPr>
      </w:pPr>
    </w:p>
    <w:p w14:paraId="4AAAFDD7" w14:textId="77777777" w:rsidR="0022665C" w:rsidRDefault="0022665C">
      <w:pPr>
        <w:pStyle w:val="a9"/>
        <w:rPr>
          <w:rFonts w:ascii="微软雅黑" w:eastAsia="微软雅黑" w:hAnsi="微软雅黑" w:cs="微软雅黑" w:hint="eastAsia"/>
          <w:kern w:val="0"/>
          <w:sz w:val="21"/>
          <w:szCs w:val="21"/>
          <w:lang w:bidi="ar"/>
        </w:rPr>
      </w:pPr>
    </w:p>
    <w:p w14:paraId="1CD904C3" w14:textId="77777777" w:rsidR="0022665C" w:rsidRDefault="0022665C">
      <w:pPr>
        <w:pStyle w:val="a9"/>
        <w:rPr>
          <w:rFonts w:ascii="微软雅黑" w:eastAsia="微软雅黑" w:hAnsi="微软雅黑" w:cs="微软雅黑" w:hint="eastAsia"/>
          <w:kern w:val="0"/>
          <w:sz w:val="21"/>
          <w:szCs w:val="21"/>
          <w:lang w:bidi="ar"/>
        </w:rPr>
      </w:pPr>
    </w:p>
    <w:p w14:paraId="4C9876A5" w14:textId="77777777" w:rsidR="0022665C" w:rsidRDefault="0022665C">
      <w:pPr>
        <w:pStyle w:val="a9"/>
        <w:rPr>
          <w:rFonts w:ascii="微软雅黑" w:eastAsia="微软雅黑" w:hAnsi="微软雅黑" w:cs="微软雅黑" w:hint="eastAsia"/>
          <w:kern w:val="0"/>
          <w:sz w:val="21"/>
          <w:szCs w:val="21"/>
          <w:lang w:bidi="ar"/>
        </w:rPr>
      </w:pPr>
    </w:p>
    <w:p w14:paraId="100C6E90" w14:textId="77777777" w:rsidR="0022665C" w:rsidRDefault="0022665C">
      <w:pPr>
        <w:pStyle w:val="a3"/>
        <w:ind w:firstLine="0"/>
        <w:rPr>
          <w:rFonts w:ascii="微软雅黑" w:eastAsia="微软雅黑" w:hAnsi="微软雅黑" w:cs="微软雅黑" w:hint="eastAsia"/>
          <w:b/>
          <w:bCs/>
          <w:sz w:val="21"/>
          <w:szCs w:val="21"/>
        </w:rPr>
      </w:pPr>
    </w:p>
    <w:p w14:paraId="47FA3CE4" w14:textId="77777777" w:rsidR="0022665C" w:rsidRDefault="00000000">
      <w:pPr>
        <w:rPr>
          <w:rFonts w:ascii="微软雅黑" w:eastAsia="微软雅黑" w:hAnsi="微软雅黑" w:cs="微软雅黑" w:hint="eastAsia"/>
          <w:b/>
          <w:bCs/>
          <w:kern w:val="0"/>
          <w:sz w:val="21"/>
          <w:szCs w:val="21"/>
          <w:lang w:bidi="ar"/>
        </w:rPr>
      </w:pPr>
      <w:r>
        <w:rPr>
          <w:rFonts w:ascii="微软雅黑" w:eastAsia="微软雅黑" w:hAnsi="微软雅黑" w:cs="微软雅黑" w:hint="eastAsia"/>
          <w:b/>
          <w:bCs/>
          <w:kern w:val="0"/>
          <w:sz w:val="21"/>
          <w:szCs w:val="21"/>
          <w:lang w:bidi="ar"/>
        </w:rPr>
        <w:br w:type="page"/>
      </w:r>
    </w:p>
    <w:p w14:paraId="65FEC19B" w14:textId="77777777" w:rsidR="0022665C" w:rsidRDefault="00000000">
      <w:pPr>
        <w:widowControl/>
        <w:jc w:val="center"/>
        <w:rPr>
          <w:rFonts w:ascii="微软雅黑" w:eastAsia="微软雅黑" w:hAnsi="微软雅黑" w:cs="微软雅黑" w:hint="eastAsia"/>
          <w:b/>
          <w:bCs/>
          <w:kern w:val="0"/>
          <w:sz w:val="21"/>
          <w:szCs w:val="21"/>
          <w:lang w:bidi="ar"/>
        </w:rPr>
      </w:pPr>
      <w:r>
        <w:rPr>
          <w:rFonts w:ascii="微软雅黑" w:eastAsia="微软雅黑" w:hAnsi="微软雅黑" w:cs="微软雅黑" w:hint="eastAsia"/>
          <w:b/>
          <w:bCs/>
          <w:kern w:val="0"/>
          <w:sz w:val="21"/>
          <w:szCs w:val="21"/>
          <w:lang w:bidi="ar"/>
        </w:rPr>
        <w:t>分包意向协议（参考格式）</w:t>
      </w:r>
    </w:p>
    <w:p w14:paraId="79563BC9" w14:textId="77777777" w:rsidR="0022665C" w:rsidRDefault="0022665C">
      <w:pPr>
        <w:widowControl/>
        <w:jc w:val="center"/>
        <w:rPr>
          <w:rFonts w:ascii="微软雅黑" w:eastAsia="微软雅黑" w:hAnsi="微软雅黑" w:cs="微软雅黑" w:hint="eastAsia"/>
          <w:b/>
          <w:bCs/>
          <w:kern w:val="0"/>
          <w:sz w:val="21"/>
          <w:szCs w:val="21"/>
          <w:lang w:bidi="ar"/>
        </w:rPr>
      </w:pPr>
    </w:p>
    <w:p w14:paraId="7C407E1C" w14:textId="77777777" w:rsidR="0022665C" w:rsidRDefault="00000000">
      <w:pPr>
        <w:widowControl/>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甲方（投标人）：________ </w:t>
      </w:r>
    </w:p>
    <w:p w14:paraId="5132EE2F" w14:textId="77777777" w:rsidR="0022665C" w:rsidRDefault="00000000">
      <w:pPr>
        <w:widowControl/>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乙方（拟分包单位）：________ </w:t>
      </w:r>
    </w:p>
    <w:p w14:paraId="29E85E36" w14:textId="77777777" w:rsidR="0022665C" w:rsidRDefault="00000000">
      <w:pPr>
        <w:widowControl/>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甲方承诺，一旦在_________（采购项目名称）（项目号为：_______）招标采购项目中获得采购合同，将按照下述约定将合同项下部分内容分包给乙方： </w:t>
      </w:r>
    </w:p>
    <w:p w14:paraId="52730EFD" w14:textId="77777777" w:rsidR="0022665C" w:rsidRDefault="00000000">
      <w:pPr>
        <w:widowControl/>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1.分包内容：_____。 </w:t>
      </w:r>
    </w:p>
    <w:p w14:paraId="2312E3CB" w14:textId="77777777" w:rsidR="0022665C" w:rsidRDefault="00000000">
      <w:pPr>
        <w:widowControl/>
        <w:ind w:firstLineChars="200" w:firstLine="420"/>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 xml:space="preserve">2.分包金额：_____，该金额占该采购包合同金额的比例为___%。 </w:t>
      </w:r>
    </w:p>
    <w:p w14:paraId="26B99B18" w14:textId="77777777" w:rsidR="0022665C" w:rsidRDefault="00000000">
      <w:pPr>
        <w:widowControl/>
        <w:ind w:firstLineChars="200" w:firstLine="420"/>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3.</w:t>
      </w:r>
    </w:p>
    <w:tbl>
      <w:tblPr>
        <w:tblW w:w="0" w:type="auto"/>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360"/>
        <w:gridCol w:w="1666"/>
        <w:gridCol w:w="1302"/>
        <w:gridCol w:w="1303"/>
        <w:gridCol w:w="1303"/>
        <w:gridCol w:w="1303"/>
      </w:tblGrid>
      <w:tr w:rsidR="0022665C" w14:paraId="0E068B19" w14:textId="77777777">
        <w:trPr>
          <w:trHeight w:val="920"/>
        </w:trPr>
        <w:tc>
          <w:tcPr>
            <w:tcW w:w="534" w:type="dxa"/>
            <w:vAlign w:val="center"/>
          </w:tcPr>
          <w:p w14:paraId="397FB1F9" w14:textId="77777777" w:rsidR="0022665C" w:rsidRDefault="00000000">
            <w:pPr>
              <w:spacing w:line="24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序号</w:t>
            </w:r>
          </w:p>
        </w:tc>
        <w:tc>
          <w:tcPr>
            <w:tcW w:w="1360" w:type="dxa"/>
            <w:vAlign w:val="center"/>
          </w:tcPr>
          <w:p w14:paraId="72DB7785"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分包承担</w:t>
            </w:r>
          </w:p>
          <w:p w14:paraId="68850FE4" w14:textId="77777777" w:rsidR="0022665C" w:rsidRDefault="00000000">
            <w:pPr>
              <w:spacing w:line="24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主体名称</w:t>
            </w:r>
          </w:p>
        </w:tc>
        <w:tc>
          <w:tcPr>
            <w:tcW w:w="1666" w:type="dxa"/>
            <w:vAlign w:val="center"/>
          </w:tcPr>
          <w:p w14:paraId="53BF914B"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分包承担</w:t>
            </w:r>
          </w:p>
          <w:p w14:paraId="7735C08F"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主体类型</w:t>
            </w:r>
          </w:p>
          <w:p w14:paraId="642937BE" w14:textId="77777777" w:rsidR="0022665C" w:rsidRDefault="00000000">
            <w:pPr>
              <w:spacing w:line="24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（选择）</w:t>
            </w:r>
          </w:p>
        </w:tc>
        <w:tc>
          <w:tcPr>
            <w:tcW w:w="1302" w:type="dxa"/>
            <w:vAlign w:val="center"/>
          </w:tcPr>
          <w:p w14:paraId="1C4C4F5D"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拟分包</w:t>
            </w:r>
          </w:p>
          <w:p w14:paraId="368D665F" w14:textId="77777777" w:rsidR="0022665C" w:rsidRDefault="00000000">
            <w:pPr>
              <w:spacing w:line="24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合同内容</w:t>
            </w:r>
          </w:p>
        </w:tc>
        <w:tc>
          <w:tcPr>
            <w:tcW w:w="1303" w:type="dxa"/>
            <w:vAlign w:val="center"/>
          </w:tcPr>
          <w:p w14:paraId="699D1E34"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拟分包</w:t>
            </w:r>
          </w:p>
          <w:p w14:paraId="4B9CACF9"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合同金额</w:t>
            </w:r>
          </w:p>
          <w:p w14:paraId="54A49E81" w14:textId="77777777" w:rsidR="0022665C" w:rsidRDefault="00000000">
            <w:pPr>
              <w:spacing w:line="24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（人民币元）</w:t>
            </w:r>
          </w:p>
        </w:tc>
        <w:tc>
          <w:tcPr>
            <w:tcW w:w="1303" w:type="dxa"/>
            <w:vAlign w:val="center"/>
          </w:tcPr>
          <w:p w14:paraId="4A6190BB"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占</w:t>
            </w:r>
          </w:p>
          <w:p w14:paraId="1BFA35EB" w14:textId="77777777" w:rsidR="0022665C" w:rsidRDefault="00000000">
            <w:pPr>
              <w:spacing w:line="240" w:lineRule="exact"/>
              <w:jc w:val="center"/>
              <w:rPr>
                <w:rFonts w:ascii="微软雅黑" w:eastAsia="微软雅黑" w:hAnsi="微软雅黑" w:hint="eastAsia"/>
                <w:b/>
                <w:bCs/>
                <w:sz w:val="21"/>
                <w:szCs w:val="21"/>
                <w:lang w:val="zh-CN"/>
              </w:rPr>
            </w:pPr>
            <w:r>
              <w:rPr>
                <w:rFonts w:ascii="微软雅黑" w:eastAsia="微软雅黑" w:hAnsi="微软雅黑" w:hint="eastAsia"/>
                <w:b/>
                <w:bCs/>
                <w:sz w:val="21"/>
                <w:szCs w:val="21"/>
              </w:rPr>
              <w:t>合同金额的</w:t>
            </w:r>
          </w:p>
          <w:p w14:paraId="68F345FF" w14:textId="77777777" w:rsidR="0022665C" w:rsidRDefault="00000000">
            <w:pPr>
              <w:spacing w:line="24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比例（%）</w:t>
            </w:r>
          </w:p>
        </w:tc>
        <w:tc>
          <w:tcPr>
            <w:tcW w:w="1303" w:type="dxa"/>
            <w:vAlign w:val="center"/>
          </w:tcPr>
          <w:p w14:paraId="57D1285E" w14:textId="77777777" w:rsidR="0022665C" w:rsidRDefault="00000000">
            <w:pPr>
              <w:spacing w:line="240" w:lineRule="exact"/>
              <w:jc w:val="center"/>
              <w:rPr>
                <w:rFonts w:ascii="微软雅黑" w:eastAsia="微软雅黑" w:hAnsi="微软雅黑" w:hint="eastAsia"/>
                <w:b/>
                <w:bCs/>
                <w:sz w:val="21"/>
                <w:szCs w:val="21"/>
              </w:rPr>
            </w:pPr>
            <w:r>
              <w:rPr>
                <w:rFonts w:ascii="微软雅黑" w:eastAsia="微软雅黑" w:hAnsi="微软雅黑" w:hint="eastAsia"/>
                <w:b/>
                <w:bCs/>
                <w:sz w:val="21"/>
                <w:szCs w:val="21"/>
              </w:rPr>
              <w:t>备注</w:t>
            </w:r>
          </w:p>
        </w:tc>
      </w:tr>
      <w:tr w:rsidR="0022665C" w14:paraId="26D042CF" w14:textId="77777777">
        <w:trPr>
          <w:trHeight w:val="180"/>
        </w:trPr>
        <w:tc>
          <w:tcPr>
            <w:tcW w:w="534" w:type="dxa"/>
            <w:vAlign w:val="center"/>
          </w:tcPr>
          <w:p w14:paraId="2C12F59B" w14:textId="77777777" w:rsidR="0022665C" w:rsidRDefault="00000000">
            <w:pPr>
              <w:widowControl/>
              <w:jc w:val="center"/>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1</w:t>
            </w:r>
          </w:p>
        </w:tc>
        <w:tc>
          <w:tcPr>
            <w:tcW w:w="1360" w:type="dxa"/>
            <w:vAlign w:val="center"/>
          </w:tcPr>
          <w:p w14:paraId="6E6505A3" w14:textId="77777777" w:rsidR="0022665C" w:rsidRDefault="0022665C">
            <w:pPr>
              <w:widowControl/>
              <w:jc w:val="left"/>
              <w:rPr>
                <w:rFonts w:ascii="微软雅黑" w:eastAsia="微软雅黑" w:hAnsi="微软雅黑" w:cs="微软雅黑" w:hint="eastAsia"/>
                <w:kern w:val="0"/>
                <w:sz w:val="21"/>
                <w:szCs w:val="21"/>
                <w:lang w:bidi="ar"/>
              </w:rPr>
            </w:pPr>
          </w:p>
        </w:tc>
        <w:tc>
          <w:tcPr>
            <w:tcW w:w="1666" w:type="dxa"/>
            <w:vAlign w:val="center"/>
          </w:tcPr>
          <w:p w14:paraId="34961F3F"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hint="eastAsia"/>
                <w:sz w:val="21"/>
                <w:szCs w:val="21"/>
              </w:rPr>
              <w:t xml:space="preserve">□中型企业 </w:t>
            </w:r>
          </w:p>
          <w:p w14:paraId="7E39966A"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 xml:space="preserve">小型企业 </w:t>
            </w:r>
          </w:p>
          <w:p w14:paraId="024C5B3F" w14:textId="77777777" w:rsidR="0022665C" w:rsidRDefault="00000000">
            <w:pPr>
              <w:spacing w:line="240" w:lineRule="exact"/>
              <w:jc w:val="left"/>
              <w:rPr>
                <w:rFonts w:ascii="微软雅黑" w:eastAsia="微软雅黑" w:hAnsi="微软雅黑" w:hint="eastAsia"/>
                <w:sz w:val="21"/>
                <w:szCs w:val="21"/>
              </w:rPr>
            </w:pPr>
            <w:r>
              <w:rPr>
                <w:rFonts w:ascii="微软雅黑" w:eastAsia="微软雅黑" w:hAnsi="微软雅黑"/>
                <w:sz w:val="21"/>
                <w:szCs w:val="21"/>
              </w:rPr>
              <w:t>□</w:t>
            </w:r>
            <w:r>
              <w:rPr>
                <w:rFonts w:ascii="微软雅黑" w:eastAsia="微软雅黑" w:hAnsi="微软雅黑" w:hint="eastAsia"/>
                <w:sz w:val="21"/>
                <w:szCs w:val="21"/>
              </w:rPr>
              <w:t>微型企业</w:t>
            </w:r>
          </w:p>
          <w:p w14:paraId="46552161" w14:textId="77777777" w:rsidR="0022665C" w:rsidRDefault="00000000">
            <w:pPr>
              <w:spacing w:line="240" w:lineRule="exact"/>
              <w:jc w:val="left"/>
              <w:rPr>
                <w:rFonts w:ascii="微软雅黑" w:eastAsia="微软雅黑" w:hAnsi="微软雅黑" w:cs="微软雅黑" w:hint="eastAsia"/>
                <w:kern w:val="0"/>
                <w:sz w:val="21"/>
                <w:szCs w:val="21"/>
                <w:lang w:bidi="ar"/>
              </w:rPr>
            </w:pPr>
            <w:r>
              <w:rPr>
                <w:rFonts w:ascii="微软雅黑" w:eastAsia="微软雅黑" w:hAnsi="微软雅黑" w:hint="eastAsia"/>
                <w:sz w:val="21"/>
                <w:szCs w:val="21"/>
              </w:rPr>
              <w:t xml:space="preserve">□其他 </w:t>
            </w:r>
          </w:p>
        </w:tc>
        <w:tc>
          <w:tcPr>
            <w:tcW w:w="1302" w:type="dxa"/>
            <w:vAlign w:val="center"/>
          </w:tcPr>
          <w:p w14:paraId="4AEE677F"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vAlign w:val="center"/>
          </w:tcPr>
          <w:p w14:paraId="37055B23"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vAlign w:val="center"/>
          </w:tcPr>
          <w:p w14:paraId="63862C0C" w14:textId="77777777" w:rsidR="0022665C" w:rsidRDefault="0022665C">
            <w:pPr>
              <w:widowControl/>
              <w:jc w:val="left"/>
              <w:rPr>
                <w:rFonts w:ascii="微软雅黑" w:eastAsia="微软雅黑" w:hAnsi="微软雅黑" w:cs="微软雅黑" w:hint="eastAsia"/>
                <w:kern w:val="0"/>
                <w:sz w:val="21"/>
                <w:szCs w:val="21"/>
                <w:lang w:bidi="ar"/>
              </w:rPr>
            </w:pPr>
          </w:p>
        </w:tc>
        <w:tc>
          <w:tcPr>
            <w:tcW w:w="1303" w:type="dxa"/>
            <w:vAlign w:val="center"/>
          </w:tcPr>
          <w:p w14:paraId="2D54BC80" w14:textId="77777777" w:rsidR="0022665C" w:rsidRDefault="0022665C">
            <w:pPr>
              <w:widowControl/>
              <w:jc w:val="left"/>
              <w:rPr>
                <w:rFonts w:ascii="微软雅黑" w:eastAsia="微软雅黑" w:hAnsi="微软雅黑" w:cs="微软雅黑" w:hint="eastAsia"/>
                <w:kern w:val="0"/>
                <w:sz w:val="21"/>
                <w:szCs w:val="21"/>
                <w:lang w:bidi="ar"/>
              </w:rPr>
            </w:pPr>
          </w:p>
        </w:tc>
      </w:tr>
    </w:tbl>
    <w:p w14:paraId="1E9FBD8B" w14:textId="77777777" w:rsidR="0022665C" w:rsidRDefault="00000000">
      <w:pPr>
        <w:widowControl/>
        <w:spacing w:line="440" w:lineRule="exact"/>
        <w:ind w:firstLineChars="200" w:firstLine="420"/>
        <w:jc w:val="left"/>
        <w:rPr>
          <w:rFonts w:ascii="微软雅黑" w:eastAsia="微软雅黑" w:hAnsi="微软雅黑" w:cs="微软雅黑" w:hint="eastAsia"/>
          <w:kern w:val="0"/>
          <w:sz w:val="21"/>
          <w:szCs w:val="21"/>
          <w:u w:val="single"/>
        </w:rPr>
      </w:pPr>
      <w:r>
        <w:rPr>
          <w:rFonts w:ascii="微软雅黑" w:eastAsia="微软雅黑" w:hAnsi="微软雅黑" w:cs="微软雅黑" w:hint="eastAsia"/>
          <w:kern w:val="0"/>
          <w:sz w:val="21"/>
          <w:szCs w:val="21"/>
        </w:rPr>
        <w:t>4.</w:t>
      </w:r>
      <w:r>
        <w:rPr>
          <w:rFonts w:ascii="微软雅黑" w:eastAsia="微软雅黑" w:hAnsi="微软雅黑" w:cs="微软雅黑" w:hint="eastAsia"/>
          <w:kern w:val="0"/>
          <w:sz w:val="21"/>
          <w:szCs w:val="21"/>
          <w:u w:val="single"/>
        </w:rPr>
        <w:t>......</w:t>
      </w:r>
    </w:p>
    <w:p w14:paraId="713735C4" w14:textId="77777777" w:rsidR="0022665C" w:rsidRDefault="00000000">
      <w:pPr>
        <w:widowControl/>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乙方承诺将在上述情况下与甲方签订分包合同。 </w:t>
      </w:r>
    </w:p>
    <w:p w14:paraId="6E1689D9" w14:textId="77777777" w:rsidR="0022665C" w:rsidRDefault="00000000">
      <w:pPr>
        <w:widowControl/>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本协议自各方盖章之日起生效，如甲方未在该项目（采购包）中标，本协议自动终止。 </w:t>
      </w:r>
    </w:p>
    <w:p w14:paraId="71B34E87" w14:textId="77777777" w:rsidR="0022665C" w:rsidRDefault="0022665C">
      <w:pPr>
        <w:widowControl/>
        <w:ind w:firstLineChars="200" w:firstLine="420"/>
        <w:jc w:val="left"/>
        <w:rPr>
          <w:rFonts w:ascii="微软雅黑" w:eastAsia="微软雅黑" w:hAnsi="微软雅黑" w:cs="微软雅黑" w:hint="eastAsia"/>
          <w:kern w:val="0"/>
          <w:sz w:val="21"/>
          <w:szCs w:val="21"/>
          <w:lang w:bidi="ar"/>
        </w:rPr>
      </w:pPr>
    </w:p>
    <w:p w14:paraId="06D88543" w14:textId="77777777" w:rsidR="0022665C" w:rsidRDefault="00000000">
      <w:pPr>
        <w:widowControl/>
        <w:spacing w:line="440" w:lineRule="exact"/>
        <w:ind w:firstLineChars="200" w:firstLine="420"/>
        <w:jc w:val="left"/>
        <w:rPr>
          <w:rFonts w:ascii="微软雅黑" w:eastAsia="微软雅黑" w:hAnsi="微软雅黑" w:cs="微软雅黑" w:hint="eastAsia"/>
          <w:sz w:val="21"/>
          <w:szCs w:val="21"/>
        </w:rPr>
      </w:pPr>
      <w:r>
        <w:rPr>
          <w:rFonts w:ascii="微软雅黑" w:eastAsia="微软雅黑" w:hAnsi="微软雅黑" w:cs="微软雅黑" w:hint="eastAsia"/>
          <w:kern w:val="0"/>
          <w:sz w:val="21"/>
          <w:szCs w:val="21"/>
          <w:lang w:bidi="ar"/>
        </w:rPr>
        <w:t xml:space="preserve">甲方（盖章）：_________                乙方（盖章）：_________ </w:t>
      </w:r>
    </w:p>
    <w:p w14:paraId="3B7D0454" w14:textId="77777777" w:rsidR="0022665C" w:rsidRDefault="00000000">
      <w:pPr>
        <w:widowControl/>
        <w:spacing w:line="440" w:lineRule="exact"/>
        <w:ind w:firstLineChars="200" w:firstLine="420"/>
        <w:jc w:val="left"/>
        <w:rPr>
          <w:rFonts w:ascii="微软雅黑" w:eastAsia="微软雅黑" w:hAnsi="微软雅黑" w:cs="微软雅黑" w:hint="eastAsia"/>
          <w:kern w:val="0"/>
          <w:sz w:val="21"/>
          <w:szCs w:val="21"/>
          <w:lang w:bidi="ar"/>
        </w:rPr>
      </w:pPr>
      <w:r>
        <w:rPr>
          <w:rFonts w:ascii="微软雅黑" w:eastAsia="微软雅黑" w:hAnsi="微软雅黑" w:cs="微软雅黑" w:hint="eastAsia"/>
          <w:kern w:val="0"/>
          <w:sz w:val="21"/>
          <w:szCs w:val="21"/>
          <w:lang w:bidi="ar"/>
        </w:rPr>
        <w:t xml:space="preserve">日期：_____年______月______日 </w:t>
      </w:r>
    </w:p>
    <w:p w14:paraId="461BCBB4" w14:textId="77777777" w:rsidR="0022665C" w:rsidRDefault="0022665C">
      <w:pPr>
        <w:widowControl/>
        <w:ind w:firstLineChars="2100" w:firstLine="4410"/>
        <w:jc w:val="left"/>
        <w:rPr>
          <w:rFonts w:ascii="微软雅黑" w:eastAsia="微软雅黑" w:hAnsi="微软雅黑" w:cs="微软雅黑" w:hint="eastAsia"/>
          <w:kern w:val="0"/>
          <w:sz w:val="21"/>
          <w:szCs w:val="21"/>
          <w:lang w:bidi="ar"/>
        </w:rPr>
      </w:pPr>
    </w:p>
    <w:p w14:paraId="33629348" w14:textId="77777777" w:rsidR="0022665C" w:rsidRDefault="00000000">
      <w:pPr>
        <w:spacing w:line="440" w:lineRule="atLeast"/>
        <w:rPr>
          <w:rFonts w:ascii="微软雅黑" w:eastAsia="微软雅黑" w:hAnsi="微软雅黑" w:cs="微软雅黑" w:hint="eastAsia"/>
          <w:sz w:val="21"/>
          <w:szCs w:val="21"/>
        </w:rPr>
      </w:pPr>
      <w:r>
        <w:rPr>
          <w:rFonts w:ascii="微软雅黑" w:eastAsia="微软雅黑" w:hAnsi="微软雅黑" w:cs="微软雅黑" w:hint="eastAsia"/>
          <w:b/>
          <w:bCs/>
          <w:sz w:val="21"/>
          <w:szCs w:val="21"/>
        </w:rPr>
        <w:br w:type="page"/>
      </w:r>
    </w:p>
    <w:p w14:paraId="67B8F14B" w14:textId="77777777" w:rsidR="0022665C" w:rsidRDefault="00000000">
      <w:pPr>
        <w:pStyle w:val="2"/>
        <w:spacing w:line="560" w:lineRule="atLeast"/>
        <w:ind w:firstLine="480"/>
        <w:jc w:val="left"/>
        <w:rPr>
          <w:rFonts w:ascii="微软雅黑" w:eastAsia="微软雅黑" w:hAnsi="微软雅黑" w:hint="eastAsia"/>
          <w:b/>
          <w:bCs/>
          <w:sz w:val="24"/>
        </w:rPr>
      </w:pPr>
      <w:bookmarkStart w:id="300" w:name="_Toc150335809"/>
      <w:bookmarkStart w:id="301" w:name="_Toc5027"/>
      <w:r>
        <w:rPr>
          <w:rFonts w:ascii="微软雅黑" w:eastAsia="微软雅黑" w:hAnsi="微软雅黑" w:hint="eastAsia"/>
          <w:b/>
          <w:bCs/>
          <w:sz w:val="24"/>
        </w:rPr>
        <w:t>五、资格文件</w:t>
      </w:r>
      <w:bookmarkEnd w:id="300"/>
      <w:bookmarkEnd w:id="301"/>
    </w:p>
    <w:p w14:paraId="3D0DB6AB"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b/>
          <w:bCs/>
          <w:sz w:val="21"/>
          <w:szCs w:val="21"/>
        </w:rPr>
        <w:t>（一）法人营业执照（副本）或事业单位法人证书（副本）或个体工商户营业执照或有效的自然人身份证明或社会团体法人登记证书复印件</w:t>
      </w:r>
    </w:p>
    <w:p w14:paraId="52259197"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064F3509" w14:textId="77777777" w:rsidR="0022665C" w:rsidRDefault="0022665C">
      <w:pPr>
        <w:tabs>
          <w:tab w:val="left" w:pos="6300"/>
        </w:tabs>
        <w:snapToGrid w:val="0"/>
        <w:spacing w:line="440" w:lineRule="atLeast"/>
        <w:ind w:firstLine="420"/>
        <w:rPr>
          <w:rFonts w:ascii="微软雅黑" w:eastAsia="微软雅黑" w:hAnsi="微软雅黑" w:hint="eastAsia"/>
        </w:rPr>
      </w:pPr>
    </w:p>
    <w:p w14:paraId="27B25251" w14:textId="77777777" w:rsidR="0022665C" w:rsidRDefault="0022665C">
      <w:pPr>
        <w:tabs>
          <w:tab w:val="left" w:pos="6300"/>
        </w:tabs>
        <w:snapToGrid w:val="0"/>
        <w:spacing w:line="440" w:lineRule="atLeast"/>
        <w:ind w:firstLine="420"/>
        <w:rPr>
          <w:rFonts w:ascii="微软雅黑" w:eastAsia="微软雅黑" w:hAnsi="微软雅黑" w:hint="eastAsia"/>
        </w:rPr>
      </w:pPr>
    </w:p>
    <w:p w14:paraId="7F0CC22B" w14:textId="77777777" w:rsidR="0022665C" w:rsidRDefault="00000000">
      <w:pPr>
        <w:widowControl/>
        <w:spacing w:line="440" w:lineRule="atLeast"/>
        <w:ind w:firstLineChars="200" w:firstLine="560"/>
        <w:jc w:val="left"/>
        <w:rPr>
          <w:rFonts w:ascii="微软雅黑" w:eastAsia="微软雅黑" w:hAnsi="微软雅黑" w:hint="eastAsia"/>
          <w:b/>
          <w:bCs/>
          <w:sz w:val="21"/>
          <w:szCs w:val="21"/>
        </w:rPr>
      </w:pPr>
      <w:r>
        <w:rPr>
          <w:rFonts w:ascii="微软雅黑" w:eastAsia="微软雅黑" w:hAnsi="微软雅黑" w:hint="eastAsia"/>
        </w:rPr>
        <w:br w:type="page"/>
      </w:r>
      <w:r>
        <w:rPr>
          <w:rFonts w:ascii="微软雅黑" w:eastAsia="微软雅黑" w:hAnsi="微软雅黑" w:hint="eastAsia"/>
          <w:b/>
          <w:bCs/>
          <w:sz w:val="21"/>
          <w:szCs w:val="21"/>
        </w:rPr>
        <w:t>（二）法定代表人身份证明书（格式）</w:t>
      </w:r>
    </w:p>
    <w:p w14:paraId="2781D62C"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3B0214DA"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u w:val="single"/>
        </w:rPr>
      </w:pPr>
      <w:r>
        <w:rPr>
          <w:rFonts w:ascii="微软雅黑" w:eastAsia="微软雅黑" w:hAnsi="微软雅黑" w:hint="eastAsia"/>
          <w:sz w:val="21"/>
          <w:szCs w:val="21"/>
        </w:rPr>
        <w:t>招标项目名称：</w:t>
      </w:r>
      <w:r>
        <w:rPr>
          <w:rFonts w:ascii="微软雅黑" w:eastAsia="微软雅黑" w:hAnsi="微软雅黑"/>
          <w:sz w:val="21"/>
          <w:szCs w:val="21"/>
          <w:u w:val="single"/>
        </w:rPr>
        <w:t xml:space="preserve">                          </w:t>
      </w:r>
    </w:p>
    <w:p w14:paraId="59E6B1E1"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0242F7E8" w14:textId="77777777" w:rsidR="0022665C" w:rsidRDefault="00000000">
      <w:pPr>
        <w:tabs>
          <w:tab w:val="left" w:pos="6300"/>
        </w:tabs>
        <w:snapToGrid w:val="0"/>
        <w:spacing w:line="440" w:lineRule="atLeast"/>
        <w:rPr>
          <w:rFonts w:ascii="微软雅黑" w:eastAsia="微软雅黑" w:hAnsi="微软雅黑" w:hint="eastAsia"/>
          <w:sz w:val="21"/>
          <w:szCs w:val="21"/>
        </w:rPr>
      </w:pPr>
      <w:r>
        <w:rPr>
          <w:rFonts w:ascii="微软雅黑" w:eastAsia="微软雅黑" w:hAnsi="微软雅黑" w:hint="eastAsia"/>
          <w:sz w:val="21"/>
          <w:szCs w:val="21"/>
        </w:rPr>
        <w:t>致：</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（采购代理机构名称）</w:t>
      </w:r>
    </w:p>
    <w:p w14:paraId="5E2D39B9" w14:textId="77777777" w:rsidR="0022665C" w:rsidRDefault="00000000">
      <w:pPr>
        <w:tabs>
          <w:tab w:val="left" w:pos="6300"/>
        </w:tabs>
        <w:snapToGrid w:val="0"/>
        <w:spacing w:line="440" w:lineRule="atLeast"/>
        <w:ind w:firstLineChars="150" w:firstLine="315"/>
        <w:rPr>
          <w:rFonts w:ascii="微软雅黑" w:eastAsia="微软雅黑" w:hAnsi="微软雅黑" w:hint="eastAsia"/>
          <w:sz w:val="21"/>
          <w:szCs w:val="21"/>
        </w:rPr>
      </w:pP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（法定代表人姓名）在</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（投标人名称）任</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（职务名称）职务，是</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（投标人名称）的法定代表人。</w:t>
      </w:r>
    </w:p>
    <w:p w14:paraId="080C6221"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5E1D3007"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特此证明。</w:t>
      </w:r>
    </w:p>
    <w:p w14:paraId="20C8648C"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42C606D5"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 xml:space="preserve">                                                       投标人：</w:t>
      </w:r>
    </w:p>
    <w:p w14:paraId="4200E728" w14:textId="77777777" w:rsidR="0022665C" w:rsidRDefault="00000000">
      <w:pPr>
        <w:tabs>
          <w:tab w:val="left" w:pos="6300"/>
        </w:tabs>
        <w:snapToGrid w:val="0"/>
        <w:spacing w:line="440" w:lineRule="atLeast"/>
        <w:ind w:firstLineChars="3201" w:firstLine="6722"/>
        <w:rPr>
          <w:rFonts w:ascii="微软雅黑" w:eastAsia="微软雅黑" w:hAnsi="微软雅黑" w:hint="eastAsia"/>
          <w:sz w:val="21"/>
          <w:szCs w:val="21"/>
        </w:rPr>
      </w:pPr>
      <w:r>
        <w:rPr>
          <w:rFonts w:ascii="微软雅黑" w:eastAsia="微软雅黑" w:hAnsi="微软雅黑" w:hint="eastAsia"/>
          <w:sz w:val="21"/>
          <w:szCs w:val="21"/>
        </w:rPr>
        <w:t>（投标人公章）</w:t>
      </w:r>
    </w:p>
    <w:p w14:paraId="37B0B1D6"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 xml:space="preserve">                                                         年   月   日</w:t>
      </w:r>
    </w:p>
    <w:p w14:paraId="10A34373"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625F4B0C"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7CCEF501"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 xml:space="preserve">法定代表人电话： </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 xml:space="preserve"> 电子邮箱：   </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 xml:space="preserve"> （若授权他人办理并签署投标文件的可不填写）</w:t>
      </w:r>
    </w:p>
    <w:p w14:paraId="2A9A2BEA"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（附：法定代表人身份证正反面复印件）</w:t>
      </w:r>
    </w:p>
    <w:p w14:paraId="77936FEB" w14:textId="77777777" w:rsidR="0022665C" w:rsidRDefault="0022665C">
      <w:pPr>
        <w:widowControl/>
        <w:spacing w:line="440" w:lineRule="atLeast"/>
        <w:ind w:firstLineChars="200" w:firstLine="420"/>
        <w:jc w:val="left"/>
        <w:rPr>
          <w:rFonts w:ascii="微软雅黑" w:eastAsia="微软雅黑" w:hAnsi="微软雅黑" w:hint="eastAsia"/>
          <w:sz w:val="21"/>
          <w:szCs w:val="21"/>
        </w:rPr>
      </w:pPr>
    </w:p>
    <w:p w14:paraId="6E398840"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302CDF16"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44770EC2"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267DF20F" w14:textId="77777777" w:rsidR="0022665C" w:rsidRDefault="00000000">
      <w:pPr>
        <w:tabs>
          <w:tab w:val="left" w:pos="6300"/>
        </w:tabs>
        <w:snapToGrid w:val="0"/>
        <w:spacing w:line="440" w:lineRule="atLeast"/>
        <w:ind w:firstLine="420"/>
        <w:rPr>
          <w:rFonts w:ascii="微软雅黑" w:eastAsia="微软雅黑" w:hAnsi="微软雅黑" w:hint="eastAsia"/>
          <w:b/>
          <w:bCs/>
          <w:sz w:val="21"/>
          <w:szCs w:val="21"/>
        </w:rPr>
      </w:pPr>
      <w:r>
        <w:rPr>
          <w:rFonts w:ascii="微软雅黑" w:eastAsia="微软雅黑" w:hAnsi="微软雅黑" w:hint="eastAsia"/>
          <w:sz w:val="21"/>
          <w:szCs w:val="21"/>
        </w:rPr>
        <w:br w:type="column"/>
      </w:r>
      <w:r>
        <w:rPr>
          <w:rFonts w:ascii="微软雅黑" w:eastAsia="微软雅黑" w:hAnsi="微软雅黑" w:hint="eastAsia"/>
          <w:b/>
          <w:bCs/>
          <w:sz w:val="21"/>
          <w:szCs w:val="21"/>
        </w:rPr>
        <w:t>（三）法定代表人授权委托书（格式）</w:t>
      </w:r>
    </w:p>
    <w:p w14:paraId="48BBEB29" w14:textId="77777777" w:rsidR="0022665C" w:rsidRDefault="0022665C">
      <w:pPr>
        <w:tabs>
          <w:tab w:val="left" w:pos="6300"/>
        </w:tabs>
        <w:snapToGrid w:val="0"/>
        <w:spacing w:line="440" w:lineRule="atLeast"/>
        <w:ind w:firstLineChars="200" w:firstLine="420"/>
        <w:rPr>
          <w:rFonts w:ascii="微软雅黑" w:eastAsia="微软雅黑" w:hAnsi="微软雅黑" w:hint="eastAsia"/>
          <w:sz w:val="21"/>
          <w:szCs w:val="21"/>
        </w:rPr>
      </w:pPr>
    </w:p>
    <w:p w14:paraId="6C396932" w14:textId="77777777" w:rsidR="0022665C" w:rsidRDefault="00000000">
      <w:pPr>
        <w:tabs>
          <w:tab w:val="left" w:pos="6300"/>
        </w:tabs>
        <w:snapToGrid w:val="0"/>
        <w:spacing w:line="440" w:lineRule="atLeast"/>
        <w:ind w:firstLine="420"/>
        <w:rPr>
          <w:rFonts w:ascii="微软雅黑" w:eastAsia="微软雅黑" w:hAnsi="微软雅黑" w:hint="eastAsia"/>
          <w:sz w:val="24"/>
          <w:u w:val="single"/>
        </w:rPr>
      </w:pPr>
      <w:r>
        <w:rPr>
          <w:rFonts w:ascii="微软雅黑" w:eastAsia="微软雅黑" w:hAnsi="微软雅黑" w:hint="eastAsia"/>
          <w:sz w:val="21"/>
          <w:szCs w:val="21"/>
        </w:rPr>
        <w:t>招标项目名称：</w:t>
      </w:r>
      <w:r>
        <w:rPr>
          <w:rFonts w:ascii="微软雅黑" w:eastAsia="微软雅黑" w:hAnsi="微软雅黑" w:hint="eastAsia"/>
          <w:sz w:val="24"/>
          <w:u w:val="single"/>
        </w:rPr>
        <w:t xml:space="preserve"> </w:t>
      </w:r>
      <w:r>
        <w:rPr>
          <w:rFonts w:ascii="微软雅黑" w:eastAsia="微软雅黑" w:hAnsi="微软雅黑"/>
          <w:sz w:val="24"/>
          <w:u w:val="single"/>
        </w:rPr>
        <w:t xml:space="preserve">                 </w:t>
      </w:r>
      <w:r>
        <w:rPr>
          <w:rFonts w:ascii="微软雅黑" w:eastAsia="微软雅黑" w:hAnsi="微软雅黑" w:hint="eastAsia"/>
          <w:sz w:val="24"/>
          <w:u w:val="single"/>
        </w:rPr>
        <w:t xml:space="preserve"> </w:t>
      </w:r>
    </w:p>
    <w:p w14:paraId="7185932E" w14:textId="77777777" w:rsidR="0022665C" w:rsidRDefault="0022665C">
      <w:pPr>
        <w:pStyle w:val="a3"/>
        <w:spacing w:line="440" w:lineRule="atLeast"/>
        <w:ind w:firstLine="480"/>
        <w:rPr>
          <w:rFonts w:ascii="微软雅黑" w:eastAsia="微软雅黑" w:hAnsi="微软雅黑" w:hint="eastAsia"/>
        </w:rPr>
      </w:pPr>
    </w:p>
    <w:p w14:paraId="2C6C3AD5"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致：</w:t>
      </w:r>
      <w:r>
        <w:rPr>
          <w:rFonts w:ascii="微软雅黑" w:eastAsia="微软雅黑" w:hAnsi="微软雅黑" w:hint="eastAsia"/>
          <w:sz w:val="24"/>
          <w:u w:val="single"/>
        </w:rPr>
        <w:t xml:space="preserve">                </w:t>
      </w:r>
      <w:r>
        <w:rPr>
          <w:rFonts w:ascii="微软雅黑" w:eastAsia="微软雅黑" w:hAnsi="微软雅黑" w:hint="eastAsia"/>
          <w:sz w:val="21"/>
          <w:szCs w:val="21"/>
        </w:rPr>
        <w:t>（采购代理机构名称）</w:t>
      </w:r>
    </w:p>
    <w:p w14:paraId="4F19BF3E" w14:textId="77777777" w:rsidR="0022665C" w:rsidRDefault="00000000">
      <w:pPr>
        <w:tabs>
          <w:tab w:val="left" w:pos="6300"/>
        </w:tabs>
        <w:snapToGrid w:val="0"/>
        <w:spacing w:line="440" w:lineRule="atLeast"/>
        <w:ind w:firstLineChars="200" w:firstLine="480"/>
        <w:rPr>
          <w:rFonts w:ascii="微软雅黑" w:eastAsia="微软雅黑" w:hAnsi="微软雅黑" w:hint="eastAsia"/>
          <w:sz w:val="21"/>
          <w:szCs w:val="21"/>
        </w:rPr>
      </w:pPr>
      <w:r>
        <w:rPr>
          <w:rFonts w:ascii="微软雅黑" w:eastAsia="微软雅黑" w:hAnsi="微软雅黑" w:hint="eastAsia"/>
          <w:sz w:val="24"/>
          <w:u w:val="single"/>
        </w:rPr>
        <w:t xml:space="preserve">                </w:t>
      </w:r>
      <w:r>
        <w:rPr>
          <w:rFonts w:ascii="微软雅黑" w:eastAsia="微软雅黑" w:hAnsi="微软雅黑" w:hint="eastAsia"/>
          <w:sz w:val="21"/>
          <w:szCs w:val="21"/>
        </w:rPr>
        <w:t>（投标人法定代表人名称）是</w:t>
      </w:r>
      <w:r>
        <w:rPr>
          <w:rFonts w:ascii="微软雅黑" w:eastAsia="微软雅黑" w:hAnsi="微软雅黑" w:hint="eastAsia"/>
          <w:sz w:val="24"/>
          <w:u w:val="single"/>
        </w:rPr>
        <w:t xml:space="preserve">                </w:t>
      </w:r>
      <w:r>
        <w:rPr>
          <w:rFonts w:ascii="微软雅黑" w:eastAsia="微软雅黑" w:hAnsi="微软雅黑" w:hint="eastAsia"/>
          <w:sz w:val="21"/>
          <w:szCs w:val="21"/>
        </w:rPr>
        <w:t>（投标人名称）的法定代表人，特授权</w:t>
      </w:r>
      <w:r>
        <w:rPr>
          <w:rFonts w:ascii="微软雅黑" w:eastAsia="微软雅黑" w:hAnsi="微软雅黑" w:hint="eastAsia"/>
          <w:sz w:val="24"/>
          <w:u w:val="single"/>
        </w:rPr>
        <w:t xml:space="preserve">                </w:t>
      </w:r>
      <w:r>
        <w:rPr>
          <w:rFonts w:ascii="微软雅黑" w:eastAsia="微软雅黑" w:hAnsi="微软雅黑" w:hint="eastAsia"/>
          <w:sz w:val="21"/>
          <w:szCs w:val="21"/>
        </w:rPr>
        <w:t>（被授权人姓名及身份证代码）代表我单位全权办理上述项目的投标、谈判、签约等具体工作，并签署全部有关文件、协议及合同。</w:t>
      </w:r>
    </w:p>
    <w:p w14:paraId="29CA7A67"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我单位对被授权人的签字负全部责任。</w:t>
      </w:r>
    </w:p>
    <w:p w14:paraId="57C682D4" w14:textId="77777777" w:rsidR="0022665C" w:rsidRDefault="00000000">
      <w:pPr>
        <w:tabs>
          <w:tab w:val="left" w:pos="6300"/>
        </w:tabs>
        <w:snapToGrid w:val="0"/>
        <w:spacing w:line="440" w:lineRule="atLeast"/>
        <w:ind w:firstLineChars="200" w:firstLine="420"/>
        <w:rPr>
          <w:rFonts w:ascii="微软雅黑" w:eastAsia="微软雅黑" w:hAnsi="微软雅黑" w:hint="eastAsia"/>
          <w:sz w:val="21"/>
          <w:szCs w:val="21"/>
        </w:rPr>
      </w:pPr>
      <w:r>
        <w:rPr>
          <w:rFonts w:ascii="微软雅黑" w:eastAsia="微软雅黑" w:hAnsi="微软雅黑" w:hint="eastAsia"/>
          <w:sz w:val="21"/>
          <w:szCs w:val="21"/>
        </w:rPr>
        <w:t>在撤消授权的书面通知以前，本授权书一直有效。被授权人在授权书有效期内签署的所有文件不因授权的撤消而失效。</w:t>
      </w:r>
    </w:p>
    <w:p w14:paraId="7595EECE"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13F75557"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被授权人：                                           投标人法定代表人：</w:t>
      </w:r>
    </w:p>
    <w:p w14:paraId="1291B1DE"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（签署或盖章）                                     （签署或盖章）</w:t>
      </w:r>
    </w:p>
    <w:p w14:paraId="7A613B28"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7F275F7E"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（附：被授权人身份证正反面复印件）</w:t>
      </w:r>
    </w:p>
    <w:p w14:paraId="24876F9E"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7AD1CA33" w14:textId="77777777" w:rsidR="0022665C" w:rsidRDefault="00000000">
      <w:pPr>
        <w:tabs>
          <w:tab w:val="left" w:pos="6300"/>
        </w:tabs>
        <w:wordWrap w:val="0"/>
        <w:snapToGrid w:val="0"/>
        <w:spacing w:line="440" w:lineRule="atLeast"/>
        <w:ind w:right="480" w:firstLine="420"/>
        <w:jc w:val="right"/>
        <w:rPr>
          <w:rFonts w:ascii="微软雅黑" w:eastAsia="微软雅黑" w:hAnsi="微软雅黑" w:hint="eastAsia"/>
          <w:sz w:val="21"/>
          <w:szCs w:val="21"/>
        </w:rPr>
      </w:pPr>
      <w:r>
        <w:rPr>
          <w:rFonts w:ascii="微软雅黑" w:eastAsia="微软雅黑" w:hAnsi="微软雅黑" w:hint="eastAsia"/>
          <w:sz w:val="21"/>
          <w:szCs w:val="21"/>
        </w:rPr>
        <w:t>（投标人公章）</w:t>
      </w:r>
    </w:p>
    <w:p w14:paraId="5D470382" w14:textId="77777777" w:rsidR="0022665C" w:rsidRDefault="00000000">
      <w:pPr>
        <w:tabs>
          <w:tab w:val="left" w:pos="6300"/>
        </w:tabs>
        <w:snapToGrid w:val="0"/>
        <w:spacing w:line="440" w:lineRule="atLeast"/>
        <w:ind w:firstLineChars="3600" w:firstLine="7560"/>
        <w:rPr>
          <w:rFonts w:ascii="微软雅黑" w:eastAsia="微软雅黑" w:hAnsi="微软雅黑" w:hint="eastAsia"/>
          <w:sz w:val="21"/>
          <w:szCs w:val="21"/>
        </w:rPr>
      </w:pPr>
      <w:r>
        <w:rPr>
          <w:rFonts w:ascii="微软雅黑" w:eastAsia="微软雅黑" w:hAnsi="微软雅黑" w:hint="eastAsia"/>
          <w:sz w:val="21"/>
          <w:szCs w:val="21"/>
        </w:rPr>
        <w:t>年   月   日</w:t>
      </w:r>
    </w:p>
    <w:p w14:paraId="085E6B2C" w14:textId="77777777" w:rsidR="0022665C" w:rsidRDefault="00000000">
      <w:pPr>
        <w:tabs>
          <w:tab w:val="left" w:pos="6300"/>
        </w:tabs>
        <w:snapToGrid w:val="0"/>
        <w:spacing w:line="440" w:lineRule="atLeast"/>
        <w:ind w:firstLine="420"/>
        <w:rPr>
          <w:rFonts w:ascii="微软雅黑" w:eastAsia="微软雅黑" w:hAnsi="微软雅黑" w:hint="eastAsia"/>
          <w:sz w:val="21"/>
          <w:szCs w:val="21"/>
        </w:rPr>
      </w:pPr>
      <w:r>
        <w:rPr>
          <w:rFonts w:ascii="微软雅黑" w:eastAsia="微软雅黑" w:hAnsi="微软雅黑" w:hint="eastAsia"/>
          <w:sz w:val="21"/>
          <w:szCs w:val="21"/>
        </w:rPr>
        <w:t>被授权人电话：</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 xml:space="preserve">  电子邮箱：</w:t>
      </w:r>
      <w:r>
        <w:rPr>
          <w:rFonts w:ascii="微软雅黑" w:eastAsia="微软雅黑" w:hAnsi="微软雅黑" w:hint="eastAsia"/>
          <w:sz w:val="21"/>
          <w:szCs w:val="21"/>
          <w:u w:val="single"/>
        </w:rPr>
        <w:t xml:space="preserve">           </w:t>
      </w:r>
      <w:r>
        <w:rPr>
          <w:rFonts w:ascii="微软雅黑" w:eastAsia="微软雅黑" w:hAnsi="微软雅黑" w:hint="eastAsia"/>
          <w:sz w:val="21"/>
          <w:szCs w:val="21"/>
        </w:rPr>
        <w:t xml:space="preserve"> （若法定代表人办理并签署投标文件的可不填写）</w:t>
      </w:r>
    </w:p>
    <w:p w14:paraId="29421B67" w14:textId="77777777" w:rsidR="0022665C" w:rsidRDefault="0022665C">
      <w:pPr>
        <w:tabs>
          <w:tab w:val="left" w:pos="6300"/>
        </w:tabs>
        <w:snapToGrid w:val="0"/>
        <w:spacing w:line="440" w:lineRule="atLeast"/>
        <w:ind w:right="480" w:firstLine="420"/>
        <w:jc w:val="right"/>
        <w:rPr>
          <w:rFonts w:ascii="微软雅黑" w:eastAsia="微软雅黑" w:hAnsi="微软雅黑" w:hint="eastAsia"/>
          <w:sz w:val="21"/>
          <w:szCs w:val="21"/>
        </w:rPr>
      </w:pPr>
    </w:p>
    <w:p w14:paraId="6821FC88" w14:textId="77777777" w:rsidR="0022665C" w:rsidRDefault="00000000">
      <w:pPr>
        <w:tabs>
          <w:tab w:val="left" w:pos="6300"/>
        </w:tabs>
        <w:snapToGrid w:val="0"/>
        <w:spacing w:line="440" w:lineRule="atLeast"/>
        <w:ind w:right="480" w:firstLine="420"/>
        <w:jc w:val="left"/>
        <w:rPr>
          <w:rFonts w:ascii="微软雅黑" w:eastAsia="微软雅黑" w:hAnsi="微软雅黑" w:hint="eastAsia"/>
          <w:sz w:val="21"/>
          <w:szCs w:val="21"/>
        </w:rPr>
      </w:pPr>
      <w:bookmarkStart w:id="302" w:name="_Hlk150435344"/>
      <w:r>
        <w:rPr>
          <w:rFonts w:ascii="微软雅黑" w:eastAsia="微软雅黑" w:hAnsi="微软雅黑" w:hint="eastAsia"/>
          <w:sz w:val="21"/>
          <w:szCs w:val="21"/>
        </w:rPr>
        <w:t>注：</w:t>
      </w:r>
    </w:p>
    <w:p w14:paraId="7AE1DD7F" w14:textId="77777777" w:rsidR="0022665C" w:rsidRDefault="00000000">
      <w:pPr>
        <w:tabs>
          <w:tab w:val="left" w:pos="6300"/>
        </w:tabs>
        <w:snapToGrid w:val="0"/>
        <w:spacing w:line="440" w:lineRule="atLeast"/>
        <w:ind w:right="480" w:firstLine="420"/>
        <w:jc w:val="left"/>
        <w:rPr>
          <w:rFonts w:ascii="微软雅黑" w:eastAsia="微软雅黑" w:hAnsi="微软雅黑" w:hint="eastAsia"/>
          <w:sz w:val="21"/>
          <w:szCs w:val="21"/>
        </w:rPr>
      </w:pPr>
      <w:r>
        <w:rPr>
          <w:rFonts w:ascii="微软雅黑" w:eastAsia="微软雅黑" w:hAnsi="微软雅黑" w:hint="eastAsia"/>
          <w:sz w:val="21"/>
          <w:szCs w:val="21"/>
        </w:rPr>
        <w:t>1.若为法定代表人办理并签署投标文件的，不提供此文件。</w:t>
      </w:r>
    </w:p>
    <w:p w14:paraId="45FB4726" w14:textId="77777777" w:rsidR="0022665C" w:rsidRDefault="00000000">
      <w:pPr>
        <w:tabs>
          <w:tab w:val="left" w:pos="6300"/>
        </w:tabs>
        <w:snapToGrid w:val="0"/>
        <w:spacing w:line="440" w:lineRule="atLeast"/>
        <w:ind w:right="480" w:firstLine="420"/>
        <w:jc w:val="left"/>
        <w:rPr>
          <w:rFonts w:ascii="微软雅黑" w:eastAsia="微软雅黑" w:hAnsi="微软雅黑" w:hint="eastAsia"/>
          <w:sz w:val="21"/>
          <w:szCs w:val="21"/>
        </w:rPr>
      </w:pPr>
      <w:r>
        <w:rPr>
          <w:rFonts w:ascii="微软雅黑" w:eastAsia="微软雅黑" w:hAnsi="微软雅黑" w:hint="eastAsia"/>
          <w:sz w:val="21"/>
          <w:szCs w:val="21"/>
        </w:rPr>
        <w:t>2.若为联合体投标的，法定代表人授权委托书由联合体主办方</w:t>
      </w:r>
      <w:r>
        <w:rPr>
          <w:rFonts w:ascii="微软雅黑" w:eastAsia="微软雅黑" w:hAnsi="微软雅黑" w:cs="宋体" w:hint="eastAsia"/>
          <w:kern w:val="0"/>
          <w:sz w:val="21"/>
          <w:szCs w:val="21"/>
        </w:rPr>
        <w:t>（主体）</w:t>
      </w:r>
      <w:r>
        <w:rPr>
          <w:rFonts w:ascii="微软雅黑" w:eastAsia="微软雅黑" w:hAnsi="微软雅黑" w:hint="eastAsia"/>
          <w:sz w:val="21"/>
          <w:szCs w:val="21"/>
        </w:rPr>
        <w:t>出具。</w:t>
      </w:r>
    </w:p>
    <w:bookmarkEnd w:id="302"/>
    <w:p w14:paraId="53E559F1" w14:textId="77777777" w:rsidR="0022665C" w:rsidRDefault="00000000">
      <w:pPr>
        <w:tabs>
          <w:tab w:val="left" w:pos="6300"/>
        </w:tabs>
        <w:snapToGrid w:val="0"/>
        <w:spacing w:line="440" w:lineRule="atLeast"/>
        <w:rPr>
          <w:rFonts w:ascii="微软雅黑" w:eastAsia="微软雅黑" w:hAnsi="微软雅黑" w:hint="eastAsia"/>
          <w:sz w:val="21"/>
          <w:szCs w:val="21"/>
        </w:rPr>
      </w:pPr>
      <w:r>
        <w:rPr>
          <w:rFonts w:ascii="微软雅黑" w:eastAsia="微软雅黑" w:hAnsi="微软雅黑" w:hint="eastAsia"/>
          <w:sz w:val="21"/>
          <w:szCs w:val="21"/>
        </w:rPr>
        <w:br w:type="column"/>
      </w:r>
      <w:r>
        <w:rPr>
          <w:rFonts w:ascii="微软雅黑" w:eastAsia="微软雅黑" w:hAnsi="微软雅黑" w:hint="eastAsia"/>
          <w:b/>
          <w:bCs/>
          <w:sz w:val="21"/>
          <w:szCs w:val="21"/>
        </w:rPr>
        <w:t>（四）基本资格条件承诺函（格式）</w:t>
      </w:r>
    </w:p>
    <w:p w14:paraId="20B843ED" w14:textId="77777777" w:rsidR="0022665C" w:rsidRDefault="0022665C">
      <w:pPr>
        <w:tabs>
          <w:tab w:val="left" w:pos="6300"/>
        </w:tabs>
        <w:snapToGrid w:val="0"/>
        <w:spacing w:line="440" w:lineRule="atLeast"/>
        <w:ind w:firstLine="720"/>
        <w:jc w:val="center"/>
        <w:rPr>
          <w:rFonts w:ascii="微软雅黑" w:eastAsia="微软雅黑" w:hAnsi="微软雅黑" w:cs="微软雅黑" w:hint="eastAsia"/>
          <w:sz w:val="36"/>
          <w:szCs w:val="36"/>
        </w:rPr>
      </w:pPr>
    </w:p>
    <w:p w14:paraId="5812989D" w14:textId="77777777" w:rsidR="0022665C" w:rsidRDefault="00000000">
      <w:pPr>
        <w:tabs>
          <w:tab w:val="left" w:pos="6300"/>
        </w:tabs>
        <w:snapToGrid w:val="0"/>
        <w:spacing w:line="440" w:lineRule="atLeast"/>
        <w:ind w:firstLine="720"/>
        <w:jc w:val="center"/>
        <w:outlineLvl w:val="0"/>
        <w:rPr>
          <w:rFonts w:ascii="微软雅黑" w:eastAsia="微软雅黑" w:hAnsi="微软雅黑" w:cs="微软雅黑" w:hint="eastAsia"/>
          <w:sz w:val="44"/>
        </w:rPr>
      </w:pPr>
      <w:r>
        <w:rPr>
          <w:rFonts w:ascii="微软雅黑" w:eastAsia="微软雅黑" w:hAnsi="微软雅黑" w:cs="微软雅黑" w:hint="eastAsia"/>
          <w:sz w:val="36"/>
          <w:szCs w:val="36"/>
        </w:rPr>
        <w:t>基本资格条件承诺函</w:t>
      </w:r>
    </w:p>
    <w:p w14:paraId="5C759DBE" w14:textId="77777777" w:rsidR="0022665C" w:rsidRDefault="0022665C">
      <w:pPr>
        <w:tabs>
          <w:tab w:val="left" w:pos="6300"/>
        </w:tabs>
        <w:snapToGrid w:val="0"/>
        <w:spacing w:line="440" w:lineRule="atLeast"/>
        <w:ind w:firstLine="480"/>
        <w:rPr>
          <w:rFonts w:ascii="微软雅黑" w:eastAsia="微软雅黑" w:hAnsi="微软雅黑" w:cs="微软雅黑" w:hint="eastAsia"/>
          <w:sz w:val="24"/>
        </w:rPr>
      </w:pPr>
    </w:p>
    <w:p w14:paraId="273172A4"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致</w:t>
      </w:r>
      <w:r>
        <w:rPr>
          <w:rFonts w:ascii="微软雅黑" w:eastAsia="微软雅黑" w:hAnsi="微软雅黑" w:cs="微软雅黑" w:hint="eastAsia"/>
          <w:sz w:val="21"/>
          <w:szCs w:val="21"/>
          <w:u w:val="single"/>
        </w:rPr>
        <w:t xml:space="preserve">                   </w:t>
      </w:r>
      <w:r>
        <w:rPr>
          <w:rFonts w:ascii="微软雅黑" w:eastAsia="微软雅黑" w:hAnsi="微软雅黑" w:cs="微软雅黑" w:hint="eastAsia"/>
          <w:sz w:val="21"/>
          <w:szCs w:val="21"/>
        </w:rPr>
        <w:t>（采购代理机构名称）：</w:t>
      </w:r>
    </w:p>
    <w:p w14:paraId="2F07D7A5"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u w:val="single"/>
        </w:rPr>
        <w:t xml:space="preserve">                      </w:t>
      </w:r>
      <w:r>
        <w:rPr>
          <w:rFonts w:ascii="微软雅黑" w:eastAsia="微软雅黑" w:hAnsi="微软雅黑" w:cs="微软雅黑" w:hint="eastAsia"/>
          <w:sz w:val="21"/>
          <w:szCs w:val="21"/>
        </w:rPr>
        <w:t>（投标人名称）郑重承诺：</w:t>
      </w:r>
    </w:p>
    <w:p w14:paraId="5AE89527"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1.我方具有良好的商业信誉和健全的财务会计制度，具有履行合同所必需的设备和专业技术能力，具</w:t>
      </w:r>
      <w:r>
        <w:rPr>
          <w:rFonts w:ascii="微软雅黑" w:eastAsia="微软雅黑" w:hAnsi="微软雅黑" w:cs="微软雅黑" w:hint="eastAsia"/>
          <w:sz w:val="21"/>
          <w:szCs w:val="21"/>
          <w:lang w:val="zh-CN"/>
        </w:rPr>
        <w:t>有依法缴纳税收和社会保障金的良好记录</w:t>
      </w:r>
      <w:r>
        <w:rPr>
          <w:rFonts w:ascii="微软雅黑" w:eastAsia="微软雅黑" w:hAnsi="微软雅黑" w:cs="微软雅黑" w:hint="eastAsia"/>
          <w:sz w:val="21"/>
          <w:szCs w:val="21"/>
        </w:rPr>
        <w:t>，参加本项目采购活动前三年内无重大违法活动记录。</w:t>
      </w:r>
    </w:p>
    <w:p w14:paraId="27AEEC8F"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2.我方未列入在信用中国网站（www.creditchina.gov.cn）“失信被执行人”、“重大税收违法案件当事人名单”中，也未列入中国政府采购网（www.ccgp.gov.cn）“政府采购严重违法失信行为记录名单”中。</w:t>
      </w:r>
    </w:p>
    <w:p w14:paraId="7CB5F94B" w14:textId="77777777" w:rsidR="0022665C" w:rsidRDefault="00000000">
      <w:pPr>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3.我方在采购项目评审（评标）环节结束后，随时接受采购人、采购代理机构的检查验证，配合提供相关证明材料，证明符合《中华人民共和国政府采购法》规定的投标人基本资格条件。</w:t>
      </w:r>
    </w:p>
    <w:p w14:paraId="6C29C028"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我方对以上承诺负全部法律责任。</w:t>
      </w:r>
    </w:p>
    <w:p w14:paraId="18BDBFEF" w14:textId="77777777" w:rsidR="0022665C" w:rsidRDefault="00000000">
      <w:pPr>
        <w:tabs>
          <w:tab w:val="left" w:pos="6300"/>
        </w:tabs>
        <w:snapToGrid w:val="0"/>
        <w:spacing w:line="440" w:lineRule="atLeas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特此承诺。</w:t>
      </w:r>
    </w:p>
    <w:p w14:paraId="427901F9" w14:textId="77777777" w:rsidR="0022665C" w:rsidRDefault="0022665C">
      <w:pPr>
        <w:tabs>
          <w:tab w:val="left" w:pos="6300"/>
        </w:tabs>
        <w:snapToGrid w:val="0"/>
        <w:spacing w:line="440" w:lineRule="atLeast"/>
        <w:ind w:firstLineChars="200" w:firstLine="420"/>
        <w:rPr>
          <w:rFonts w:ascii="微软雅黑" w:eastAsia="微软雅黑" w:hAnsi="微软雅黑" w:cs="微软雅黑" w:hint="eastAsia"/>
          <w:sz w:val="21"/>
          <w:szCs w:val="21"/>
        </w:rPr>
      </w:pPr>
    </w:p>
    <w:p w14:paraId="374D989B" w14:textId="77777777" w:rsidR="0022665C" w:rsidRDefault="00000000">
      <w:pPr>
        <w:tabs>
          <w:tab w:val="left" w:pos="6300"/>
        </w:tabs>
        <w:snapToGrid w:val="0"/>
        <w:spacing w:line="440" w:lineRule="atLeast"/>
        <w:ind w:firstLineChars="200" w:firstLine="420"/>
        <w:jc w:val="right"/>
        <w:rPr>
          <w:rFonts w:ascii="微软雅黑" w:eastAsia="微软雅黑" w:hAnsi="微软雅黑" w:cs="微软雅黑" w:hint="eastAsia"/>
          <w:sz w:val="21"/>
          <w:szCs w:val="21"/>
        </w:rPr>
      </w:pPr>
      <w:r>
        <w:rPr>
          <w:rFonts w:ascii="微软雅黑" w:eastAsia="微软雅黑" w:hAnsi="微软雅黑" w:cs="微软雅黑" w:hint="eastAsia"/>
          <w:sz w:val="21"/>
          <w:szCs w:val="21"/>
        </w:rPr>
        <w:t>（投标人公章或自然人签署）</w:t>
      </w:r>
    </w:p>
    <w:p w14:paraId="36E44268" w14:textId="77777777" w:rsidR="0022665C" w:rsidRDefault="00000000">
      <w:pPr>
        <w:tabs>
          <w:tab w:val="left" w:pos="6300"/>
        </w:tabs>
        <w:snapToGrid w:val="0"/>
        <w:spacing w:line="440" w:lineRule="atLeast"/>
        <w:ind w:firstLine="420"/>
        <w:jc w:val="right"/>
        <w:rPr>
          <w:rFonts w:ascii="微软雅黑" w:eastAsia="微软雅黑" w:hAnsi="微软雅黑" w:hint="eastAsia"/>
          <w:sz w:val="21"/>
          <w:szCs w:val="21"/>
        </w:rPr>
      </w:pPr>
      <w:r>
        <w:rPr>
          <w:rFonts w:ascii="微软雅黑" w:eastAsia="微软雅黑" w:hAnsi="微软雅黑" w:cs="微软雅黑" w:hint="eastAsia"/>
          <w:sz w:val="21"/>
          <w:szCs w:val="21"/>
        </w:rPr>
        <w:t>年   月   日</w:t>
      </w:r>
    </w:p>
    <w:p w14:paraId="6DD47049" w14:textId="77777777" w:rsidR="0022665C" w:rsidRDefault="0022665C">
      <w:pPr>
        <w:tabs>
          <w:tab w:val="left" w:pos="6300"/>
        </w:tabs>
        <w:snapToGrid w:val="0"/>
        <w:spacing w:line="440" w:lineRule="atLeast"/>
        <w:ind w:firstLine="420"/>
        <w:rPr>
          <w:rFonts w:ascii="微软雅黑" w:eastAsia="微软雅黑" w:hAnsi="微软雅黑" w:hint="eastAsia"/>
          <w:sz w:val="21"/>
          <w:szCs w:val="21"/>
        </w:rPr>
      </w:pPr>
    </w:p>
    <w:p w14:paraId="09E49EED" w14:textId="77777777" w:rsidR="0022665C" w:rsidRDefault="00000000">
      <w:pPr>
        <w:tabs>
          <w:tab w:val="left" w:pos="6300"/>
        </w:tabs>
        <w:snapToGrid w:val="0"/>
        <w:spacing w:line="440" w:lineRule="atLeast"/>
        <w:ind w:firstLine="420"/>
        <w:rPr>
          <w:rFonts w:ascii="微软雅黑" w:eastAsia="微软雅黑" w:hAnsi="微软雅黑" w:hint="eastAsia"/>
          <w:b/>
          <w:bCs/>
          <w:sz w:val="21"/>
          <w:szCs w:val="21"/>
        </w:rPr>
      </w:pPr>
      <w:r>
        <w:rPr>
          <w:rFonts w:ascii="微软雅黑" w:eastAsia="微软雅黑" w:hAnsi="微软雅黑" w:hint="eastAsia"/>
          <w:sz w:val="21"/>
          <w:szCs w:val="21"/>
        </w:rPr>
        <w:br w:type="page"/>
      </w:r>
    </w:p>
    <w:p w14:paraId="22B1AE0F" w14:textId="77777777" w:rsidR="0022665C" w:rsidRDefault="00000000">
      <w:pPr>
        <w:tabs>
          <w:tab w:val="left" w:pos="6300"/>
        </w:tabs>
        <w:snapToGrid w:val="0"/>
        <w:spacing w:line="440" w:lineRule="atLeast"/>
        <w:outlineLvl w:val="0"/>
        <w:rPr>
          <w:rFonts w:ascii="微软雅黑" w:eastAsia="微软雅黑" w:hAnsi="微软雅黑" w:hint="eastAsia"/>
          <w:b/>
          <w:bCs/>
          <w:sz w:val="21"/>
          <w:szCs w:val="21"/>
        </w:rPr>
      </w:pPr>
      <w:r>
        <w:rPr>
          <w:rFonts w:ascii="微软雅黑" w:eastAsia="微软雅黑" w:hAnsi="微软雅黑" w:hint="eastAsia"/>
          <w:b/>
          <w:bCs/>
          <w:sz w:val="21"/>
          <w:szCs w:val="21"/>
        </w:rPr>
        <w:t>（五）特定资格条件证书或证明文件</w:t>
      </w:r>
    </w:p>
    <w:p w14:paraId="156F45A0"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68CECC3C"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607E1414"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5FD52DE3"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104E4984"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2666FD95"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581B128C"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21A36166"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13DC460C"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0477F27C"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089E3466"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384CED1F"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7A317D59"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57A2BD49"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19448066"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73FE8B97" w14:textId="77777777" w:rsidR="0022665C" w:rsidRDefault="0022665C">
      <w:pPr>
        <w:pStyle w:val="a3"/>
        <w:spacing w:line="440" w:lineRule="atLeast"/>
        <w:ind w:firstLine="480"/>
        <w:rPr>
          <w:rFonts w:ascii="微软雅黑" w:eastAsia="微软雅黑" w:hAnsi="微软雅黑" w:hint="eastAsia"/>
        </w:rPr>
      </w:pPr>
    </w:p>
    <w:p w14:paraId="073E0516"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7155DFC0"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0675C2E3"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6EC234EF"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2B75B70D"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5DFC3BDF" w14:textId="77777777" w:rsidR="0022665C" w:rsidRDefault="0022665C">
      <w:pPr>
        <w:pStyle w:val="a9"/>
        <w:spacing w:line="440" w:lineRule="atLeast"/>
        <w:ind w:firstLine="640"/>
        <w:rPr>
          <w:rFonts w:ascii="微软雅黑" w:eastAsia="微软雅黑" w:hAnsi="微软雅黑" w:hint="eastAsia"/>
        </w:rPr>
      </w:pPr>
    </w:p>
    <w:p w14:paraId="3091C529"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634585FE" w14:textId="77777777" w:rsidR="0022665C" w:rsidRDefault="0022665C">
      <w:pPr>
        <w:tabs>
          <w:tab w:val="left" w:pos="6300"/>
        </w:tabs>
        <w:snapToGrid w:val="0"/>
        <w:spacing w:line="440" w:lineRule="atLeast"/>
        <w:ind w:firstLine="480"/>
        <w:jc w:val="left"/>
        <w:rPr>
          <w:rFonts w:ascii="微软雅黑" w:eastAsia="微软雅黑" w:hAnsi="微软雅黑" w:hint="eastAsia"/>
          <w:sz w:val="24"/>
        </w:rPr>
      </w:pPr>
    </w:p>
    <w:p w14:paraId="7D3241C7" w14:textId="77777777" w:rsidR="0022665C" w:rsidRDefault="00000000">
      <w:pPr>
        <w:spacing w:line="440" w:lineRule="atLeast"/>
        <w:jc w:val="center"/>
        <w:outlineLvl w:val="0"/>
        <w:rPr>
          <w:rFonts w:ascii="微软雅黑" w:eastAsia="微软雅黑" w:hAnsi="微软雅黑" w:hint="eastAsia"/>
          <w:sz w:val="21"/>
          <w:szCs w:val="21"/>
        </w:rPr>
      </w:pPr>
      <w:r>
        <w:rPr>
          <w:rFonts w:ascii="微软雅黑" w:eastAsia="微软雅黑" w:hAnsi="微软雅黑" w:hint="eastAsia"/>
          <w:b/>
          <w:sz w:val="21"/>
          <w:szCs w:val="21"/>
        </w:rPr>
        <w:t>（结束）</w:t>
      </w:r>
    </w:p>
    <w:bookmarkEnd w:id="284"/>
    <w:p w14:paraId="0C126DB3" w14:textId="77777777" w:rsidR="0022665C" w:rsidRDefault="0022665C">
      <w:pPr>
        <w:spacing w:line="440" w:lineRule="atLeast"/>
        <w:rPr>
          <w:rFonts w:ascii="微软雅黑" w:eastAsia="微软雅黑" w:hAnsi="微软雅黑" w:hint="eastAsia"/>
        </w:rPr>
      </w:pPr>
    </w:p>
    <w:sectPr w:rsidR="0022665C">
      <w:type w:val="continuous"/>
      <w:pgSz w:w="11907" w:h="16840"/>
      <w:pgMar w:top="1134" w:right="1191" w:bottom="1134" w:left="1304" w:header="964" w:footer="992" w:gutter="0"/>
      <w:cols w:space="0"/>
      <w:docGrid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D69500" w14:textId="77777777" w:rsidR="00EE5995" w:rsidRDefault="00EE5995">
      <w:r>
        <w:separator/>
      </w:r>
    </w:p>
  </w:endnote>
  <w:endnote w:type="continuationSeparator" w:id="0">
    <w:p w14:paraId="2386FBE9" w14:textId="77777777" w:rsidR="00EE5995" w:rsidRDefault="00EE5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embedRegular r:id="rId1" w:subsetted="1" w:fontKey="{BF33D24C-E4B6-4513-B3EE-22D880333D51}"/>
    <w:embedBold r:id="rId2" w:subsetted="1" w:fontKey="{F3DBF0A3-68B9-4C83-8357-33BD674F1698}"/>
    <w:embedItalic r:id="rId3" w:subsetted="1" w:fontKey="{0C85C04E-4A44-48BB-A3A5-D98D49805B5B}"/>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仿宋_GBK">
    <w:altName w:val="微软雅黑"/>
    <w:panose1 w:val="03000509000000000000"/>
    <w:charset w:val="86"/>
    <w:family w:val="script"/>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default"/>
    <w:sig w:usb0="00000000" w:usb1="00000000" w:usb2="00000016" w:usb3="00000000" w:csb0="0010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Arial Unicode MS">
    <w:panose1 w:val="020B0604020202020204"/>
    <w:charset w:val="86"/>
    <w:family w:val="swiss"/>
    <w:pitch w:val="default"/>
    <w:sig w:usb0="00000000" w:usb1="00000000" w:usb2="0000003F" w:usb3="00000000" w:csb0="603F01FF" w:csb1="FFFF0000"/>
  </w:font>
  <w:font w:name="Calibri Light">
    <w:panose1 w:val="020F0302020204030204"/>
    <w:charset w:val="00"/>
    <w:family w:val="swiss"/>
    <w:pitch w:val="default"/>
    <w:sig w:usb0="E4002EFF" w:usb1="C200247B" w:usb2="00000009" w:usb3="00000000" w:csb0="2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variable"/>
    <w:sig w:usb0="E1002EFF" w:usb1="C000605B" w:usb2="00000029" w:usb3="00000000" w:csb0="000101FF" w:csb1="00000000"/>
  </w:font>
  <w:font w:name="Arial Narrow">
    <w:altName w:val="Arial"/>
    <w:panose1 w:val="020B0606020202030204"/>
    <w:charset w:val="00"/>
    <w:family w:val="swiss"/>
    <w:pitch w:val="default"/>
    <w:sig w:usb0="00000000" w:usb1="00000000" w:usb2="00000000" w:usb3="00000000" w:csb0="2000009F" w:csb1="DFD70000"/>
  </w:font>
  <w:font w:name="昆仑楷体">
    <w:altName w:val="宋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文鼎粗黑">
    <w:altName w:val="黑体"/>
    <w:charset w:val="88"/>
    <w:family w:val="decorative"/>
    <w:pitch w:val="default"/>
    <w:sig w:usb0="00000000" w:usb1="00000000" w:usb2="00000010" w:usb3="00000000" w:csb0="0010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B394D7" w14:textId="77777777" w:rsidR="0022665C" w:rsidRDefault="00000000">
    <w:pPr>
      <w:pStyle w:val="af2"/>
      <w:framePr w:wrap="around" w:vAnchor="text" w:hAnchor="margin" w:xAlign="center" w:y="1"/>
      <w:rPr>
        <w:rStyle w:val="aff2"/>
      </w:rPr>
    </w:pPr>
    <w:r>
      <w:fldChar w:fldCharType="begin"/>
    </w:r>
    <w:r>
      <w:rPr>
        <w:rStyle w:val="aff2"/>
      </w:rPr>
      <w:instrText xml:space="preserve">PAGE  </w:instrText>
    </w:r>
    <w:r>
      <w:fldChar w:fldCharType="end"/>
    </w:r>
  </w:p>
  <w:p w14:paraId="5661F304" w14:textId="77777777" w:rsidR="0022665C" w:rsidRDefault="0022665C">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625439"/>
    </w:sdtPr>
    <w:sdtContent>
      <w:p w14:paraId="5FE28F54" w14:textId="77777777" w:rsidR="0022665C" w:rsidRDefault="00000000">
        <w:pPr>
          <w:pStyle w:val="af2"/>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83E208" w14:textId="77777777" w:rsidR="00EE5995" w:rsidRDefault="00EE5995">
      <w:r>
        <w:separator/>
      </w:r>
    </w:p>
  </w:footnote>
  <w:footnote w:type="continuationSeparator" w:id="0">
    <w:p w14:paraId="6C6C7F51" w14:textId="77777777" w:rsidR="00EE5995" w:rsidRDefault="00EE59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01858A" w14:textId="77777777" w:rsidR="0022665C" w:rsidRDefault="00000000">
    <w:pPr>
      <w:pStyle w:val="af5"/>
      <w:pBdr>
        <w:bottom w:val="single" w:sz="4" w:space="1" w:color="auto"/>
      </w:pBdr>
      <w:tabs>
        <w:tab w:val="clear" w:pos="8306"/>
      </w:tabs>
      <w:jc w:val="both"/>
      <w:rPr>
        <w:rFonts w:ascii="微软雅黑" w:eastAsia="微软雅黑" w:hAnsi="微软雅黑" w:hint="eastAsia"/>
        <w:szCs w:val="18"/>
      </w:rPr>
    </w:pPr>
    <w:r>
      <w:rPr>
        <w:rFonts w:ascii="微软雅黑" w:eastAsia="微软雅黑" w:hAnsi="微软雅黑" w:hint="eastAsia"/>
        <w:szCs w:val="18"/>
      </w:rPr>
      <w:t xml:space="preserve">中招国际招标有限公司                               </w:t>
    </w:r>
    <w:r>
      <w:rPr>
        <w:rFonts w:ascii="微软雅黑" w:eastAsia="微软雅黑" w:hAnsi="微软雅黑"/>
        <w:szCs w:val="18"/>
      </w:rPr>
      <w:object w:dxaOrig="480" w:dyaOrig="387" w14:anchorId="1AD61E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19.35pt">
          <v:imagedata r:id="rId1" o:title=""/>
        </v:shape>
        <o:OLEObject Type="Embed" ProgID="PBrush" ShapeID="_x0000_i1025" DrawAspect="Content" ObjectID="_1782836684" r:id="rId2"/>
      </w:object>
    </w:r>
    <w:r>
      <w:rPr>
        <w:rFonts w:ascii="微软雅黑" w:eastAsia="微软雅黑" w:hAnsi="微软雅黑" w:hint="eastAsia"/>
        <w:szCs w:val="18"/>
      </w:rPr>
      <w:t xml:space="preserve">                                        招标文件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B12A3" w14:textId="77777777" w:rsidR="0022665C" w:rsidRDefault="0022665C">
    <w:pPr>
      <w:pStyle w:val="af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F8617C4"/>
    <w:multiLevelType w:val="singleLevel"/>
    <w:tmpl w:val="8F8617C4"/>
    <w:lvl w:ilvl="0">
      <w:start w:val="2"/>
      <w:numFmt w:val="chineseCounting"/>
      <w:suff w:val="nothing"/>
      <w:lvlText w:val="%1、"/>
      <w:lvlJc w:val="left"/>
      <w:rPr>
        <w:rFonts w:hint="eastAsia"/>
      </w:rPr>
    </w:lvl>
  </w:abstractNum>
  <w:abstractNum w:abstractNumId="1" w15:restartNumberingAfterBreak="0">
    <w:nsid w:val="95F0050A"/>
    <w:multiLevelType w:val="singleLevel"/>
    <w:tmpl w:val="95F0050A"/>
    <w:lvl w:ilvl="0">
      <w:start w:val="1"/>
      <w:numFmt w:val="chineseCounting"/>
      <w:suff w:val="nothing"/>
      <w:lvlText w:val="（%1）"/>
      <w:lvlJc w:val="left"/>
      <w:rPr>
        <w:rFonts w:hint="eastAsia"/>
      </w:rPr>
    </w:lvl>
  </w:abstractNum>
  <w:abstractNum w:abstractNumId="2" w15:restartNumberingAfterBreak="0">
    <w:nsid w:val="9E891831"/>
    <w:multiLevelType w:val="singleLevel"/>
    <w:tmpl w:val="9E891831"/>
    <w:lvl w:ilvl="0">
      <w:start w:val="1"/>
      <w:numFmt w:val="chineseCounting"/>
      <w:suff w:val="nothing"/>
      <w:lvlText w:val="（%1）"/>
      <w:lvlJc w:val="left"/>
      <w:rPr>
        <w:rFonts w:hint="eastAsia"/>
      </w:rPr>
    </w:lvl>
  </w:abstractNum>
  <w:abstractNum w:abstractNumId="3" w15:restartNumberingAfterBreak="0">
    <w:nsid w:val="A21B1ECC"/>
    <w:multiLevelType w:val="singleLevel"/>
    <w:tmpl w:val="A21B1ECC"/>
    <w:lvl w:ilvl="0">
      <w:start w:val="1"/>
      <w:numFmt w:val="decimal"/>
      <w:suff w:val="space"/>
      <w:lvlText w:val="%1"/>
      <w:lvlJc w:val="left"/>
      <w:pPr>
        <w:ind w:left="425" w:hanging="425"/>
      </w:pPr>
      <w:rPr>
        <w:rFonts w:hint="default"/>
      </w:rPr>
    </w:lvl>
  </w:abstractNum>
  <w:abstractNum w:abstractNumId="4" w15:restartNumberingAfterBreak="0">
    <w:nsid w:val="D9531DDF"/>
    <w:multiLevelType w:val="singleLevel"/>
    <w:tmpl w:val="D9531DDF"/>
    <w:lvl w:ilvl="0">
      <w:start w:val="1"/>
      <w:numFmt w:val="chineseCounting"/>
      <w:pStyle w:val="3"/>
      <w:suff w:val="nothing"/>
      <w:lvlText w:val="（%1）"/>
      <w:lvlJc w:val="left"/>
      <w:pPr>
        <w:ind w:left="0" w:firstLine="420"/>
      </w:pPr>
      <w:rPr>
        <w:rFonts w:ascii="微软雅黑" w:eastAsia="微软雅黑" w:hAnsi="微软雅黑" w:cs="微软雅黑" w:hint="eastAsia"/>
        <w:sz w:val="21"/>
        <w:szCs w:val="21"/>
      </w:rPr>
    </w:lvl>
  </w:abstractNum>
  <w:abstractNum w:abstractNumId="5" w15:restartNumberingAfterBreak="0">
    <w:nsid w:val="00000014"/>
    <w:multiLevelType w:val="multilevel"/>
    <w:tmpl w:val="00000014"/>
    <w:lvl w:ilvl="0">
      <w:start w:val="1"/>
      <w:numFmt w:val="japaneseCounting"/>
      <w:lvlText w:val="第%1篇"/>
      <w:lvlJc w:val="left"/>
      <w:pPr>
        <w:tabs>
          <w:tab w:val="left" w:pos="2098"/>
        </w:tabs>
        <w:ind w:left="2098" w:hanging="1530"/>
      </w:pPr>
      <w:rPr>
        <w:rFonts w:hint="default"/>
        <w:lang w:val="en-US"/>
      </w:rPr>
    </w:lvl>
    <w:lvl w:ilvl="1">
      <w:start w:val="1"/>
      <w:numFmt w:val="lowerLetter"/>
      <w:lvlText w:val="%2)"/>
      <w:lvlJc w:val="left"/>
      <w:pPr>
        <w:tabs>
          <w:tab w:val="left" w:pos="558"/>
        </w:tabs>
        <w:ind w:left="558" w:hanging="420"/>
      </w:pPr>
    </w:lvl>
    <w:lvl w:ilvl="2">
      <w:start w:val="1"/>
      <w:numFmt w:val="lowerRoman"/>
      <w:lvlText w:val="%3."/>
      <w:lvlJc w:val="right"/>
      <w:pPr>
        <w:tabs>
          <w:tab w:val="left" w:pos="978"/>
        </w:tabs>
        <w:ind w:left="978" w:hanging="420"/>
      </w:pPr>
    </w:lvl>
    <w:lvl w:ilvl="3">
      <w:start w:val="1"/>
      <w:numFmt w:val="decimal"/>
      <w:lvlText w:val="%4."/>
      <w:lvlJc w:val="left"/>
      <w:pPr>
        <w:tabs>
          <w:tab w:val="left" w:pos="1398"/>
        </w:tabs>
        <w:ind w:left="1398" w:hanging="420"/>
      </w:pPr>
    </w:lvl>
    <w:lvl w:ilvl="4">
      <w:start w:val="1"/>
      <w:numFmt w:val="lowerLetter"/>
      <w:lvlText w:val="%5)"/>
      <w:lvlJc w:val="left"/>
      <w:pPr>
        <w:tabs>
          <w:tab w:val="left" w:pos="1818"/>
        </w:tabs>
        <w:ind w:left="1818" w:hanging="420"/>
      </w:pPr>
    </w:lvl>
    <w:lvl w:ilvl="5">
      <w:start w:val="1"/>
      <w:numFmt w:val="lowerRoman"/>
      <w:lvlText w:val="%6."/>
      <w:lvlJc w:val="right"/>
      <w:pPr>
        <w:tabs>
          <w:tab w:val="left" w:pos="2238"/>
        </w:tabs>
        <w:ind w:left="2238" w:hanging="420"/>
      </w:pPr>
    </w:lvl>
    <w:lvl w:ilvl="6">
      <w:start w:val="1"/>
      <w:numFmt w:val="decimal"/>
      <w:lvlText w:val="%7."/>
      <w:lvlJc w:val="left"/>
      <w:pPr>
        <w:tabs>
          <w:tab w:val="left" w:pos="2658"/>
        </w:tabs>
        <w:ind w:left="2658" w:hanging="420"/>
      </w:pPr>
    </w:lvl>
    <w:lvl w:ilvl="7">
      <w:start w:val="1"/>
      <w:numFmt w:val="lowerLetter"/>
      <w:lvlText w:val="%8)"/>
      <w:lvlJc w:val="left"/>
      <w:pPr>
        <w:tabs>
          <w:tab w:val="left" w:pos="3078"/>
        </w:tabs>
        <w:ind w:left="3078" w:hanging="420"/>
      </w:pPr>
    </w:lvl>
    <w:lvl w:ilvl="8">
      <w:start w:val="1"/>
      <w:numFmt w:val="lowerRoman"/>
      <w:lvlText w:val="%9."/>
      <w:lvlJc w:val="right"/>
      <w:pPr>
        <w:tabs>
          <w:tab w:val="left" w:pos="3498"/>
        </w:tabs>
        <w:ind w:left="3498" w:hanging="420"/>
      </w:pPr>
    </w:lvl>
  </w:abstractNum>
  <w:abstractNum w:abstractNumId="6" w15:restartNumberingAfterBreak="0">
    <w:nsid w:val="1803D931"/>
    <w:multiLevelType w:val="singleLevel"/>
    <w:tmpl w:val="1803D931"/>
    <w:lvl w:ilvl="0">
      <w:start w:val="3"/>
      <w:numFmt w:val="chineseCounting"/>
      <w:suff w:val="nothing"/>
      <w:lvlText w:val="（%1）"/>
      <w:lvlJc w:val="left"/>
      <w:rPr>
        <w:rFonts w:hint="eastAsia"/>
      </w:rPr>
    </w:lvl>
  </w:abstractNum>
  <w:abstractNum w:abstractNumId="7" w15:restartNumberingAfterBreak="0">
    <w:nsid w:val="288C2A39"/>
    <w:multiLevelType w:val="multilevel"/>
    <w:tmpl w:val="288C2A39"/>
    <w:lvl w:ilvl="0">
      <w:start w:val="1"/>
      <w:numFmt w:val="japaneseCounting"/>
      <w:lvlText w:val="（%1）"/>
      <w:lvlJc w:val="left"/>
      <w:pPr>
        <w:ind w:left="1570" w:hanging="720"/>
      </w:pPr>
      <w:rPr>
        <w:rFonts w:hint="default"/>
      </w:rPr>
    </w:lvl>
    <w:lvl w:ilvl="1">
      <w:start w:val="1"/>
      <w:numFmt w:val="lowerLetter"/>
      <w:lvlText w:val="%2)"/>
      <w:lvlJc w:val="left"/>
      <w:pPr>
        <w:ind w:left="1305" w:hanging="420"/>
      </w:pPr>
    </w:lvl>
    <w:lvl w:ilvl="2">
      <w:start w:val="1"/>
      <w:numFmt w:val="lowerRoman"/>
      <w:lvlText w:val="%3."/>
      <w:lvlJc w:val="right"/>
      <w:pPr>
        <w:ind w:left="1725" w:hanging="420"/>
      </w:pPr>
    </w:lvl>
    <w:lvl w:ilvl="3">
      <w:start w:val="1"/>
      <w:numFmt w:val="decimal"/>
      <w:lvlText w:val="%4."/>
      <w:lvlJc w:val="left"/>
      <w:pPr>
        <w:ind w:left="846"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8" w15:restartNumberingAfterBreak="0">
    <w:nsid w:val="5FDE440F"/>
    <w:multiLevelType w:val="singleLevel"/>
    <w:tmpl w:val="5FDE440F"/>
    <w:lvl w:ilvl="0">
      <w:start w:val="1"/>
      <w:numFmt w:val="chineseCounting"/>
      <w:pStyle w:val="new3"/>
      <w:suff w:val="nothing"/>
      <w:lvlText w:val="%1、"/>
      <w:lvlJc w:val="left"/>
      <w:rPr>
        <w:rFonts w:hint="eastAsia"/>
      </w:rPr>
    </w:lvl>
  </w:abstractNum>
  <w:abstractNum w:abstractNumId="9" w15:restartNumberingAfterBreak="0">
    <w:nsid w:val="6AB85E4A"/>
    <w:multiLevelType w:val="singleLevel"/>
    <w:tmpl w:val="6AB85E4A"/>
    <w:lvl w:ilvl="0">
      <w:start w:val="1"/>
      <w:numFmt w:val="chineseCounting"/>
      <w:suff w:val="nothing"/>
      <w:lvlText w:val="（%1）"/>
      <w:lvlJc w:val="left"/>
      <w:rPr>
        <w:rFonts w:hint="eastAsia"/>
      </w:rPr>
    </w:lvl>
  </w:abstractNum>
  <w:abstractNum w:abstractNumId="10" w15:restartNumberingAfterBreak="0">
    <w:nsid w:val="7245153C"/>
    <w:multiLevelType w:val="multilevel"/>
    <w:tmpl w:val="7245153C"/>
    <w:lvl w:ilvl="0">
      <w:start w:val="3"/>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98072152">
    <w:abstractNumId w:val="4"/>
  </w:num>
  <w:num w:numId="2" w16cid:durableId="2079093276">
    <w:abstractNumId w:val="8"/>
  </w:num>
  <w:num w:numId="3" w16cid:durableId="1237860424">
    <w:abstractNumId w:val="5"/>
  </w:num>
  <w:num w:numId="4" w16cid:durableId="497112808">
    <w:abstractNumId w:val="6"/>
  </w:num>
  <w:num w:numId="5" w16cid:durableId="252710629">
    <w:abstractNumId w:val="3"/>
  </w:num>
  <w:num w:numId="6" w16cid:durableId="815606014">
    <w:abstractNumId w:val="9"/>
  </w:num>
  <w:num w:numId="7" w16cid:durableId="1329167755">
    <w:abstractNumId w:val="1"/>
  </w:num>
  <w:num w:numId="8" w16cid:durableId="52048768">
    <w:abstractNumId w:val="2"/>
  </w:num>
  <w:num w:numId="9" w16cid:durableId="1449154868">
    <w:abstractNumId w:val="7"/>
  </w:num>
  <w:num w:numId="10" w16cid:durableId="1489859777">
    <w:abstractNumId w:val="0"/>
  </w:num>
  <w:num w:numId="11" w16cid:durableId="15318418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hideSpellingErrors/>
  <w:defaultTabStop w:val="420"/>
  <w:noPunctuationKerning/>
  <w:characterSpacingControl w:val="doNotCompress"/>
  <w:savePreviewPicture/>
  <w:hdrShapeDefaults>
    <o:shapedefaults v:ext="edit" spidmax="2050" fillcolor="white">
      <v:fill color="white"/>
    </o:shapedefaults>
  </w:hdrShapeDefaults>
  <w:footnotePr>
    <w:footnote w:id="-1"/>
    <w:footnote w:id="0"/>
  </w:footnotePr>
  <w:endnotePr>
    <w:endnote w:id="-1"/>
    <w:endnote w:id="0"/>
  </w:endnotePr>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JmNTAxYTA0NTllZTU0OWY5NWY0MWNlMzBjNGU2OTYifQ=="/>
    <w:docVar w:name="KSO_WPS_MARK_KEY" w:val="b3272044-ff6d-4843-a500-8f040fb3aad2"/>
  </w:docVars>
  <w:rsids>
    <w:rsidRoot w:val="00106721"/>
    <w:rsid w:val="9F93D7B2"/>
    <w:rsid w:val="CBD76428"/>
    <w:rsid w:val="EBFA84B1"/>
    <w:rsid w:val="ECBD7E02"/>
    <w:rsid w:val="EFD5CF74"/>
    <w:rsid w:val="F3466714"/>
    <w:rsid w:val="F8B7BA53"/>
    <w:rsid w:val="FABD5B16"/>
    <w:rsid w:val="FAF7E10C"/>
    <w:rsid w:val="FB57AA07"/>
    <w:rsid w:val="FBC727D3"/>
    <w:rsid w:val="FCF778D1"/>
    <w:rsid w:val="FFDF1646"/>
    <w:rsid w:val="FFFA96C5"/>
    <w:rsid w:val="00001F04"/>
    <w:rsid w:val="000041FD"/>
    <w:rsid w:val="0000432C"/>
    <w:rsid w:val="00004A09"/>
    <w:rsid w:val="0000605E"/>
    <w:rsid w:val="00006AB7"/>
    <w:rsid w:val="0000705B"/>
    <w:rsid w:val="00007509"/>
    <w:rsid w:val="0001084A"/>
    <w:rsid w:val="00010CB8"/>
    <w:rsid w:val="000115F6"/>
    <w:rsid w:val="00011628"/>
    <w:rsid w:val="00012A70"/>
    <w:rsid w:val="00013222"/>
    <w:rsid w:val="00014D4F"/>
    <w:rsid w:val="0002037A"/>
    <w:rsid w:val="00021154"/>
    <w:rsid w:val="0002219D"/>
    <w:rsid w:val="00023AD9"/>
    <w:rsid w:val="0002620D"/>
    <w:rsid w:val="000273CC"/>
    <w:rsid w:val="000274EE"/>
    <w:rsid w:val="00027F3F"/>
    <w:rsid w:val="000328DC"/>
    <w:rsid w:val="00033275"/>
    <w:rsid w:val="0003337B"/>
    <w:rsid w:val="000337E4"/>
    <w:rsid w:val="00033A55"/>
    <w:rsid w:val="00033DBB"/>
    <w:rsid w:val="0003410A"/>
    <w:rsid w:val="0003414E"/>
    <w:rsid w:val="0003496A"/>
    <w:rsid w:val="0003553E"/>
    <w:rsid w:val="0003580F"/>
    <w:rsid w:val="00035EDE"/>
    <w:rsid w:val="000363F4"/>
    <w:rsid w:val="00036579"/>
    <w:rsid w:val="00036B75"/>
    <w:rsid w:val="00036CCB"/>
    <w:rsid w:val="000370BC"/>
    <w:rsid w:val="000374BF"/>
    <w:rsid w:val="0004011D"/>
    <w:rsid w:val="00040A95"/>
    <w:rsid w:val="00041380"/>
    <w:rsid w:val="000428BB"/>
    <w:rsid w:val="00043597"/>
    <w:rsid w:val="00043A47"/>
    <w:rsid w:val="00044318"/>
    <w:rsid w:val="00044E9B"/>
    <w:rsid w:val="0004664D"/>
    <w:rsid w:val="000469D1"/>
    <w:rsid w:val="00046C1B"/>
    <w:rsid w:val="00047F77"/>
    <w:rsid w:val="0005102D"/>
    <w:rsid w:val="00052ED4"/>
    <w:rsid w:val="00054BA0"/>
    <w:rsid w:val="00056912"/>
    <w:rsid w:val="00062156"/>
    <w:rsid w:val="000621BB"/>
    <w:rsid w:val="000640DC"/>
    <w:rsid w:val="000645CB"/>
    <w:rsid w:val="00065742"/>
    <w:rsid w:val="00066B92"/>
    <w:rsid w:val="000672C2"/>
    <w:rsid w:val="00067CC1"/>
    <w:rsid w:val="00070ECA"/>
    <w:rsid w:val="00071D38"/>
    <w:rsid w:val="00072250"/>
    <w:rsid w:val="000722B1"/>
    <w:rsid w:val="00072307"/>
    <w:rsid w:val="00075B3F"/>
    <w:rsid w:val="00076EB1"/>
    <w:rsid w:val="000818B7"/>
    <w:rsid w:val="00082453"/>
    <w:rsid w:val="000829A4"/>
    <w:rsid w:val="00082A4F"/>
    <w:rsid w:val="00083328"/>
    <w:rsid w:val="00086BFD"/>
    <w:rsid w:val="000874A6"/>
    <w:rsid w:val="00091DA2"/>
    <w:rsid w:val="00093015"/>
    <w:rsid w:val="0009379E"/>
    <w:rsid w:val="00093E58"/>
    <w:rsid w:val="0009423F"/>
    <w:rsid w:val="00095D1F"/>
    <w:rsid w:val="000965AC"/>
    <w:rsid w:val="000A0D78"/>
    <w:rsid w:val="000A0DCB"/>
    <w:rsid w:val="000A1196"/>
    <w:rsid w:val="000A1670"/>
    <w:rsid w:val="000A2D35"/>
    <w:rsid w:val="000A3858"/>
    <w:rsid w:val="000A6A91"/>
    <w:rsid w:val="000A74D2"/>
    <w:rsid w:val="000A7AA8"/>
    <w:rsid w:val="000B0C8C"/>
    <w:rsid w:val="000B12E2"/>
    <w:rsid w:val="000B4750"/>
    <w:rsid w:val="000B5B3D"/>
    <w:rsid w:val="000B7CF3"/>
    <w:rsid w:val="000B7E26"/>
    <w:rsid w:val="000B7E64"/>
    <w:rsid w:val="000C0E37"/>
    <w:rsid w:val="000C0FA3"/>
    <w:rsid w:val="000C2FC3"/>
    <w:rsid w:val="000C4842"/>
    <w:rsid w:val="000C4944"/>
    <w:rsid w:val="000C52FA"/>
    <w:rsid w:val="000C56AB"/>
    <w:rsid w:val="000C5BB9"/>
    <w:rsid w:val="000C6312"/>
    <w:rsid w:val="000C6432"/>
    <w:rsid w:val="000C71A1"/>
    <w:rsid w:val="000C7215"/>
    <w:rsid w:val="000C7983"/>
    <w:rsid w:val="000C7B23"/>
    <w:rsid w:val="000D0432"/>
    <w:rsid w:val="000D0652"/>
    <w:rsid w:val="000D14AB"/>
    <w:rsid w:val="000D2601"/>
    <w:rsid w:val="000D273D"/>
    <w:rsid w:val="000D345F"/>
    <w:rsid w:val="000D37CC"/>
    <w:rsid w:val="000D3BB5"/>
    <w:rsid w:val="000D40CD"/>
    <w:rsid w:val="000D42FF"/>
    <w:rsid w:val="000D46D7"/>
    <w:rsid w:val="000D490F"/>
    <w:rsid w:val="000D4EAF"/>
    <w:rsid w:val="000D54C7"/>
    <w:rsid w:val="000D6423"/>
    <w:rsid w:val="000D732C"/>
    <w:rsid w:val="000D7A17"/>
    <w:rsid w:val="000E0D8C"/>
    <w:rsid w:val="000E12BA"/>
    <w:rsid w:val="000E3784"/>
    <w:rsid w:val="000E526F"/>
    <w:rsid w:val="000E5A3E"/>
    <w:rsid w:val="000E60A6"/>
    <w:rsid w:val="000E695B"/>
    <w:rsid w:val="000E6F36"/>
    <w:rsid w:val="000F06C5"/>
    <w:rsid w:val="000F2830"/>
    <w:rsid w:val="000F2F5E"/>
    <w:rsid w:val="000F62C5"/>
    <w:rsid w:val="000F639D"/>
    <w:rsid w:val="000F67EC"/>
    <w:rsid w:val="000F73F8"/>
    <w:rsid w:val="000F74B8"/>
    <w:rsid w:val="00102DCA"/>
    <w:rsid w:val="00103E5C"/>
    <w:rsid w:val="00106721"/>
    <w:rsid w:val="00106749"/>
    <w:rsid w:val="0010716E"/>
    <w:rsid w:val="00107AC8"/>
    <w:rsid w:val="00110187"/>
    <w:rsid w:val="00112C4E"/>
    <w:rsid w:val="001136FE"/>
    <w:rsid w:val="0011509D"/>
    <w:rsid w:val="001157F1"/>
    <w:rsid w:val="00115EF8"/>
    <w:rsid w:val="001174E4"/>
    <w:rsid w:val="001200DB"/>
    <w:rsid w:val="00120F4A"/>
    <w:rsid w:val="001217F3"/>
    <w:rsid w:val="0012267B"/>
    <w:rsid w:val="0012606E"/>
    <w:rsid w:val="00127326"/>
    <w:rsid w:val="00127532"/>
    <w:rsid w:val="00130F37"/>
    <w:rsid w:val="00132569"/>
    <w:rsid w:val="00133A28"/>
    <w:rsid w:val="00134645"/>
    <w:rsid w:val="00134660"/>
    <w:rsid w:val="00134673"/>
    <w:rsid w:val="001349C1"/>
    <w:rsid w:val="00134F9E"/>
    <w:rsid w:val="0013560F"/>
    <w:rsid w:val="001362B1"/>
    <w:rsid w:val="00136B8B"/>
    <w:rsid w:val="0014258E"/>
    <w:rsid w:val="00142EDC"/>
    <w:rsid w:val="0014329A"/>
    <w:rsid w:val="0014343A"/>
    <w:rsid w:val="00143B3D"/>
    <w:rsid w:val="00143BDB"/>
    <w:rsid w:val="00143E23"/>
    <w:rsid w:val="00146103"/>
    <w:rsid w:val="001464EB"/>
    <w:rsid w:val="00147148"/>
    <w:rsid w:val="00147416"/>
    <w:rsid w:val="00150954"/>
    <w:rsid w:val="00151465"/>
    <w:rsid w:val="001514D8"/>
    <w:rsid w:val="00151C21"/>
    <w:rsid w:val="001533FF"/>
    <w:rsid w:val="00154205"/>
    <w:rsid w:val="0015551D"/>
    <w:rsid w:val="00155A9D"/>
    <w:rsid w:val="00155B6A"/>
    <w:rsid w:val="00156CD7"/>
    <w:rsid w:val="0015743D"/>
    <w:rsid w:val="001574F8"/>
    <w:rsid w:val="00157ADB"/>
    <w:rsid w:val="00157D9E"/>
    <w:rsid w:val="0016009C"/>
    <w:rsid w:val="00160BD3"/>
    <w:rsid w:val="00160F9D"/>
    <w:rsid w:val="00161A12"/>
    <w:rsid w:val="00161E75"/>
    <w:rsid w:val="00166B6A"/>
    <w:rsid w:val="00172201"/>
    <w:rsid w:val="0017364B"/>
    <w:rsid w:val="001748E7"/>
    <w:rsid w:val="00174927"/>
    <w:rsid w:val="00175BF4"/>
    <w:rsid w:val="00177221"/>
    <w:rsid w:val="001801F2"/>
    <w:rsid w:val="001802F2"/>
    <w:rsid w:val="0018057D"/>
    <w:rsid w:val="00180CCE"/>
    <w:rsid w:val="00182F91"/>
    <w:rsid w:val="001832B5"/>
    <w:rsid w:val="001835FD"/>
    <w:rsid w:val="00185B24"/>
    <w:rsid w:val="00185D5B"/>
    <w:rsid w:val="00185F2B"/>
    <w:rsid w:val="001872D1"/>
    <w:rsid w:val="001903A4"/>
    <w:rsid w:val="0019077E"/>
    <w:rsid w:val="00191DDC"/>
    <w:rsid w:val="00192050"/>
    <w:rsid w:val="00193290"/>
    <w:rsid w:val="00193F56"/>
    <w:rsid w:val="001952E4"/>
    <w:rsid w:val="0019532A"/>
    <w:rsid w:val="001953E4"/>
    <w:rsid w:val="00196503"/>
    <w:rsid w:val="0019751A"/>
    <w:rsid w:val="00197A0D"/>
    <w:rsid w:val="00197E54"/>
    <w:rsid w:val="001A1848"/>
    <w:rsid w:val="001A239D"/>
    <w:rsid w:val="001A23E4"/>
    <w:rsid w:val="001A2968"/>
    <w:rsid w:val="001A49AF"/>
    <w:rsid w:val="001A4C7F"/>
    <w:rsid w:val="001A5196"/>
    <w:rsid w:val="001A6556"/>
    <w:rsid w:val="001A7B78"/>
    <w:rsid w:val="001B0A20"/>
    <w:rsid w:val="001B169B"/>
    <w:rsid w:val="001B18FD"/>
    <w:rsid w:val="001B19B1"/>
    <w:rsid w:val="001B1C40"/>
    <w:rsid w:val="001B1F2A"/>
    <w:rsid w:val="001B1FCE"/>
    <w:rsid w:val="001B37B4"/>
    <w:rsid w:val="001B3F2B"/>
    <w:rsid w:val="001B4678"/>
    <w:rsid w:val="001B4880"/>
    <w:rsid w:val="001B516F"/>
    <w:rsid w:val="001B5EB7"/>
    <w:rsid w:val="001B6F80"/>
    <w:rsid w:val="001B72A7"/>
    <w:rsid w:val="001B7425"/>
    <w:rsid w:val="001B7BDC"/>
    <w:rsid w:val="001C0D80"/>
    <w:rsid w:val="001C13F6"/>
    <w:rsid w:val="001C1C34"/>
    <w:rsid w:val="001C3C6B"/>
    <w:rsid w:val="001C41E3"/>
    <w:rsid w:val="001C5341"/>
    <w:rsid w:val="001C57E1"/>
    <w:rsid w:val="001C5EFE"/>
    <w:rsid w:val="001C634F"/>
    <w:rsid w:val="001C7EDD"/>
    <w:rsid w:val="001D00AF"/>
    <w:rsid w:val="001D1B6E"/>
    <w:rsid w:val="001D268C"/>
    <w:rsid w:val="001D30CE"/>
    <w:rsid w:val="001D4978"/>
    <w:rsid w:val="001D4EAD"/>
    <w:rsid w:val="001D554E"/>
    <w:rsid w:val="001D57D4"/>
    <w:rsid w:val="001D588D"/>
    <w:rsid w:val="001E0883"/>
    <w:rsid w:val="001E115D"/>
    <w:rsid w:val="001E4EA0"/>
    <w:rsid w:val="001E605D"/>
    <w:rsid w:val="001E6673"/>
    <w:rsid w:val="001E6D30"/>
    <w:rsid w:val="001E7433"/>
    <w:rsid w:val="001F01D2"/>
    <w:rsid w:val="001F3430"/>
    <w:rsid w:val="001F35C1"/>
    <w:rsid w:val="001F41AD"/>
    <w:rsid w:val="001F7C5C"/>
    <w:rsid w:val="002011B1"/>
    <w:rsid w:val="002012B9"/>
    <w:rsid w:val="0020433E"/>
    <w:rsid w:val="0020453A"/>
    <w:rsid w:val="00205D1C"/>
    <w:rsid w:val="00205D85"/>
    <w:rsid w:val="00205F4C"/>
    <w:rsid w:val="002072B2"/>
    <w:rsid w:val="00207852"/>
    <w:rsid w:val="00207F1A"/>
    <w:rsid w:val="00210F27"/>
    <w:rsid w:val="0021122A"/>
    <w:rsid w:val="00211C1C"/>
    <w:rsid w:val="00211D80"/>
    <w:rsid w:val="00213266"/>
    <w:rsid w:val="00213D09"/>
    <w:rsid w:val="0021466C"/>
    <w:rsid w:val="0021525F"/>
    <w:rsid w:val="002153EE"/>
    <w:rsid w:val="002157B1"/>
    <w:rsid w:val="00215B64"/>
    <w:rsid w:val="00215C36"/>
    <w:rsid w:val="00215D6E"/>
    <w:rsid w:val="00216037"/>
    <w:rsid w:val="0021757F"/>
    <w:rsid w:val="002209C2"/>
    <w:rsid w:val="002214DD"/>
    <w:rsid w:val="00223BC0"/>
    <w:rsid w:val="002241C7"/>
    <w:rsid w:val="002244DA"/>
    <w:rsid w:val="0022482B"/>
    <w:rsid w:val="00225777"/>
    <w:rsid w:val="0022665C"/>
    <w:rsid w:val="00226D52"/>
    <w:rsid w:val="00227884"/>
    <w:rsid w:val="0023020D"/>
    <w:rsid w:val="00230520"/>
    <w:rsid w:val="002327B3"/>
    <w:rsid w:val="0023320E"/>
    <w:rsid w:val="00233229"/>
    <w:rsid w:val="00234196"/>
    <w:rsid w:val="002345D3"/>
    <w:rsid w:val="002349C1"/>
    <w:rsid w:val="002350FB"/>
    <w:rsid w:val="00235BB3"/>
    <w:rsid w:val="00235BFC"/>
    <w:rsid w:val="00236740"/>
    <w:rsid w:val="0024103A"/>
    <w:rsid w:val="00241370"/>
    <w:rsid w:val="002423DE"/>
    <w:rsid w:val="00242AC3"/>
    <w:rsid w:val="00242CD0"/>
    <w:rsid w:val="0024331C"/>
    <w:rsid w:val="002438AF"/>
    <w:rsid w:val="002454CC"/>
    <w:rsid w:val="002459C2"/>
    <w:rsid w:val="00245AB4"/>
    <w:rsid w:val="00247807"/>
    <w:rsid w:val="00250CA5"/>
    <w:rsid w:val="00251F97"/>
    <w:rsid w:val="00252F16"/>
    <w:rsid w:val="00252F82"/>
    <w:rsid w:val="00253427"/>
    <w:rsid w:val="00254DAC"/>
    <w:rsid w:val="00255960"/>
    <w:rsid w:val="00256D19"/>
    <w:rsid w:val="00260F65"/>
    <w:rsid w:val="0026428A"/>
    <w:rsid w:val="00264D1F"/>
    <w:rsid w:val="002657A3"/>
    <w:rsid w:val="00265E79"/>
    <w:rsid w:val="002661FC"/>
    <w:rsid w:val="002666C1"/>
    <w:rsid w:val="00266CD6"/>
    <w:rsid w:val="00266F3C"/>
    <w:rsid w:val="00267113"/>
    <w:rsid w:val="00270338"/>
    <w:rsid w:val="00270A91"/>
    <w:rsid w:val="00275AC1"/>
    <w:rsid w:val="00275ECC"/>
    <w:rsid w:val="00276C6A"/>
    <w:rsid w:val="002772D8"/>
    <w:rsid w:val="002777CC"/>
    <w:rsid w:val="00277815"/>
    <w:rsid w:val="002807B7"/>
    <w:rsid w:val="002807FC"/>
    <w:rsid w:val="0028305A"/>
    <w:rsid w:val="0028340E"/>
    <w:rsid w:val="00285FFE"/>
    <w:rsid w:val="00287972"/>
    <w:rsid w:val="00290F58"/>
    <w:rsid w:val="00291A68"/>
    <w:rsid w:val="002944B3"/>
    <w:rsid w:val="00294DD7"/>
    <w:rsid w:val="002959A4"/>
    <w:rsid w:val="002968F9"/>
    <w:rsid w:val="00297FA7"/>
    <w:rsid w:val="002A108E"/>
    <w:rsid w:val="002A12BB"/>
    <w:rsid w:val="002A1EF3"/>
    <w:rsid w:val="002A25A2"/>
    <w:rsid w:val="002A371C"/>
    <w:rsid w:val="002A377A"/>
    <w:rsid w:val="002A4E97"/>
    <w:rsid w:val="002A53FA"/>
    <w:rsid w:val="002A631E"/>
    <w:rsid w:val="002A63DC"/>
    <w:rsid w:val="002A65D8"/>
    <w:rsid w:val="002A74A0"/>
    <w:rsid w:val="002B07B6"/>
    <w:rsid w:val="002B096C"/>
    <w:rsid w:val="002B0E11"/>
    <w:rsid w:val="002B2B1E"/>
    <w:rsid w:val="002B3C09"/>
    <w:rsid w:val="002B5807"/>
    <w:rsid w:val="002B7452"/>
    <w:rsid w:val="002B7BC2"/>
    <w:rsid w:val="002C139E"/>
    <w:rsid w:val="002C1D18"/>
    <w:rsid w:val="002C3E54"/>
    <w:rsid w:val="002C40E4"/>
    <w:rsid w:val="002C5217"/>
    <w:rsid w:val="002C6168"/>
    <w:rsid w:val="002C6706"/>
    <w:rsid w:val="002C7AA1"/>
    <w:rsid w:val="002D0951"/>
    <w:rsid w:val="002D1CD0"/>
    <w:rsid w:val="002D21F1"/>
    <w:rsid w:val="002D371A"/>
    <w:rsid w:val="002D4B7D"/>
    <w:rsid w:val="002D55B8"/>
    <w:rsid w:val="002D59F4"/>
    <w:rsid w:val="002D5CB8"/>
    <w:rsid w:val="002D6C61"/>
    <w:rsid w:val="002D775F"/>
    <w:rsid w:val="002E0057"/>
    <w:rsid w:val="002E1964"/>
    <w:rsid w:val="002E239B"/>
    <w:rsid w:val="002E30F6"/>
    <w:rsid w:val="002E59FD"/>
    <w:rsid w:val="002E5E12"/>
    <w:rsid w:val="002E6927"/>
    <w:rsid w:val="002F0111"/>
    <w:rsid w:val="002F0252"/>
    <w:rsid w:val="002F0362"/>
    <w:rsid w:val="002F070B"/>
    <w:rsid w:val="002F1618"/>
    <w:rsid w:val="002F175E"/>
    <w:rsid w:val="002F29A8"/>
    <w:rsid w:val="002F2DF2"/>
    <w:rsid w:val="002F6C30"/>
    <w:rsid w:val="0030163D"/>
    <w:rsid w:val="00301996"/>
    <w:rsid w:val="003019C9"/>
    <w:rsid w:val="00302102"/>
    <w:rsid w:val="00302A1F"/>
    <w:rsid w:val="00302B5F"/>
    <w:rsid w:val="00302E4A"/>
    <w:rsid w:val="00302F72"/>
    <w:rsid w:val="00305F18"/>
    <w:rsid w:val="00306031"/>
    <w:rsid w:val="00306C33"/>
    <w:rsid w:val="00306CE3"/>
    <w:rsid w:val="00307971"/>
    <w:rsid w:val="00307BCD"/>
    <w:rsid w:val="003104EB"/>
    <w:rsid w:val="00311E59"/>
    <w:rsid w:val="0031268B"/>
    <w:rsid w:val="00312867"/>
    <w:rsid w:val="00312C80"/>
    <w:rsid w:val="00312DAE"/>
    <w:rsid w:val="0031367D"/>
    <w:rsid w:val="00313D9D"/>
    <w:rsid w:val="00314826"/>
    <w:rsid w:val="003175A5"/>
    <w:rsid w:val="00320A26"/>
    <w:rsid w:val="0032142B"/>
    <w:rsid w:val="00321598"/>
    <w:rsid w:val="00321F50"/>
    <w:rsid w:val="003225B5"/>
    <w:rsid w:val="003231B5"/>
    <w:rsid w:val="00324AE0"/>
    <w:rsid w:val="00325339"/>
    <w:rsid w:val="00326726"/>
    <w:rsid w:val="00326864"/>
    <w:rsid w:val="00326C48"/>
    <w:rsid w:val="003276C7"/>
    <w:rsid w:val="00330654"/>
    <w:rsid w:val="003306CF"/>
    <w:rsid w:val="00333494"/>
    <w:rsid w:val="003350B9"/>
    <w:rsid w:val="00335DDD"/>
    <w:rsid w:val="00342170"/>
    <w:rsid w:val="0034294F"/>
    <w:rsid w:val="003449A9"/>
    <w:rsid w:val="003451FD"/>
    <w:rsid w:val="00345222"/>
    <w:rsid w:val="0034545B"/>
    <w:rsid w:val="00345906"/>
    <w:rsid w:val="00350252"/>
    <w:rsid w:val="003505B3"/>
    <w:rsid w:val="00350C5E"/>
    <w:rsid w:val="00351C30"/>
    <w:rsid w:val="0035369A"/>
    <w:rsid w:val="00354820"/>
    <w:rsid w:val="00354E27"/>
    <w:rsid w:val="00354E3E"/>
    <w:rsid w:val="00355519"/>
    <w:rsid w:val="00355BF0"/>
    <w:rsid w:val="0035608A"/>
    <w:rsid w:val="00360957"/>
    <w:rsid w:val="00362EAB"/>
    <w:rsid w:val="00362F9F"/>
    <w:rsid w:val="00362FC4"/>
    <w:rsid w:val="0036545E"/>
    <w:rsid w:val="0036566B"/>
    <w:rsid w:val="003661FD"/>
    <w:rsid w:val="00366699"/>
    <w:rsid w:val="00366EF4"/>
    <w:rsid w:val="00367030"/>
    <w:rsid w:val="0036737E"/>
    <w:rsid w:val="003675D3"/>
    <w:rsid w:val="00367E92"/>
    <w:rsid w:val="00373C93"/>
    <w:rsid w:val="0037558E"/>
    <w:rsid w:val="003755FF"/>
    <w:rsid w:val="00377076"/>
    <w:rsid w:val="0037737D"/>
    <w:rsid w:val="00377733"/>
    <w:rsid w:val="00377784"/>
    <w:rsid w:val="0037791F"/>
    <w:rsid w:val="003809CA"/>
    <w:rsid w:val="00381329"/>
    <w:rsid w:val="0038228C"/>
    <w:rsid w:val="00383971"/>
    <w:rsid w:val="003839A5"/>
    <w:rsid w:val="00384AD4"/>
    <w:rsid w:val="00386083"/>
    <w:rsid w:val="00387429"/>
    <w:rsid w:val="0038773B"/>
    <w:rsid w:val="00390292"/>
    <w:rsid w:val="00390586"/>
    <w:rsid w:val="003918C0"/>
    <w:rsid w:val="00392D4F"/>
    <w:rsid w:val="003938DF"/>
    <w:rsid w:val="0039523F"/>
    <w:rsid w:val="00395C82"/>
    <w:rsid w:val="00397A07"/>
    <w:rsid w:val="003A0049"/>
    <w:rsid w:val="003A042F"/>
    <w:rsid w:val="003A2A03"/>
    <w:rsid w:val="003A2FC5"/>
    <w:rsid w:val="003A4031"/>
    <w:rsid w:val="003A4346"/>
    <w:rsid w:val="003A519D"/>
    <w:rsid w:val="003A56A3"/>
    <w:rsid w:val="003A668D"/>
    <w:rsid w:val="003A6B23"/>
    <w:rsid w:val="003A7C4C"/>
    <w:rsid w:val="003A7D61"/>
    <w:rsid w:val="003B00FB"/>
    <w:rsid w:val="003B0506"/>
    <w:rsid w:val="003B345B"/>
    <w:rsid w:val="003B4810"/>
    <w:rsid w:val="003B4FF7"/>
    <w:rsid w:val="003B7674"/>
    <w:rsid w:val="003C1E09"/>
    <w:rsid w:val="003C2A99"/>
    <w:rsid w:val="003C46F5"/>
    <w:rsid w:val="003C4BBB"/>
    <w:rsid w:val="003C5EA2"/>
    <w:rsid w:val="003C6154"/>
    <w:rsid w:val="003C6AAC"/>
    <w:rsid w:val="003C740F"/>
    <w:rsid w:val="003C76BC"/>
    <w:rsid w:val="003D0A0E"/>
    <w:rsid w:val="003D0A1E"/>
    <w:rsid w:val="003D12BA"/>
    <w:rsid w:val="003D4619"/>
    <w:rsid w:val="003D5109"/>
    <w:rsid w:val="003D6B2B"/>
    <w:rsid w:val="003D799F"/>
    <w:rsid w:val="003D7C51"/>
    <w:rsid w:val="003E2FDF"/>
    <w:rsid w:val="003E330B"/>
    <w:rsid w:val="003E33B8"/>
    <w:rsid w:val="003E3441"/>
    <w:rsid w:val="003E3EF3"/>
    <w:rsid w:val="003E44F3"/>
    <w:rsid w:val="003E4706"/>
    <w:rsid w:val="003E4D36"/>
    <w:rsid w:val="003E53F9"/>
    <w:rsid w:val="003E5D20"/>
    <w:rsid w:val="003E5F76"/>
    <w:rsid w:val="003E5FDA"/>
    <w:rsid w:val="003E791E"/>
    <w:rsid w:val="003E7EBE"/>
    <w:rsid w:val="003F01F9"/>
    <w:rsid w:val="003F2C69"/>
    <w:rsid w:val="003F466C"/>
    <w:rsid w:val="003F4E0D"/>
    <w:rsid w:val="003F5259"/>
    <w:rsid w:val="003F739D"/>
    <w:rsid w:val="003F7FD2"/>
    <w:rsid w:val="00402239"/>
    <w:rsid w:val="004038DA"/>
    <w:rsid w:val="0040434C"/>
    <w:rsid w:val="00404647"/>
    <w:rsid w:val="004054D2"/>
    <w:rsid w:val="004060A1"/>
    <w:rsid w:val="00407C43"/>
    <w:rsid w:val="004102EB"/>
    <w:rsid w:val="00410B97"/>
    <w:rsid w:val="00411A88"/>
    <w:rsid w:val="00412695"/>
    <w:rsid w:val="00413208"/>
    <w:rsid w:val="00413C5B"/>
    <w:rsid w:val="00414236"/>
    <w:rsid w:val="0041486A"/>
    <w:rsid w:val="00417452"/>
    <w:rsid w:val="00417E6B"/>
    <w:rsid w:val="004203DF"/>
    <w:rsid w:val="00423AAE"/>
    <w:rsid w:val="00423F6C"/>
    <w:rsid w:val="00424CD2"/>
    <w:rsid w:val="00425F05"/>
    <w:rsid w:val="00426903"/>
    <w:rsid w:val="00430164"/>
    <w:rsid w:val="0043219F"/>
    <w:rsid w:val="004327C9"/>
    <w:rsid w:val="00432E6E"/>
    <w:rsid w:val="00432F15"/>
    <w:rsid w:val="00433027"/>
    <w:rsid w:val="004352D4"/>
    <w:rsid w:val="00435DB8"/>
    <w:rsid w:val="004375ED"/>
    <w:rsid w:val="004378EA"/>
    <w:rsid w:val="00437A48"/>
    <w:rsid w:val="00440D3E"/>
    <w:rsid w:val="00441F36"/>
    <w:rsid w:val="00442317"/>
    <w:rsid w:val="00442924"/>
    <w:rsid w:val="00442D66"/>
    <w:rsid w:val="00443388"/>
    <w:rsid w:val="00443FA6"/>
    <w:rsid w:val="004441AD"/>
    <w:rsid w:val="0044430A"/>
    <w:rsid w:val="00444DB6"/>
    <w:rsid w:val="00446659"/>
    <w:rsid w:val="00446C12"/>
    <w:rsid w:val="00447572"/>
    <w:rsid w:val="00450963"/>
    <w:rsid w:val="00451700"/>
    <w:rsid w:val="00451C32"/>
    <w:rsid w:val="00453496"/>
    <w:rsid w:val="004544A7"/>
    <w:rsid w:val="00454C93"/>
    <w:rsid w:val="004560BE"/>
    <w:rsid w:val="00456732"/>
    <w:rsid w:val="00457C7F"/>
    <w:rsid w:val="00460214"/>
    <w:rsid w:val="004607FA"/>
    <w:rsid w:val="0046201D"/>
    <w:rsid w:val="004626CF"/>
    <w:rsid w:val="00462A8F"/>
    <w:rsid w:val="004634C5"/>
    <w:rsid w:val="00463AC4"/>
    <w:rsid w:val="00464AC5"/>
    <w:rsid w:val="00466FF0"/>
    <w:rsid w:val="00467145"/>
    <w:rsid w:val="00467B89"/>
    <w:rsid w:val="00471101"/>
    <w:rsid w:val="004716C8"/>
    <w:rsid w:val="00471B17"/>
    <w:rsid w:val="0047248E"/>
    <w:rsid w:val="00473A30"/>
    <w:rsid w:val="00474D82"/>
    <w:rsid w:val="00475742"/>
    <w:rsid w:val="004770A7"/>
    <w:rsid w:val="00477D54"/>
    <w:rsid w:val="00481343"/>
    <w:rsid w:val="00481AD9"/>
    <w:rsid w:val="00483C3A"/>
    <w:rsid w:val="00483F6A"/>
    <w:rsid w:val="004853F9"/>
    <w:rsid w:val="00486DD4"/>
    <w:rsid w:val="00487BA3"/>
    <w:rsid w:val="00487FB5"/>
    <w:rsid w:val="00490180"/>
    <w:rsid w:val="004901CA"/>
    <w:rsid w:val="004907FB"/>
    <w:rsid w:val="00492007"/>
    <w:rsid w:val="0049275E"/>
    <w:rsid w:val="0049283E"/>
    <w:rsid w:val="00492B2D"/>
    <w:rsid w:val="00493630"/>
    <w:rsid w:val="00495F10"/>
    <w:rsid w:val="004964B1"/>
    <w:rsid w:val="004966C3"/>
    <w:rsid w:val="004975AC"/>
    <w:rsid w:val="00497864"/>
    <w:rsid w:val="004978E7"/>
    <w:rsid w:val="004A1792"/>
    <w:rsid w:val="004A1C1A"/>
    <w:rsid w:val="004A3957"/>
    <w:rsid w:val="004B038C"/>
    <w:rsid w:val="004B32EB"/>
    <w:rsid w:val="004B33FB"/>
    <w:rsid w:val="004B36E4"/>
    <w:rsid w:val="004B3823"/>
    <w:rsid w:val="004B55F2"/>
    <w:rsid w:val="004B5659"/>
    <w:rsid w:val="004B57D8"/>
    <w:rsid w:val="004B5F5E"/>
    <w:rsid w:val="004B61B4"/>
    <w:rsid w:val="004B704E"/>
    <w:rsid w:val="004C2049"/>
    <w:rsid w:val="004C2706"/>
    <w:rsid w:val="004C374D"/>
    <w:rsid w:val="004C384B"/>
    <w:rsid w:val="004C3BB3"/>
    <w:rsid w:val="004C3C44"/>
    <w:rsid w:val="004C53EF"/>
    <w:rsid w:val="004C5E41"/>
    <w:rsid w:val="004C6DB6"/>
    <w:rsid w:val="004C7055"/>
    <w:rsid w:val="004C7927"/>
    <w:rsid w:val="004C79B8"/>
    <w:rsid w:val="004D0DBE"/>
    <w:rsid w:val="004D2276"/>
    <w:rsid w:val="004D27EA"/>
    <w:rsid w:val="004D3DE0"/>
    <w:rsid w:val="004D5B21"/>
    <w:rsid w:val="004D5B80"/>
    <w:rsid w:val="004D64CA"/>
    <w:rsid w:val="004D6EFC"/>
    <w:rsid w:val="004D733B"/>
    <w:rsid w:val="004E1447"/>
    <w:rsid w:val="004E157E"/>
    <w:rsid w:val="004E1A3E"/>
    <w:rsid w:val="004E3993"/>
    <w:rsid w:val="004E4AE4"/>
    <w:rsid w:val="004E616D"/>
    <w:rsid w:val="004E699F"/>
    <w:rsid w:val="004F058E"/>
    <w:rsid w:val="004F0956"/>
    <w:rsid w:val="004F1461"/>
    <w:rsid w:val="004F1AF7"/>
    <w:rsid w:val="004F3CAF"/>
    <w:rsid w:val="004F3DDF"/>
    <w:rsid w:val="004F58F7"/>
    <w:rsid w:val="004F6E45"/>
    <w:rsid w:val="004F71EC"/>
    <w:rsid w:val="004F7FB9"/>
    <w:rsid w:val="00500567"/>
    <w:rsid w:val="00501924"/>
    <w:rsid w:val="00502C6D"/>
    <w:rsid w:val="00502E0D"/>
    <w:rsid w:val="0050736B"/>
    <w:rsid w:val="00507824"/>
    <w:rsid w:val="00510371"/>
    <w:rsid w:val="00510C3F"/>
    <w:rsid w:val="005112D2"/>
    <w:rsid w:val="00511501"/>
    <w:rsid w:val="00511A5E"/>
    <w:rsid w:val="00512960"/>
    <w:rsid w:val="00512B93"/>
    <w:rsid w:val="005132BB"/>
    <w:rsid w:val="00514124"/>
    <w:rsid w:val="0051575C"/>
    <w:rsid w:val="00516450"/>
    <w:rsid w:val="00516652"/>
    <w:rsid w:val="00516D35"/>
    <w:rsid w:val="00517403"/>
    <w:rsid w:val="005222DC"/>
    <w:rsid w:val="005244C4"/>
    <w:rsid w:val="005245DD"/>
    <w:rsid w:val="005274C9"/>
    <w:rsid w:val="00532544"/>
    <w:rsid w:val="00534E98"/>
    <w:rsid w:val="00535BFB"/>
    <w:rsid w:val="00535EEE"/>
    <w:rsid w:val="0053600B"/>
    <w:rsid w:val="00537BD5"/>
    <w:rsid w:val="00541632"/>
    <w:rsid w:val="00541C5E"/>
    <w:rsid w:val="005422F2"/>
    <w:rsid w:val="00543140"/>
    <w:rsid w:val="005442BE"/>
    <w:rsid w:val="00544EE3"/>
    <w:rsid w:val="0054524F"/>
    <w:rsid w:val="005463A3"/>
    <w:rsid w:val="00547CCF"/>
    <w:rsid w:val="00547EBE"/>
    <w:rsid w:val="00551529"/>
    <w:rsid w:val="00551633"/>
    <w:rsid w:val="00552E4C"/>
    <w:rsid w:val="005535E5"/>
    <w:rsid w:val="00556C80"/>
    <w:rsid w:val="0055767C"/>
    <w:rsid w:val="00557C73"/>
    <w:rsid w:val="00560672"/>
    <w:rsid w:val="00560FD9"/>
    <w:rsid w:val="00562020"/>
    <w:rsid w:val="0056249A"/>
    <w:rsid w:val="00562CFD"/>
    <w:rsid w:val="00562FAD"/>
    <w:rsid w:val="0056303F"/>
    <w:rsid w:val="0056486C"/>
    <w:rsid w:val="00564C77"/>
    <w:rsid w:val="005653E3"/>
    <w:rsid w:val="00567A28"/>
    <w:rsid w:val="00567F36"/>
    <w:rsid w:val="00570210"/>
    <w:rsid w:val="00570316"/>
    <w:rsid w:val="005710AC"/>
    <w:rsid w:val="005714A1"/>
    <w:rsid w:val="00572B53"/>
    <w:rsid w:val="00573144"/>
    <w:rsid w:val="005735EA"/>
    <w:rsid w:val="0057422C"/>
    <w:rsid w:val="00575F87"/>
    <w:rsid w:val="005763E7"/>
    <w:rsid w:val="00577B5F"/>
    <w:rsid w:val="00580549"/>
    <w:rsid w:val="00580717"/>
    <w:rsid w:val="00581431"/>
    <w:rsid w:val="00581433"/>
    <w:rsid w:val="00584DEF"/>
    <w:rsid w:val="00585BAA"/>
    <w:rsid w:val="00585D18"/>
    <w:rsid w:val="005863C3"/>
    <w:rsid w:val="00586A4C"/>
    <w:rsid w:val="00590035"/>
    <w:rsid w:val="0059040C"/>
    <w:rsid w:val="00590DAD"/>
    <w:rsid w:val="0059144E"/>
    <w:rsid w:val="0059192E"/>
    <w:rsid w:val="005949ED"/>
    <w:rsid w:val="00595D76"/>
    <w:rsid w:val="005962E9"/>
    <w:rsid w:val="0059784A"/>
    <w:rsid w:val="005A0AC7"/>
    <w:rsid w:val="005A0B38"/>
    <w:rsid w:val="005A10BB"/>
    <w:rsid w:val="005A3907"/>
    <w:rsid w:val="005A39FD"/>
    <w:rsid w:val="005A3B8F"/>
    <w:rsid w:val="005A55BB"/>
    <w:rsid w:val="005A5962"/>
    <w:rsid w:val="005A7732"/>
    <w:rsid w:val="005A7FA4"/>
    <w:rsid w:val="005B0695"/>
    <w:rsid w:val="005B06BB"/>
    <w:rsid w:val="005B086F"/>
    <w:rsid w:val="005B089A"/>
    <w:rsid w:val="005B28BF"/>
    <w:rsid w:val="005B4987"/>
    <w:rsid w:val="005B5B4E"/>
    <w:rsid w:val="005B735A"/>
    <w:rsid w:val="005C0FBC"/>
    <w:rsid w:val="005C1898"/>
    <w:rsid w:val="005C1CC1"/>
    <w:rsid w:val="005C29BF"/>
    <w:rsid w:val="005C391C"/>
    <w:rsid w:val="005C492B"/>
    <w:rsid w:val="005C4F42"/>
    <w:rsid w:val="005C6E15"/>
    <w:rsid w:val="005D00A4"/>
    <w:rsid w:val="005D035D"/>
    <w:rsid w:val="005D06A7"/>
    <w:rsid w:val="005D0748"/>
    <w:rsid w:val="005D0CE6"/>
    <w:rsid w:val="005D1B7E"/>
    <w:rsid w:val="005D2849"/>
    <w:rsid w:val="005D3B57"/>
    <w:rsid w:val="005D49FC"/>
    <w:rsid w:val="005D4EE9"/>
    <w:rsid w:val="005D53B3"/>
    <w:rsid w:val="005D5622"/>
    <w:rsid w:val="005D5ADA"/>
    <w:rsid w:val="005D5D08"/>
    <w:rsid w:val="005D5F71"/>
    <w:rsid w:val="005D6423"/>
    <w:rsid w:val="005D72BC"/>
    <w:rsid w:val="005D7A3A"/>
    <w:rsid w:val="005E0C01"/>
    <w:rsid w:val="005E0D50"/>
    <w:rsid w:val="005E1320"/>
    <w:rsid w:val="005E161E"/>
    <w:rsid w:val="005E20B6"/>
    <w:rsid w:val="005E575A"/>
    <w:rsid w:val="005E5C2C"/>
    <w:rsid w:val="005E7875"/>
    <w:rsid w:val="005E7B86"/>
    <w:rsid w:val="005E7CDE"/>
    <w:rsid w:val="005F037B"/>
    <w:rsid w:val="005F0707"/>
    <w:rsid w:val="005F1895"/>
    <w:rsid w:val="005F2845"/>
    <w:rsid w:val="005F29BC"/>
    <w:rsid w:val="005F4470"/>
    <w:rsid w:val="005F4B23"/>
    <w:rsid w:val="005F7FCD"/>
    <w:rsid w:val="006002AE"/>
    <w:rsid w:val="006005DF"/>
    <w:rsid w:val="00601F45"/>
    <w:rsid w:val="00602917"/>
    <w:rsid w:val="00603AE8"/>
    <w:rsid w:val="00605B33"/>
    <w:rsid w:val="006069E3"/>
    <w:rsid w:val="006076F1"/>
    <w:rsid w:val="0060770B"/>
    <w:rsid w:val="00607DEF"/>
    <w:rsid w:val="006100EA"/>
    <w:rsid w:val="00611370"/>
    <w:rsid w:val="00611665"/>
    <w:rsid w:val="00611B1B"/>
    <w:rsid w:val="00613272"/>
    <w:rsid w:val="00614963"/>
    <w:rsid w:val="00615DBB"/>
    <w:rsid w:val="00616039"/>
    <w:rsid w:val="006170DA"/>
    <w:rsid w:val="0061727E"/>
    <w:rsid w:val="00617561"/>
    <w:rsid w:val="006219C2"/>
    <w:rsid w:val="00627331"/>
    <w:rsid w:val="00627B42"/>
    <w:rsid w:val="0063338C"/>
    <w:rsid w:val="006337FB"/>
    <w:rsid w:val="00633DD2"/>
    <w:rsid w:val="006342AF"/>
    <w:rsid w:val="00634730"/>
    <w:rsid w:val="00635B2A"/>
    <w:rsid w:val="006416EF"/>
    <w:rsid w:val="00643000"/>
    <w:rsid w:val="00643D81"/>
    <w:rsid w:val="0064589D"/>
    <w:rsid w:val="0064735C"/>
    <w:rsid w:val="006512CE"/>
    <w:rsid w:val="0065167F"/>
    <w:rsid w:val="00651D26"/>
    <w:rsid w:val="006520B9"/>
    <w:rsid w:val="00652AFD"/>
    <w:rsid w:val="00652BA3"/>
    <w:rsid w:val="0065409F"/>
    <w:rsid w:val="00654459"/>
    <w:rsid w:val="00654C8A"/>
    <w:rsid w:val="006571C1"/>
    <w:rsid w:val="00660B65"/>
    <w:rsid w:val="0066207C"/>
    <w:rsid w:val="00662FAC"/>
    <w:rsid w:val="006632D2"/>
    <w:rsid w:val="006718C9"/>
    <w:rsid w:val="00672573"/>
    <w:rsid w:val="0067321B"/>
    <w:rsid w:val="0067348A"/>
    <w:rsid w:val="00673817"/>
    <w:rsid w:val="00673E5F"/>
    <w:rsid w:val="00680583"/>
    <w:rsid w:val="006816C8"/>
    <w:rsid w:val="006820C5"/>
    <w:rsid w:val="00682162"/>
    <w:rsid w:val="00684169"/>
    <w:rsid w:val="00684B49"/>
    <w:rsid w:val="0069142D"/>
    <w:rsid w:val="00691D4D"/>
    <w:rsid w:val="0069233D"/>
    <w:rsid w:val="0069254D"/>
    <w:rsid w:val="00692A72"/>
    <w:rsid w:val="00693DE4"/>
    <w:rsid w:val="00693F0A"/>
    <w:rsid w:val="006962D0"/>
    <w:rsid w:val="006974CA"/>
    <w:rsid w:val="006A2EF7"/>
    <w:rsid w:val="006A3098"/>
    <w:rsid w:val="006A465E"/>
    <w:rsid w:val="006A4D26"/>
    <w:rsid w:val="006A6175"/>
    <w:rsid w:val="006B1341"/>
    <w:rsid w:val="006B140F"/>
    <w:rsid w:val="006B3AC6"/>
    <w:rsid w:val="006B50F8"/>
    <w:rsid w:val="006B57A0"/>
    <w:rsid w:val="006B5D46"/>
    <w:rsid w:val="006B64DB"/>
    <w:rsid w:val="006B6949"/>
    <w:rsid w:val="006B6B90"/>
    <w:rsid w:val="006B7875"/>
    <w:rsid w:val="006C2A61"/>
    <w:rsid w:val="006C3B8B"/>
    <w:rsid w:val="006C43E4"/>
    <w:rsid w:val="006C5770"/>
    <w:rsid w:val="006C5EBA"/>
    <w:rsid w:val="006C6A0C"/>
    <w:rsid w:val="006D019E"/>
    <w:rsid w:val="006D02AE"/>
    <w:rsid w:val="006D2381"/>
    <w:rsid w:val="006D39DA"/>
    <w:rsid w:val="006D4B62"/>
    <w:rsid w:val="006D5280"/>
    <w:rsid w:val="006D6E75"/>
    <w:rsid w:val="006D711D"/>
    <w:rsid w:val="006D7769"/>
    <w:rsid w:val="006E043F"/>
    <w:rsid w:val="006E0A19"/>
    <w:rsid w:val="006E129B"/>
    <w:rsid w:val="006E278E"/>
    <w:rsid w:val="006E2C25"/>
    <w:rsid w:val="006E30F8"/>
    <w:rsid w:val="006E3E0D"/>
    <w:rsid w:val="006E5765"/>
    <w:rsid w:val="006E5A0D"/>
    <w:rsid w:val="006E7149"/>
    <w:rsid w:val="006F01AC"/>
    <w:rsid w:val="006F20C8"/>
    <w:rsid w:val="006F2379"/>
    <w:rsid w:val="006F35B4"/>
    <w:rsid w:val="006F3B49"/>
    <w:rsid w:val="006F4524"/>
    <w:rsid w:val="006F52DA"/>
    <w:rsid w:val="006F729F"/>
    <w:rsid w:val="006F7BF0"/>
    <w:rsid w:val="00700C6F"/>
    <w:rsid w:val="00700D28"/>
    <w:rsid w:val="007019FE"/>
    <w:rsid w:val="0070220E"/>
    <w:rsid w:val="00702274"/>
    <w:rsid w:val="00702CDB"/>
    <w:rsid w:val="00703995"/>
    <w:rsid w:val="00704667"/>
    <w:rsid w:val="00704C89"/>
    <w:rsid w:val="007057A9"/>
    <w:rsid w:val="00706B4D"/>
    <w:rsid w:val="00707917"/>
    <w:rsid w:val="00710A3F"/>
    <w:rsid w:val="0071101B"/>
    <w:rsid w:val="0071168B"/>
    <w:rsid w:val="007134DB"/>
    <w:rsid w:val="00713BDC"/>
    <w:rsid w:val="00713F2F"/>
    <w:rsid w:val="00714450"/>
    <w:rsid w:val="00714821"/>
    <w:rsid w:val="00714BDF"/>
    <w:rsid w:val="00715ACE"/>
    <w:rsid w:val="00715E29"/>
    <w:rsid w:val="007160C7"/>
    <w:rsid w:val="007161D2"/>
    <w:rsid w:val="00717F95"/>
    <w:rsid w:val="007202AA"/>
    <w:rsid w:val="007221DC"/>
    <w:rsid w:val="00723BEE"/>
    <w:rsid w:val="00725317"/>
    <w:rsid w:val="00725471"/>
    <w:rsid w:val="00725AA0"/>
    <w:rsid w:val="00730532"/>
    <w:rsid w:val="00730851"/>
    <w:rsid w:val="00730D23"/>
    <w:rsid w:val="007312C6"/>
    <w:rsid w:val="007314DD"/>
    <w:rsid w:val="00733C8F"/>
    <w:rsid w:val="0073426E"/>
    <w:rsid w:val="007361C8"/>
    <w:rsid w:val="00736738"/>
    <w:rsid w:val="007401AC"/>
    <w:rsid w:val="007404F2"/>
    <w:rsid w:val="0074129C"/>
    <w:rsid w:val="00742BD5"/>
    <w:rsid w:val="00745B7F"/>
    <w:rsid w:val="007463F2"/>
    <w:rsid w:val="0075041A"/>
    <w:rsid w:val="0075138F"/>
    <w:rsid w:val="00751EDB"/>
    <w:rsid w:val="007530D1"/>
    <w:rsid w:val="007530E0"/>
    <w:rsid w:val="00755120"/>
    <w:rsid w:val="0075723A"/>
    <w:rsid w:val="00762D65"/>
    <w:rsid w:val="00762DAB"/>
    <w:rsid w:val="007636C6"/>
    <w:rsid w:val="007639C9"/>
    <w:rsid w:val="00764C36"/>
    <w:rsid w:val="00764D23"/>
    <w:rsid w:val="00764DC0"/>
    <w:rsid w:val="00764F20"/>
    <w:rsid w:val="00764F41"/>
    <w:rsid w:val="00765A0C"/>
    <w:rsid w:val="00765E2F"/>
    <w:rsid w:val="00765FC8"/>
    <w:rsid w:val="007679BD"/>
    <w:rsid w:val="00771377"/>
    <w:rsid w:val="00772C76"/>
    <w:rsid w:val="007734E9"/>
    <w:rsid w:val="0077626D"/>
    <w:rsid w:val="007779BA"/>
    <w:rsid w:val="00780516"/>
    <w:rsid w:val="007818FB"/>
    <w:rsid w:val="00781F43"/>
    <w:rsid w:val="0078203F"/>
    <w:rsid w:val="007826D7"/>
    <w:rsid w:val="00782B33"/>
    <w:rsid w:val="00782FC9"/>
    <w:rsid w:val="007847EB"/>
    <w:rsid w:val="00784D1E"/>
    <w:rsid w:val="00785D61"/>
    <w:rsid w:val="00786450"/>
    <w:rsid w:val="0078679A"/>
    <w:rsid w:val="00787537"/>
    <w:rsid w:val="00790377"/>
    <w:rsid w:val="00790E45"/>
    <w:rsid w:val="0079151C"/>
    <w:rsid w:val="0079281A"/>
    <w:rsid w:val="007949EC"/>
    <w:rsid w:val="007953B6"/>
    <w:rsid w:val="00797296"/>
    <w:rsid w:val="0079729C"/>
    <w:rsid w:val="007A046A"/>
    <w:rsid w:val="007A1162"/>
    <w:rsid w:val="007A177F"/>
    <w:rsid w:val="007A2C6D"/>
    <w:rsid w:val="007A4916"/>
    <w:rsid w:val="007A513B"/>
    <w:rsid w:val="007A5919"/>
    <w:rsid w:val="007A63DE"/>
    <w:rsid w:val="007A6C72"/>
    <w:rsid w:val="007A74DE"/>
    <w:rsid w:val="007A7644"/>
    <w:rsid w:val="007B004E"/>
    <w:rsid w:val="007B2BC1"/>
    <w:rsid w:val="007B3048"/>
    <w:rsid w:val="007B3E7C"/>
    <w:rsid w:val="007B4DAE"/>
    <w:rsid w:val="007B5B9E"/>
    <w:rsid w:val="007B6AE2"/>
    <w:rsid w:val="007B6EB8"/>
    <w:rsid w:val="007B7983"/>
    <w:rsid w:val="007B7C47"/>
    <w:rsid w:val="007C09F7"/>
    <w:rsid w:val="007C10E5"/>
    <w:rsid w:val="007C2EAF"/>
    <w:rsid w:val="007C5497"/>
    <w:rsid w:val="007C6C34"/>
    <w:rsid w:val="007C6E35"/>
    <w:rsid w:val="007D0062"/>
    <w:rsid w:val="007D30A1"/>
    <w:rsid w:val="007D32BE"/>
    <w:rsid w:val="007D3BA4"/>
    <w:rsid w:val="007D4046"/>
    <w:rsid w:val="007D4B6F"/>
    <w:rsid w:val="007D4D64"/>
    <w:rsid w:val="007D5879"/>
    <w:rsid w:val="007D649E"/>
    <w:rsid w:val="007D75F8"/>
    <w:rsid w:val="007E0D29"/>
    <w:rsid w:val="007E2131"/>
    <w:rsid w:val="007E4026"/>
    <w:rsid w:val="007E45BD"/>
    <w:rsid w:val="007E46A3"/>
    <w:rsid w:val="007E4916"/>
    <w:rsid w:val="007E4CA5"/>
    <w:rsid w:val="007E7476"/>
    <w:rsid w:val="007F0797"/>
    <w:rsid w:val="007F0EC8"/>
    <w:rsid w:val="007F2168"/>
    <w:rsid w:val="007F563B"/>
    <w:rsid w:val="007F5D5E"/>
    <w:rsid w:val="007F674D"/>
    <w:rsid w:val="007F7410"/>
    <w:rsid w:val="007F7622"/>
    <w:rsid w:val="00801B19"/>
    <w:rsid w:val="00802BD0"/>
    <w:rsid w:val="0080597D"/>
    <w:rsid w:val="008066B4"/>
    <w:rsid w:val="008067FA"/>
    <w:rsid w:val="008103D9"/>
    <w:rsid w:val="008154F8"/>
    <w:rsid w:val="00815BED"/>
    <w:rsid w:val="00816AA0"/>
    <w:rsid w:val="00817108"/>
    <w:rsid w:val="008176B6"/>
    <w:rsid w:val="00817792"/>
    <w:rsid w:val="0081781B"/>
    <w:rsid w:val="00817992"/>
    <w:rsid w:val="00817F7E"/>
    <w:rsid w:val="00820517"/>
    <w:rsid w:val="00822236"/>
    <w:rsid w:val="00823194"/>
    <w:rsid w:val="00824C01"/>
    <w:rsid w:val="00824E25"/>
    <w:rsid w:val="0082567A"/>
    <w:rsid w:val="00825993"/>
    <w:rsid w:val="008259F7"/>
    <w:rsid w:val="00830158"/>
    <w:rsid w:val="008305E5"/>
    <w:rsid w:val="008327B7"/>
    <w:rsid w:val="00833D5E"/>
    <w:rsid w:val="00834744"/>
    <w:rsid w:val="0083507C"/>
    <w:rsid w:val="008353BB"/>
    <w:rsid w:val="008358B3"/>
    <w:rsid w:val="00835CF8"/>
    <w:rsid w:val="00836908"/>
    <w:rsid w:val="00841727"/>
    <w:rsid w:val="00841756"/>
    <w:rsid w:val="00841EAD"/>
    <w:rsid w:val="00843467"/>
    <w:rsid w:val="00843DAA"/>
    <w:rsid w:val="008448F6"/>
    <w:rsid w:val="008451BE"/>
    <w:rsid w:val="008457FC"/>
    <w:rsid w:val="00846DCA"/>
    <w:rsid w:val="00846F64"/>
    <w:rsid w:val="0085004F"/>
    <w:rsid w:val="0085230C"/>
    <w:rsid w:val="0085291B"/>
    <w:rsid w:val="008529AA"/>
    <w:rsid w:val="00852A8C"/>
    <w:rsid w:val="00853307"/>
    <w:rsid w:val="0085454B"/>
    <w:rsid w:val="008550EF"/>
    <w:rsid w:val="0085546C"/>
    <w:rsid w:val="008576AB"/>
    <w:rsid w:val="00860B9E"/>
    <w:rsid w:val="00861416"/>
    <w:rsid w:val="00861B46"/>
    <w:rsid w:val="00861C40"/>
    <w:rsid w:val="00864233"/>
    <w:rsid w:val="00865F3B"/>
    <w:rsid w:val="008660D6"/>
    <w:rsid w:val="008666C1"/>
    <w:rsid w:val="00866998"/>
    <w:rsid w:val="0086773F"/>
    <w:rsid w:val="008731D8"/>
    <w:rsid w:val="00873A91"/>
    <w:rsid w:val="00874468"/>
    <w:rsid w:val="00874DA3"/>
    <w:rsid w:val="008753A2"/>
    <w:rsid w:val="008765F5"/>
    <w:rsid w:val="008777F2"/>
    <w:rsid w:val="00880831"/>
    <w:rsid w:val="0088129E"/>
    <w:rsid w:val="00881468"/>
    <w:rsid w:val="00881BD1"/>
    <w:rsid w:val="00884C80"/>
    <w:rsid w:val="008851C7"/>
    <w:rsid w:val="00887B86"/>
    <w:rsid w:val="00891333"/>
    <w:rsid w:val="00891D33"/>
    <w:rsid w:val="00891F12"/>
    <w:rsid w:val="0089241C"/>
    <w:rsid w:val="0089320E"/>
    <w:rsid w:val="00893F76"/>
    <w:rsid w:val="00893F98"/>
    <w:rsid w:val="00894E54"/>
    <w:rsid w:val="008958A2"/>
    <w:rsid w:val="00895E77"/>
    <w:rsid w:val="008A3957"/>
    <w:rsid w:val="008A3CCD"/>
    <w:rsid w:val="008A4A0E"/>
    <w:rsid w:val="008A5CFE"/>
    <w:rsid w:val="008A61BB"/>
    <w:rsid w:val="008A61FA"/>
    <w:rsid w:val="008A7640"/>
    <w:rsid w:val="008A7F3D"/>
    <w:rsid w:val="008B0AE6"/>
    <w:rsid w:val="008B1744"/>
    <w:rsid w:val="008B1926"/>
    <w:rsid w:val="008B1C98"/>
    <w:rsid w:val="008B4420"/>
    <w:rsid w:val="008B4539"/>
    <w:rsid w:val="008B48F7"/>
    <w:rsid w:val="008B63D2"/>
    <w:rsid w:val="008B673F"/>
    <w:rsid w:val="008C0DAB"/>
    <w:rsid w:val="008C1BDD"/>
    <w:rsid w:val="008C21EE"/>
    <w:rsid w:val="008C3F5E"/>
    <w:rsid w:val="008C4D4E"/>
    <w:rsid w:val="008C60DF"/>
    <w:rsid w:val="008C62B1"/>
    <w:rsid w:val="008C779D"/>
    <w:rsid w:val="008C7F34"/>
    <w:rsid w:val="008D2623"/>
    <w:rsid w:val="008D28E2"/>
    <w:rsid w:val="008D7131"/>
    <w:rsid w:val="008D7B4C"/>
    <w:rsid w:val="008E0532"/>
    <w:rsid w:val="008E4CD0"/>
    <w:rsid w:val="008E4DC5"/>
    <w:rsid w:val="008E7501"/>
    <w:rsid w:val="008E7A77"/>
    <w:rsid w:val="008F129B"/>
    <w:rsid w:val="008F1409"/>
    <w:rsid w:val="008F45E6"/>
    <w:rsid w:val="008F4949"/>
    <w:rsid w:val="008F5E2B"/>
    <w:rsid w:val="008F68CE"/>
    <w:rsid w:val="008F693C"/>
    <w:rsid w:val="008F746E"/>
    <w:rsid w:val="008F76D3"/>
    <w:rsid w:val="008F7754"/>
    <w:rsid w:val="008F7B06"/>
    <w:rsid w:val="008F7B11"/>
    <w:rsid w:val="008F7B46"/>
    <w:rsid w:val="008F7CD5"/>
    <w:rsid w:val="00900072"/>
    <w:rsid w:val="00900174"/>
    <w:rsid w:val="009015F8"/>
    <w:rsid w:val="009033DA"/>
    <w:rsid w:val="00903B20"/>
    <w:rsid w:val="00904426"/>
    <w:rsid w:val="009059C9"/>
    <w:rsid w:val="00907095"/>
    <w:rsid w:val="00910957"/>
    <w:rsid w:val="00910E6F"/>
    <w:rsid w:val="009122FA"/>
    <w:rsid w:val="0091256A"/>
    <w:rsid w:val="00912FB4"/>
    <w:rsid w:val="00913F45"/>
    <w:rsid w:val="00914D72"/>
    <w:rsid w:val="0091536C"/>
    <w:rsid w:val="0091643B"/>
    <w:rsid w:val="009164FC"/>
    <w:rsid w:val="00916941"/>
    <w:rsid w:val="00916DC9"/>
    <w:rsid w:val="00917821"/>
    <w:rsid w:val="00917CEA"/>
    <w:rsid w:val="00920043"/>
    <w:rsid w:val="00920F91"/>
    <w:rsid w:val="00921681"/>
    <w:rsid w:val="009228A1"/>
    <w:rsid w:val="00922BBF"/>
    <w:rsid w:val="00923293"/>
    <w:rsid w:val="009237EE"/>
    <w:rsid w:val="00923965"/>
    <w:rsid w:val="00923C8A"/>
    <w:rsid w:val="0092577C"/>
    <w:rsid w:val="00926F17"/>
    <w:rsid w:val="00930CAD"/>
    <w:rsid w:val="009328A2"/>
    <w:rsid w:val="00933FBD"/>
    <w:rsid w:val="00934A23"/>
    <w:rsid w:val="00934FF5"/>
    <w:rsid w:val="009412FF"/>
    <w:rsid w:val="00942346"/>
    <w:rsid w:val="00942FFC"/>
    <w:rsid w:val="00943E0C"/>
    <w:rsid w:val="00944240"/>
    <w:rsid w:val="00947F46"/>
    <w:rsid w:val="00951234"/>
    <w:rsid w:val="009522C3"/>
    <w:rsid w:val="009534AC"/>
    <w:rsid w:val="009539FB"/>
    <w:rsid w:val="00953FA9"/>
    <w:rsid w:val="009543B9"/>
    <w:rsid w:val="009607D2"/>
    <w:rsid w:val="00960952"/>
    <w:rsid w:val="00962A37"/>
    <w:rsid w:val="00963AA7"/>
    <w:rsid w:val="00963C62"/>
    <w:rsid w:val="00964599"/>
    <w:rsid w:val="009678B6"/>
    <w:rsid w:val="00967AD5"/>
    <w:rsid w:val="00971141"/>
    <w:rsid w:val="00972046"/>
    <w:rsid w:val="0097256D"/>
    <w:rsid w:val="00972E41"/>
    <w:rsid w:val="009736A2"/>
    <w:rsid w:val="0097399E"/>
    <w:rsid w:val="00974443"/>
    <w:rsid w:val="00975298"/>
    <w:rsid w:val="009764D4"/>
    <w:rsid w:val="009849E1"/>
    <w:rsid w:val="00984DDB"/>
    <w:rsid w:val="009859BA"/>
    <w:rsid w:val="009863A6"/>
    <w:rsid w:val="00987167"/>
    <w:rsid w:val="00987241"/>
    <w:rsid w:val="009908C2"/>
    <w:rsid w:val="00990CCE"/>
    <w:rsid w:val="0099116F"/>
    <w:rsid w:val="0099184B"/>
    <w:rsid w:val="00991A43"/>
    <w:rsid w:val="0099361E"/>
    <w:rsid w:val="00994E1F"/>
    <w:rsid w:val="0099602A"/>
    <w:rsid w:val="00996077"/>
    <w:rsid w:val="00996285"/>
    <w:rsid w:val="00997224"/>
    <w:rsid w:val="009A066C"/>
    <w:rsid w:val="009A0AA5"/>
    <w:rsid w:val="009A0CDC"/>
    <w:rsid w:val="009A14CF"/>
    <w:rsid w:val="009A159A"/>
    <w:rsid w:val="009A190B"/>
    <w:rsid w:val="009A1C78"/>
    <w:rsid w:val="009A1D90"/>
    <w:rsid w:val="009A20E1"/>
    <w:rsid w:val="009A2509"/>
    <w:rsid w:val="009A2690"/>
    <w:rsid w:val="009A67F3"/>
    <w:rsid w:val="009A6DA5"/>
    <w:rsid w:val="009A7087"/>
    <w:rsid w:val="009B09FB"/>
    <w:rsid w:val="009B1E4A"/>
    <w:rsid w:val="009B1E7B"/>
    <w:rsid w:val="009B290D"/>
    <w:rsid w:val="009B3AD5"/>
    <w:rsid w:val="009B3E31"/>
    <w:rsid w:val="009B684B"/>
    <w:rsid w:val="009C01B8"/>
    <w:rsid w:val="009C1063"/>
    <w:rsid w:val="009C11CF"/>
    <w:rsid w:val="009C1D37"/>
    <w:rsid w:val="009C2516"/>
    <w:rsid w:val="009C2C11"/>
    <w:rsid w:val="009C3605"/>
    <w:rsid w:val="009C39CF"/>
    <w:rsid w:val="009C4E38"/>
    <w:rsid w:val="009C5895"/>
    <w:rsid w:val="009C5D03"/>
    <w:rsid w:val="009C7369"/>
    <w:rsid w:val="009D0033"/>
    <w:rsid w:val="009D1617"/>
    <w:rsid w:val="009D1CE6"/>
    <w:rsid w:val="009D1DC5"/>
    <w:rsid w:val="009D212F"/>
    <w:rsid w:val="009D220E"/>
    <w:rsid w:val="009D2447"/>
    <w:rsid w:val="009D253C"/>
    <w:rsid w:val="009D49AE"/>
    <w:rsid w:val="009D53E8"/>
    <w:rsid w:val="009D5448"/>
    <w:rsid w:val="009D54D1"/>
    <w:rsid w:val="009D6801"/>
    <w:rsid w:val="009D6B21"/>
    <w:rsid w:val="009D6D19"/>
    <w:rsid w:val="009D72CE"/>
    <w:rsid w:val="009E0322"/>
    <w:rsid w:val="009E07BE"/>
    <w:rsid w:val="009E0F2C"/>
    <w:rsid w:val="009E312C"/>
    <w:rsid w:val="009E5391"/>
    <w:rsid w:val="009E5F8E"/>
    <w:rsid w:val="009E6361"/>
    <w:rsid w:val="009E67DF"/>
    <w:rsid w:val="009E72FB"/>
    <w:rsid w:val="009F10AD"/>
    <w:rsid w:val="009F16EC"/>
    <w:rsid w:val="009F27EF"/>
    <w:rsid w:val="009F46F4"/>
    <w:rsid w:val="009F4B42"/>
    <w:rsid w:val="009F6767"/>
    <w:rsid w:val="009F6E9F"/>
    <w:rsid w:val="009F6F5E"/>
    <w:rsid w:val="00A006A9"/>
    <w:rsid w:val="00A01FB0"/>
    <w:rsid w:val="00A02C8F"/>
    <w:rsid w:val="00A04575"/>
    <w:rsid w:val="00A05586"/>
    <w:rsid w:val="00A0646E"/>
    <w:rsid w:val="00A10B58"/>
    <w:rsid w:val="00A10CF0"/>
    <w:rsid w:val="00A123AE"/>
    <w:rsid w:val="00A1248A"/>
    <w:rsid w:val="00A1311A"/>
    <w:rsid w:val="00A13CDB"/>
    <w:rsid w:val="00A1424E"/>
    <w:rsid w:val="00A14C1E"/>
    <w:rsid w:val="00A1516E"/>
    <w:rsid w:val="00A1518E"/>
    <w:rsid w:val="00A1626E"/>
    <w:rsid w:val="00A17D1F"/>
    <w:rsid w:val="00A20243"/>
    <w:rsid w:val="00A209D1"/>
    <w:rsid w:val="00A21510"/>
    <w:rsid w:val="00A21EFC"/>
    <w:rsid w:val="00A22B16"/>
    <w:rsid w:val="00A22D4E"/>
    <w:rsid w:val="00A2384D"/>
    <w:rsid w:val="00A24688"/>
    <w:rsid w:val="00A26107"/>
    <w:rsid w:val="00A2672B"/>
    <w:rsid w:val="00A26C00"/>
    <w:rsid w:val="00A27630"/>
    <w:rsid w:val="00A27AC4"/>
    <w:rsid w:val="00A303F8"/>
    <w:rsid w:val="00A32234"/>
    <w:rsid w:val="00A333AC"/>
    <w:rsid w:val="00A33532"/>
    <w:rsid w:val="00A339FF"/>
    <w:rsid w:val="00A35FDB"/>
    <w:rsid w:val="00A364E2"/>
    <w:rsid w:val="00A36A97"/>
    <w:rsid w:val="00A37BC5"/>
    <w:rsid w:val="00A40E99"/>
    <w:rsid w:val="00A4128F"/>
    <w:rsid w:val="00A41613"/>
    <w:rsid w:val="00A41759"/>
    <w:rsid w:val="00A435EC"/>
    <w:rsid w:val="00A44526"/>
    <w:rsid w:val="00A4480E"/>
    <w:rsid w:val="00A46206"/>
    <w:rsid w:val="00A46619"/>
    <w:rsid w:val="00A466AF"/>
    <w:rsid w:val="00A46A60"/>
    <w:rsid w:val="00A50326"/>
    <w:rsid w:val="00A505DD"/>
    <w:rsid w:val="00A5105E"/>
    <w:rsid w:val="00A5142C"/>
    <w:rsid w:val="00A5272E"/>
    <w:rsid w:val="00A52FC2"/>
    <w:rsid w:val="00A53A04"/>
    <w:rsid w:val="00A54A22"/>
    <w:rsid w:val="00A5534B"/>
    <w:rsid w:val="00A5716A"/>
    <w:rsid w:val="00A571B5"/>
    <w:rsid w:val="00A576AC"/>
    <w:rsid w:val="00A57F97"/>
    <w:rsid w:val="00A608E4"/>
    <w:rsid w:val="00A626A0"/>
    <w:rsid w:val="00A627F4"/>
    <w:rsid w:val="00A62B92"/>
    <w:rsid w:val="00A64350"/>
    <w:rsid w:val="00A64939"/>
    <w:rsid w:val="00A65331"/>
    <w:rsid w:val="00A6552C"/>
    <w:rsid w:val="00A659F7"/>
    <w:rsid w:val="00A7153E"/>
    <w:rsid w:val="00A715B7"/>
    <w:rsid w:val="00A717EC"/>
    <w:rsid w:val="00A722CC"/>
    <w:rsid w:val="00A72F1C"/>
    <w:rsid w:val="00A7305E"/>
    <w:rsid w:val="00A7340A"/>
    <w:rsid w:val="00A73BA9"/>
    <w:rsid w:val="00A73D3C"/>
    <w:rsid w:val="00A747F4"/>
    <w:rsid w:val="00A74DD9"/>
    <w:rsid w:val="00A74FD1"/>
    <w:rsid w:val="00A75EF3"/>
    <w:rsid w:val="00A768AF"/>
    <w:rsid w:val="00A76E3C"/>
    <w:rsid w:val="00A76F2C"/>
    <w:rsid w:val="00A81D22"/>
    <w:rsid w:val="00A82A62"/>
    <w:rsid w:val="00A82B95"/>
    <w:rsid w:val="00A8352B"/>
    <w:rsid w:val="00A84528"/>
    <w:rsid w:val="00A84936"/>
    <w:rsid w:val="00A86BDF"/>
    <w:rsid w:val="00A87B15"/>
    <w:rsid w:val="00A91C59"/>
    <w:rsid w:val="00A921B8"/>
    <w:rsid w:val="00A927F4"/>
    <w:rsid w:val="00A930FC"/>
    <w:rsid w:val="00A933E5"/>
    <w:rsid w:val="00A944ED"/>
    <w:rsid w:val="00A94E6B"/>
    <w:rsid w:val="00A961BA"/>
    <w:rsid w:val="00A97882"/>
    <w:rsid w:val="00AA0526"/>
    <w:rsid w:val="00AA0AE8"/>
    <w:rsid w:val="00AA0F16"/>
    <w:rsid w:val="00AA0F32"/>
    <w:rsid w:val="00AA23B7"/>
    <w:rsid w:val="00AA33BB"/>
    <w:rsid w:val="00AA44C6"/>
    <w:rsid w:val="00AA4E1C"/>
    <w:rsid w:val="00AA5A70"/>
    <w:rsid w:val="00AA7830"/>
    <w:rsid w:val="00AB0C05"/>
    <w:rsid w:val="00AB0EAE"/>
    <w:rsid w:val="00AB0F27"/>
    <w:rsid w:val="00AB1528"/>
    <w:rsid w:val="00AB212F"/>
    <w:rsid w:val="00AB4B69"/>
    <w:rsid w:val="00AB7283"/>
    <w:rsid w:val="00AB7B86"/>
    <w:rsid w:val="00AC0640"/>
    <w:rsid w:val="00AC1FF9"/>
    <w:rsid w:val="00AC28D8"/>
    <w:rsid w:val="00AC2CFD"/>
    <w:rsid w:val="00AC2D78"/>
    <w:rsid w:val="00AC3B1B"/>
    <w:rsid w:val="00AC42AD"/>
    <w:rsid w:val="00AC4674"/>
    <w:rsid w:val="00AC4896"/>
    <w:rsid w:val="00AC507E"/>
    <w:rsid w:val="00AC55DA"/>
    <w:rsid w:val="00AC5827"/>
    <w:rsid w:val="00AC597F"/>
    <w:rsid w:val="00AC5E2F"/>
    <w:rsid w:val="00AC66D0"/>
    <w:rsid w:val="00AC7010"/>
    <w:rsid w:val="00AC74F9"/>
    <w:rsid w:val="00AD11DA"/>
    <w:rsid w:val="00AD141A"/>
    <w:rsid w:val="00AD1716"/>
    <w:rsid w:val="00AD23F7"/>
    <w:rsid w:val="00AD28B9"/>
    <w:rsid w:val="00AD2982"/>
    <w:rsid w:val="00AD4219"/>
    <w:rsid w:val="00AD6F62"/>
    <w:rsid w:val="00AD71C3"/>
    <w:rsid w:val="00AD74E0"/>
    <w:rsid w:val="00AD780D"/>
    <w:rsid w:val="00AD7A8D"/>
    <w:rsid w:val="00AD7C1C"/>
    <w:rsid w:val="00AE25FD"/>
    <w:rsid w:val="00AE281F"/>
    <w:rsid w:val="00AE339F"/>
    <w:rsid w:val="00AE3947"/>
    <w:rsid w:val="00AE4223"/>
    <w:rsid w:val="00AE479B"/>
    <w:rsid w:val="00AE4885"/>
    <w:rsid w:val="00AE48D5"/>
    <w:rsid w:val="00AE7402"/>
    <w:rsid w:val="00AF0549"/>
    <w:rsid w:val="00AF05F5"/>
    <w:rsid w:val="00AF099C"/>
    <w:rsid w:val="00AF0B74"/>
    <w:rsid w:val="00AF0BEF"/>
    <w:rsid w:val="00AF0D6D"/>
    <w:rsid w:val="00AF1232"/>
    <w:rsid w:val="00AF1D55"/>
    <w:rsid w:val="00AF1F9C"/>
    <w:rsid w:val="00AF2486"/>
    <w:rsid w:val="00AF24DC"/>
    <w:rsid w:val="00AF2E16"/>
    <w:rsid w:val="00AF3D66"/>
    <w:rsid w:val="00AF4042"/>
    <w:rsid w:val="00AF59FB"/>
    <w:rsid w:val="00AF5A4E"/>
    <w:rsid w:val="00AF60FE"/>
    <w:rsid w:val="00AF6EDD"/>
    <w:rsid w:val="00AF7412"/>
    <w:rsid w:val="00AF7926"/>
    <w:rsid w:val="00B0089D"/>
    <w:rsid w:val="00B00FFD"/>
    <w:rsid w:val="00B011B8"/>
    <w:rsid w:val="00B025A0"/>
    <w:rsid w:val="00B045D2"/>
    <w:rsid w:val="00B04A9A"/>
    <w:rsid w:val="00B04E3F"/>
    <w:rsid w:val="00B06027"/>
    <w:rsid w:val="00B06FA8"/>
    <w:rsid w:val="00B103FD"/>
    <w:rsid w:val="00B10772"/>
    <w:rsid w:val="00B10A7A"/>
    <w:rsid w:val="00B10FF7"/>
    <w:rsid w:val="00B12451"/>
    <w:rsid w:val="00B12684"/>
    <w:rsid w:val="00B13CDB"/>
    <w:rsid w:val="00B13EA2"/>
    <w:rsid w:val="00B142C5"/>
    <w:rsid w:val="00B1592E"/>
    <w:rsid w:val="00B1774C"/>
    <w:rsid w:val="00B20F9B"/>
    <w:rsid w:val="00B21E3E"/>
    <w:rsid w:val="00B22FE3"/>
    <w:rsid w:val="00B237B2"/>
    <w:rsid w:val="00B26B03"/>
    <w:rsid w:val="00B27899"/>
    <w:rsid w:val="00B308B8"/>
    <w:rsid w:val="00B30F44"/>
    <w:rsid w:val="00B314B8"/>
    <w:rsid w:val="00B3369A"/>
    <w:rsid w:val="00B342FE"/>
    <w:rsid w:val="00B343B6"/>
    <w:rsid w:val="00B366CD"/>
    <w:rsid w:val="00B36D66"/>
    <w:rsid w:val="00B37AE0"/>
    <w:rsid w:val="00B4126B"/>
    <w:rsid w:val="00B41E8C"/>
    <w:rsid w:val="00B42978"/>
    <w:rsid w:val="00B43FF5"/>
    <w:rsid w:val="00B4437B"/>
    <w:rsid w:val="00B449D4"/>
    <w:rsid w:val="00B4718E"/>
    <w:rsid w:val="00B47BCB"/>
    <w:rsid w:val="00B47DD3"/>
    <w:rsid w:val="00B51115"/>
    <w:rsid w:val="00B5181A"/>
    <w:rsid w:val="00B51C39"/>
    <w:rsid w:val="00B52C34"/>
    <w:rsid w:val="00B53EF9"/>
    <w:rsid w:val="00B54452"/>
    <w:rsid w:val="00B5579C"/>
    <w:rsid w:val="00B55ADF"/>
    <w:rsid w:val="00B56176"/>
    <w:rsid w:val="00B572A9"/>
    <w:rsid w:val="00B62759"/>
    <w:rsid w:val="00B6365C"/>
    <w:rsid w:val="00B639A3"/>
    <w:rsid w:val="00B63D3A"/>
    <w:rsid w:val="00B64B58"/>
    <w:rsid w:val="00B65BFA"/>
    <w:rsid w:val="00B65DFF"/>
    <w:rsid w:val="00B663BE"/>
    <w:rsid w:val="00B6718A"/>
    <w:rsid w:val="00B673DC"/>
    <w:rsid w:val="00B70230"/>
    <w:rsid w:val="00B70235"/>
    <w:rsid w:val="00B707FF"/>
    <w:rsid w:val="00B71116"/>
    <w:rsid w:val="00B715CE"/>
    <w:rsid w:val="00B72C12"/>
    <w:rsid w:val="00B72CF6"/>
    <w:rsid w:val="00B752FD"/>
    <w:rsid w:val="00B7555F"/>
    <w:rsid w:val="00B75E85"/>
    <w:rsid w:val="00B761C1"/>
    <w:rsid w:val="00B823DF"/>
    <w:rsid w:val="00B82FD6"/>
    <w:rsid w:val="00B846E2"/>
    <w:rsid w:val="00B849AB"/>
    <w:rsid w:val="00B84BE0"/>
    <w:rsid w:val="00B862D4"/>
    <w:rsid w:val="00B86FCE"/>
    <w:rsid w:val="00B90972"/>
    <w:rsid w:val="00B9293A"/>
    <w:rsid w:val="00B92C84"/>
    <w:rsid w:val="00B945BE"/>
    <w:rsid w:val="00B946FD"/>
    <w:rsid w:val="00B95891"/>
    <w:rsid w:val="00B959CF"/>
    <w:rsid w:val="00B9648E"/>
    <w:rsid w:val="00B974BF"/>
    <w:rsid w:val="00BA0808"/>
    <w:rsid w:val="00BA1484"/>
    <w:rsid w:val="00BA3DD6"/>
    <w:rsid w:val="00BA5718"/>
    <w:rsid w:val="00BB437B"/>
    <w:rsid w:val="00BB4B2B"/>
    <w:rsid w:val="00BB5DF3"/>
    <w:rsid w:val="00BB7F62"/>
    <w:rsid w:val="00BC3389"/>
    <w:rsid w:val="00BC3C66"/>
    <w:rsid w:val="00BC4AB7"/>
    <w:rsid w:val="00BC5267"/>
    <w:rsid w:val="00BC54E2"/>
    <w:rsid w:val="00BC5B22"/>
    <w:rsid w:val="00BC6E0C"/>
    <w:rsid w:val="00BD00FF"/>
    <w:rsid w:val="00BD0D1E"/>
    <w:rsid w:val="00BD378E"/>
    <w:rsid w:val="00BD3D93"/>
    <w:rsid w:val="00BD4ED7"/>
    <w:rsid w:val="00BD61A4"/>
    <w:rsid w:val="00BD6DD9"/>
    <w:rsid w:val="00BD6F74"/>
    <w:rsid w:val="00BD7335"/>
    <w:rsid w:val="00BD73C9"/>
    <w:rsid w:val="00BD788F"/>
    <w:rsid w:val="00BE145C"/>
    <w:rsid w:val="00BE1849"/>
    <w:rsid w:val="00BE2090"/>
    <w:rsid w:val="00BE2836"/>
    <w:rsid w:val="00BE2B0A"/>
    <w:rsid w:val="00BE329F"/>
    <w:rsid w:val="00BE3653"/>
    <w:rsid w:val="00BE4882"/>
    <w:rsid w:val="00BE5242"/>
    <w:rsid w:val="00BE5312"/>
    <w:rsid w:val="00BE5E31"/>
    <w:rsid w:val="00BE683B"/>
    <w:rsid w:val="00BE6E99"/>
    <w:rsid w:val="00BE6EE4"/>
    <w:rsid w:val="00BE7AF4"/>
    <w:rsid w:val="00BF1404"/>
    <w:rsid w:val="00BF25AF"/>
    <w:rsid w:val="00BF3167"/>
    <w:rsid w:val="00BF402D"/>
    <w:rsid w:val="00BF53F0"/>
    <w:rsid w:val="00BF6C68"/>
    <w:rsid w:val="00BF784D"/>
    <w:rsid w:val="00C00D48"/>
    <w:rsid w:val="00C01EDE"/>
    <w:rsid w:val="00C029E5"/>
    <w:rsid w:val="00C03050"/>
    <w:rsid w:val="00C0574A"/>
    <w:rsid w:val="00C1119C"/>
    <w:rsid w:val="00C11FF3"/>
    <w:rsid w:val="00C13249"/>
    <w:rsid w:val="00C14951"/>
    <w:rsid w:val="00C15836"/>
    <w:rsid w:val="00C1590F"/>
    <w:rsid w:val="00C16234"/>
    <w:rsid w:val="00C17730"/>
    <w:rsid w:val="00C17C5C"/>
    <w:rsid w:val="00C2046A"/>
    <w:rsid w:val="00C20DA1"/>
    <w:rsid w:val="00C213D5"/>
    <w:rsid w:val="00C229B7"/>
    <w:rsid w:val="00C248F2"/>
    <w:rsid w:val="00C25422"/>
    <w:rsid w:val="00C25737"/>
    <w:rsid w:val="00C258AE"/>
    <w:rsid w:val="00C25EED"/>
    <w:rsid w:val="00C27DF6"/>
    <w:rsid w:val="00C32B30"/>
    <w:rsid w:val="00C32C74"/>
    <w:rsid w:val="00C32FBD"/>
    <w:rsid w:val="00C332C1"/>
    <w:rsid w:val="00C33B3C"/>
    <w:rsid w:val="00C33FE2"/>
    <w:rsid w:val="00C34105"/>
    <w:rsid w:val="00C349C4"/>
    <w:rsid w:val="00C36077"/>
    <w:rsid w:val="00C40A10"/>
    <w:rsid w:val="00C41697"/>
    <w:rsid w:val="00C4320D"/>
    <w:rsid w:val="00C449AA"/>
    <w:rsid w:val="00C45238"/>
    <w:rsid w:val="00C46280"/>
    <w:rsid w:val="00C474A1"/>
    <w:rsid w:val="00C47C30"/>
    <w:rsid w:val="00C47F4F"/>
    <w:rsid w:val="00C51B08"/>
    <w:rsid w:val="00C540F4"/>
    <w:rsid w:val="00C5450E"/>
    <w:rsid w:val="00C56E7F"/>
    <w:rsid w:val="00C57703"/>
    <w:rsid w:val="00C57E94"/>
    <w:rsid w:val="00C603B8"/>
    <w:rsid w:val="00C60954"/>
    <w:rsid w:val="00C60F2F"/>
    <w:rsid w:val="00C6126E"/>
    <w:rsid w:val="00C6131E"/>
    <w:rsid w:val="00C61E0E"/>
    <w:rsid w:val="00C631A7"/>
    <w:rsid w:val="00C632AD"/>
    <w:rsid w:val="00C633A4"/>
    <w:rsid w:val="00C643B3"/>
    <w:rsid w:val="00C64CCC"/>
    <w:rsid w:val="00C6544A"/>
    <w:rsid w:val="00C67111"/>
    <w:rsid w:val="00C67D80"/>
    <w:rsid w:val="00C71255"/>
    <w:rsid w:val="00C71875"/>
    <w:rsid w:val="00C72D0C"/>
    <w:rsid w:val="00C7301E"/>
    <w:rsid w:val="00C7314D"/>
    <w:rsid w:val="00C74FF9"/>
    <w:rsid w:val="00C752D2"/>
    <w:rsid w:val="00C7581B"/>
    <w:rsid w:val="00C77ADC"/>
    <w:rsid w:val="00C800B4"/>
    <w:rsid w:val="00C8161F"/>
    <w:rsid w:val="00C8392D"/>
    <w:rsid w:val="00C85396"/>
    <w:rsid w:val="00C908C9"/>
    <w:rsid w:val="00C91DFB"/>
    <w:rsid w:val="00C93F8A"/>
    <w:rsid w:val="00C9492A"/>
    <w:rsid w:val="00C94A20"/>
    <w:rsid w:val="00CA0BF0"/>
    <w:rsid w:val="00CA0E00"/>
    <w:rsid w:val="00CA4407"/>
    <w:rsid w:val="00CA581F"/>
    <w:rsid w:val="00CA5A2A"/>
    <w:rsid w:val="00CA6D55"/>
    <w:rsid w:val="00CA6DE3"/>
    <w:rsid w:val="00CA79FF"/>
    <w:rsid w:val="00CB0806"/>
    <w:rsid w:val="00CB0CF9"/>
    <w:rsid w:val="00CB1438"/>
    <w:rsid w:val="00CB240F"/>
    <w:rsid w:val="00CB4FA1"/>
    <w:rsid w:val="00CB561C"/>
    <w:rsid w:val="00CB6E79"/>
    <w:rsid w:val="00CC0BFC"/>
    <w:rsid w:val="00CC134C"/>
    <w:rsid w:val="00CC194A"/>
    <w:rsid w:val="00CC1B86"/>
    <w:rsid w:val="00CC2410"/>
    <w:rsid w:val="00CC3B32"/>
    <w:rsid w:val="00CC3F88"/>
    <w:rsid w:val="00CC49F9"/>
    <w:rsid w:val="00CC4A47"/>
    <w:rsid w:val="00CC7CFE"/>
    <w:rsid w:val="00CC7E35"/>
    <w:rsid w:val="00CC7E83"/>
    <w:rsid w:val="00CC7F71"/>
    <w:rsid w:val="00CD1A39"/>
    <w:rsid w:val="00CD39B9"/>
    <w:rsid w:val="00CD3EFB"/>
    <w:rsid w:val="00CD406D"/>
    <w:rsid w:val="00CD40BE"/>
    <w:rsid w:val="00CD52F5"/>
    <w:rsid w:val="00CD53A5"/>
    <w:rsid w:val="00CD582E"/>
    <w:rsid w:val="00CD5871"/>
    <w:rsid w:val="00CD5905"/>
    <w:rsid w:val="00CD66EC"/>
    <w:rsid w:val="00CD7556"/>
    <w:rsid w:val="00CD7E2E"/>
    <w:rsid w:val="00CD7F3E"/>
    <w:rsid w:val="00CE1F96"/>
    <w:rsid w:val="00CE3984"/>
    <w:rsid w:val="00CE39EE"/>
    <w:rsid w:val="00CE3E68"/>
    <w:rsid w:val="00CE58C3"/>
    <w:rsid w:val="00CE58ED"/>
    <w:rsid w:val="00CE5EEB"/>
    <w:rsid w:val="00CE7B33"/>
    <w:rsid w:val="00CF047C"/>
    <w:rsid w:val="00CF097F"/>
    <w:rsid w:val="00CF10BA"/>
    <w:rsid w:val="00CF150C"/>
    <w:rsid w:val="00CF181A"/>
    <w:rsid w:val="00CF358F"/>
    <w:rsid w:val="00CF39CF"/>
    <w:rsid w:val="00CF4F2B"/>
    <w:rsid w:val="00CF5EBF"/>
    <w:rsid w:val="00CF664C"/>
    <w:rsid w:val="00CF7C74"/>
    <w:rsid w:val="00D03500"/>
    <w:rsid w:val="00D054D0"/>
    <w:rsid w:val="00D0574C"/>
    <w:rsid w:val="00D05C25"/>
    <w:rsid w:val="00D0732F"/>
    <w:rsid w:val="00D079AD"/>
    <w:rsid w:val="00D107F3"/>
    <w:rsid w:val="00D10C73"/>
    <w:rsid w:val="00D10DFA"/>
    <w:rsid w:val="00D10E08"/>
    <w:rsid w:val="00D11BB8"/>
    <w:rsid w:val="00D1317E"/>
    <w:rsid w:val="00D14A5B"/>
    <w:rsid w:val="00D14A84"/>
    <w:rsid w:val="00D17038"/>
    <w:rsid w:val="00D21482"/>
    <w:rsid w:val="00D216E1"/>
    <w:rsid w:val="00D229C6"/>
    <w:rsid w:val="00D23062"/>
    <w:rsid w:val="00D24BB8"/>
    <w:rsid w:val="00D25348"/>
    <w:rsid w:val="00D257F5"/>
    <w:rsid w:val="00D26476"/>
    <w:rsid w:val="00D32E6A"/>
    <w:rsid w:val="00D330F5"/>
    <w:rsid w:val="00D33874"/>
    <w:rsid w:val="00D35D88"/>
    <w:rsid w:val="00D361F3"/>
    <w:rsid w:val="00D37803"/>
    <w:rsid w:val="00D4014C"/>
    <w:rsid w:val="00D41CD1"/>
    <w:rsid w:val="00D44359"/>
    <w:rsid w:val="00D4550A"/>
    <w:rsid w:val="00D45C3B"/>
    <w:rsid w:val="00D45D5C"/>
    <w:rsid w:val="00D4727B"/>
    <w:rsid w:val="00D50162"/>
    <w:rsid w:val="00D51C05"/>
    <w:rsid w:val="00D51FE5"/>
    <w:rsid w:val="00D5254B"/>
    <w:rsid w:val="00D52E05"/>
    <w:rsid w:val="00D53362"/>
    <w:rsid w:val="00D53371"/>
    <w:rsid w:val="00D537B4"/>
    <w:rsid w:val="00D562DB"/>
    <w:rsid w:val="00D57491"/>
    <w:rsid w:val="00D574BE"/>
    <w:rsid w:val="00D6041B"/>
    <w:rsid w:val="00D616CD"/>
    <w:rsid w:val="00D61E83"/>
    <w:rsid w:val="00D6259D"/>
    <w:rsid w:val="00D62B10"/>
    <w:rsid w:val="00D636FA"/>
    <w:rsid w:val="00D63BC6"/>
    <w:rsid w:val="00D64249"/>
    <w:rsid w:val="00D66709"/>
    <w:rsid w:val="00D672A4"/>
    <w:rsid w:val="00D7084E"/>
    <w:rsid w:val="00D70859"/>
    <w:rsid w:val="00D717DE"/>
    <w:rsid w:val="00D72001"/>
    <w:rsid w:val="00D7290A"/>
    <w:rsid w:val="00D7328D"/>
    <w:rsid w:val="00D7365D"/>
    <w:rsid w:val="00D7420E"/>
    <w:rsid w:val="00D75597"/>
    <w:rsid w:val="00D75F48"/>
    <w:rsid w:val="00D76533"/>
    <w:rsid w:val="00D77253"/>
    <w:rsid w:val="00D8060A"/>
    <w:rsid w:val="00D80B26"/>
    <w:rsid w:val="00D80CC8"/>
    <w:rsid w:val="00D80F61"/>
    <w:rsid w:val="00D813F2"/>
    <w:rsid w:val="00D81BB4"/>
    <w:rsid w:val="00D81EA9"/>
    <w:rsid w:val="00D83FEE"/>
    <w:rsid w:val="00D84EAD"/>
    <w:rsid w:val="00D85201"/>
    <w:rsid w:val="00D85E96"/>
    <w:rsid w:val="00D8700C"/>
    <w:rsid w:val="00D91402"/>
    <w:rsid w:val="00D9255F"/>
    <w:rsid w:val="00D92A0E"/>
    <w:rsid w:val="00D933B5"/>
    <w:rsid w:val="00D9405B"/>
    <w:rsid w:val="00D947A3"/>
    <w:rsid w:val="00D95485"/>
    <w:rsid w:val="00D96405"/>
    <w:rsid w:val="00D977F1"/>
    <w:rsid w:val="00DA13EC"/>
    <w:rsid w:val="00DA1622"/>
    <w:rsid w:val="00DA1F5A"/>
    <w:rsid w:val="00DA303F"/>
    <w:rsid w:val="00DA36AA"/>
    <w:rsid w:val="00DA374F"/>
    <w:rsid w:val="00DA4268"/>
    <w:rsid w:val="00DA677F"/>
    <w:rsid w:val="00DA76C5"/>
    <w:rsid w:val="00DA7B62"/>
    <w:rsid w:val="00DB1667"/>
    <w:rsid w:val="00DB3B5B"/>
    <w:rsid w:val="00DB4109"/>
    <w:rsid w:val="00DB47D7"/>
    <w:rsid w:val="00DB560F"/>
    <w:rsid w:val="00DB587E"/>
    <w:rsid w:val="00DB677A"/>
    <w:rsid w:val="00DB7EE4"/>
    <w:rsid w:val="00DB7FB4"/>
    <w:rsid w:val="00DC0E48"/>
    <w:rsid w:val="00DC0F66"/>
    <w:rsid w:val="00DC2663"/>
    <w:rsid w:val="00DC2C7D"/>
    <w:rsid w:val="00DC329C"/>
    <w:rsid w:val="00DC3497"/>
    <w:rsid w:val="00DC452A"/>
    <w:rsid w:val="00DC541F"/>
    <w:rsid w:val="00DC55C2"/>
    <w:rsid w:val="00DC6E52"/>
    <w:rsid w:val="00DC6F2C"/>
    <w:rsid w:val="00DC76B9"/>
    <w:rsid w:val="00DD1EA6"/>
    <w:rsid w:val="00DD26FC"/>
    <w:rsid w:val="00DD3F55"/>
    <w:rsid w:val="00DD482A"/>
    <w:rsid w:val="00DD7283"/>
    <w:rsid w:val="00DD7B00"/>
    <w:rsid w:val="00DD7BD4"/>
    <w:rsid w:val="00DE0C80"/>
    <w:rsid w:val="00DE0E04"/>
    <w:rsid w:val="00DE103E"/>
    <w:rsid w:val="00DE1387"/>
    <w:rsid w:val="00DE244D"/>
    <w:rsid w:val="00DE5932"/>
    <w:rsid w:val="00DF1A10"/>
    <w:rsid w:val="00DF32B9"/>
    <w:rsid w:val="00DF430C"/>
    <w:rsid w:val="00DF437B"/>
    <w:rsid w:val="00DF48CE"/>
    <w:rsid w:val="00DF55FD"/>
    <w:rsid w:val="00DF58F2"/>
    <w:rsid w:val="00DF5E00"/>
    <w:rsid w:val="00DF7214"/>
    <w:rsid w:val="00DF73C6"/>
    <w:rsid w:val="00DF751A"/>
    <w:rsid w:val="00DF7B49"/>
    <w:rsid w:val="00DF7C0F"/>
    <w:rsid w:val="00DF7F30"/>
    <w:rsid w:val="00E0051C"/>
    <w:rsid w:val="00E007F1"/>
    <w:rsid w:val="00E0209F"/>
    <w:rsid w:val="00E0265E"/>
    <w:rsid w:val="00E030F5"/>
    <w:rsid w:val="00E0424A"/>
    <w:rsid w:val="00E04817"/>
    <w:rsid w:val="00E0492F"/>
    <w:rsid w:val="00E0716C"/>
    <w:rsid w:val="00E1261E"/>
    <w:rsid w:val="00E1270E"/>
    <w:rsid w:val="00E136F2"/>
    <w:rsid w:val="00E13B77"/>
    <w:rsid w:val="00E141C8"/>
    <w:rsid w:val="00E16659"/>
    <w:rsid w:val="00E1670D"/>
    <w:rsid w:val="00E173C0"/>
    <w:rsid w:val="00E1769F"/>
    <w:rsid w:val="00E17C9A"/>
    <w:rsid w:val="00E2042D"/>
    <w:rsid w:val="00E227A2"/>
    <w:rsid w:val="00E23415"/>
    <w:rsid w:val="00E236AE"/>
    <w:rsid w:val="00E239FC"/>
    <w:rsid w:val="00E24ABC"/>
    <w:rsid w:val="00E25C3C"/>
    <w:rsid w:val="00E26DC9"/>
    <w:rsid w:val="00E27457"/>
    <w:rsid w:val="00E27F8E"/>
    <w:rsid w:val="00E304DF"/>
    <w:rsid w:val="00E30662"/>
    <w:rsid w:val="00E32174"/>
    <w:rsid w:val="00E326A7"/>
    <w:rsid w:val="00E32F4A"/>
    <w:rsid w:val="00E3406C"/>
    <w:rsid w:val="00E3531A"/>
    <w:rsid w:val="00E36450"/>
    <w:rsid w:val="00E367EA"/>
    <w:rsid w:val="00E378F8"/>
    <w:rsid w:val="00E408DD"/>
    <w:rsid w:val="00E40E18"/>
    <w:rsid w:val="00E40EC7"/>
    <w:rsid w:val="00E41ABA"/>
    <w:rsid w:val="00E45916"/>
    <w:rsid w:val="00E46F25"/>
    <w:rsid w:val="00E5060C"/>
    <w:rsid w:val="00E51231"/>
    <w:rsid w:val="00E52F44"/>
    <w:rsid w:val="00E53815"/>
    <w:rsid w:val="00E544D8"/>
    <w:rsid w:val="00E54D3A"/>
    <w:rsid w:val="00E54F8C"/>
    <w:rsid w:val="00E552D2"/>
    <w:rsid w:val="00E555C0"/>
    <w:rsid w:val="00E55B5B"/>
    <w:rsid w:val="00E570B7"/>
    <w:rsid w:val="00E60B20"/>
    <w:rsid w:val="00E619A1"/>
    <w:rsid w:val="00E61EDD"/>
    <w:rsid w:val="00E6234F"/>
    <w:rsid w:val="00E62623"/>
    <w:rsid w:val="00E6262A"/>
    <w:rsid w:val="00E627CA"/>
    <w:rsid w:val="00E62880"/>
    <w:rsid w:val="00E63E3E"/>
    <w:rsid w:val="00E63E7A"/>
    <w:rsid w:val="00E64BDB"/>
    <w:rsid w:val="00E66CFF"/>
    <w:rsid w:val="00E67AE5"/>
    <w:rsid w:val="00E70302"/>
    <w:rsid w:val="00E71169"/>
    <w:rsid w:val="00E767A5"/>
    <w:rsid w:val="00E775E1"/>
    <w:rsid w:val="00E7785B"/>
    <w:rsid w:val="00E816B1"/>
    <w:rsid w:val="00E83278"/>
    <w:rsid w:val="00E8363F"/>
    <w:rsid w:val="00E83A14"/>
    <w:rsid w:val="00E83C75"/>
    <w:rsid w:val="00E85350"/>
    <w:rsid w:val="00E85EEC"/>
    <w:rsid w:val="00E870B7"/>
    <w:rsid w:val="00E927B6"/>
    <w:rsid w:val="00E9308B"/>
    <w:rsid w:val="00E93618"/>
    <w:rsid w:val="00E93AE3"/>
    <w:rsid w:val="00E94574"/>
    <w:rsid w:val="00E951C5"/>
    <w:rsid w:val="00E95E01"/>
    <w:rsid w:val="00E96F75"/>
    <w:rsid w:val="00E975ED"/>
    <w:rsid w:val="00E97AB6"/>
    <w:rsid w:val="00EA0A30"/>
    <w:rsid w:val="00EA0AE8"/>
    <w:rsid w:val="00EA122C"/>
    <w:rsid w:val="00EA1FFC"/>
    <w:rsid w:val="00EA2D3A"/>
    <w:rsid w:val="00EA3168"/>
    <w:rsid w:val="00EA365C"/>
    <w:rsid w:val="00EA540D"/>
    <w:rsid w:val="00EA62A9"/>
    <w:rsid w:val="00EA65F7"/>
    <w:rsid w:val="00EA74A8"/>
    <w:rsid w:val="00EA7A84"/>
    <w:rsid w:val="00EB149C"/>
    <w:rsid w:val="00EB2117"/>
    <w:rsid w:val="00EB2B8E"/>
    <w:rsid w:val="00EB3D8C"/>
    <w:rsid w:val="00EB619C"/>
    <w:rsid w:val="00EB69AF"/>
    <w:rsid w:val="00EB70AA"/>
    <w:rsid w:val="00EB7390"/>
    <w:rsid w:val="00EB7E60"/>
    <w:rsid w:val="00EC0750"/>
    <w:rsid w:val="00EC0BB7"/>
    <w:rsid w:val="00EC116F"/>
    <w:rsid w:val="00EC16F6"/>
    <w:rsid w:val="00EC20D3"/>
    <w:rsid w:val="00EC40D5"/>
    <w:rsid w:val="00EC4ED9"/>
    <w:rsid w:val="00EC56C1"/>
    <w:rsid w:val="00EC57A2"/>
    <w:rsid w:val="00EC6244"/>
    <w:rsid w:val="00EC635A"/>
    <w:rsid w:val="00EC6471"/>
    <w:rsid w:val="00EC6685"/>
    <w:rsid w:val="00EC762F"/>
    <w:rsid w:val="00EC785B"/>
    <w:rsid w:val="00ED12C5"/>
    <w:rsid w:val="00ED1EFA"/>
    <w:rsid w:val="00ED2AE3"/>
    <w:rsid w:val="00ED35ED"/>
    <w:rsid w:val="00ED692D"/>
    <w:rsid w:val="00ED79D7"/>
    <w:rsid w:val="00EE1C96"/>
    <w:rsid w:val="00EE24CD"/>
    <w:rsid w:val="00EE4E20"/>
    <w:rsid w:val="00EE5995"/>
    <w:rsid w:val="00EE684A"/>
    <w:rsid w:val="00EF24A0"/>
    <w:rsid w:val="00EF35E0"/>
    <w:rsid w:val="00EF363F"/>
    <w:rsid w:val="00EF391B"/>
    <w:rsid w:val="00EF3D2B"/>
    <w:rsid w:val="00EF3EC0"/>
    <w:rsid w:val="00EF4E63"/>
    <w:rsid w:val="00EF6689"/>
    <w:rsid w:val="00EF6AE2"/>
    <w:rsid w:val="00EF715F"/>
    <w:rsid w:val="00EF7950"/>
    <w:rsid w:val="00F00202"/>
    <w:rsid w:val="00F0025C"/>
    <w:rsid w:val="00F00646"/>
    <w:rsid w:val="00F006EA"/>
    <w:rsid w:val="00F02284"/>
    <w:rsid w:val="00F026BF"/>
    <w:rsid w:val="00F02FF7"/>
    <w:rsid w:val="00F033A7"/>
    <w:rsid w:val="00F039EB"/>
    <w:rsid w:val="00F03D3C"/>
    <w:rsid w:val="00F03D40"/>
    <w:rsid w:val="00F03FC1"/>
    <w:rsid w:val="00F06BAC"/>
    <w:rsid w:val="00F07427"/>
    <w:rsid w:val="00F121B6"/>
    <w:rsid w:val="00F13DFE"/>
    <w:rsid w:val="00F145C8"/>
    <w:rsid w:val="00F147C1"/>
    <w:rsid w:val="00F15497"/>
    <w:rsid w:val="00F1576D"/>
    <w:rsid w:val="00F15BD3"/>
    <w:rsid w:val="00F1601A"/>
    <w:rsid w:val="00F16207"/>
    <w:rsid w:val="00F17E57"/>
    <w:rsid w:val="00F21E66"/>
    <w:rsid w:val="00F226B7"/>
    <w:rsid w:val="00F22850"/>
    <w:rsid w:val="00F22856"/>
    <w:rsid w:val="00F23939"/>
    <w:rsid w:val="00F24AA6"/>
    <w:rsid w:val="00F25D6A"/>
    <w:rsid w:val="00F300F9"/>
    <w:rsid w:val="00F30C05"/>
    <w:rsid w:val="00F30CDD"/>
    <w:rsid w:val="00F30F28"/>
    <w:rsid w:val="00F332FB"/>
    <w:rsid w:val="00F338A7"/>
    <w:rsid w:val="00F3514A"/>
    <w:rsid w:val="00F35727"/>
    <w:rsid w:val="00F357B8"/>
    <w:rsid w:val="00F35FCD"/>
    <w:rsid w:val="00F36F77"/>
    <w:rsid w:val="00F376F0"/>
    <w:rsid w:val="00F377D4"/>
    <w:rsid w:val="00F401A0"/>
    <w:rsid w:val="00F40B38"/>
    <w:rsid w:val="00F417F2"/>
    <w:rsid w:val="00F41829"/>
    <w:rsid w:val="00F42DB1"/>
    <w:rsid w:val="00F45767"/>
    <w:rsid w:val="00F4599B"/>
    <w:rsid w:val="00F46996"/>
    <w:rsid w:val="00F46A57"/>
    <w:rsid w:val="00F46F8D"/>
    <w:rsid w:val="00F47A2C"/>
    <w:rsid w:val="00F5118C"/>
    <w:rsid w:val="00F514D9"/>
    <w:rsid w:val="00F51A59"/>
    <w:rsid w:val="00F522EF"/>
    <w:rsid w:val="00F525DE"/>
    <w:rsid w:val="00F52D0F"/>
    <w:rsid w:val="00F536A5"/>
    <w:rsid w:val="00F54A1A"/>
    <w:rsid w:val="00F54C63"/>
    <w:rsid w:val="00F56136"/>
    <w:rsid w:val="00F56BEF"/>
    <w:rsid w:val="00F60079"/>
    <w:rsid w:val="00F609A9"/>
    <w:rsid w:val="00F63C40"/>
    <w:rsid w:val="00F6405B"/>
    <w:rsid w:val="00F65410"/>
    <w:rsid w:val="00F65782"/>
    <w:rsid w:val="00F667D0"/>
    <w:rsid w:val="00F66BED"/>
    <w:rsid w:val="00F66F31"/>
    <w:rsid w:val="00F72CC1"/>
    <w:rsid w:val="00F73FCF"/>
    <w:rsid w:val="00F7533F"/>
    <w:rsid w:val="00F772CD"/>
    <w:rsid w:val="00F77CB3"/>
    <w:rsid w:val="00F80F88"/>
    <w:rsid w:val="00F8443C"/>
    <w:rsid w:val="00F84C77"/>
    <w:rsid w:val="00F84D48"/>
    <w:rsid w:val="00F84DAC"/>
    <w:rsid w:val="00F85125"/>
    <w:rsid w:val="00F873FF"/>
    <w:rsid w:val="00F8764D"/>
    <w:rsid w:val="00F87CEC"/>
    <w:rsid w:val="00F9006D"/>
    <w:rsid w:val="00F90CD5"/>
    <w:rsid w:val="00F90FE9"/>
    <w:rsid w:val="00F927A5"/>
    <w:rsid w:val="00F92FD9"/>
    <w:rsid w:val="00F935ED"/>
    <w:rsid w:val="00F935FB"/>
    <w:rsid w:val="00F9430B"/>
    <w:rsid w:val="00F949EF"/>
    <w:rsid w:val="00F95601"/>
    <w:rsid w:val="00F957CA"/>
    <w:rsid w:val="00F97B9F"/>
    <w:rsid w:val="00FA0754"/>
    <w:rsid w:val="00FA10F3"/>
    <w:rsid w:val="00FA10F9"/>
    <w:rsid w:val="00FA19D9"/>
    <w:rsid w:val="00FA1CF6"/>
    <w:rsid w:val="00FA3DCF"/>
    <w:rsid w:val="00FA5EAA"/>
    <w:rsid w:val="00FA6659"/>
    <w:rsid w:val="00FA6F39"/>
    <w:rsid w:val="00FB0B49"/>
    <w:rsid w:val="00FB201D"/>
    <w:rsid w:val="00FB2D4A"/>
    <w:rsid w:val="00FB4166"/>
    <w:rsid w:val="00FB4829"/>
    <w:rsid w:val="00FB493C"/>
    <w:rsid w:val="00FB4E6C"/>
    <w:rsid w:val="00FB685E"/>
    <w:rsid w:val="00FB7011"/>
    <w:rsid w:val="00FB7E44"/>
    <w:rsid w:val="00FC0C60"/>
    <w:rsid w:val="00FC1C19"/>
    <w:rsid w:val="00FC32C4"/>
    <w:rsid w:val="00FC4085"/>
    <w:rsid w:val="00FC5C9D"/>
    <w:rsid w:val="00FC6863"/>
    <w:rsid w:val="00FC6D1A"/>
    <w:rsid w:val="00FD3D5D"/>
    <w:rsid w:val="00FD3FD1"/>
    <w:rsid w:val="00FD5099"/>
    <w:rsid w:val="00FD531E"/>
    <w:rsid w:val="00FE1623"/>
    <w:rsid w:val="00FE184F"/>
    <w:rsid w:val="00FE3463"/>
    <w:rsid w:val="00FE3501"/>
    <w:rsid w:val="00FE5A1C"/>
    <w:rsid w:val="00FE6E24"/>
    <w:rsid w:val="00FE7D77"/>
    <w:rsid w:val="00FF150A"/>
    <w:rsid w:val="00FF262B"/>
    <w:rsid w:val="00FF2A03"/>
    <w:rsid w:val="00FF5E75"/>
    <w:rsid w:val="00FF71D2"/>
    <w:rsid w:val="00FF7364"/>
    <w:rsid w:val="00FF7732"/>
    <w:rsid w:val="010A0D34"/>
    <w:rsid w:val="010D6029"/>
    <w:rsid w:val="012A6BDB"/>
    <w:rsid w:val="01400F47"/>
    <w:rsid w:val="01422176"/>
    <w:rsid w:val="01491E46"/>
    <w:rsid w:val="015574D3"/>
    <w:rsid w:val="015914A2"/>
    <w:rsid w:val="015D7E24"/>
    <w:rsid w:val="016017A7"/>
    <w:rsid w:val="0175059C"/>
    <w:rsid w:val="01785B98"/>
    <w:rsid w:val="01796943"/>
    <w:rsid w:val="01C20BC1"/>
    <w:rsid w:val="01FF1E15"/>
    <w:rsid w:val="020016E9"/>
    <w:rsid w:val="020436BE"/>
    <w:rsid w:val="0213766F"/>
    <w:rsid w:val="021C1608"/>
    <w:rsid w:val="021F6013"/>
    <w:rsid w:val="023860A8"/>
    <w:rsid w:val="025D2320"/>
    <w:rsid w:val="026D3223"/>
    <w:rsid w:val="027E6946"/>
    <w:rsid w:val="0286020E"/>
    <w:rsid w:val="028C5D3E"/>
    <w:rsid w:val="0297204E"/>
    <w:rsid w:val="02A5371E"/>
    <w:rsid w:val="02AA06AD"/>
    <w:rsid w:val="02B0310F"/>
    <w:rsid w:val="02CE392F"/>
    <w:rsid w:val="02E42DB9"/>
    <w:rsid w:val="02E83A34"/>
    <w:rsid w:val="02F51A8F"/>
    <w:rsid w:val="030A1F75"/>
    <w:rsid w:val="030B47EA"/>
    <w:rsid w:val="0313544C"/>
    <w:rsid w:val="031B184D"/>
    <w:rsid w:val="031F1C0C"/>
    <w:rsid w:val="0328714A"/>
    <w:rsid w:val="032F33DE"/>
    <w:rsid w:val="034A3564"/>
    <w:rsid w:val="036C5D59"/>
    <w:rsid w:val="03816827"/>
    <w:rsid w:val="038E7C3D"/>
    <w:rsid w:val="0391572F"/>
    <w:rsid w:val="03943AB0"/>
    <w:rsid w:val="03961725"/>
    <w:rsid w:val="039B3DC0"/>
    <w:rsid w:val="03BE031C"/>
    <w:rsid w:val="03D472D2"/>
    <w:rsid w:val="03D8291E"/>
    <w:rsid w:val="03D9195C"/>
    <w:rsid w:val="03DC6BEB"/>
    <w:rsid w:val="03E47CFA"/>
    <w:rsid w:val="03ED4B9E"/>
    <w:rsid w:val="03F43FD4"/>
    <w:rsid w:val="04016375"/>
    <w:rsid w:val="040D45C8"/>
    <w:rsid w:val="041D2A27"/>
    <w:rsid w:val="04245B63"/>
    <w:rsid w:val="042B5143"/>
    <w:rsid w:val="04300714"/>
    <w:rsid w:val="0430432E"/>
    <w:rsid w:val="043B4C5B"/>
    <w:rsid w:val="04553F6E"/>
    <w:rsid w:val="04567CE7"/>
    <w:rsid w:val="04610B65"/>
    <w:rsid w:val="04675A50"/>
    <w:rsid w:val="046F23E6"/>
    <w:rsid w:val="04814D63"/>
    <w:rsid w:val="048900BC"/>
    <w:rsid w:val="048B39D3"/>
    <w:rsid w:val="04A7766D"/>
    <w:rsid w:val="04AA1A9C"/>
    <w:rsid w:val="04AC5D36"/>
    <w:rsid w:val="04C5111D"/>
    <w:rsid w:val="04DC4BD8"/>
    <w:rsid w:val="04DF5F2B"/>
    <w:rsid w:val="04F344FF"/>
    <w:rsid w:val="04F85918"/>
    <w:rsid w:val="04FA0CF6"/>
    <w:rsid w:val="05047CEE"/>
    <w:rsid w:val="0513769F"/>
    <w:rsid w:val="052E44FE"/>
    <w:rsid w:val="05304030"/>
    <w:rsid w:val="0548088E"/>
    <w:rsid w:val="05517F8D"/>
    <w:rsid w:val="055657C6"/>
    <w:rsid w:val="0563090D"/>
    <w:rsid w:val="056638A4"/>
    <w:rsid w:val="05751568"/>
    <w:rsid w:val="057F32BF"/>
    <w:rsid w:val="0586429D"/>
    <w:rsid w:val="05925525"/>
    <w:rsid w:val="059D0960"/>
    <w:rsid w:val="05B41BCB"/>
    <w:rsid w:val="05C018BB"/>
    <w:rsid w:val="05C55124"/>
    <w:rsid w:val="05D92CBB"/>
    <w:rsid w:val="05DD2118"/>
    <w:rsid w:val="05EF091B"/>
    <w:rsid w:val="05EF0F30"/>
    <w:rsid w:val="05F0455C"/>
    <w:rsid w:val="05F477B7"/>
    <w:rsid w:val="05FD666C"/>
    <w:rsid w:val="05FF72DC"/>
    <w:rsid w:val="060135C7"/>
    <w:rsid w:val="060176DD"/>
    <w:rsid w:val="06156195"/>
    <w:rsid w:val="06173ED7"/>
    <w:rsid w:val="06186635"/>
    <w:rsid w:val="0624011E"/>
    <w:rsid w:val="06247A29"/>
    <w:rsid w:val="062E2CC9"/>
    <w:rsid w:val="062F07EF"/>
    <w:rsid w:val="06311DBF"/>
    <w:rsid w:val="063505F8"/>
    <w:rsid w:val="063D64E6"/>
    <w:rsid w:val="065652AE"/>
    <w:rsid w:val="06612B5E"/>
    <w:rsid w:val="066177D5"/>
    <w:rsid w:val="06733697"/>
    <w:rsid w:val="06826B71"/>
    <w:rsid w:val="068A79CB"/>
    <w:rsid w:val="06915006"/>
    <w:rsid w:val="06A02DFE"/>
    <w:rsid w:val="06B02EE3"/>
    <w:rsid w:val="06C148E9"/>
    <w:rsid w:val="06CD3AA1"/>
    <w:rsid w:val="06CE625A"/>
    <w:rsid w:val="06DB43F3"/>
    <w:rsid w:val="070B300A"/>
    <w:rsid w:val="071D6984"/>
    <w:rsid w:val="07262C3C"/>
    <w:rsid w:val="072D0E77"/>
    <w:rsid w:val="07451EBE"/>
    <w:rsid w:val="076165B6"/>
    <w:rsid w:val="07764377"/>
    <w:rsid w:val="0777244E"/>
    <w:rsid w:val="078017C9"/>
    <w:rsid w:val="07923D15"/>
    <w:rsid w:val="07A17D36"/>
    <w:rsid w:val="07A234ED"/>
    <w:rsid w:val="07BB67DE"/>
    <w:rsid w:val="07BD5208"/>
    <w:rsid w:val="07EA0858"/>
    <w:rsid w:val="07F35F4B"/>
    <w:rsid w:val="07F82B3B"/>
    <w:rsid w:val="0808616E"/>
    <w:rsid w:val="081F3FA4"/>
    <w:rsid w:val="082223BA"/>
    <w:rsid w:val="08270074"/>
    <w:rsid w:val="08381BDD"/>
    <w:rsid w:val="084953B8"/>
    <w:rsid w:val="084E62D0"/>
    <w:rsid w:val="08626C5A"/>
    <w:rsid w:val="08752E31"/>
    <w:rsid w:val="087B527D"/>
    <w:rsid w:val="087C5A63"/>
    <w:rsid w:val="087E0FC8"/>
    <w:rsid w:val="08872B64"/>
    <w:rsid w:val="0887423C"/>
    <w:rsid w:val="088E65FD"/>
    <w:rsid w:val="08910906"/>
    <w:rsid w:val="08BC713F"/>
    <w:rsid w:val="08C94B74"/>
    <w:rsid w:val="08DD09D6"/>
    <w:rsid w:val="08E27141"/>
    <w:rsid w:val="090771EA"/>
    <w:rsid w:val="09123F7A"/>
    <w:rsid w:val="092E1232"/>
    <w:rsid w:val="09306D58"/>
    <w:rsid w:val="0938683A"/>
    <w:rsid w:val="093A2459"/>
    <w:rsid w:val="093D6057"/>
    <w:rsid w:val="093E4F35"/>
    <w:rsid w:val="09423174"/>
    <w:rsid w:val="09554445"/>
    <w:rsid w:val="09772F42"/>
    <w:rsid w:val="098620DD"/>
    <w:rsid w:val="0996298C"/>
    <w:rsid w:val="099E58EA"/>
    <w:rsid w:val="09A81D8A"/>
    <w:rsid w:val="09AA4B42"/>
    <w:rsid w:val="09BC1F03"/>
    <w:rsid w:val="09C13E54"/>
    <w:rsid w:val="09C37BCC"/>
    <w:rsid w:val="09C556F2"/>
    <w:rsid w:val="09D16AFF"/>
    <w:rsid w:val="09D26061"/>
    <w:rsid w:val="09D678FF"/>
    <w:rsid w:val="09DD4829"/>
    <w:rsid w:val="09F17318"/>
    <w:rsid w:val="09F5259C"/>
    <w:rsid w:val="0A127BE6"/>
    <w:rsid w:val="0A1421D6"/>
    <w:rsid w:val="0A2A0BF4"/>
    <w:rsid w:val="0A391C3C"/>
    <w:rsid w:val="0A40121D"/>
    <w:rsid w:val="0A530A22"/>
    <w:rsid w:val="0A5847B8"/>
    <w:rsid w:val="0A626C36"/>
    <w:rsid w:val="0A6675A0"/>
    <w:rsid w:val="0A6E322B"/>
    <w:rsid w:val="0A7776D6"/>
    <w:rsid w:val="0A7B6D3C"/>
    <w:rsid w:val="0A8D3D36"/>
    <w:rsid w:val="0A8F0FC9"/>
    <w:rsid w:val="0A941F2B"/>
    <w:rsid w:val="0A951973"/>
    <w:rsid w:val="0AA919C2"/>
    <w:rsid w:val="0ACE5FA2"/>
    <w:rsid w:val="0AE0030A"/>
    <w:rsid w:val="0AE4097E"/>
    <w:rsid w:val="0B04224A"/>
    <w:rsid w:val="0B255DFC"/>
    <w:rsid w:val="0B3C7C36"/>
    <w:rsid w:val="0B460127"/>
    <w:rsid w:val="0B4D01BB"/>
    <w:rsid w:val="0B555BCD"/>
    <w:rsid w:val="0B607926"/>
    <w:rsid w:val="0B6B4077"/>
    <w:rsid w:val="0B6D4294"/>
    <w:rsid w:val="0B892750"/>
    <w:rsid w:val="0B8B08E3"/>
    <w:rsid w:val="0B8B0B54"/>
    <w:rsid w:val="0B903ADE"/>
    <w:rsid w:val="0B97780F"/>
    <w:rsid w:val="0B9E42A4"/>
    <w:rsid w:val="0B9F3D21"/>
    <w:rsid w:val="0BAB6B6A"/>
    <w:rsid w:val="0BBC0D77"/>
    <w:rsid w:val="0BBC13FE"/>
    <w:rsid w:val="0C0947D2"/>
    <w:rsid w:val="0C0C17EB"/>
    <w:rsid w:val="0C115768"/>
    <w:rsid w:val="0C2648B2"/>
    <w:rsid w:val="0C2A3F33"/>
    <w:rsid w:val="0C3F6C24"/>
    <w:rsid w:val="0C432EA9"/>
    <w:rsid w:val="0C450D6C"/>
    <w:rsid w:val="0C476893"/>
    <w:rsid w:val="0C486E11"/>
    <w:rsid w:val="0C510D68"/>
    <w:rsid w:val="0C514DDC"/>
    <w:rsid w:val="0C52300D"/>
    <w:rsid w:val="0C524D8A"/>
    <w:rsid w:val="0C5E1994"/>
    <w:rsid w:val="0C5F4438"/>
    <w:rsid w:val="0C7936A4"/>
    <w:rsid w:val="0C7C0DE9"/>
    <w:rsid w:val="0C8073C9"/>
    <w:rsid w:val="0C8B316C"/>
    <w:rsid w:val="0C8B7AFD"/>
    <w:rsid w:val="0CB03474"/>
    <w:rsid w:val="0CBD0903"/>
    <w:rsid w:val="0CBD4DA7"/>
    <w:rsid w:val="0CD56B25"/>
    <w:rsid w:val="0CD84241"/>
    <w:rsid w:val="0CF14E70"/>
    <w:rsid w:val="0D020A0B"/>
    <w:rsid w:val="0D07170F"/>
    <w:rsid w:val="0D190642"/>
    <w:rsid w:val="0D2C3CDA"/>
    <w:rsid w:val="0D3C4EC0"/>
    <w:rsid w:val="0D3E3570"/>
    <w:rsid w:val="0D3F44CA"/>
    <w:rsid w:val="0D472DEB"/>
    <w:rsid w:val="0D4B4161"/>
    <w:rsid w:val="0D605732"/>
    <w:rsid w:val="0D613D28"/>
    <w:rsid w:val="0D6B65B1"/>
    <w:rsid w:val="0D710F77"/>
    <w:rsid w:val="0D7977D8"/>
    <w:rsid w:val="0D8629FA"/>
    <w:rsid w:val="0D9E55C4"/>
    <w:rsid w:val="0DA41AC3"/>
    <w:rsid w:val="0DA71A97"/>
    <w:rsid w:val="0DC67C8B"/>
    <w:rsid w:val="0DD759F4"/>
    <w:rsid w:val="0DE20CDE"/>
    <w:rsid w:val="0DE408E3"/>
    <w:rsid w:val="0DEB58BA"/>
    <w:rsid w:val="0DF96590"/>
    <w:rsid w:val="0E464928"/>
    <w:rsid w:val="0E4E288B"/>
    <w:rsid w:val="0E552DBD"/>
    <w:rsid w:val="0E640092"/>
    <w:rsid w:val="0E715BC2"/>
    <w:rsid w:val="0E775BA2"/>
    <w:rsid w:val="0E7F7B0E"/>
    <w:rsid w:val="0E95513E"/>
    <w:rsid w:val="0EC107E0"/>
    <w:rsid w:val="0EC724C3"/>
    <w:rsid w:val="0ECF7B7A"/>
    <w:rsid w:val="0EF878CF"/>
    <w:rsid w:val="0F0F385F"/>
    <w:rsid w:val="0F4470B9"/>
    <w:rsid w:val="0F7D124D"/>
    <w:rsid w:val="0F7F4595"/>
    <w:rsid w:val="0F882069"/>
    <w:rsid w:val="0F96629D"/>
    <w:rsid w:val="0F9C18C3"/>
    <w:rsid w:val="0FA61B22"/>
    <w:rsid w:val="0FC15D1D"/>
    <w:rsid w:val="0FC71A98"/>
    <w:rsid w:val="0FD4597D"/>
    <w:rsid w:val="0FE73EE9"/>
    <w:rsid w:val="0FE95EB3"/>
    <w:rsid w:val="0FF27F78"/>
    <w:rsid w:val="0FFA1E6E"/>
    <w:rsid w:val="0FFA3ED9"/>
    <w:rsid w:val="100071D5"/>
    <w:rsid w:val="100F5919"/>
    <w:rsid w:val="1015610E"/>
    <w:rsid w:val="1021389E"/>
    <w:rsid w:val="102A2753"/>
    <w:rsid w:val="103C17EF"/>
    <w:rsid w:val="10476BB4"/>
    <w:rsid w:val="10624654"/>
    <w:rsid w:val="10757746"/>
    <w:rsid w:val="107B6F90"/>
    <w:rsid w:val="10816466"/>
    <w:rsid w:val="109404EB"/>
    <w:rsid w:val="10B7735F"/>
    <w:rsid w:val="10BE2E9B"/>
    <w:rsid w:val="10C3368C"/>
    <w:rsid w:val="10CA5A97"/>
    <w:rsid w:val="10E16B8A"/>
    <w:rsid w:val="10F47B61"/>
    <w:rsid w:val="11036B00"/>
    <w:rsid w:val="11317B11"/>
    <w:rsid w:val="11454A65"/>
    <w:rsid w:val="116E2B13"/>
    <w:rsid w:val="11884B51"/>
    <w:rsid w:val="11974057"/>
    <w:rsid w:val="11985050"/>
    <w:rsid w:val="11A71B81"/>
    <w:rsid w:val="11C16CC9"/>
    <w:rsid w:val="11D72467"/>
    <w:rsid w:val="12015736"/>
    <w:rsid w:val="1204724A"/>
    <w:rsid w:val="120A7C1C"/>
    <w:rsid w:val="120F1289"/>
    <w:rsid w:val="12133F09"/>
    <w:rsid w:val="121C431D"/>
    <w:rsid w:val="1223779D"/>
    <w:rsid w:val="1226519C"/>
    <w:rsid w:val="1262734D"/>
    <w:rsid w:val="12676588"/>
    <w:rsid w:val="1268574E"/>
    <w:rsid w:val="126C4F19"/>
    <w:rsid w:val="126D6927"/>
    <w:rsid w:val="12744159"/>
    <w:rsid w:val="127B0D81"/>
    <w:rsid w:val="127E0B34"/>
    <w:rsid w:val="12816876"/>
    <w:rsid w:val="1283439D"/>
    <w:rsid w:val="1283592B"/>
    <w:rsid w:val="128C7E19"/>
    <w:rsid w:val="12C32D62"/>
    <w:rsid w:val="12DE524F"/>
    <w:rsid w:val="12F24AFC"/>
    <w:rsid w:val="12FB5A76"/>
    <w:rsid w:val="130E6995"/>
    <w:rsid w:val="131037E0"/>
    <w:rsid w:val="134E1D0D"/>
    <w:rsid w:val="1354591A"/>
    <w:rsid w:val="136C4E31"/>
    <w:rsid w:val="138E124B"/>
    <w:rsid w:val="13A77ECB"/>
    <w:rsid w:val="13BE2773"/>
    <w:rsid w:val="13C7475D"/>
    <w:rsid w:val="13E22A79"/>
    <w:rsid w:val="13E23345"/>
    <w:rsid w:val="13F13588"/>
    <w:rsid w:val="13F228E1"/>
    <w:rsid w:val="13F32F17"/>
    <w:rsid w:val="13F70F75"/>
    <w:rsid w:val="14042E98"/>
    <w:rsid w:val="140441D6"/>
    <w:rsid w:val="142B450A"/>
    <w:rsid w:val="1433594E"/>
    <w:rsid w:val="14375FA7"/>
    <w:rsid w:val="144D1503"/>
    <w:rsid w:val="144E2788"/>
    <w:rsid w:val="14593E43"/>
    <w:rsid w:val="1481188B"/>
    <w:rsid w:val="14827D85"/>
    <w:rsid w:val="148825CA"/>
    <w:rsid w:val="149D09A2"/>
    <w:rsid w:val="14A10B0A"/>
    <w:rsid w:val="14A34882"/>
    <w:rsid w:val="14C013D9"/>
    <w:rsid w:val="14C02376"/>
    <w:rsid w:val="14C52589"/>
    <w:rsid w:val="14C76B3F"/>
    <w:rsid w:val="14CD0877"/>
    <w:rsid w:val="14D019A2"/>
    <w:rsid w:val="14D8552A"/>
    <w:rsid w:val="14E80209"/>
    <w:rsid w:val="14FD681B"/>
    <w:rsid w:val="1508650A"/>
    <w:rsid w:val="150A4901"/>
    <w:rsid w:val="151332E4"/>
    <w:rsid w:val="15186BB8"/>
    <w:rsid w:val="151F3D3D"/>
    <w:rsid w:val="152A1BD3"/>
    <w:rsid w:val="1530243F"/>
    <w:rsid w:val="1530789F"/>
    <w:rsid w:val="1537321C"/>
    <w:rsid w:val="153876C0"/>
    <w:rsid w:val="15406575"/>
    <w:rsid w:val="154958D5"/>
    <w:rsid w:val="15584339"/>
    <w:rsid w:val="155D511F"/>
    <w:rsid w:val="156E371C"/>
    <w:rsid w:val="15791A87"/>
    <w:rsid w:val="157957FD"/>
    <w:rsid w:val="158F0AD7"/>
    <w:rsid w:val="15991342"/>
    <w:rsid w:val="159B7C4F"/>
    <w:rsid w:val="159E2ACD"/>
    <w:rsid w:val="15A34F4D"/>
    <w:rsid w:val="15A87DCD"/>
    <w:rsid w:val="15B36B3D"/>
    <w:rsid w:val="15D43221"/>
    <w:rsid w:val="15DA2525"/>
    <w:rsid w:val="15DC186A"/>
    <w:rsid w:val="15DE18EA"/>
    <w:rsid w:val="15FC0579"/>
    <w:rsid w:val="15FF2724"/>
    <w:rsid w:val="15FF30BE"/>
    <w:rsid w:val="160A0823"/>
    <w:rsid w:val="16257DC1"/>
    <w:rsid w:val="16414AB1"/>
    <w:rsid w:val="16427DE6"/>
    <w:rsid w:val="16571318"/>
    <w:rsid w:val="165B7531"/>
    <w:rsid w:val="167209B0"/>
    <w:rsid w:val="16976668"/>
    <w:rsid w:val="169E164B"/>
    <w:rsid w:val="16A843D2"/>
    <w:rsid w:val="16CB5C81"/>
    <w:rsid w:val="16CD0084"/>
    <w:rsid w:val="16DF3E65"/>
    <w:rsid w:val="16E30A2C"/>
    <w:rsid w:val="16EA02A1"/>
    <w:rsid w:val="16F5453C"/>
    <w:rsid w:val="16FD2AD6"/>
    <w:rsid w:val="170A0BE8"/>
    <w:rsid w:val="17101F77"/>
    <w:rsid w:val="17141A67"/>
    <w:rsid w:val="17211686"/>
    <w:rsid w:val="1739670B"/>
    <w:rsid w:val="17510A16"/>
    <w:rsid w:val="175956CC"/>
    <w:rsid w:val="17603DD3"/>
    <w:rsid w:val="1765557B"/>
    <w:rsid w:val="17791F2D"/>
    <w:rsid w:val="17833292"/>
    <w:rsid w:val="178C3CF3"/>
    <w:rsid w:val="179E3A27"/>
    <w:rsid w:val="17AF1790"/>
    <w:rsid w:val="17CB2353"/>
    <w:rsid w:val="17CE4B53"/>
    <w:rsid w:val="18014A58"/>
    <w:rsid w:val="1807337A"/>
    <w:rsid w:val="180E128C"/>
    <w:rsid w:val="18253800"/>
    <w:rsid w:val="18283B0A"/>
    <w:rsid w:val="18552337"/>
    <w:rsid w:val="18602F63"/>
    <w:rsid w:val="18636B23"/>
    <w:rsid w:val="1889765D"/>
    <w:rsid w:val="18980476"/>
    <w:rsid w:val="189D1BB2"/>
    <w:rsid w:val="18B04FBB"/>
    <w:rsid w:val="18B51028"/>
    <w:rsid w:val="18C00002"/>
    <w:rsid w:val="18C2643D"/>
    <w:rsid w:val="18CE20EA"/>
    <w:rsid w:val="18D25C24"/>
    <w:rsid w:val="18E40145"/>
    <w:rsid w:val="18E5190D"/>
    <w:rsid w:val="18E53DB2"/>
    <w:rsid w:val="18EB2C9C"/>
    <w:rsid w:val="18ED2738"/>
    <w:rsid w:val="18F57676"/>
    <w:rsid w:val="19037E5E"/>
    <w:rsid w:val="19044766"/>
    <w:rsid w:val="190855FC"/>
    <w:rsid w:val="19115424"/>
    <w:rsid w:val="191F19AE"/>
    <w:rsid w:val="19315B51"/>
    <w:rsid w:val="194E7354"/>
    <w:rsid w:val="19502AFF"/>
    <w:rsid w:val="195919B3"/>
    <w:rsid w:val="196E6EF1"/>
    <w:rsid w:val="197F36FF"/>
    <w:rsid w:val="198E690B"/>
    <w:rsid w:val="19930EA4"/>
    <w:rsid w:val="199B021E"/>
    <w:rsid w:val="19A53273"/>
    <w:rsid w:val="19C31523"/>
    <w:rsid w:val="19ED7172"/>
    <w:rsid w:val="19F66F6A"/>
    <w:rsid w:val="19F811CC"/>
    <w:rsid w:val="1A254A03"/>
    <w:rsid w:val="1A2A3350"/>
    <w:rsid w:val="1A467214"/>
    <w:rsid w:val="1A566C3B"/>
    <w:rsid w:val="1A5E3C5E"/>
    <w:rsid w:val="1A5F47FD"/>
    <w:rsid w:val="1A797B97"/>
    <w:rsid w:val="1A82318C"/>
    <w:rsid w:val="1A99258F"/>
    <w:rsid w:val="1A9B3C7D"/>
    <w:rsid w:val="1AB8095B"/>
    <w:rsid w:val="1AE54956"/>
    <w:rsid w:val="1AE90819"/>
    <w:rsid w:val="1AFB10CA"/>
    <w:rsid w:val="1B010554"/>
    <w:rsid w:val="1B0D6300"/>
    <w:rsid w:val="1B0E2DEF"/>
    <w:rsid w:val="1B0E67CD"/>
    <w:rsid w:val="1B1158BB"/>
    <w:rsid w:val="1B150BD3"/>
    <w:rsid w:val="1B2934F7"/>
    <w:rsid w:val="1B33317E"/>
    <w:rsid w:val="1B682381"/>
    <w:rsid w:val="1B7E755E"/>
    <w:rsid w:val="1BA17040"/>
    <w:rsid w:val="1BAA0BEC"/>
    <w:rsid w:val="1BAC2462"/>
    <w:rsid w:val="1BAC72BF"/>
    <w:rsid w:val="1BDB2542"/>
    <w:rsid w:val="1BF800DA"/>
    <w:rsid w:val="1BF80238"/>
    <w:rsid w:val="1C19596E"/>
    <w:rsid w:val="1C1D13BE"/>
    <w:rsid w:val="1C2015B4"/>
    <w:rsid w:val="1C2B6BEB"/>
    <w:rsid w:val="1C2F0399"/>
    <w:rsid w:val="1C3173C8"/>
    <w:rsid w:val="1C3A038E"/>
    <w:rsid w:val="1C58699D"/>
    <w:rsid w:val="1C5E75D3"/>
    <w:rsid w:val="1C6A7B1A"/>
    <w:rsid w:val="1C9004DD"/>
    <w:rsid w:val="1C972D18"/>
    <w:rsid w:val="1CDB0B08"/>
    <w:rsid w:val="1CE539CE"/>
    <w:rsid w:val="1CEC5F5C"/>
    <w:rsid w:val="1CED6FE2"/>
    <w:rsid w:val="1CFC5477"/>
    <w:rsid w:val="1D110027"/>
    <w:rsid w:val="1D112FD2"/>
    <w:rsid w:val="1D1964B6"/>
    <w:rsid w:val="1D1B3706"/>
    <w:rsid w:val="1D207266"/>
    <w:rsid w:val="1D267876"/>
    <w:rsid w:val="1D3544E5"/>
    <w:rsid w:val="1D5A1969"/>
    <w:rsid w:val="1D5E190C"/>
    <w:rsid w:val="1D5E602E"/>
    <w:rsid w:val="1D5F5A06"/>
    <w:rsid w:val="1D6D0123"/>
    <w:rsid w:val="1D7768AC"/>
    <w:rsid w:val="1D7E0BC1"/>
    <w:rsid w:val="1D813BCE"/>
    <w:rsid w:val="1D824D40"/>
    <w:rsid w:val="1D9B18EB"/>
    <w:rsid w:val="1DA23028"/>
    <w:rsid w:val="1DA63635"/>
    <w:rsid w:val="1DBA49EB"/>
    <w:rsid w:val="1DBA63DB"/>
    <w:rsid w:val="1DC40FF2"/>
    <w:rsid w:val="1DC67DA1"/>
    <w:rsid w:val="1DE94F59"/>
    <w:rsid w:val="1DF15F3A"/>
    <w:rsid w:val="1DF42BB2"/>
    <w:rsid w:val="1E0D0FBE"/>
    <w:rsid w:val="1E1259E5"/>
    <w:rsid w:val="1E267E91"/>
    <w:rsid w:val="1E274E24"/>
    <w:rsid w:val="1E2A6014"/>
    <w:rsid w:val="1E4A0464"/>
    <w:rsid w:val="1E4B76F0"/>
    <w:rsid w:val="1E6A6411"/>
    <w:rsid w:val="1E80757A"/>
    <w:rsid w:val="1E84268C"/>
    <w:rsid w:val="1E8D1F07"/>
    <w:rsid w:val="1E9671EA"/>
    <w:rsid w:val="1E9A2E44"/>
    <w:rsid w:val="1EAA5340"/>
    <w:rsid w:val="1EAC37DD"/>
    <w:rsid w:val="1EAE454F"/>
    <w:rsid w:val="1EB10CE8"/>
    <w:rsid w:val="1EB4321D"/>
    <w:rsid w:val="1EC65D3D"/>
    <w:rsid w:val="1ECC05B2"/>
    <w:rsid w:val="1ECE699F"/>
    <w:rsid w:val="1EDD1F66"/>
    <w:rsid w:val="1EE44834"/>
    <w:rsid w:val="1EE77A61"/>
    <w:rsid w:val="1F0423C1"/>
    <w:rsid w:val="1F134CFA"/>
    <w:rsid w:val="1F3525A7"/>
    <w:rsid w:val="1F4153C3"/>
    <w:rsid w:val="1F446C62"/>
    <w:rsid w:val="1F455337"/>
    <w:rsid w:val="1F5A761E"/>
    <w:rsid w:val="1F6152E9"/>
    <w:rsid w:val="1F645556"/>
    <w:rsid w:val="1F6D61B8"/>
    <w:rsid w:val="1F7770EB"/>
    <w:rsid w:val="1F8B5F7A"/>
    <w:rsid w:val="1F9444DC"/>
    <w:rsid w:val="1F9C2061"/>
    <w:rsid w:val="1FB06F48"/>
    <w:rsid w:val="1FB244A2"/>
    <w:rsid w:val="1FB43DE7"/>
    <w:rsid w:val="1FBB33C8"/>
    <w:rsid w:val="1FBB5338"/>
    <w:rsid w:val="1FCB7383"/>
    <w:rsid w:val="1FD004F5"/>
    <w:rsid w:val="1FD77AD6"/>
    <w:rsid w:val="1FE777AD"/>
    <w:rsid w:val="1FEB00D4"/>
    <w:rsid w:val="1FEB7DA6"/>
    <w:rsid w:val="1FF44FEF"/>
    <w:rsid w:val="1FFB1A16"/>
    <w:rsid w:val="200563F1"/>
    <w:rsid w:val="20256A93"/>
    <w:rsid w:val="20273535"/>
    <w:rsid w:val="20426795"/>
    <w:rsid w:val="20440F6C"/>
    <w:rsid w:val="2076109D"/>
    <w:rsid w:val="209F4BDD"/>
    <w:rsid w:val="20A0611A"/>
    <w:rsid w:val="20B8211C"/>
    <w:rsid w:val="20B971DB"/>
    <w:rsid w:val="20DD5D34"/>
    <w:rsid w:val="20E66222"/>
    <w:rsid w:val="20FD5107"/>
    <w:rsid w:val="210357A2"/>
    <w:rsid w:val="210E3280"/>
    <w:rsid w:val="21283D86"/>
    <w:rsid w:val="21371D65"/>
    <w:rsid w:val="21497A3D"/>
    <w:rsid w:val="214E7CFF"/>
    <w:rsid w:val="214F3D9F"/>
    <w:rsid w:val="215B219B"/>
    <w:rsid w:val="217B0148"/>
    <w:rsid w:val="21880342"/>
    <w:rsid w:val="218A26B6"/>
    <w:rsid w:val="218F1D03"/>
    <w:rsid w:val="21A31394"/>
    <w:rsid w:val="21C8784D"/>
    <w:rsid w:val="21FE6FD2"/>
    <w:rsid w:val="2208041A"/>
    <w:rsid w:val="2232172B"/>
    <w:rsid w:val="22361E83"/>
    <w:rsid w:val="22364F87"/>
    <w:rsid w:val="22382DE4"/>
    <w:rsid w:val="22437744"/>
    <w:rsid w:val="2250591D"/>
    <w:rsid w:val="225418B2"/>
    <w:rsid w:val="225E003A"/>
    <w:rsid w:val="227A5BD7"/>
    <w:rsid w:val="22840B96"/>
    <w:rsid w:val="228E2F89"/>
    <w:rsid w:val="22901D32"/>
    <w:rsid w:val="229B7CC8"/>
    <w:rsid w:val="229F5284"/>
    <w:rsid w:val="22A26393"/>
    <w:rsid w:val="22A829AC"/>
    <w:rsid w:val="22AE21A9"/>
    <w:rsid w:val="22B21296"/>
    <w:rsid w:val="22B84E5C"/>
    <w:rsid w:val="22C52EB2"/>
    <w:rsid w:val="22C93958"/>
    <w:rsid w:val="22DB78DD"/>
    <w:rsid w:val="22E25451"/>
    <w:rsid w:val="22E5250A"/>
    <w:rsid w:val="22F521FD"/>
    <w:rsid w:val="23103A2A"/>
    <w:rsid w:val="231177A3"/>
    <w:rsid w:val="23243032"/>
    <w:rsid w:val="232E3EB1"/>
    <w:rsid w:val="233971B6"/>
    <w:rsid w:val="233A3024"/>
    <w:rsid w:val="233E1E41"/>
    <w:rsid w:val="23552E00"/>
    <w:rsid w:val="23566F63"/>
    <w:rsid w:val="23665632"/>
    <w:rsid w:val="236C56EB"/>
    <w:rsid w:val="23721210"/>
    <w:rsid w:val="237D2742"/>
    <w:rsid w:val="237F2598"/>
    <w:rsid w:val="23931F66"/>
    <w:rsid w:val="23A61C99"/>
    <w:rsid w:val="23B13ADD"/>
    <w:rsid w:val="23B9138F"/>
    <w:rsid w:val="23C12F77"/>
    <w:rsid w:val="23D5432C"/>
    <w:rsid w:val="23DC18AC"/>
    <w:rsid w:val="23F37AB5"/>
    <w:rsid w:val="23F83044"/>
    <w:rsid w:val="24122364"/>
    <w:rsid w:val="24156E1F"/>
    <w:rsid w:val="241E2177"/>
    <w:rsid w:val="24253506"/>
    <w:rsid w:val="24275B83"/>
    <w:rsid w:val="24286B65"/>
    <w:rsid w:val="24431BDE"/>
    <w:rsid w:val="244662CE"/>
    <w:rsid w:val="244707AE"/>
    <w:rsid w:val="244B2840"/>
    <w:rsid w:val="246029DF"/>
    <w:rsid w:val="246608D4"/>
    <w:rsid w:val="246D010F"/>
    <w:rsid w:val="247B0BE6"/>
    <w:rsid w:val="24891158"/>
    <w:rsid w:val="24924B6C"/>
    <w:rsid w:val="24930679"/>
    <w:rsid w:val="249B017E"/>
    <w:rsid w:val="249F3410"/>
    <w:rsid w:val="24A93DF2"/>
    <w:rsid w:val="24AD57D1"/>
    <w:rsid w:val="24C35ACB"/>
    <w:rsid w:val="24CC4301"/>
    <w:rsid w:val="24D42836"/>
    <w:rsid w:val="24D6035C"/>
    <w:rsid w:val="24D665AE"/>
    <w:rsid w:val="24D9609E"/>
    <w:rsid w:val="24E54A43"/>
    <w:rsid w:val="24FE78B3"/>
    <w:rsid w:val="252E7076"/>
    <w:rsid w:val="253973A1"/>
    <w:rsid w:val="253A4D8F"/>
    <w:rsid w:val="253F05F7"/>
    <w:rsid w:val="254D237D"/>
    <w:rsid w:val="25500BDC"/>
    <w:rsid w:val="25513E86"/>
    <w:rsid w:val="25517FE5"/>
    <w:rsid w:val="25536A5F"/>
    <w:rsid w:val="255F53E2"/>
    <w:rsid w:val="256A27DA"/>
    <w:rsid w:val="257A518B"/>
    <w:rsid w:val="2581560E"/>
    <w:rsid w:val="25817450"/>
    <w:rsid w:val="258F20F5"/>
    <w:rsid w:val="25BF654C"/>
    <w:rsid w:val="25C57D27"/>
    <w:rsid w:val="25D4371E"/>
    <w:rsid w:val="25DC4098"/>
    <w:rsid w:val="25EE6B59"/>
    <w:rsid w:val="25F31F60"/>
    <w:rsid w:val="25FE1F57"/>
    <w:rsid w:val="260A536B"/>
    <w:rsid w:val="260B7B7F"/>
    <w:rsid w:val="26102E9E"/>
    <w:rsid w:val="26135CDC"/>
    <w:rsid w:val="261660EE"/>
    <w:rsid w:val="261C5138"/>
    <w:rsid w:val="26312D19"/>
    <w:rsid w:val="2631750E"/>
    <w:rsid w:val="263226D9"/>
    <w:rsid w:val="263E440B"/>
    <w:rsid w:val="26462452"/>
    <w:rsid w:val="26481CB8"/>
    <w:rsid w:val="264F32A0"/>
    <w:rsid w:val="266B58DE"/>
    <w:rsid w:val="266C5C25"/>
    <w:rsid w:val="26730FDF"/>
    <w:rsid w:val="26731922"/>
    <w:rsid w:val="267C3185"/>
    <w:rsid w:val="267E0CAB"/>
    <w:rsid w:val="2681079B"/>
    <w:rsid w:val="2681708D"/>
    <w:rsid w:val="26924756"/>
    <w:rsid w:val="26A72609"/>
    <w:rsid w:val="26A85D28"/>
    <w:rsid w:val="26B24DF9"/>
    <w:rsid w:val="26B56800"/>
    <w:rsid w:val="26C2385B"/>
    <w:rsid w:val="26D625CD"/>
    <w:rsid w:val="26E36D60"/>
    <w:rsid w:val="27003DB6"/>
    <w:rsid w:val="270311B0"/>
    <w:rsid w:val="27076EF2"/>
    <w:rsid w:val="270F796E"/>
    <w:rsid w:val="27225ADA"/>
    <w:rsid w:val="27393EF3"/>
    <w:rsid w:val="27461534"/>
    <w:rsid w:val="274A6DDF"/>
    <w:rsid w:val="274E2D73"/>
    <w:rsid w:val="274E744D"/>
    <w:rsid w:val="27647742"/>
    <w:rsid w:val="276C31F9"/>
    <w:rsid w:val="276E5052"/>
    <w:rsid w:val="278D5194"/>
    <w:rsid w:val="278E18F5"/>
    <w:rsid w:val="27902E65"/>
    <w:rsid w:val="2793374E"/>
    <w:rsid w:val="27D42CC8"/>
    <w:rsid w:val="27FC5C34"/>
    <w:rsid w:val="280434E1"/>
    <w:rsid w:val="280651FA"/>
    <w:rsid w:val="280B2A12"/>
    <w:rsid w:val="28100029"/>
    <w:rsid w:val="2814023C"/>
    <w:rsid w:val="281E3245"/>
    <w:rsid w:val="2831399A"/>
    <w:rsid w:val="283619DE"/>
    <w:rsid w:val="283D0508"/>
    <w:rsid w:val="28477F9C"/>
    <w:rsid w:val="284F0521"/>
    <w:rsid w:val="285E1492"/>
    <w:rsid w:val="286C41B3"/>
    <w:rsid w:val="287D6F0D"/>
    <w:rsid w:val="288325A9"/>
    <w:rsid w:val="288E653A"/>
    <w:rsid w:val="289F46F1"/>
    <w:rsid w:val="289F6226"/>
    <w:rsid w:val="28A6098D"/>
    <w:rsid w:val="28C46D9B"/>
    <w:rsid w:val="28C823B0"/>
    <w:rsid w:val="28D47A8E"/>
    <w:rsid w:val="28ED3EC6"/>
    <w:rsid w:val="29124972"/>
    <w:rsid w:val="29462118"/>
    <w:rsid w:val="296E7DBD"/>
    <w:rsid w:val="29714F99"/>
    <w:rsid w:val="297665B1"/>
    <w:rsid w:val="297B6A76"/>
    <w:rsid w:val="297D5ACA"/>
    <w:rsid w:val="29891E41"/>
    <w:rsid w:val="299F11E2"/>
    <w:rsid w:val="29A530A7"/>
    <w:rsid w:val="29AD3695"/>
    <w:rsid w:val="29BF3AB4"/>
    <w:rsid w:val="29DF4157"/>
    <w:rsid w:val="29FF4343"/>
    <w:rsid w:val="2A07545B"/>
    <w:rsid w:val="2A151926"/>
    <w:rsid w:val="2A30616F"/>
    <w:rsid w:val="2A383F1E"/>
    <w:rsid w:val="2A3D2C2B"/>
    <w:rsid w:val="2A4E6BE6"/>
    <w:rsid w:val="2A651138"/>
    <w:rsid w:val="2A6B2446"/>
    <w:rsid w:val="2A6B3196"/>
    <w:rsid w:val="2A71692E"/>
    <w:rsid w:val="2A7804E2"/>
    <w:rsid w:val="2A956167"/>
    <w:rsid w:val="2A965780"/>
    <w:rsid w:val="2A973400"/>
    <w:rsid w:val="2AA75F0B"/>
    <w:rsid w:val="2AB4113F"/>
    <w:rsid w:val="2AB43501"/>
    <w:rsid w:val="2AB729DE"/>
    <w:rsid w:val="2ABF51E3"/>
    <w:rsid w:val="2AC375D4"/>
    <w:rsid w:val="2ADB2B70"/>
    <w:rsid w:val="2ADD4BDC"/>
    <w:rsid w:val="2AF32374"/>
    <w:rsid w:val="2B0D2EB3"/>
    <w:rsid w:val="2B210877"/>
    <w:rsid w:val="2B25203D"/>
    <w:rsid w:val="2B280D82"/>
    <w:rsid w:val="2B2A174E"/>
    <w:rsid w:val="2B2C517A"/>
    <w:rsid w:val="2B2D4C71"/>
    <w:rsid w:val="2B2F5B81"/>
    <w:rsid w:val="2B350611"/>
    <w:rsid w:val="2B465B0F"/>
    <w:rsid w:val="2B674542"/>
    <w:rsid w:val="2B6D12EE"/>
    <w:rsid w:val="2B7D3C27"/>
    <w:rsid w:val="2B90108F"/>
    <w:rsid w:val="2B933650"/>
    <w:rsid w:val="2B9E594C"/>
    <w:rsid w:val="2BA2543C"/>
    <w:rsid w:val="2BB362D7"/>
    <w:rsid w:val="2BC513DB"/>
    <w:rsid w:val="2BD42B8E"/>
    <w:rsid w:val="2C084DF9"/>
    <w:rsid w:val="2C0C2C7F"/>
    <w:rsid w:val="2C2B3683"/>
    <w:rsid w:val="2C2C0E7A"/>
    <w:rsid w:val="2C39222C"/>
    <w:rsid w:val="2C5069B1"/>
    <w:rsid w:val="2C7A1920"/>
    <w:rsid w:val="2C7D1A05"/>
    <w:rsid w:val="2C977744"/>
    <w:rsid w:val="2C9E5DD5"/>
    <w:rsid w:val="2CA23219"/>
    <w:rsid w:val="2CBB519F"/>
    <w:rsid w:val="2CCB5DE2"/>
    <w:rsid w:val="2CE7790A"/>
    <w:rsid w:val="2CEA52EC"/>
    <w:rsid w:val="2CF448A1"/>
    <w:rsid w:val="2D1106D1"/>
    <w:rsid w:val="2D2D76B3"/>
    <w:rsid w:val="2D3277D3"/>
    <w:rsid w:val="2D3E2F42"/>
    <w:rsid w:val="2D4205BF"/>
    <w:rsid w:val="2D4E68E1"/>
    <w:rsid w:val="2D665CF1"/>
    <w:rsid w:val="2D73163A"/>
    <w:rsid w:val="2D911E5E"/>
    <w:rsid w:val="2DA64D01"/>
    <w:rsid w:val="2DAA3675"/>
    <w:rsid w:val="2DC46F62"/>
    <w:rsid w:val="2DC53813"/>
    <w:rsid w:val="2DC92EED"/>
    <w:rsid w:val="2DD15FB8"/>
    <w:rsid w:val="2DD543A0"/>
    <w:rsid w:val="2DF55AA8"/>
    <w:rsid w:val="2DF950BB"/>
    <w:rsid w:val="2DFE11A0"/>
    <w:rsid w:val="2E0979F4"/>
    <w:rsid w:val="2E0F16E3"/>
    <w:rsid w:val="2E1154FC"/>
    <w:rsid w:val="2E2245AF"/>
    <w:rsid w:val="2E285F35"/>
    <w:rsid w:val="2E2D23C6"/>
    <w:rsid w:val="2E364CE5"/>
    <w:rsid w:val="2E47051C"/>
    <w:rsid w:val="2E52464F"/>
    <w:rsid w:val="2E53448F"/>
    <w:rsid w:val="2E551817"/>
    <w:rsid w:val="2E55758E"/>
    <w:rsid w:val="2E5B115F"/>
    <w:rsid w:val="2E7B51CF"/>
    <w:rsid w:val="2E881586"/>
    <w:rsid w:val="2E975000"/>
    <w:rsid w:val="2E9B1DEB"/>
    <w:rsid w:val="2EAD2710"/>
    <w:rsid w:val="2EB45BB2"/>
    <w:rsid w:val="2EC35AEB"/>
    <w:rsid w:val="2EC85871"/>
    <w:rsid w:val="2EC945F8"/>
    <w:rsid w:val="2EC95A7D"/>
    <w:rsid w:val="2ED13150"/>
    <w:rsid w:val="2ED26038"/>
    <w:rsid w:val="2ED33B5E"/>
    <w:rsid w:val="2EDA3400"/>
    <w:rsid w:val="2EFA558F"/>
    <w:rsid w:val="2F04325E"/>
    <w:rsid w:val="2F055029"/>
    <w:rsid w:val="2F083808"/>
    <w:rsid w:val="2F120B2A"/>
    <w:rsid w:val="2F136E0C"/>
    <w:rsid w:val="2F1F5971"/>
    <w:rsid w:val="2F25260C"/>
    <w:rsid w:val="2F3C5BA7"/>
    <w:rsid w:val="2F41082B"/>
    <w:rsid w:val="2F432A92"/>
    <w:rsid w:val="2F435445"/>
    <w:rsid w:val="2F450C27"/>
    <w:rsid w:val="2F463B66"/>
    <w:rsid w:val="2F494409"/>
    <w:rsid w:val="2F57478F"/>
    <w:rsid w:val="2F5B427F"/>
    <w:rsid w:val="2F680365"/>
    <w:rsid w:val="2F697478"/>
    <w:rsid w:val="2F6A0915"/>
    <w:rsid w:val="2F6A77AF"/>
    <w:rsid w:val="2F792957"/>
    <w:rsid w:val="2F80589F"/>
    <w:rsid w:val="2F860D9A"/>
    <w:rsid w:val="2F8B307D"/>
    <w:rsid w:val="2F8F2224"/>
    <w:rsid w:val="2FA87F52"/>
    <w:rsid w:val="2FA96CF6"/>
    <w:rsid w:val="2FAF6379"/>
    <w:rsid w:val="2FB41BE1"/>
    <w:rsid w:val="2FDD51BB"/>
    <w:rsid w:val="2FE204FD"/>
    <w:rsid w:val="2FF56DFE"/>
    <w:rsid w:val="30074BDA"/>
    <w:rsid w:val="300B32FC"/>
    <w:rsid w:val="3016768F"/>
    <w:rsid w:val="301B60B4"/>
    <w:rsid w:val="303348B4"/>
    <w:rsid w:val="30586A11"/>
    <w:rsid w:val="30622D82"/>
    <w:rsid w:val="306C426A"/>
    <w:rsid w:val="306C6081"/>
    <w:rsid w:val="307139DC"/>
    <w:rsid w:val="30770A64"/>
    <w:rsid w:val="308B0B94"/>
    <w:rsid w:val="30937DBD"/>
    <w:rsid w:val="309D4BD1"/>
    <w:rsid w:val="30B82FD6"/>
    <w:rsid w:val="30BA53A8"/>
    <w:rsid w:val="30BD09BB"/>
    <w:rsid w:val="30C25F01"/>
    <w:rsid w:val="30CA3E8F"/>
    <w:rsid w:val="30D1616E"/>
    <w:rsid w:val="30D72EC9"/>
    <w:rsid w:val="30D95A97"/>
    <w:rsid w:val="310444A3"/>
    <w:rsid w:val="31083EBF"/>
    <w:rsid w:val="310903A7"/>
    <w:rsid w:val="31237024"/>
    <w:rsid w:val="31264D45"/>
    <w:rsid w:val="312834D6"/>
    <w:rsid w:val="312F660A"/>
    <w:rsid w:val="3151286B"/>
    <w:rsid w:val="316354D0"/>
    <w:rsid w:val="31762F8E"/>
    <w:rsid w:val="31787C5C"/>
    <w:rsid w:val="317F3B29"/>
    <w:rsid w:val="318C4AAB"/>
    <w:rsid w:val="319A2F91"/>
    <w:rsid w:val="31BE4652"/>
    <w:rsid w:val="31DA6B30"/>
    <w:rsid w:val="31DB16A7"/>
    <w:rsid w:val="31DF1DE1"/>
    <w:rsid w:val="31E42E2A"/>
    <w:rsid w:val="31F70176"/>
    <w:rsid w:val="320A5AE9"/>
    <w:rsid w:val="322A71C5"/>
    <w:rsid w:val="32304E5B"/>
    <w:rsid w:val="323560A3"/>
    <w:rsid w:val="325112FA"/>
    <w:rsid w:val="325A5D7D"/>
    <w:rsid w:val="326C2300"/>
    <w:rsid w:val="326E42CA"/>
    <w:rsid w:val="32813BEF"/>
    <w:rsid w:val="328E26FA"/>
    <w:rsid w:val="32906DBF"/>
    <w:rsid w:val="32911371"/>
    <w:rsid w:val="32957F27"/>
    <w:rsid w:val="329F7BA9"/>
    <w:rsid w:val="32AA2E28"/>
    <w:rsid w:val="32C346E7"/>
    <w:rsid w:val="32DB0401"/>
    <w:rsid w:val="331035D3"/>
    <w:rsid w:val="33122EA7"/>
    <w:rsid w:val="33223075"/>
    <w:rsid w:val="332C7BE8"/>
    <w:rsid w:val="333746BC"/>
    <w:rsid w:val="333A0650"/>
    <w:rsid w:val="33811DDB"/>
    <w:rsid w:val="338A589D"/>
    <w:rsid w:val="33A665D2"/>
    <w:rsid w:val="33AC606A"/>
    <w:rsid w:val="33AF515B"/>
    <w:rsid w:val="33B031C9"/>
    <w:rsid w:val="33B57CD6"/>
    <w:rsid w:val="33BD4E5D"/>
    <w:rsid w:val="33C70135"/>
    <w:rsid w:val="33E365F1"/>
    <w:rsid w:val="33FE342B"/>
    <w:rsid w:val="3400118D"/>
    <w:rsid w:val="340613D4"/>
    <w:rsid w:val="341D1194"/>
    <w:rsid w:val="341E1D1F"/>
    <w:rsid w:val="3449452D"/>
    <w:rsid w:val="345346E9"/>
    <w:rsid w:val="34566AA9"/>
    <w:rsid w:val="345E78F7"/>
    <w:rsid w:val="346416CE"/>
    <w:rsid w:val="3471093F"/>
    <w:rsid w:val="34951FE2"/>
    <w:rsid w:val="34AA5967"/>
    <w:rsid w:val="34C77CC1"/>
    <w:rsid w:val="34EE16F2"/>
    <w:rsid w:val="34F5072F"/>
    <w:rsid w:val="35072EE5"/>
    <w:rsid w:val="351A2B71"/>
    <w:rsid w:val="35246EC1"/>
    <w:rsid w:val="353950B8"/>
    <w:rsid w:val="35523A2F"/>
    <w:rsid w:val="3573427C"/>
    <w:rsid w:val="359003B3"/>
    <w:rsid w:val="359B1CB3"/>
    <w:rsid w:val="35B00755"/>
    <w:rsid w:val="35BD0A52"/>
    <w:rsid w:val="35C04CE4"/>
    <w:rsid w:val="35C506A4"/>
    <w:rsid w:val="35CB79FD"/>
    <w:rsid w:val="35DD5857"/>
    <w:rsid w:val="35EF127D"/>
    <w:rsid w:val="35F26FC0"/>
    <w:rsid w:val="35F44AE6"/>
    <w:rsid w:val="35F71311"/>
    <w:rsid w:val="35FD19D3"/>
    <w:rsid w:val="36105698"/>
    <w:rsid w:val="362B444D"/>
    <w:rsid w:val="36443753"/>
    <w:rsid w:val="364A0BAA"/>
    <w:rsid w:val="365323F5"/>
    <w:rsid w:val="365E656D"/>
    <w:rsid w:val="369E5286"/>
    <w:rsid w:val="36A86D3C"/>
    <w:rsid w:val="36AC3612"/>
    <w:rsid w:val="36C111AB"/>
    <w:rsid w:val="36C22E36"/>
    <w:rsid w:val="36D13079"/>
    <w:rsid w:val="36E0150E"/>
    <w:rsid w:val="36EA617E"/>
    <w:rsid w:val="36F24E5F"/>
    <w:rsid w:val="371A1A10"/>
    <w:rsid w:val="37215B05"/>
    <w:rsid w:val="37284949"/>
    <w:rsid w:val="372B6EDE"/>
    <w:rsid w:val="374F6B69"/>
    <w:rsid w:val="37506ECC"/>
    <w:rsid w:val="375F7297"/>
    <w:rsid w:val="376904F9"/>
    <w:rsid w:val="376A542D"/>
    <w:rsid w:val="37841E99"/>
    <w:rsid w:val="3788558F"/>
    <w:rsid w:val="37920A5A"/>
    <w:rsid w:val="37925A57"/>
    <w:rsid w:val="37985945"/>
    <w:rsid w:val="37AE77D1"/>
    <w:rsid w:val="37CB4EE5"/>
    <w:rsid w:val="37CB7AC8"/>
    <w:rsid w:val="37D458C6"/>
    <w:rsid w:val="37DC7FC7"/>
    <w:rsid w:val="37F62883"/>
    <w:rsid w:val="38130A74"/>
    <w:rsid w:val="381C5F46"/>
    <w:rsid w:val="38305B4B"/>
    <w:rsid w:val="38397D06"/>
    <w:rsid w:val="38671085"/>
    <w:rsid w:val="386922B8"/>
    <w:rsid w:val="386B2E9C"/>
    <w:rsid w:val="387E2B20"/>
    <w:rsid w:val="38840B33"/>
    <w:rsid w:val="3887702A"/>
    <w:rsid w:val="389820A0"/>
    <w:rsid w:val="389B2C2E"/>
    <w:rsid w:val="38BB6E27"/>
    <w:rsid w:val="38BD056F"/>
    <w:rsid w:val="38C57B8C"/>
    <w:rsid w:val="38D04B6E"/>
    <w:rsid w:val="38D55C01"/>
    <w:rsid w:val="38DF7B20"/>
    <w:rsid w:val="38E42223"/>
    <w:rsid w:val="38F266D4"/>
    <w:rsid w:val="3922078C"/>
    <w:rsid w:val="392F4087"/>
    <w:rsid w:val="393C4AF5"/>
    <w:rsid w:val="39410E2A"/>
    <w:rsid w:val="394D1BC6"/>
    <w:rsid w:val="395032A1"/>
    <w:rsid w:val="39534219"/>
    <w:rsid w:val="395C0E2A"/>
    <w:rsid w:val="39685F46"/>
    <w:rsid w:val="396F26D5"/>
    <w:rsid w:val="397A0320"/>
    <w:rsid w:val="39897C3B"/>
    <w:rsid w:val="39A07799"/>
    <w:rsid w:val="39A16D33"/>
    <w:rsid w:val="39B46EDF"/>
    <w:rsid w:val="39B64FB6"/>
    <w:rsid w:val="39BB69DF"/>
    <w:rsid w:val="39BD28A2"/>
    <w:rsid w:val="39CC4CDD"/>
    <w:rsid w:val="39CE1802"/>
    <w:rsid w:val="39E92576"/>
    <w:rsid w:val="3A016952"/>
    <w:rsid w:val="3A03223E"/>
    <w:rsid w:val="3A0B6F41"/>
    <w:rsid w:val="3A0C57B3"/>
    <w:rsid w:val="3A1A6AE5"/>
    <w:rsid w:val="3A1F40FB"/>
    <w:rsid w:val="3A202852"/>
    <w:rsid w:val="3A461688"/>
    <w:rsid w:val="3A4678DA"/>
    <w:rsid w:val="3A527608"/>
    <w:rsid w:val="3A612966"/>
    <w:rsid w:val="3A667F7C"/>
    <w:rsid w:val="3A681039"/>
    <w:rsid w:val="3A6859B2"/>
    <w:rsid w:val="3A6A35C8"/>
    <w:rsid w:val="3A8055CA"/>
    <w:rsid w:val="3A8A302C"/>
    <w:rsid w:val="3A9059A6"/>
    <w:rsid w:val="3A91380B"/>
    <w:rsid w:val="3A96260F"/>
    <w:rsid w:val="3AB17449"/>
    <w:rsid w:val="3AB55887"/>
    <w:rsid w:val="3AB70CEE"/>
    <w:rsid w:val="3AC0143A"/>
    <w:rsid w:val="3ACB78E4"/>
    <w:rsid w:val="3ACF2D0A"/>
    <w:rsid w:val="3ADC3D9A"/>
    <w:rsid w:val="3AF17846"/>
    <w:rsid w:val="3B091033"/>
    <w:rsid w:val="3B11480F"/>
    <w:rsid w:val="3B1760FE"/>
    <w:rsid w:val="3B2220F5"/>
    <w:rsid w:val="3B286FE0"/>
    <w:rsid w:val="3B2D72D9"/>
    <w:rsid w:val="3B477C9E"/>
    <w:rsid w:val="3B547DD5"/>
    <w:rsid w:val="3B5A0048"/>
    <w:rsid w:val="3B6A09D5"/>
    <w:rsid w:val="3BA91DA7"/>
    <w:rsid w:val="3BAC7A51"/>
    <w:rsid w:val="3BAD04B8"/>
    <w:rsid w:val="3BB71827"/>
    <w:rsid w:val="3BBC42F8"/>
    <w:rsid w:val="3BBC680E"/>
    <w:rsid w:val="3BCE5DD9"/>
    <w:rsid w:val="3BEB0739"/>
    <w:rsid w:val="3BF070B9"/>
    <w:rsid w:val="3BF33A92"/>
    <w:rsid w:val="3BFB3E31"/>
    <w:rsid w:val="3C0637C5"/>
    <w:rsid w:val="3C16000C"/>
    <w:rsid w:val="3C645EAF"/>
    <w:rsid w:val="3C775D14"/>
    <w:rsid w:val="3C7E0662"/>
    <w:rsid w:val="3C7F0E81"/>
    <w:rsid w:val="3C850B8E"/>
    <w:rsid w:val="3C893C84"/>
    <w:rsid w:val="3C8C1F1C"/>
    <w:rsid w:val="3C977B64"/>
    <w:rsid w:val="3CA52689"/>
    <w:rsid w:val="3CA64660"/>
    <w:rsid w:val="3CB94CE1"/>
    <w:rsid w:val="3CBD2CEE"/>
    <w:rsid w:val="3CBE1FF1"/>
    <w:rsid w:val="3CCD2275"/>
    <w:rsid w:val="3CDA608C"/>
    <w:rsid w:val="3CEA6507"/>
    <w:rsid w:val="3D021811"/>
    <w:rsid w:val="3D0870C9"/>
    <w:rsid w:val="3D11319F"/>
    <w:rsid w:val="3D157699"/>
    <w:rsid w:val="3D1B32A0"/>
    <w:rsid w:val="3D231415"/>
    <w:rsid w:val="3D233F03"/>
    <w:rsid w:val="3D2C3A74"/>
    <w:rsid w:val="3D3954D4"/>
    <w:rsid w:val="3D395D97"/>
    <w:rsid w:val="3D431486"/>
    <w:rsid w:val="3D517A5B"/>
    <w:rsid w:val="3D5856FA"/>
    <w:rsid w:val="3D5D751E"/>
    <w:rsid w:val="3D632551"/>
    <w:rsid w:val="3D6411B7"/>
    <w:rsid w:val="3D6D4979"/>
    <w:rsid w:val="3D706119"/>
    <w:rsid w:val="3D714DD7"/>
    <w:rsid w:val="3D773AD2"/>
    <w:rsid w:val="3D791D75"/>
    <w:rsid w:val="3D7F165C"/>
    <w:rsid w:val="3D811E87"/>
    <w:rsid w:val="3D814136"/>
    <w:rsid w:val="3D876FED"/>
    <w:rsid w:val="3D9112D3"/>
    <w:rsid w:val="3DA81C4C"/>
    <w:rsid w:val="3DB72F2F"/>
    <w:rsid w:val="3DB95F44"/>
    <w:rsid w:val="3DC14618"/>
    <w:rsid w:val="3DD516A1"/>
    <w:rsid w:val="3DE93E06"/>
    <w:rsid w:val="3DEE4C5C"/>
    <w:rsid w:val="3DF31B27"/>
    <w:rsid w:val="3DFC02E4"/>
    <w:rsid w:val="3E0779C6"/>
    <w:rsid w:val="3E0F2269"/>
    <w:rsid w:val="3E20255C"/>
    <w:rsid w:val="3E25233C"/>
    <w:rsid w:val="3E263CAA"/>
    <w:rsid w:val="3E270777"/>
    <w:rsid w:val="3E2C7ECF"/>
    <w:rsid w:val="3E3160C1"/>
    <w:rsid w:val="3E3A106C"/>
    <w:rsid w:val="3E3A7756"/>
    <w:rsid w:val="3E4266DE"/>
    <w:rsid w:val="3E4F1329"/>
    <w:rsid w:val="3E506F79"/>
    <w:rsid w:val="3E5527E2"/>
    <w:rsid w:val="3E5A3954"/>
    <w:rsid w:val="3E5E1696"/>
    <w:rsid w:val="3E641C87"/>
    <w:rsid w:val="3E695004"/>
    <w:rsid w:val="3E7A2248"/>
    <w:rsid w:val="3E827E57"/>
    <w:rsid w:val="3E865D58"/>
    <w:rsid w:val="3E93143C"/>
    <w:rsid w:val="3E9B7F1B"/>
    <w:rsid w:val="3E9C6D58"/>
    <w:rsid w:val="3E9E5F37"/>
    <w:rsid w:val="3EC84D62"/>
    <w:rsid w:val="3ECB6600"/>
    <w:rsid w:val="3ED3422D"/>
    <w:rsid w:val="3EEF3C4F"/>
    <w:rsid w:val="3EFC3A91"/>
    <w:rsid w:val="3F124FD7"/>
    <w:rsid w:val="3F134CD2"/>
    <w:rsid w:val="3F135D1D"/>
    <w:rsid w:val="3F195786"/>
    <w:rsid w:val="3F1A5071"/>
    <w:rsid w:val="3F1F2428"/>
    <w:rsid w:val="3F211237"/>
    <w:rsid w:val="3F292C6C"/>
    <w:rsid w:val="3F2D72BA"/>
    <w:rsid w:val="3F3146B5"/>
    <w:rsid w:val="3F395C5F"/>
    <w:rsid w:val="3F3B7533"/>
    <w:rsid w:val="3F4F5483"/>
    <w:rsid w:val="3F5D36FC"/>
    <w:rsid w:val="3F5E2E6F"/>
    <w:rsid w:val="3F60143E"/>
    <w:rsid w:val="3F8C5D8F"/>
    <w:rsid w:val="3F8F587F"/>
    <w:rsid w:val="3FD9337D"/>
    <w:rsid w:val="3FE6760C"/>
    <w:rsid w:val="400440D1"/>
    <w:rsid w:val="40104B97"/>
    <w:rsid w:val="4012098A"/>
    <w:rsid w:val="402E49D2"/>
    <w:rsid w:val="40316936"/>
    <w:rsid w:val="403B186E"/>
    <w:rsid w:val="404248CC"/>
    <w:rsid w:val="40453207"/>
    <w:rsid w:val="404D0F0A"/>
    <w:rsid w:val="405B06CA"/>
    <w:rsid w:val="40624D42"/>
    <w:rsid w:val="406E7B8B"/>
    <w:rsid w:val="409A0980"/>
    <w:rsid w:val="40B57568"/>
    <w:rsid w:val="40E803BF"/>
    <w:rsid w:val="40F005A0"/>
    <w:rsid w:val="40F1642F"/>
    <w:rsid w:val="40FD4779"/>
    <w:rsid w:val="41022C62"/>
    <w:rsid w:val="4117188B"/>
    <w:rsid w:val="411936F5"/>
    <w:rsid w:val="412344D1"/>
    <w:rsid w:val="413D0719"/>
    <w:rsid w:val="41423C43"/>
    <w:rsid w:val="41452699"/>
    <w:rsid w:val="414B62A2"/>
    <w:rsid w:val="414D5640"/>
    <w:rsid w:val="41517290"/>
    <w:rsid w:val="41524DB6"/>
    <w:rsid w:val="415829F0"/>
    <w:rsid w:val="415A04ED"/>
    <w:rsid w:val="415A5BEC"/>
    <w:rsid w:val="417D0085"/>
    <w:rsid w:val="417E204F"/>
    <w:rsid w:val="419658E1"/>
    <w:rsid w:val="41CF4659"/>
    <w:rsid w:val="41D8238A"/>
    <w:rsid w:val="41DA7286"/>
    <w:rsid w:val="41EA4355"/>
    <w:rsid w:val="41EE22D6"/>
    <w:rsid w:val="41FF0A9A"/>
    <w:rsid w:val="42075BA1"/>
    <w:rsid w:val="420D3A0A"/>
    <w:rsid w:val="42124C3B"/>
    <w:rsid w:val="42346F2C"/>
    <w:rsid w:val="42356F51"/>
    <w:rsid w:val="42493000"/>
    <w:rsid w:val="42734C68"/>
    <w:rsid w:val="42862F6A"/>
    <w:rsid w:val="428B0580"/>
    <w:rsid w:val="428F0788"/>
    <w:rsid w:val="42AE4C4B"/>
    <w:rsid w:val="42B850ED"/>
    <w:rsid w:val="42BF073C"/>
    <w:rsid w:val="42C35BBC"/>
    <w:rsid w:val="42CC1754"/>
    <w:rsid w:val="42D636D8"/>
    <w:rsid w:val="42E83C24"/>
    <w:rsid w:val="42FF7298"/>
    <w:rsid w:val="430526A3"/>
    <w:rsid w:val="43083300"/>
    <w:rsid w:val="430B7913"/>
    <w:rsid w:val="431F6F1A"/>
    <w:rsid w:val="43304794"/>
    <w:rsid w:val="43331B43"/>
    <w:rsid w:val="434D76F1"/>
    <w:rsid w:val="43967617"/>
    <w:rsid w:val="43972A82"/>
    <w:rsid w:val="43A12E73"/>
    <w:rsid w:val="43A23DD3"/>
    <w:rsid w:val="43A2722A"/>
    <w:rsid w:val="43A85162"/>
    <w:rsid w:val="43AC4C52"/>
    <w:rsid w:val="43AE27B6"/>
    <w:rsid w:val="43D146B8"/>
    <w:rsid w:val="43DA644B"/>
    <w:rsid w:val="43E70274"/>
    <w:rsid w:val="43EC6585"/>
    <w:rsid w:val="440525B4"/>
    <w:rsid w:val="440F51E1"/>
    <w:rsid w:val="44230B0F"/>
    <w:rsid w:val="44273686"/>
    <w:rsid w:val="442C63CB"/>
    <w:rsid w:val="442D36EC"/>
    <w:rsid w:val="44371049"/>
    <w:rsid w:val="443B5FD6"/>
    <w:rsid w:val="444D5F3A"/>
    <w:rsid w:val="44510CF4"/>
    <w:rsid w:val="44535D92"/>
    <w:rsid w:val="446077EA"/>
    <w:rsid w:val="4476700E"/>
    <w:rsid w:val="4489052A"/>
    <w:rsid w:val="448A48F3"/>
    <w:rsid w:val="44A1407E"/>
    <w:rsid w:val="44AB6CB7"/>
    <w:rsid w:val="44C66776"/>
    <w:rsid w:val="44EB24EA"/>
    <w:rsid w:val="45294080"/>
    <w:rsid w:val="452A0524"/>
    <w:rsid w:val="4530540F"/>
    <w:rsid w:val="45483B47"/>
    <w:rsid w:val="455C6204"/>
    <w:rsid w:val="45614946"/>
    <w:rsid w:val="456B4BDF"/>
    <w:rsid w:val="457B7A53"/>
    <w:rsid w:val="457E31A4"/>
    <w:rsid w:val="459040FF"/>
    <w:rsid w:val="45AA1A24"/>
    <w:rsid w:val="45B57E26"/>
    <w:rsid w:val="45B95404"/>
    <w:rsid w:val="45BF3D88"/>
    <w:rsid w:val="45FA35DB"/>
    <w:rsid w:val="46043CD4"/>
    <w:rsid w:val="4607616F"/>
    <w:rsid w:val="46244E72"/>
    <w:rsid w:val="462B4ABA"/>
    <w:rsid w:val="464761D2"/>
    <w:rsid w:val="46573978"/>
    <w:rsid w:val="46641988"/>
    <w:rsid w:val="4674757D"/>
    <w:rsid w:val="467D28D5"/>
    <w:rsid w:val="4688186F"/>
    <w:rsid w:val="46BF4086"/>
    <w:rsid w:val="46D06EA9"/>
    <w:rsid w:val="46DE25E5"/>
    <w:rsid w:val="46E000D0"/>
    <w:rsid w:val="46E45858"/>
    <w:rsid w:val="470E08C8"/>
    <w:rsid w:val="47130097"/>
    <w:rsid w:val="4730496C"/>
    <w:rsid w:val="476E0F9F"/>
    <w:rsid w:val="477C0DDF"/>
    <w:rsid w:val="47A554F0"/>
    <w:rsid w:val="47BF3F14"/>
    <w:rsid w:val="47C24F5C"/>
    <w:rsid w:val="47CB141F"/>
    <w:rsid w:val="47D20253"/>
    <w:rsid w:val="47DE55F6"/>
    <w:rsid w:val="47DF2A0E"/>
    <w:rsid w:val="47F60B91"/>
    <w:rsid w:val="47F7673E"/>
    <w:rsid w:val="47FF3DDF"/>
    <w:rsid w:val="480B230E"/>
    <w:rsid w:val="481C5CC7"/>
    <w:rsid w:val="48345216"/>
    <w:rsid w:val="48451092"/>
    <w:rsid w:val="48484F50"/>
    <w:rsid w:val="4851401A"/>
    <w:rsid w:val="487A59F7"/>
    <w:rsid w:val="48957AE6"/>
    <w:rsid w:val="48980AAF"/>
    <w:rsid w:val="48A028AB"/>
    <w:rsid w:val="48B46AB8"/>
    <w:rsid w:val="48B74F58"/>
    <w:rsid w:val="48BB7B71"/>
    <w:rsid w:val="48BC17D8"/>
    <w:rsid w:val="48BD0092"/>
    <w:rsid w:val="48BF09EA"/>
    <w:rsid w:val="48C22822"/>
    <w:rsid w:val="48CF3D41"/>
    <w:rsid w:val="48E632EF"/>
    <w:rsid w:val="48E64762"/>
    <w:rsid w:val="48F24FEA"/>
    <w:rsid w:val="49090450"/>
    <w:rsid w:val="490E6E8B"/>
    <w:rsid w:val="49261DBD"/>
    <w:rsid w:val="49293248"/>
    <w:rsid w:val="492E435B"/>
    <w:rsid w:val="4937733C"/>
    <w:rsid w:val="493A4AAE"/>
    <w:rsid w:val="49553696"/>
    <w:rsid w:val="49772F0B"/>
    <w:rsid w:val="497F16DC"/>
    <w:rsid w:val="498048E3"/>
    <w:rsid w:val="498B355B"/>
    <w:rsid w:val="49915ECE"/>
    <w:rsid w:val="499846CA"/>
    <w:rsid w:val="499A4E6A"/>
    <w:rsid w:val="499C43DC"/>
    <w:rsid w:val="49AB1508"/>
    <w:rsid w:val="49AD7A5A"/>
    <w:rsid w:val="49B4660E"/>
    <w:rsid w:val="49C425C9"/>
    <w:rsid w:val="49C56A6D"/>
    <w:rsid w:val="49D0137A"/>
    <w:rsid w:val="49DD28FB"/>
    <w:rsid w:val="49EA4218"/>
    <w:rsid w:val="49EB312D"/>
    <w:rsid w:val="49EF5898"/>
    <w:rsid w:val="49F65991"/>
    <w:rsid w:val="49FA0501"/>
    <w:rsid w:val="4A0B501D"/>
    <w:rsid w:val="4A0F1A96"/>
    <w:rsid w:val="4A0F6993"/>
    <w:rsid w:val="4A102514"/>
    <w:rsid w:val="4A1E6C33"/>
    <w:rsid w:val="4A2A68D0"/>
    <w:rsid w:val="4A3239D7"/>
    <w:rsid w:val="4A40246D"/>
    <w:rsid w:val="4A4D25BF"/>
    <w:rsid w:val="4A616E52"/>
    <w:rsid w:val="4A617EB3"/>
    <w:rsid w:val="4A69389D"/>
    <w:rsid w:val="4A8106DB"/>
    <w:rsid w:val="4A8204BA"/>
    <w:rsid w:val="4A887CDE"/>
    <w:rsid w:val="4A925B32"/>
    <w:rsid w:val="4A9326C8"/>
    <w:rsid w:val="4A946D2C"/>
    <w:rsid w:val="4A950990"/>
    <w:rsid w:val="4A9607C3"/>
    <w:rsid w:val="4AAC4001"/>
    <w:rsid w:val="4ADF1EA9"/>
    <w:rsid w:val="4AE3490C"/>
    <w:rsid w:val="4AE44CD1"/>
    <w:rsid w:val="4AEE4118"/>
    <w:rsid w:val="4AEE51F1"/>
    <w:rsid w:val="4AFC64BF"/>
    <w:rsid w:val="4B045EED"/>
    <w:rsid w:val="4B0D3732"/>
    <w:rsid w:val="4B100E76"/>
    <w:rsid w:val="4B101F6A"/>
    <w:rsid w:val="4B11183E"/>
    <w:rsid w:val="4B1A6945"/>
    <w:rsid w:val="4B212936"/>
    <w:rsid w:val="4B272197"/>
    <w:rsid w:val="4B3064E0"/>
    <w:rsid w:val="4B34383F"/>
    <w:rsid w:val="4B3A50A4"/>
    <w:rsid w:val="4B4008D9"/>
    <w:rsid w:val="4B4A75B3"/>
    <w:rsid w:val="4B771FE9"/>
    <w:rsid w:val="4B8D2DD1"/>
    <w:rsid w:val="4B920BD1"/>
    <w:rsid w:val="4B9C31D0"/>
    <w:rsid w:val="4B9C3E78"/>
    <w:rsid w:val="4BB1439D"/>
    <w:rsid w:val="4BB57AC6"/>
    <w:rsid w:val="4BC66ACD"/>
    <w:rsid w:val="4BCD502C"/>
    <w:rsid w:val="4BD84CE8"/>
    <w:rsid w:val="4BD9235C"/>
    <w:rsid w:val="4BE9157E"/>
    <w:rsid w:val="4BEA4569"/>
    <w:rsid w:val="4BEB208F"/>
    <w:rsid w:val="4BFF44FE"/>
    <w:rsid w:val="4C1C45D0"/>
    <w:rsid w:val="4C205657"/>
    <w:rsid w:val="4C237886"/>
    <w:rsid w:val="4C2F16B6"/>
    <w:rsid w:val="4C303F46"/>
    <w:rsid w:val="4C3C135C"/>
    <w:rsid w:val="4C3C28EB"/>
    <w:rsid w:val="4C4121B3"/>
    <w:rsid w:val="4C4937A0"/>
    <w:rsid w:val="4C4A4A07"/>
    <w:rsid w:val="4C5C7412"/>
    <w:rsid w:val="4C6A7990"/>
    <w:rsid w:val="4C7E4CB1"/>
    <w:rsid w:val="4C8D2F1B"/>
    <w:rsid w:val="4C9D251A"/>
    <w:rsid w:val="4CA1065D"/>
    <w:rsid w:val="4CA566E2"/>
    <w:rsid w:val="4CE02BF2"/>
    <w:rsid w:val="4CFD75DE"/>
    <w:rsid w:val="4D0D05A8"/>
    <w:rsid w:val="4D13183E"/>
    <w:rsid w:val="4D4759EB"/>
    <w:rsid w:val="4D587072"/>
    <w:rsid w:val="4D6303EF"/>
    <w:rsid w:val="4D70601A"/>
    <w:rsid w:val="4D8128A7"/>
    <w:rsid w:val="4D891B60"/>
    <w:rsid w:val="4D9E46D3"/>
    <w:rsid w:val="4DA4699A"/>
    <w:rsid w:val="4DA9611D"/>
    <w:rsid w:val="4DB7491F"/>
    <w:rsid w:val="4DBB7E9C"/>
    <w:rsid w:val="4DBD5026"/>
    <w:rsid w:val="4DBE466C"/>
    <w:rsid w:val="4DC83456"/>
    <w:rsid w:val="4DF14FC4"/>
    <w:rsid w:val="4DF67D5B"/>
    <w:rsid w:val="4E002D34"/>
    <w:rsid w:val="4E197388"/>
    <w:rsid w:val="4E384BBF"/>
    <w:rsid w:val="4E3917D8"/>
    <w:rsid w:val="4E571C5E"/>
    <w:rsid w:val="4E5A624A"/>
    <w:rsid w:val="4E5C64FB"/>
    <w:rsid w:val="4E685C19"/>
    <w:rsid w:val="4E6B56A2"/>
    <w:rsid w:val="4E7740AE"/>
    <w:rsid w:val="4E7820C0"/>
    <w:rsid w:val="4E787FB2"/>
    <w:rsid w:val="4E9063C7"/>
    <w:rsid w:val="4E971792"/>
    <w:rsid w:val="4EA27AAD"/>
    <w:rsid w:val="4EAB1583"/>
    <w:rsid w:val="4EB45EFC"/>
    <w:rsid w:val="4EC242DF"/>
    <w:rsid w:val="4EC35CA4"/>
    <w:rsid w:val="4EEF00E8"/>
    <w:rsid w:val="4EF13E61"/>
    <w:rsid w:val="4EFC5DFF"/>
    <w:rsid w:val="4EFE6C7E"/>
    <w:rsid w:val="4EFF2594"/>
    <w:rsid w:val="4F27288C"/>
    <w:rsid w:val="4F471120"/>
    <w:rsid w:val="4F4B17C3"/>
    <w:rsid w:val="4F552641"/>
    <w:rsid w:val="4F552719"/>
    <w:rsid w:val="4F5B691B"/>
    <w:rsid w:val="4F63284F"/>
    <w:rsid w:val="4F8D1C7A"/>
    <w:rsid w:val="4F992F80"/>
    <w:rsid w:val="4FA15D2A"/>
    <w:rsid w:val="4FC67B5C"/>
    <w:rsid w:val="4FCB6460"/>
    <w:rsid w:val="4FCD478A"/>
    <w:rsid w:val="4FED679E"/>
    <w:rsid w:val="4FF0236A"/>
    <w:rsid w:val="4FF36048"/>
    <w:rsid w:val="500F4DC8"/>
    <w:rsid w:val="50167463"/>
    <w:rsid w:val="501E0480"/>
    <w:rsid w:val="502828AD"/>
    <w:rsid w:val="504C30EC"/>
    <w:rsid w:val="50642410"/>
    <w:rsid w:val="50666188"/>
    <w:rsid w:val="507B0A56"/>
    <w:rsid w:val="50882357"/>
    <w:rsid w:val="508A132F"/>
    <w:rsid w:val="509B6C36"/>
    <w:rsid w:val="50A1379C"/>
    <w:rsid w:val="50BA1C02"/>
    <w:rsid w:val="50CA2BBB"/>
    <w:rsid w:val="50D17AA6"/>
    <w:rsid w:val="50E05F3B"/>
    <w:rsid w:val="50E108B6"/>
    <w:rsid w:val="50E968DE"/>
    <w:rsid w:val="50F3519C"/>
    <w:rsid w:val="50F815B1"/>
    <w:rsid w:val="5117628A"/>
    <w:rsid w:val="511E337D"/>
    <w:rsid w:val="5124051D"/>
    <w:rsid w:val="5128761A"/>
    <w:rsid w:val="51323500"/>
    <w:rsid w:val="513F1EF3"/>
    <w:rsid w:val="5160707C"/>
    <w:rsid w:val="516C5EF8"/>
    <w:rsid w:val="516C77CE"/>
    <w:rsid w:val="51730CCB"/>
    <w:rsid w:val="51786981"/>
    <w:rsid w:val="517D7C2E"/>
    <w:rsid w:val="518230F7"/>
    <w:rsid w:val="51835607"/>
    <w:rsid w:val="519708FD"/>
    <w:rsid w:val="519A07DF"/>
    <w:rsid w:val="51CE4E8C"/>
    <w:rsid w:val="5201260D"/>
    <w:rsid w:val="520661CC"/>
    <w:rsid w:val="52076360"/>
    <w:rsid w:val="52137DF0"/>
    <w:rsid w:val="52214891"/>
    <w:rsid w:val="522C5F94"/>
    <w:rsid w:val="522E2CD6"/>
    <w:rsid w:val="523227C6"/>
    <w:rsid w:val="523306FC"/>
    <w:rsid w:val="52505342"/>
    <w:rsid w:val="52514DA1"/>
    <w:rsid w:val="525405CF"/>
    <w:rsid w:val="525538E8"/>
    <w:rsid w:val="52630BD1"/>
    <w:rsid w:val="526C0229"/>
    <w:rsid w:val="52707792"/>
    <w:rsid w:val="5271173F"/>
    <w:rsid w:val="52851792"/>
    <w:rsid w:val="52965575"/>
    <w:rsid w:val="529F5938"/>
    <w:rsid w:val="52B40B01"/>
    <w:rsid w:val="52B458D1"/>
    <w:rsid w:val="52B92EE7"/>
    <w:rsid w:val="52BB0A0D"/>
    <w:rsid w:val="52C10804"/>
    <w:rsid w:val="52C25652"/>
    <w:rsid w:val="52CF6267"/>
    <w:rsid w:val="52E066C6"/>
    <w:rsid w:val="53021BE8"/>
    <w:rsid w:val="531C1C42"/>
    <w:rsid w:val="5321582F"/>
    <w:rsid w:val="532365B3"/>
    <w:rsid w:val="53373E0C"/>
    <w:rsid w:val="533D4D64"/>
    <w:rsid w:val="534E7AD3"/>
    <w:rsid w:val="534F01C7"/>
    <w:rsid w:val="535E2F18"/>
    <w:rsid w:val="537742CE"/>
    <w:rsid w:val="537F56AD"/>
    <w:rsid w:val="5385101B"/>
    <w:rsid w:val="53981735"/>
    <w:rsid w:val="53AA2830"/>
    <w:rsid w:val="53AB56BF"/>
    <w:rsid w:val="53AD0D92"/>
    <w:rsid w:val="53D77108"/>
    <w:rsid w:val="53E43F94"/>
    <w:rsid w:val="53FD2D49"/>
    <w:rsid w:val="54120B01"/>
    <w:rsid w:val="54162AA6"/>
    <w:rsid w:val="54336CC9"/>
    <w:rsid w:val="54395C61"/>
    <w:rsid w:val="543D36A4"/>
    <w:rsid w:val="54523526"/>
    <w:rsid w:val="545F4B23"/>
    <w:rsid w:val="54685D67"/>
    <w:rsid w:val="5471336D"/>
    <w:rsid w:val="547E06BD"/>
    <w:rsid w:val="54815C87"/>
    <w:rsid w:val="54860A06"/>
    <w:rsid w:val="548A09A4"/>
    <w:rsid w:val="54A7718C"/>
    <w:rsid w:val="54A82713"/>
    <w:rsid w:val="54B73C59"/>
    <w:rsid w:val="54BC2739"/>
    <w:rsid w:val="54BF7A4F"/>
    <w:rsid w:val="54E460BF"/>
    <w:rsid w:val="54E760F9"/>
    <w:rsid w:val="54EB1198"/>
    <w:rsid w:val="54FE68D5"/>
    <w:rsid w:val="551C6FBB"/>
    <w:rsid w:val="553625CD"/>
    <w:rsid w:val="553D277E"/>
    <w:rsid w:val="55427A80"/>
    <w:rsid w:val="555060F1"/>
    <w:rsid w:val="55584277"/>
    <w:rsid w:val="555D5DAC"/>
    <w:rsid w:val="55794634"/>
    <w:rsid w:val="559A2F1F"/>
    <w:rsid w:val="559E36BE"/>
    <w:rsid w:val="55B160F8"/>
    <w:rsid w:val="55BE94EE"/>
    <w:rsid w:val="55C23648"/>
    <w:rsid w:val="55D5393E"/>
    <w:rsid w:val="55DB283C"/>
    <w:rsid w:val="55DF56DD"/>
    <w:rsid w:val="55E0496E"/>
    <w:rsid w:val="56101068"/>
    <w:rsid w:val="5615564C"/>
    <w:rsid w:val="561843C9"/>
    <w:rsid w:val="56282A95"/>
    <w:rsid w:val="56334D5F"/>
    <w:rsid w:val="566201DA"/>
    <w:rsid w:val="56621B32"/>
    <w:rsid w:val="56707D61"/>
    <w:rsid w:val="567C4958"/>
    <w:rsid w:val="56876E58"/>
    <w:rsid w:val="569D6DA6"/>
    <w:rsid w:val="56A92549"/>
    <w:rsid w:val="56AE5F2F"/>
    <w:rsid w:val="56CD0D0F"/>
    <w:rsid w:val="56D21B32"/>
    <w:rsid w:val="56D274B5"/>
    <w:rsid w:val="56E965D8"/>
    <w:rsid w:val="5714211F"/>
    <w:rsid w:val="5714693E"/>
    <w:rsid w:val="571F33D5"/>
    <w:rsid w:val="57265DBD"/>
    <w:rsid w:val="57317D24"/>
    <w:rsid w:val="573217FB"/>
    <w:rsid w:val="57323268"/>
    <w:rsid w:val="57395C1C"/>
    <w:rsid w:val="574A59B4"/>
    <w:rsid w:val="575041CD"/>
    <w:rsid w:val="57546DC1"/>
    <w:rsid w:val="57684EDC"/>
    <w:rsid w:val="57777757"/>
    <w:rsid w:val="5780710D"/>
    <w:rsid w:val="57827D4C"/>
    <w:rsid w:val="578E5D3E"/>
    <w:rsid w:val="5796424E"/>
    <w:rsid w:val="57A242AB"/>
    <w:rsid w:val="57A51C8C"/>
    <w:rsid w:val="57BB5457"/>
    <w:rsid w:val="57DE0CFA"/>
    <w:rsid w:val="57E4B456"/>
    <w:rsid w:val="57F02BBD"/>
    <w:rsid w:val="57F30C49"/>
    <w:rsid w:val="57FF00D1"/>
    <w:rsid w:val="58164938"/>
    <w:rsid w:val="583B0F48"/>
    <w:rsid w:val="58443253"/>
    <w:rsid w:val="586844EB"/>
    <w:rsid w:val="58796285"/>
    <w:rsid w:val="587F072F"/>
    <w:rsid w:val="58974B04"/>
    <w:rsid w:val="5898162F"/>
    <w:rsid w:val="589F66DB"/>
    <w:rsid w:val="58A73382"/>
    <w:rsid w:val="58C96500"/>
    <w:rsid w:val="58D376C5"/>
    <w:rsid w:val="58DD7268"/>
    <w:rsid w:val="58DF7FF5"/>
    <w:rsid w:val="59005DB2"/>
    <w:rsid w:val="590F291D"/>
    <w:rsid w:val="59253085"/>
    <w:rsid w:val="59367927"/>
    <w:rsid w:val="59374403"/>
    <w:rsid w:val="593D57D0"/>
    <w:rsid w:val="593E4E6E"/>
    <w:rsid w:val="593F3A1A"/>
    <w:rsid w:val="59442643"/>
    <w:rsid w:val="59495092"/>
    <w:rsid w:val="595440D5"/>
    <w:rsid w:val="59592D2E"/>
    <w:rsid w:val="59635B05"/>
    <w:rsid w:val="598952E9"/>
    <w:rsid w:val="598E6BE8"/>
    <w:rsid w:val="59A30B1A"/>
    <w:rsid w:val="59A57B6D"/>
    <w:rsid w:val="59B80117"/>
    <w:rsid w:val="59B952BF"/>
    <w:rsid w:val="59E22CE5"/>
    <w:rsid w:val="59E82F74"/>
    <w:rsid w:val="59F943BC"/>
    <w:rsid w:val="59FC5441"/>
    <w:rsid w:val="5A017DB8"/>
    <w:rsid w:val="5A093928"/>
    <w:rsid w:val="5A2A6479"/>
    <w:rsid w:val="5A351EFA"/>
    <w:rsid w:val="5A4B139F"/>
    <w:rsid w:val="5A6E0224"/>
    <w:rsid w:val="5A744342"/>
    <w:rsid w:val="5A7B6CD0"/>
    <w:rsid w:val="5A821E11"/>
    <w:rsid w:val="5A973D17"/>
    <w:rsid w:val="5A9A7A80"/>
    <w:rsid w:val="5AB83A84"/>
    <w:rsid w:val="5AC61977"/>
    <w:rsid w:val="5AC73CC7"/>
    <w:rsid w:val="5ACB7C5C"/>
    <w:rsid w:val="5ACC2BDD"/>
    <w:rsid w:val="5AD567F0"/>
    <w:rsid w:val="5AD700C4"/>
    <w:rsid w:val="5AE12FDB"/>
    <w:rsid w:val="5AF5532B"/>
    <w:rsid w:val="5AFB6DE1"/>
    <w:rsid w:val="5AFE4E2A"/>
    <w:rsid w:val="5B0A6190"/>
    <w:rsid w:val="5B12588A"/>
    <w:rsid w:val="5B1D59C8"/>
    <w:rsid w:val="5B1E422F"/>
    <w:rsid w:val="5B203D7D"/>
    <w:rsid w:val="5B2353A2"/>
    <w:rsid w:val="5B270786"/>
    <w:rsid w:val="5B2D664E"/>
    <w:rsid w:val="5B3D001A"/>
    <w:rsid w:val="5B446476"/>
    <w:rsid w:val="5B471F19"/>
    <w:rsid w:val="5B525C87"/>
    <w:rsid w:val="5B595267"/>
    <w:rsid w:val="5B650361"/>
    <w:rsid w:val="5B690963"/>
    <w:rsid w:val="5B6A7475"/>
    <w:rsid w:val="5B885B4D"/>
    <w:rsid w:val="5BB25BF0"/>
    <w:rsid w:val="5BB9339B"/>
    <w:rsid w:val="5BC446AE"/>
    <w:rsid w:val="5BC44E0A"/>
    <w:rsid w:val="5BD23E86"/>
    <w:rsid w:val="5BDE2D6C"/>
    <w:rsid w:val="5BE03293"/>
    <w:rsid w:val="5BE14E76"/>
    <w:rsid w:val="5BEC5F67"/>
    <w:rsid w:val="5BF77B0E"/>
    <w:rsid w:val="5C036FB8"/>
    <w:rsid w:val="5C1541BB"/>
    <w:rsid w:val="5C236F3D"/>
    <w:rsid w:val="5C28421E"/>
    <w:rsid w:val="5C302D7B"/>
    <w:rsid w:val="5C335AB8"/>
    <w:rsid w:val="5C455740"/>
    <w:rsid w:val="5C574B8A"/>
    <w:rsid w:val="5C831E79"/>
    <w:rsid w:val="5C9C1851"/>
    <w:rsid w:val="5C9E1B09"/>
    <w:rsid w:val="5CA247D1"/>
    <w:rsid w:val="5CAA195A"/>
    <w:rsid w:val="5CC56C71"/>
    <w:rsid w:val="5CD5434D"/>
    <w:rsid w:val="5CE212FF"/>
    <w:rsid w:val="5CE2303B"/>
    <w:rsid w:val="5CE45005"/>
    <w:rsid w:val="5CF31CF9"/>
    <w:rsid w:val="5CFD11F3"/>
    <w:rsid w:val="5D011713"/>
    <w:rsid w:val="5D02548B"/>
    <w:rsid w:val="5D0C0C32"/>
    <w:rsid w:val="5D1A0A26"/>
    <w:rsid w:val="5D1C238E"/>
    <w:rsid w:val="5D245497"/>
    <w:rsid w:val="5D2C514E"/>
    <w:rsid w:val="5D2C59B0"/>
    <w:rsid w:val="5D3B7E63"/>
    <w:rsid w:val="5D4F4B71"/>
    <w:rsid w:val="5D4F5470"/>
    <w:rsid w:val="5D6F3F49"/>
    <w:rsid w:val="5D87453A"/>
    <w:rsid w:val="5D8D0367"/>
    <w:rsid w:val="5DA65D35"/>
    <w:rsid w:val="5DAA2313"/>
    <w:rsid w:val="5DB96E5A"/>
    <w:rsid w:val="5DC71F49"/>
    <w:rsid w:val="5DEB0AD5"/>
    <w:rsid w:val="5DF66D9E"/>
    <w:rsid w:val="5DFC1EDA"/>
    <w:rsid w:val="5E357F45"/>
    <w:rsid w:val="5E394EDC"/>
    <w:rsid w:val="5E3F467E"/>
    <w:rsid w:val="5E457D25"/>
    <w:rsid w:val="5E543934"/>
    <w:rsid w:val="5E5B6612"/>
    <w:rsid w:val="5E5E660F"/>
    <w:rsid w:val="5E6D4B86"/>
    <w:rsid w:val="5E8A2FF3"/>
    <w:rsid w:val="5E9248D1"/>
    <w:rsid w:val="5E987AC5"/>
    <w:rsid w:val="5E991781"/>
    <w:rsid w:val="5EA8477B"/>
    <w:rsid w:val="5EC42FAB"/>
    <w:rsid w:val="5EC61541"/>
    <w:rsid w:val="5ECA49BA"/>
    <w:rsid w:val="5EDE10C0"/>
    <w:rsid w:val="5EFA6E60"/>
    <w:rsid w:val="5EFEDA4D"/>
    <w:rsid w:val="5F003B02"/>
    <w:rsid w:val="5F100333"/>
    <w:rsid w:val="5F1D13E6"/>
    <w:rsid w:val="5F291708"/>
    <w:rsid w:val="5F294F51"/>
    <w:rsid w:val="5F642E0A"/>
    <w:rsid w:val="5F7813E5"/>
    <w:rsid w:val="5F7E5248"/>
    <w:rsid w:val="5F8607FD"/>
    <w:rsid w:val="5FB00EF7"/>
    <w:rsid w:val="5FBA7055"/>
    <w:rsid w:val="60011A2A"/>
    <w:rsid w:val="60076D0D"/>
    <w:rsid w:val="602C43A3"/>
    <w:rsid w:val="602D2191"/>
    <w:rsid w:val="60363DC9"/>
    <w:rsid w:val="60372198"/>
    <w:rsid w:val="60600E46"/>
    <w:rsid w:val="60602BF4"/>
    <w:rsid w:val="60625A23"/>
    <w:rsid w:val="607301CC"/>
    <w:rsid w:val="607764A6"/>
    <w:rsid w:val="607B17DC"/>
    <w:rsid w:val="609D2E54"/>
    <w:rsid w:val="609D79A4"/>
    <w:rsid w:val="60B8658C"/>
    <w:rsid w:val="60D1764E"/>
    <w:rsid w:val="60D3786A"/>
    <w:rsid w:val="60E65A85"/>
    <w:rsid w:val="60EA6F3D"/>
    <w:rsid w:val="60F1061D"/>
    <w:rsid w:val="60FF065F"/>
    <w:rsid w:val="61015A67"/>
    <w:rsid w:val="610F1467"/>
    <w:rsid w:val="61227EAA"/>
    <w:rsid w:val="612956DC"/>
    <w:rsid w:val="612D2DC1"/>
    <w:rsid w:val="61310D25"/>
    <w:rsid w:val="6138092A"/>
    <w:rsid w:val="613B2265"/>
    <w:rsid w:val="61695AD8"/>
    <w:rsid w:val="61833627"/>
    <w:rsid w:val="618F14FD"/>
    <w:rsid w:val="61A15272"/>
    <w:rsid w:val="61A54992"/>
    <w:rsid w:val="61AC1627"/>
    <w:rsid w:val="61AD00BB"/>
    <w:rsid w:val="61BB3C58"/>
    <w:rsid w:val="61BC1A34"/>
    <w:rsid w:val="61C079F4"/>
    <w:rsid w:val="61C61088"/>
    <w:rsid w:val="61C62BAA"/>
    <w:rsid w:val="61D247E5"/>
    <w:rsid w:val="61D31A1F"/>
    <w:rsid w:val="61ED495B"/>
    <w:rsid w:val="61F53F49"/>
    <w:rsid w:val="6200175E"/>
    <w:rsid w:val="620D7018"/>
    <w:rsid w:val="620E7944"/>
    <w:rsid w:val="62115845"/>
    <w:rsid w:val="62196B95"/>
    <w:rsid w:val="622134A9"/>
    <w:rsid w:val="623A587C"/>
    <w:rsid w:val="623E4F59"/>
    <w:rsid w:val="6266073C"/>
    <w:rsid w:val="626A675A"/>
    <w:rsid w:val="626D784A"/>
    <w:rsid w:val="62704941"/>
    <w:rsid w:val="6280132C"/>
    <w:rsid w:val="62866233"/>
    <w:rsid w:val="62966DA1"/>
    <w:rsid w:val="629C2151"/>
    <w:rsid w:val="62A54324"/>
    <w:rsid w:val="62BB05B6"/>
    <w:rsid w:val="62BD2580"/>
    <w:rsid w:val="62D043E7"/>
    <w:rsid w:val="62D06165"/>
    <w:rsid w:val="62DB4830"/>
    <w:rsid w:val="62DC0EFC"/>
    <w:rsid w:val="62E639A1"/>
    <w:rsid w:val="62EB1EF4"/>
    <w:rsid w:val="62EF64B1"/>
    <w:rsid w:val="62FD5C7B"/>
    <w:rsid w:val="62FE456B"/>
    <w:rsid w:val="630141EF"/>
    <w:rsid w:val="63085FB4"/>
    <w:rsid w:val="634A6576"/>
    <w:rsid w:val="6356355D"/>
    <w:rsid w:val="635B5741"/>
    <w:rsid w:val="6360283B"/>
    <w:rsid w:val="636F0DDD"/>
    <w:rsid w:val="63746FCF"/>
    <w:rsid w:val="63754E3A"/>
    <w:rsid w:val="637E2973"/>
    <w:rsid w:val="63806E6B"/>
    <w:rsid w:val="638B31E9"/>
    <w:rsid w:val="63A33B35"/>
    <w:rsid w:val="63AB20C1"/>
    <w:rsid w:val="63AB23D8"/>
    <w:rsid w:val="63AD5D24"/>
    <w:rsid w:val="63B447EB"/>
    <w:rsid w:val="63C77BE5"/>
    <w:rsid w:val="63DA1A39"/>
    <w:rsid w:val="63F41FD1"/>
    <w:rsid w:val="63FA510E"/>
    <w:rsid w:val="640A0484"/>
    <w:rsid w:val="64101E65"/>
    <w:rsid w:val="64195404"/>
    <w:rsid w:val="641C32D6"/>
    <w:rsid w:val="642E18E8"/>
    <w:rsid w:val="64322AF9"/>
    <w:rsid w:val="64455973"/>
    <w:rsid w:val="64457EBB"/>
    <w:rsid w:val="644708F7"/>
    <w:rsid w:val="645F3C14"/>
    <w:rsid w:val="646F7463"/>
    <w:rsid w:val="64AE2780"/>
    <w:rsid w:val="64B93C45"/>
    <w:rsid w:val="64CA323C"/>
    <w:rsid w:val="64D35E16"/>
    <w:rsid w:val="64DB1527"/>
    <w:rsid w:val="64EE6A20"/>
    <w:rsid w:val="64F93617"/>
    <w:rsid w:val="65010105"/>
    <w:rsid w:val="650B470A"/>
    <w:rsid w:val="650F6872"/>
    <w:rsid w:val="6512450B"/>
    <w:rsid w:val="652843DC"/>
    <w:rsid w:val="652F6F26"/>
    <w:rsid w:val="653374ED"/>
    <w:rsid w:val="65343833"/>
    <w:rsid w:val="655C7426"/>
    <w:rsid w:val="65635FDD"/>
    <w:rsid w:val="65670581"/>
    <w:rsid w:val="65703B8B"/>
    <w:rsid w:val="65786191"/>
    <w:rsid w:val="65811D31"/>
    <w:rsid w:val="65817065"/>
    <w:rsid w:val="6586275A"/>
    <w:rsid w:val="658E44F4"/>
    <w:rsid w:val="65AC2438"/>
    <w:rsid w:val="65BF216B"/>
    <w:rsid w:val="65D23DB2"/>
    <w:rsid w:val="65D46DDE"/>
    <w:rsid w:val="65D77D9D"/>
    <w:rsid w:val="65DF280D"/>
    <w:rsid w:val="660718F0"/>
    <w:rsid w:val="66082E31"/>
    <w:rsid w:val="662841B4"/>
    <w:rsid w:val="662A0B0B"/>
    <w:rsid w:val="66410DD2"/>
    <w:rsid w:val="66545C1A"/>
    <w:rsid w:val="66552ACF"/>
    <w:rsid w:val="665925BF"/>
    <w:rsid w:val="665B6338"/>
    <w:rsid w:val="66644AC0"/>
    <w:rsid w:val="666979A7"/>
    <w:rsid w:val="66703465"/>
    <w:rsid w:val="66723681"/>
    <w:rsid w:val="667F18FA"/>
    <w:rsid w:val="667F4ED0"/>
    <w:rsid w:val="66A34042"/>
    <w:rsid w:val="66A9014D"/>
    <w:rsid w:val="66AD6467"/>
    <w:rsid w:val="66BD2099"/>
    <w:rsid w:val="66CC7FC5"/>
    <w:rsid w:val="66DA4C49"/>
    <w:rsid w:val="66E341B3"/>
    <w:rsid w:val="66EA3218"/>
    <w:rsid w:val="66FA722E"/>
    <w:rsid w:val="670346B3"/>
    <w:rsid w:val="67191D4F"/>
    <w:rsid w:val="674134A7"/>
    <w:rsid w:val="67475E78"/>
    <w:rsid w:val="674E771F"/>
    <w:rsid w:val="6753700F"/>
    <w:rsid w:val="675A65EF"/>
    <w:rsid w:val="678C131E"/>
    <w:rsid w:val="679F2254"/>
    <w:rsid w:val="67A64D6C"/>
    <w:rsid w:val="67B6759E"/>
    <w:rsid w:val="67BD08E9"/>
    <w:rsid w:val="67CF087E"/>
    <w:rsid w:val="67D839B8"/>
    <w:rsid w:val="67DC130D"/>
    <w:rsid w:val="67DE0BC9"/>
    <w:rsid w:val="68016A6B"/>
    <w:rsid w:val="681542C4"/>
    <w:rsid w:val="681F15AA"/>
    <w:rsid w:val="68334A7B"/>
    <w:rsid w:val="683D381B"/>
    <w:rsid w:val="6841306D"/>
    <w:rsid w:val="685079F2"/>
    <w:rsid w:val="6852376A"/>
    <w:rsid w:val="68701B17"/>
    <w:rsid w:val="687E00BB"/>
    <w:rsid w:val="68806EC6"/>
    <w:rsid w:val="68820805"/>
    <w:rsid w:val="68AD3A59"/>
    <w:rsid w:val="68AF7EE8"/>
    <w:rsid w:val="68BA4E6C"/>
    <w:rsid w:val="68D04302"/>
    <w:rsid w:val="68D833DA"/>
    <w:rsid w:val="68D93C2E"/>
    <w:rsid w:val="68E36170"/>
    <w:rsid w:val="68F44821"/>
    <w:rsid w:val="68F77E6E"/>
    <w:rsid w:val="690A7BA1"/>
    <w:rsid w:val="692031F4"/>
    <w:rsid w:val="69300DD6"/>
    <w:rsid w:val="693825F8"/>
    <w:rsid w:val="693A1477"/>
    <w:rsid w:val="694330B3"/>
    <w:rsid w:val="6945507D"/>
    <w:rsid w:val="694806C9"/>
    <w:rsid w:val="694A2693"/>
    <w:rsid w:val="69532B10"/>
    <w:rsid w:val="695F3B76"/>
    <w:rsid w:val="696135DE"/>
    <w:rsid w:val="69647AC3"/>
    <w:rsid w:val="6974078F"/>
    <w:rsid w:val="697B4A23"/>
    <w:rsid w:val="697D0373"/>
    <w:rsid w:val="69904FDA"/>
    <w:rsid w:val="69992CD3"/>
    <w:rsid w:val="699E02E9"/>
    <w:rsid w:val="69AC440F"/>
    <w:rsid w:val="69B63885"/>
    <w:rsid w:val="69BF499E"/>
    <w:rsid w:val="69C04704"/>
    <w:rsid w:val="69C53AC8"/>
    <w:rsid w:val="69C90323"/>
    <w:rsid w:val="69CE0F7A"/>
    <w:rsid w:val="69D5118B"/>
    <w:rsid w:val="69D75F31"/>
    <w:rsid w:val="69DE72D5"/>
    <w:rsid w:val="69E3734C"/>
    <w:rsid w:val="69E81511"/>
    <w:rsid w:val="69EE74C3"/>
    <w:rsid w:val="69F20600"/>
    <w:rsid w:val="69FF347E"/>
    <w:rsid w:val="6A0375FA"/>
    <w:rsid w:val="6A14250A"/>
    <w:rsid w:val="6A220F1A"/>
    <w:rsid w:val="6A275F44"/>
    <w:rsid w:val="6A2E7D18"/>
    <w:rsid w:val="6A55309E"/>
    <w:rsid w:val="6A5F3F1C"/>
    <w:rsid w:val="6A6908F7"/>
    <w:rsid w:val="6A784F62"/>
    <w:rsid w:val="6A8212EC"/>
    <w:rsid w:val="6A8552D0"/>
    <w:rsid w:val="6A8D0A8A"/>
    <w:rsid w:val="6A9969B6"/>
    <w:rsid w:val="6A99742E"/>
    <w:rsid w:val="6A9A30ED"/>
    <w:rsid w:val="6AAB002C"/>
    <w:rsid w:val="6ABE50E7"/>
    <w:rsid w:val="6AC044B0"/>
    <w:rsid w:val="6AC845E4"/>
    <w:rsid w:val="6AF02DC7"/>
    <w:rsid w:val="6AF24313"/>
    <w:rsid w:val="6B0D1BCA"/>
    <w:rsid w:val="6B171559"/>
    <w:rsid w:val="6B197541"/>
    <w:rsid w:val="6B283652"/>
    <w:rsid w:val="6B413A95"/>
    <w:rsid w:val="6B4E5A69"/>
    <w:rsid w:val="6B556D99"/>
    <w:rsid w:val="6B642BAC"/>
    <w:rsid w:val="6B706DB9"/>
    <w:rsid w:val="6B811C71"/>
    <w:rsid w:val="6B917E8E"/>
    <w:rsid w:val="6B9F7F83"/>
    <w:rsid w:val="6BB53E6E"/>
    <w:rsid w:val="6BBB2991"/>
    <w:rsid w:val="6BC009EB"/>
    <w:rsid w:val="6BC42B9D"/>
    <w:rsid w:val="6BDB1C7E"/>
    <w:rsid w:val="6BDB75D3"/>
    <w:rsid w:val="6BED679D"/>
    <w:rsid w:val="6BFE047E"/>
    <w:rsid w:val="6C02760A"/>
    <w:rsid w:val="6C0E7900"/>
    <w:rsid w:val="6C363DF0"/>
    <w:rsid w:val="6C3A254B"/>
    <w:rsid w:val="6C3E602C"/>
    <w:rsid w:val="6C4C3909"/>
    <w:rsid w:val="6C50761C"/>
    <w:rsid w:val="6C517FC1"/>
    <w:rsid w:val="6C5C3197"/>
    <w:rsid w:val="6C5C5C0D"/>
    <w:rsid w:val="6C823EF2"/>
    <w:rsid w:val="6C921635"/>
    <w:rsid w:val="6CAD71C1"/>
    <w:rsid w:val="6CAE4CE7"/>
    <w:rsid w:val="6CD16FCC"/>
    <w:rsid w:val="6CD20401"/>
    <w:rsid w:val="6CE25DA6"/>
    <w:rsid w:val="6CE4695B"/>
    <w:rsid w:val="6CE60925"/>
    <w:rsid w:val="6CEB5F3B"/>
    <w:rsid w:val="6CF33092"/>
    <w:rsid w:val="6CFB31DC"/>
    <w:rsid w:val="6CFB414A"/>
    <w:rsid w:val="6CFE5EDF"/>
    <w:rsid w:val="6D034469"/>
    <w:rsid w:val="6D1308FA"/>
    <w:rsid w:val="6D2A5CA1"/>
    <w:rsid w:val="6D3611D2"/>
    <w:rsid w:val="6D434BAA"/>
    <w:rsid w:val="6D4A147F"/>
    <w:rsid w:val="6D550C1B"/>
    <w:rsid w:val="6D7C2E0E"/>
    <w:rsid w:val="6DA300AB"/>
    <w:rsid w:val="6DAC1909"/>
    <w:rsid w:val="6DC20A4A"/>
    <w:rsid w:val="6DC4640C"/>
    <w:rsid w:val="6DDC5E04"/>
    <w:rsid w:val="6DE47251"/>
    <w:rsid w:val="6DEE32ED"/>
    <w:rsid w:val="6DF1702F"/>
    <w:rsid w:val="6E223266"/>
    <w:rsid w:val="6E282F07"/>
    <w:rsid w:val="6E535B46"/>
    <w:rsid w:val="6E5B1B92"/>
    <w:rsid w:val="6E5D4C17"/>
    <w:rsid w:val="6E62222D"/>
    <w:rsid w:val="6E7122B3"/>
    <w:rsid w:val="6E745FC2"/>
    <w:rsid w:val="6E775CD9"/>
    <w:rsid w:val="6E8977BA"/>
    <w:rsid w:val="6E946C6E"/>
    <w:rsid w:val="6E964FCD"/>
    <w:rsid w:val="6E985B3D"/>
    <w:rsid w:val="6EA2485E"/>
    <w:rsid w:val="6EAB14DE"/>
    <w:rsid w:val="6EBA3E17"/>
    <w:rsid w:val="6ED33C09"/>
    <w:rsid w:val="6ED5384B"/>
    <w:rsid w:val="6EDE7B06"/>
    <w:rsid w:val="6EE77D23"/>
    <w:rsid w:val="6EFA0138"/>
    <w:rsid w:val="6F0844C9"/>
    <w:rsid w:val="6F0F5F11"/>
    <w:rsid w:val="6F194DD5"/>
    <w:rsid w:val="6F231BEF"/>
    <w:rsid w:val="6F2424D0"/>
    <w:rsid w:val="6F4B6BF8"/>
    <w:rsid w:val="6F5E41F8"/>
    <w:rsid w:val="6F643CFD"/>
    <w:rsid w:val="6F745D74"/>
    <w:rsid w:val="6F7B2CE9"/>
    <w:rsid w:val="6F800BBD"/>
    <w:rsid w:val="6F857F81"/>
    <w:rsid w:val="6F8D32DA"/>
    <w:rsid w:val="6F906926"/>
    <w:rsid w:val="6F97291E"/>
    <w:rsid w:val="6F9D28D6"/>
    <w:rsid w:val="6FB10D76"/>
    <w:rsid w:val="6FB16FC8"/>
    <w:rsid w:val="6FBC2415"/>
    <w:rsid w:val="6FF535F5"/>
    <w:rsid w:val="6FF82BE8"/>
    <w:rsid w:val="70087C5D"/>
    <w:rsid w:val="700D2DDC"/>
    <w:rsid w:val="701056C1"/>
    <w:rsid w:val="70171ED6"/>
    <w:rsid w:val="70176869"/>
    <w:rsid w:val="701A1984"/>
    <w:rsid w:val="70223312"/>
    <w:rsid w:val="70275E8E"/>
    <w:rsid w:val="702B7E17"/>
    <w:rsid w:val="703D085C"/>
    <w:rsid w:val="704C6CF1"/>
    <w:rsid w:val="705B36DA"/>
    <w:rsid w:val="70652206"/>
    <w:rsid w:val="70740C94"/>
    <w:rsid w:val="709366CE"/>
    <w:rsid w:val="70AA00DD"/>
    <w:rsid w:val="70AC59E2"/>
    <w:rsid w:val="70BA2163"/>
    <w:rsid w:val="70BF48B2"/>
    <w:rsid w:val="70CC0A90"/>
    <w:rsid w:val="70CC6444"/>
    <w:rsid w:val="70CE7706"/>
    <w:rsid w:val="70D841B8"/>
    <w:rsid w:val="70DD3DED"/>
    <w:rsid w:val="70E92FFD"/>
    <w:rsid w:val="70ED52B8"/>
    <w:rsid w:val="70F215B8"/>
    <w:rsid w:val="7115159B"/>
    <w:rsid w:val="71191DBF"/>
    <w:rsid w:val="71233EF6"/>
    <w:rsid w:val="71237A52"/>
    <w:rsid w:val="7128036E"/>
    <w:rsid w:val="71290C33"/>
    <w:rsid w:val="71321689"/>
    <w:rsid w:val="71366479"/>
    <w:rsid w:val="71541ED6"/>
    <w:rsid w:val="71631BBD"/>
    <w:rsid w:val="716B764B"/>
    <w:rsid w:val="71703C9B"/>
    <w:rsid w:val="7177225A"/>
    <w:rsid w:val="71852C64"/>
    <w:rsid w:val="71855ABD"/>
    <w:rsid w:val="718E2179"/>
    <w:rsid w:val="718F158B"/>
    <w:rsid w:val="719B4818"/>
    <w:rsid w:val="719D1AD8"/>
    <w:rsid w:val="71B55C8F"/>
    <w:rsid w:val="71B63E66"/>
    <w:rsid w:val="71C50B09"/>
    <w:rsid w:val="71CA25C3"/>
    <w:rsid w:val="71CA4371"/>
    <w:rsid w:val="71DA6945"/>
    <w:rsid w:val="71DE745D"/>
    <w:rsid w:val="71DF6DB5"/>
    <w:rsid w:val="71E03B95"/>
    <w:rsid w:val="71ED7E99"/>
    <w:rsid w:val="71EF3DD8"/>
    <w:rsid w:val="71F74A7D"/>
    <w:rsid w:val="71F87130"/>
    <w:rsid w:val="720A6E64"/>
    <w:rsid w:val="721B2E1F"/>
    <w:rsid w:val="721B51FE"/>
    <w:rsid w:val="721D0E8E"/>
    <w:rsid w:val="724310E1"/>
    <w:rsid w:val="72450469"/>
    <w:rsid w:val="72490735"/>
    <w:rsid w:val="724C2FD8"/>
    <w:rsid w:val="72604390"/>
    <w:rsid w:val="72797C75"/>
    <w:rsid w:val="72927B59"/>
    <w:rsid w:val="72995D16"/>
    <w:rsid w:val="72C264DB"/>
    <w:rsid w:val="72D01101"/>
    <w:rsid w:val="72D37256"/>
    <w:rsid w:val="72E62D84"/>
    <w:rsid w:val="72F029EB"/>
    <w:rsid w:val="73055546"/>
    <w:rsid w:val="730822D0"/>
    <w:rsid w:val="73193D38"/>
    <w:rsid w:val="731A4E0E"/>
    <w:rsid w:val="731B0B81"/>
    <w:rsid w:val="731D189F"/>
    <w:rsid w:val="73223D39"/>
    <w:rsid w:val="73234D3B"/>
    <w:rsid w:val="73361EC6"/>
    <w:rsid w:val="734343DB"/>
    <w:rsid w:val="734878E3"/>
    <w:rsid w:val="734B0FCB"/>
    <w:rsid w:val="73555EBD"/>
    <w:rsid w:val="735D6056"/>
    <w:rsid w:val="737C56D2"/>
    <w:rsid w:val="73923381"/>
    <w:rsid w:val="73A30ADD"/>
    <w:rsid w:val="73B057E9"/>
    <w:rsid w:val="73B27856"/>
    <w:rsid w:val="73BF30DD"/>
    <w:rsid w:val="73C763A7"/>
    <w:rsid w:val="73F21806"/>
    <w:rsid w:val="73F81FC8"/>
    <w:rsid w:val="7405397B"/>
    <w:rsid w:val="740873D5"/>
    <w:rsid w:val="740D6797"/>
    <w:rsid w:val="741E6BF6"/>
    <w:rsid w:val="74251D33"/>
    <w:rsid w:val="74253AE1"/>
    <w:rsid w:val="743D707D"/>
    <w:rsid w:val="7443040B"/>
    <w:rsid w:val="74483C5F"/>
    <w:rsid w:val="744C3764"/>
    <w:rsid w:val="74521B33"/>
    <w:rsid w:val="745368A0"/>
    <w:rsid w:val="745A7F79"/>
    <w:rsid w:val="745B39A7"/>
    <w:rsid w:val="74694B51"/>
    <w:rsid w:val="746C7962"/>
    <w:rsid w:val="746E0A1A"/>
    <w:rsid w:val="747764CD"/>
    <w:rsid w:val="74B37292"/>
    <w:rsid w:val="74BD01BD"/>
    <w:rsid w:val="74CE0E73"/>
    <w:rsid w:val="74D15918"/>
    <w:rsid w:val="74DC34A0"/>
    <w:rsid w:val="74E53270"/>
    <w:rsid w:val="74F44302"/>
    <w:rsid w:val="74FD2412"/>
    <w:rsid w:val="750202C6"/>
    <w:rsid w:val="75093403"/>
    <w:rsid w:val="750E120F"/>
    <w:rsid w:val="75134281"/>
    <w:rsid w:val="75355FA6"/>
    <w:rsid w:val="753D0605"/>
    <w:rsid w:val="754C32EF"/>
    <w:rsid w:val="755A6713"/>
    <w:rsid w:val="75667FB9"/>
    <w:rsid w:val="756A3C51"/>
    <w:rsid w:val="757A49E9"/>
    <w:rsid w:val="75952EE8"/>
    <w:rsid w:val="759C650B"/>
    <w:rsid w:val="75A1188D"/>
    <w:rsid w:val="75AE7B06"/>
    <w:rsid w:val="75B91CD0"/>
    <w:rsid w:val="75D83990"/>
    <w:rsid w:val="75EB0D5A"/>
    <w:rsid w:val="76004806"/>
    <w:rsid w:val="76164029"/>
    <w:rsid w:val="762878B8"/>
    <w:rsid w:val="762B73A9"/>
    <w:rsid w:val="763044A8"/>
    <w:rsid w:val="763D4F5F"/>
    <w:rsid w:val="76426BCC"/>
    <w:rsid w:val="76452E02"/>
    <w:rsid w:val="7646412B"/>
    <w:rsid w:val="76670793"/>
    <w:rsid w:val="76746FA2"/>
    <w:rsid w:val="76756F9F"/>
    <w:rsid w:val="76832745"/>
    <w:rsid w:val="768F5BBB"/>
    <w:rsid w:val="76B32577"/>
    <w:rsid w:val="76D0242A"/>
    <w:rsid w:val="76D57A40"/>
    <w:rsid w:val="76DE2130"/>
    <w:rsid w:val="76DF08BF"/>
    <w:rsid w:val="76E72DB1"/>
    <w:rsid w:val="76EE7205"/>
    <w:rsid w:val="76F3157D"/>
    <w:rsid w:val="772338EC"/>
    <w:rsid w:val="7726029C"/>
    <w:rsid w:val="77260CAD"/>
    <w:rsid w:val="772F1689"/>
    <w:rsid w:val="77323EBE"/>
    <w:rsid w:val="773F135E"/>
    <w:rsid w:val="773F513D"/>
    <w:rsid w:val="77492CF2"/>
    <w:rsid w:val="774E2DEE"/>
    <w:rsid w:val="77520D8D"/>
    <w:rsid w:val="7767C98A"/>
    <w:rsid w:val="776B2153"/>
    <w:rsid w:val="776F23BD"/>
    <w:rsid w:val="77795190"/>
    <w:rsid w:val="777B3259"/>
    <w:rsid w:val="77851B1B"/>
    <w:rsid w:val="77862543"/>
    <w:rsid w:val="77956D79"/>
    <w:rsid w:val="77A12530"/>
    <w:rsid w:val="77AB3E76"/>
    <w:rsid w:val="77AB402B"/>
    <w:rsid w:val="77AF79FF"/>
    <w:rsid w:val="77B3120C"/>
    <w:rsid w:val="77B96EA1"/>
    <w:rsid w:val="77BE20F3"/>
    <w:rsid w:val="77D575CC"/>
    <w:rsid w:val="77E7D147"/>
    <w:rsid w:val="77E872FF"/>
    <w:rsid w:val="77F211BE"/>
    <w:rsid w:val="77FFBBCE"/>
    <w:rsid w:val="781E46F3"/>
    <w:rsid w:val="782E366B"/>
    <w:rsid w:val="783A4FD3"/>
    <w:rsid w:val="784637C6"/>
    <w:rsid w:val="78487BCC"/>
    <w:rsid w:val="78505037"/>
    <w:rsid w:val="78571CD3"/>
    <w:rsid w:val="785901FD"/>
    <w:rsid w:val="785E3A65"/>
    <w:rsid w:val="78674551"/>
    <w:rsid w:val="786E1DDB"/>
    <w:rsid w:val="788017E8"/>
    <w:rsid w:val="7885266E"/>
    <w:rsid w:val="788C6C43"/>
    <w:rsid w:val="788F00C3"/>
    <w:rsid w:val="789314F6"/>
    <w:rsid w:val="78960DDE"/>
    <w:rsid w:val="78961451"/>
    <w:rsid w:val="789634A2"/>
    <w:rsid w:val="789B5C27"/>
    <w:rsid w:val="78A24874"/>
    <w:rsid w:val="78B05B39"/>
    <w:rsid w:val="78B52F17"/>
    <w:rsid w:val="78C7160B"/>
    <w:rsid w:val="78CE77A3"/>
    <w:rsid w:val="78D01201"/>
    <w:rsid w:val="78D2245F"/>
    <w:rsid w:val="78D43D28"/>
    <w:rsid w:val="78E13DAF"/>
    <w:rsid w:val="78E71CAD"/>
    <w:rsid w:val="78F6195B"/>
    <w:rsid w:val="79033770"/>
    <w:rsid w:val="790F3443"/>
    <w:rsid w:val="790F6B0E"/>
    <w:rsid w:val="791B1956"/>
    <w:rsid w:val="79295E21"/>
    <w:rsid w:val="792A05E0"/>
    <w:rsid w:val="792B4826"/>
    <w:rsid w:val="79470B74"/>
    <w:rsid w:val="79493043"/>
    <w:rsid w:val="794B1BA1"/>
    <w:rsid w:val="7951364C"/>
    <w:rsid w:val="795F7683"/>
    <w:rsid w:val="796317C1"/>
    <w:rsid w:val="796970A5"/>
    <w:rsid w:val="797A48CF"/>
    <w:rsid w:val="798967F3"/>
    <w:rsid w:val="798B6762"/>
    <w:rsid w:val="79900563"/>
    <w:rsid w:val="79A27982"/>
    <w:rsid w:val="79D63CA4"/>
    <w:rsid w:val="79E54C28"/>
    <w:rsid w:val="79F367B6"/>
    <w:rsid w:val="79F44B96"/>
    <w:rsid w:val="79FA77BE"/>
    <w:rsid w:val="7A087F53"/>
    <w:rsid w:val="7A1B33DA"/>
    <w:rsid w:val="7A1C7734"/>
    <w:rsid w:val="7A3857F4"/>
    <w:rsid w:val="7A4270BE"/>
    <w:rsid w:val="7A435BAC"/>
    <w:rsid w:val="7A735B5C"/>
    <w:rsid w:val="7A7E03EF"/>
    <w:rsid w:val="7A861ED3"/>
    <w:rsid w:val="7A8D211A"/>
    <w:rsid w:val="7A9D6F19"/>
    <w:rsid w:val="7ABC1A6A"/>
    <w:rsid w:val="7AC53928"/>
    <w:rsid w:val="7ACA69EF"/>
    <w:rsid w:val="7AE548C9"/>
    <w:rsid w:val="7AF75AAB"/>
    <w:rsid w:val="7B31720F"/>
    <w:rsid w:val="7B31766E"/>
    <w:rsid w:val="7B35234A"/>
    <w:rsid w:val="7B36298F"/>
    <w:rsid w:val="7B3D5BB4"/>
    <w:rsid w:val="7B3D7962"/>
    <w:rsid w:val="7B5178B1"/>
    <w:rsid w:val="7B7517F2"/>
    <w:rsid w:val="7B7621B0"/>
    <w:rsid w:val="7B7D2454"/>
    <w:rsid w:val="7B827A6B"/>
    <w:rsid w:val="7B8724E2"/>
    <w:rsid w:val="7B892BA7"/>
    <w:rsid w:val="7BA0709B"/>
    <w:rsid w:val="7BA307A7"/>
    <w:rsid w:val="7BB73BB8"/>
    <w:rsid w:val="7BBE217D"/>
    <w:rsid w:val="7BE47080"/>
    <w:rsid w:val="7BE81A4F"/>
    <w:rsid w:val="7BE81FC4"/>
    <w:rsid w:val="7BEB4F31"/>
    <w:rsid w:val="7C091F3A"/>
    <w:rsid w:val="7C441EAA"/>
    <w:rsid w:val="7C472E4E"/>
    <w:rsid w:val="7C551BF0"/>
    <w:rsid w:val="7C6A3CD3"/>
    <w:rsid w:val="7C6B6359"/>
    <w:rsid w:val="7C75312C"/>
    <w:rsid w:val="7C9F25F3"/>
    <w:rsid w:val="7CA11E8E"/>
    <w:rsid w:val="7CA3413D"/>
    <w:rsid w:val="7CA463BC"/>
    <w:rsid w:val="7CC52305"/>
    <w:rsid w:val="7CC7607D"/>
    <w:rsid w:val="7CCB72B1"/>
    <w:rsid w:val="7CED5C0D"/>
    <w:rsid w:val="7D07647A"/>
    <w:rsid w:val="7D1E6B62"/>
    <w:rsid w:val="7D38498F"/>
    <w:rsid w:val="7D4520B6"/>
    <w:rsid w:val="7D4F225F"/>
    <w:rsid w:val="7D694FE9"/>
    <w:rsid w:val="7D6E0701"/>
    <w:rsid w:val="7D7D04EA"/>
    <w:rsid w:val="7D7F24B4"/>
    <w:rsid w:val="7D9C2AD1"/>
    <w:rsid w:val="7DA6415F"/>
    <w:rsid w:val="7DB14637"/>
    <w:rsid w:val="7DB73DC6"/>
    <w:rsid w:val="7DBD122E"/>
    <w:rsid w:val="7DD07490"/>
    <w:rsid w:val="7DD61B9B"/>
    <w:rsid w:val="7DFF53A3"/>
    <w:rsid w:val="7E047C3B"/>
    <w:rsid w:val="7E075888"/>
    <w:rsid w:val="7E143CBC"/>
    <w:rsid w:val="7E1A042F"/>
    <w:rsid w:val="7E3C03A5"/>
    <w:rsid w:val="7E4E5655"/>
    <w:rsid w:val="7E5042EA"/>
    <w:rsid w:val="7E6BEB7C"/>
    <w:rsid w:val="7E710D4C"/>
    <w:rsid w:val="7E767B95"/>
    <w:rsid w:val="7E7A113F"/>
    <w:rsid w:val="7E9529C7"/>
    <w:rsid w:val="7E96500C"/>
    <w:rsid w:val="7E9A5A22"/>
    <w:rsid w:val="7EB22415"/>
    <w:rsid w:val="7EB87530"/>
    <w:rsid w:val="7EED07F3"/>
    <w:rsid w:val="7EF57BB1"/>
    <w:rsid w:val="7F021020"/>
    <w:rsid w:val="7F0F5578"/>
    <w:rsid w:val="7F160D7A"/>
    <w:rsid w:val="7F1629A4"/>
    <w:rsid w:val="7F175EDC"/>
    <w:rsid w:val="7F1B02F7"/>
    <w:rsid w:val="7F1B786D"/>
    <w:rsid w:val="7F2A28F3"/>
    <w:rsid w:val="7F4A58F3"/>
    <w:rsid w:val="7F5D3357"/>
    <w:rsid w:val="7F662D5A"/>
    <w:rsid w:val="7F7310E9"/>
    <w:rsid w:val="7F74591C"/>
    <w:rsid w:val="7F857B2A"/>
    <w:rsid w:val="7F923FF5"/>
    <w:rsid w:val="7F980508"/>
    <w:rsid w:val="7FA40798"/>
    <w:rsid w:val="7FB70646"/>
    <w:rsid w:val="7FB777D7"/>
    <w:rsid w:val="7FC13DC8"/>
    <w:rsid w:val="7FCB56FC"/>
    <w:rsid w:val="7FCF73C8"/>
    <w:rsid w:val="7FDD622F"/>
    <w:rsid w:val="7FF45CF5"/>
    <w:rsid w:val="7FFA05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70A25A0A"/>
  <w15:docId w15:val="{1400B2E0-4950-40D8-AA0E-DED67C89E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uiPriority="0" w:qFormat="1"/>
    <w:lsdException w:name="header" w:qFormat="1"/>
    <w:lsdException w:name="footer" w:qFormat="1"/>
    <w:lsdException w:name="index heading" w:semiHidden="1" w:unhideWhenUsed="1"/>
    <w:lsdException w:name="caption" w:uiPriority="35" w:qFormat="1"/>
    <w:lsdException w:name="table of figures" w:uiPriority="0" w:qFormat="1"/>
    <w:lsdException w:name="envelope address" w:semiHidden="1" w:unhideWhenUsed="1"/>
    <w:lsdException w:name="envelope return" w:uiPriority="0" w:qFormat="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semiHidden="1" w:unhideWhenUsed="1"/>
    <w:lsdException w:name="List Bullet" w:semiHidden="1" w:unhideWhenUsed="1"/>
    <w:lsdException w:name="List Number" w:semiHidden="1" w:unhideWhenUsed="1"/>
    <w:lsdException w:name="List 2" w:uiPriority="0" w:qFormat="1"/>
    <w:lsdException w:name="List 3" w:uiPriority="0" w:qFormat="1"/>
    <w:lsdException w:name="List 4" w:qFormat="1"/>
    <w:lsdException w:name="List 5" w:uiPriority="0" w:qFormat="1"/>
    <w:lsdException w:name="List Bullet 2" w:uiPriority="0" w:qFormat="1"/>
    <w:lsdException w:name="List Bullet 3" w:uiPriority="0" w:qFormat="1"/>
    <w:lsdException w:name="List Bullet 4" w:uiPriority="0" w:qFormat="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uiPriority="0" w:qFormat="1"/>
    <w:lsdException w:name="List Continue 2" w:uiPriority="0" w:qFormat="1"/>
    <w:lsdException w:name="List Continue 3" w:uiPriority="0" w:qFormat="1"/>
    <w:lsdException w:name="List Continue 4" w:uiPriority="0" w:qFormat="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8"/>
    </w:rPr>
  </w:style>
  <w:style w:type="paragraph" w:styleId="1">
    <w:name w:val="heading 1"/>
    <w:basedOn w:val="a"/>
    <w:next w:val="a"/>
    <w:link w:val="10"/>
    <w:qFormat/>
    <w:pPr>
      <w:keepNext/>
      <w:tabs>
        <w:tab w:val="left" w:pos="3360"/>
      </w:tabs>
      <w:snapToGrid w:val="0"/>
      <w:spacing w:beforeLines="100" w:afterLines="50" w:line="800" w:lineRule="atLeast"/>
      <w:jc w:val="center"/>
      <w:outlineLvl w:val="0"/>
    </w:pPr>
    <w:rPr>
      <w:rFonts w:eastAsia="黑体"/>
      <w:sz w:val="44"/>
    </w:rPr>
  </w:style>
  <w:style w:type="paragraph" w:styleId="2">
    <w:name w:val="heading 2"/>
    <w:basedOn w:val="a"/>
    <w:next w:val="a"/>
    <w:link w:val="22"/>
    <w:qFormat/>
    <w:pPr>
      <w:keepLines/>
      <w:tabs>
        <w:tab w:val="left" w:pos="3360"/>
      </w:tabs>
      <w:adjustRightInd w:val="0"/>
      <w:spacing w:line="360" w:lineRule="auto"/>
      <w:outlineLvl w:val="1"/>
    </w:pPr>
    <w:rPr>
      <w:rFonts w:ascii="宋体" w:hAnsi="宋体"/>
    </w:rPr>
  </w:style>
  <w:style w:type="paragraph" w:styleId="3">
    <w:name w:val="heading 3"/>
    <w:basedOn w:val="a"/>
    <w:next w:val="a"/>
    <w:link w:val="30"/>
    <w:qFormat/>
    <w:pPr>
      <w:keepNext/>
      <w:keepLines/>
      <w:numPr>
        <w:numId w:val="1"/>
      </w:numPr>
      <w:spacing w:line="440" w:lineRule="exact"/>
      <w:ind w:firstLineChars="200" w:firstLine="1441"/>
      <w:jc w:val="left"/>
      <w:outlineLvl w:val="2"/>
    </w:pPr>
    <w:rPr>
      <w:rFonts w:ascii="Calibri" w:eastAsia="方正仿宋_GBK" w:hAnsi="Calibri"/>
      <w:b/>
    </w:rPr>
  </w:style>
  <w:style w:type="paragraph" w:styleId="4">
    <w:name w:val="heading 4"/>
    <w:basedOn w:val="2"/>
    <w:next w:val="a"/>
    <w:link w:val="40"/>
    <w:qFormat/>
    <w:pPr>
      <w:tabs>
        <w:tab w:val="left" w:pos="720"/>
      </w:tabs>
      <w:spacing w:line="440" w:lineRule="exact"/>
      <w:ind w:left="720" w:hanging="720"/>
      <w:outlineLvl w:val="3"/>
    </w:pPr>
    <w:rPr>
      <w:rFonts w:ascii="Arial" w:eastAsia="微软雅黑" w:hAnsi="Arial"/>
      <w:sz w:val="21"/>
    </w:rPr>
  </w:style>
  <w:style w:type="paragraph" w:styleId="5">
    <w:name w:val="heading 5"/>
    <w:basedOn w:val="a"/>
    <w:next w:val="a"/>
    <w:link w:val="50"/>
    <w:uiPriority w:val="99"/>
    <w:qFormat/>
    <w:pPr>
      <w:keepNext/>
      <w:keepLines/>
      <w:tabs>
        <w:tab w:val="left" w:pos="2551"/>
      </w:tabs>
      <w:spacing w:before="280" w:after="290" w:line="372" w:lineRule="auto"/>
      <w:ind w:left="2551" w:hanging="850"/>
      <w:outlineLvl w:val="4"/>
    </w:pPr>
    <w:rPr>
      <w:rFonts w:ascii="Calibri" w:hAnsi="Calibri"/>
      <w:b/>
    </w:rPr>
  </w:style>
  <w:style w:type="paragraph" w:styleId="6">
    <w:name w:val="heading 6"/>
    <w:basedOn w:val="a"/>
    <w:next w:val="a"/>
    <w:link w:val="60"/>
    <w:qFormat/>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
    <w:name w:val="heading 7"/>
    <w:basedOn w:val="a"/>
    <w:next w:val="a"/>
    <w:link w:val="70"/>
    <w:qFormat/>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a"/>
    <w:next w:val="a"/>
    <w:link w:val="80"/>
    <w:qFormat/>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a"/>
    <w:next w:val="a"/>
    <w:link w:val="90"/>
    <w:qFormat/>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qFormat/>
    <w:pPr>
      <w:adjustRightInd w:val="0"/>
      <w:snapToGrid w:val="0"/>
      <w:spacing w:line="360" w:lineRule="auto"/>
      <w:ind w:leftChars="400" w:left="100" w:hangingChars="200" w:hanging="200"/>
    </w:pPr>
    <w:rPr>
      <w:rFonts w:ascii="Calibri" w:hAnsi="Calibri"/>
      <w:sz w:val="24"/>
    </w:rPr>
  </w:style>
  <w:style w:type="paragraph" w:styleId="TOC7">
    <w:name w:val="toc 7"/>
    <w:basedOn w:val="a"/>
    <w:next w:val="a"/>
    <w:qFormat/>
    <w:pPr>
      <w:ind w:leftChars="1200" w:left="2520"/>
    </w:pPr>
  </w:style>
  <w:style w:type="paragraph" w:styleId="20">
    <w:name w:val="List Number 2"/>
    <w:basedOn w:val="a"/>
    <w:qFormat/>
    <w:pPr>
      <w:tabs>
        <w:tab w:val="left" w:pos="780"/>
      </w:tabs>
      <w:spacing w:line="360" w:lineRule="auto"/>
    </w:pPr>
    <w:rPr>
      <w:rFonts w:ascii="Calibri" w:hAnsi="Calibri"/>
      <w:sz w:val="24"/>
    </w:rPr>
  </w:style>
  <w:style w:type="paragraph" w:styleId="41">
    <w:name w:val="List Bullet 4"/>
    <w:basedOn w:val="a"/>
    <w:qFormat/>
    <w:pPr>
      <w:widowControl/>
      <w:tabs>
        <w:tab w:val="left" w:pos="1134"/>
        <w:tab w:val="left" w:pos="6916"/>
      </w:tabs>
      <w:adjustRightInd w:val="0"/>
      <w:snapToGrid w:val="0"/>
      <w:spacing w:before="120" w:line="280" w:lineRule="atLeast"/>
      <w:ind w:left="1418" w:hanging="284"/>
      <w:jc w:val="left"/>
    </w:pPr>
    <w:rPr>
      <w:rFonts w:ascii="宋体" w:hAnsi="Calibri"/>
      <w:kern w:val="0"/>
      <w:sz w:val="22"/>
    </w:rPr>
  </w:style>
  <w:style w:type="paragraph" w:styleId="a3">
    <w:name w:val="Normal Indent"/>
    <w:basedOn w:val="a"/>
    <w:next w:val="a"/>
    <w:qFormat/>
    <w:pPr>
      <w:adjustRightInd w:val="0"/>
      <w:snapToGrid w:val="0"/>
      <w:spacing w:line="360" w:lineRule="auto"/>
      <w:ind w:firstLine="420"/>
    </w:pPr>
    <w:rPr>
      <w:rFonts w:ascii="Calibri" w:hAnsi="Calibri"/>
      <w:sz w:val="24"/>
    </w:rPr>
  </w:style>
  <w:style w:type="paragraph" w:styleId="a4">
    <w:name w:val="caption"/>
    <w:basedOn w:val="a"/>
    <w:next w:val="a"/>
    <w:uiPriority w:val="35"/>
    <w:qFormat/>
    <w:pPr>
      <w:widowControl/>
      <w:tabs>
        <w:tab w:val="left" w:pos="1134"/>
      </w:tabs>
      <w:adjustRightInd w:val="0"/>
      <w:snapToGrid w:val="0"/>
      <w:spacing w:line="280" w:lineRule="atLeast"/>
      <w:jc w:val="left"/>
    </w:pPr>
    <w:rPr>
      <w:rFonts w:ascii="Calibri" w:eastAsia="PMingLiU" w:hAnsi="Calibri"/>
      <w:b/>
      <w:kern w:val="0"/>
      <w:sz w:val="24"/>
      <w:lang w:eastAsia="zh-TW"/>
    </w:rPr>
  </w:style>
  <w:style w:type="paragraph" w:styleId="a5">
    <w:name w:val="Document Map"/>
    <w:basedOn w:val="a"/>
    <w:link w:val="a6"/>
    <w:qFormat/>
    <w:pPr>
      <w:shd w:val="clear" w:color="auto" w:fill="000080"/>
    </w:pPr>
    <w:rPr>
      <w:rFonts w:ascii="Calibri" w:hAnsi="Calibri"/>
    </w:rPr>
  </w:style>
  <w:style w:type="paragraph" w:styleId="a7">
    <w:name w:val="toa heading"/>
    <w:basedOn w:val="a"/>
    <w:next w:val="a"/>
    <w:qFormat/>
    <w:pPr>
      <w:spacing w:before="120"/>
    </w:pPr>
    <w:rPr>
      <w:rFonts w:ascii="Arial" w:hAnsi="Arial"/>
      <w:sz w:val="24"/>
    </w:rPr>
  </w:style>
  <w:style w:type="paragraph" w:styleId="a8">
    <w:name w:val="annotation text"/>
    <w:basedOn w:val="a"/>
    <w:link w:val="11"/>
    <w:qFormat/>
    <w:pPr>
      <w:widowControl/>
      <w:tabs>
        <w:tab w:val="left" w:pos="1134"/>
      </w:tabs>
      <w:adjustRightInd w:val="0"/>
      <w:snapToGrid w:val="0"/>
      <w:spacing w:line="280" w:lineRule="atLeast"/>
      <w:jc w:val="left"/>
    </w:pPr>
    <w:rPr>
      <w:rFonts w:eastAsia="PMingLiU"/>
      <w:kern w:val="0"/>
      <w:sz w:val="24"/>
      <w:lang w:eastAsia="zh-TW"/>
    </w:rPr>
  </w:style>
  <w:style w:type="paragraph" w:styleId="32">
    <w:name w:val="Body Text 3"/>
    <w:basedOn w:val="a"/>
    <w:link w:val="33"/>
    <w:qFormat/>
    <w:pPr>
      <w:adjustRightInd w:val="0"/>
      <w:snapToGrid w:val="0"/>
      <w:spacing w:after="120" w:line="360" w:lineRule="auto"/>
    </w:pPr>
    <w:rPr>
      <w:rFonts w:ascii="Calibri" w:hAnsi="Calibri"/>
      <w:sz w:val="16"/>
    </w:rPr>
  </w:style>
  <w:style w:type="paragraph" w:styleId="34">
    <w:name w:val="List Bullet 3"/>
    <w:basedOn w:val="a"/>
    <w:qFormat/>
    <w:pPr>
      <w:tabs>
        <w:tab w:val="left" w:pos="1200"/>
      </w:tabs>
      <w:adjustRightInd w:val="0"/>
      <w:snapToGrid w:val="0"/>
      <w:spacing w:line="360" w:lineRule="auto"/>
    </w:pPr>
    <w:rPr>
      <w:rFonts w:ascii="Calibri" w:hAnsi="Calibri"/>
      <w:sz w:val="24"/>
    </w:rPr>
  </w:style>
  <w:style w:type="paragraph" w:styleId="a9">
    <w:name w:val="Body Text"/>
    <w:basedOn w:val="a"/>
    <w:next w:val="aa"/>
    <w:link w:val="ab"/>
    <w:qFormat/>
    <w:rPr>
      <w:rFonts w:ascii="仿宋_GB2312" w:eastAsia="仿宋_GB2312" w:hAnsi="Calibri"/>
      <w:sz w:val="32"/>
    </w:rPr>
  </w:style>
  <w:style w:type="paragraph" w:styleId="aa">
    <w:name w:val="Body Text Indent"/>
    <w:basedOn w:val="a"/>
    <w:link w:val="21"/>
    <w:qFormat/>
    <w:pPr>
      <w:spacing w:line="700" w:lineRule="exact"/>
      <w:ind w:left="960"/>
    </w:pPr>
    <w:rPr>
      <w:sz w:val="44"/>
    </w:rPr>
  </w:style>
  <w:style w:type="paragraph" w:styleId="35">
    <w:name w:val="List Number 3"/>
    <w:basedOn w:val="a"/>
    <w:qFormat/>
    <w:pPr>
      <w:tabs>
        <w:tab w:val="left" w:pos="2120"/>
      </w:tabs>
      <w:adjustRightInd w:val="0"/>
      <w:snapToGrid w:val="0"/>
      <w:spacing w:line="360" w:lineRule="auto"/>
      <w:ind w:left="2120" w:hanging="720"/>
    </w:pPr>
    <w:rPr>
      <w:rFonts w:ascii="Calibri" w:hAnsi="Calibri"/>
      <w:sz w:val="24"/>
    </w:rPr>
  </w:style>
  <w:style w:type="paragraph" w:styleId="23">
    <w:name w:val="List 2"/>
    <w:basedOn w:val="a"/>
    <w:qFormat/>
    <w:pPr>
      <w:adjustRightInd w:val="0"/>
      <w:snapToGrid w:val="0"/>
      <w:spacing w:line="360" w:lineRule="auto"/>
      <w:ind w:leftChars="200" w:left="100" w:hangingChars="200" w:hanging="200"/>
    </w:pPr>
    <w:rPr>
      <w:rFonts w:ascii="Calibri" w:hAnsi="Calibri"/>
      <w:sz w:val="24"/>
    </w:rPr>
  </w:style>
  <w:style w:type="paragraph" w:styleId="ac">
    <w:name w:val="List Continue"/>
    <w:basedOn w:val="a"/>
    <w:qFormat/>
    <w:pPr>
      <w:adjustRightInd w:val="0"/>
      <w:snapToGrid w:val="0"/>
      <w:spacing w:after="120" w:line="360" w:lineRule="auto"/>
      <w:ind w:leftChars="200" w:left="420"/>
    </w:pPr>
    <w:rPr>
      <w:rFonts w:ascii="Calibri" w:hAnsi="Calibri"/>
      <w:sz w:val="24"/>
    </w:rPr>
  </w:style>
  <w:style w:type="paragraph" w:styleId="ad">
    <w:name w:val="Block Text"/>
    <w:basedOn w:val="a"/>
    <w:qFormat/>
    <w:pPr>
      <w:spacing w:after="120"/>
      <w:ind w:leftChars="700" w:left="1440" w:rightChars="700" w:right="700"/>
    </w:pPr>
  </w:style>
  <w:style w:type="paragraph" w:styleId="24">
    <w:name w:val="List Bullet 2"/>
    <w:basedOn w:val="a"/>
    <w:qFormat/>
    <w:pPr>
      <w:tabs>
        <w:tab w:val="left" w:pos="780"/>
      </w:tabs>
      <w:adjustRightInd w:val="0"/>
      <w:snapToGrid w:val="0"/>
      <w:spacing w:line="360" w:lineRule="auto"/>
      <w:ind w:left="780" w:hanging="360"/>
    </w:pPr>
    <w:rPr>
      <w:rFonts w:ascii="Calibri" w:hAnsi="Calibri"/>
      <w:sz w:val="24"/>
    </w:rPr>
  </w:style>
  <w:style w:type="paragraph" w:styleId="TOC5">
    <w:name w:val="toc 5"/>
    <w:basedOn w:val="a"/>
    <w:next w:val="a"/>
    <w:qFormat/>
    <w:pPr>
      <w:ind w:leftChars="800" w:left="1680"/>
    </w:pPr>
  </w:style>
  <w:style w:type="paragraph" w:styleId="TOC3">
    <w:name w:val="toc 3"/>
    <w:basedOn w:val="a"/>
    <w:next w:val="a"/>
    <w:qFormat/>
    <w:pPr>
      <w:ind w:leftChars="400" w:left="840"/>
    </w:pPr>
  </w:style>
  <w:style w:type="paragraph" w:styleId="ae">
    <w:name w:val="Plain Text"/>
    <w:basedOn w:val="a"/>
    <w:link w:val="af"/>
    <w:qFormat/>
    <w:pPr>
      <w:adjustRightInd w:val="0"/>
      <w:snapToGrid w:val="0"/>
      <w:spacing w:line="360" w:lineRule="auto"/>
    </w:pPr>
    <w:rPr>
      <w:rFonts w:ascii="宋体" w:hAnsi="Courier New"/>
      <w:sz w:val="21"/>
    </w:rPr>
  </w:style>
  <w:style w:type="paragraph" w:styleId="TOC8">
    <w:name w:val="toc 8"/>
    <w:basedOn w:val="a"/>
    <w:next w:val="a"/>
    <w:qFormat/>
    <w:pPr>
      <w:ind w:leftChars="1400" w:left="2940"/>
    </w:pPr>
  </w:style>
  <w:style w:type="paragraph" w:styleId="af0">
    <w:name w:val="Date"/>
    <w:basedOn w:val="a"/>
    <w:next w:val="a"/>
    <w:link w:val="12"/>
    <w:qFormat/>
  </w:style>
  <w:style w:type="paragraph" w:styleId="25">
    <w:name w:val="Body Text Indent 2"/>
    <w:basedOn w:val="a"/>
    <w:link w:val="26"/>
    <w:qFormat/>
    <w:pPr>
      <w:snapToGrid w:val="0"/>
      <w:spacing w:line="440" w:lineRule="atLeast"/>
      <w:ind w:firstLine="570"/>
    </w:pPr>
    <w:rPr>
      <w:rFonts w:ascii="宋体" w:hAnsi="Calibri"/>
    </w:rPr>
  </w:style>
  <w:style w:type="paragraph" w:styleId="af1">
    <w:name w:val="Balloon Text"/>
    <w:basedOn w:val="a"/>
    <w:link w:val="13"/>
    <w:unhideWhenUsed/>
    <w:qFormat/>
    <w:rPr>
      <w:sz w:val="18"/>
      <w:szCs w:val="18"/>
    </w:rPr>
  </w:style>
  <w:style w:type="paragraph" w:styleId="af2">
    <w:name w:val="footer"/>
    <w:basedOn w:val="a"/>
    <w:link w:val="af3"/>
    <w:uiPriority w:val="99"/>
    <w:qFormat/>
    <w:pPr>
      <w:tabs>
        <w:tab w:val="center" w:pos="4153"/>
        <w:tab w:val="right" w:pos="8306"/>
      </w:tabs>
      <w:snapToGrid w:val="0"/>
      <w:jc w:val="left"/>
    </w:pPr>
    <w:rPr>
      <w:sz w:val="18"/>
    </w:rPr>
  </w:style>
  <w:style w:type="paragraph" w:styleId="af4">
    <w:name w:val="envelope return"/>
    <w:basedOn w:val="a"/>
    <w:autoRedefine/>
    <w:qFormat/>
    <w:pPr>
      <w:snapToGrid w:val="0"/>
      <w:ind w:firstLineChars="200" w:firstLine="2000"/>
    </w:pPr>
    <w:rPr>
      <w:rFonts w:ascii="Arial" w:hAnsi="Arial"/>
      <w:sz w:val="21"/>
    </w:rPr>
  </w:style>
  <w:style w:type="paragraph" w:styleId="af5">
    <w:name w:val="header"/>
    <w:basedOn w:val="a"/>
    <w:link w:val="af6"/>
    <w:uiPriority w:val="99"/>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left" w:pos="1260"/>
        <w:tab w:val="left" w:pos="1685"/>
        <w:tab w:val="right" w:leader="dot" w:pos="8400"/>
      </w:tabs>
      <w:spacing w:line="320" w:lineRule="exact"/>
      <w:ind w:firstLineChars="100" w:firstLine="280"/>
    </w:pPr>
  </w:style>
  <w:style w:type="paragraph" w:styleId="42">
    <w:name w:val="List Continue 4"/>
    <w:basedOn w:val="a"/>
    <w:qFormat/>
    <w:pPr>
      <w:adjustRightInd w:val="0"/>
      <w:snapToGrid w:val="0"/>
      <w:spacing w:after="120" w:line="360" w:lineRule="auto"/>
      <w:ind w:leftChars="800" w:left="1680"/>
    </w:pPr>
    <w:rPr>
      <w:rFonts w:ascii="Calibri" w:hAnsi="Calibri"/>
      <w:sz w:val="24"/>
    </w:rPr>
  </w:style>
  <w:style w:type="paragraph" w:styleId="TOC4">
    <w:name w:val="toc 4"/>
    <w:basedOn w:val="a"/>
    <w:next w:val="a"/>
    <w:qFormat/>
    <w:pPr>
      <w:ind w:leftChars="600" w:left="1260"/>
    </w:pPr>
  </w:style>
  <w:style w:type="paragraph" w:styleId="af7">
    <w:name w:val="footnote text"/>
    <w:basedOn w:val="a"/>
    <w:link w:val="af8"/>
    <w:qFormat/>
    <w:pPr>
      <w:spacing w:line="360" w:lineRule="auto"/>
    </w:pPr>
    <w:rPr>
      <w:rFonts w:ascii="Calibri" w:hAnsi="Calibri"/>
      <w:sz w:val="18"/>
    </w:rPr>
  </w:style>
  <w:style w:type="paragraph" w:styleId="TOC6">
    <w:name w:val="toc 6"/>
    <w:basedOn w:val="a"/>
    <w:next w:val="a"/>
    <w:qFormat/>
    <w:pPr>
      <w:ind w:leftChars="1000" w:left="2100"/>
    </w:pPr>
  </w:style>
  <w:style w:type="paragraph" w:styleId="51">
    <w:name w:val="List 5"/>
    <w:basedOn w:val="a"/>
    <w:qFormat/>
    <w:pPr>
      <w:adjustRightInd w:val="0"/>
      <w:snapToGrid w:val="0"/>
      <w:spacing w:line="360" w:lineRule="auto"/>
      <w:ind w:leftChars="800" w:left="100" w:hangingChars="200" w:hanging="200"/>
    </w:pPr>
    <w:rPr>
      <w:rFonts w:ascii="Calibri" w:hAnsi="Calibri"/>
      <w:sz w:val="24"/>
    </w:rPr>
  </w:style>
  <w:style w:type="paragraph" w:styleId="36">
    <w:name w:val="Body Text Indent 3"/>
    <w:basedOn w:val="a"/>
    <w:link w:val="37"/>
    <w:qFormat/>
    <w:pPr>
      <w:spacing w:line="360" w:lineRule="auto"/>
      <w:ind w:firstLine="632"/>
    </w:pPr>
    <w:rPr>
      <w:rFonts w:ascii="黑体" w:eastAsia="黑体" w:hAnsi="Calibri"/>
    </w:rPr>
  </w:style>
  <w:style w:type="paragraph" w:styleId="af9">
    <w:name w:val="table of figures"/>
    <w:basedOn w:val="a"/>
    <w:next w:val="a"/>
    <w:qFormat/>
    <w:pPr>
      <w:tabs>
        <w:tab w:val="right" w:leader="dot" w:pos="8640"/>
      </w:tabs>
      <w:spacing w:line="360" w:lineRule="auto"/>
      <w:ind w:left="400" w:hanging="400"/>
    </w:pPr>
    <w:rPr>
      <w:rFonts w:ascii="Calibri" w:hAnsi="Calibri"/>
      <w:sz w:val="24"/>
    </w:rPr>
  </w:style>
  <w:style w:type="paragraph" w:styleId="TOC2">
    <w:name w:val="toc 2"/>
    <w:basedOn w:val="a"/>
    <w:next w:val="a"/>
    <w:uiPriority w:val="39"/>
    <w:qFormat/>
    <w:pPr>
      <w:tabs>
        <w:tab w:val="right" w:leader="dot" w:pos="8400"/>
      </w:tabs>
      <w:spacing w:line="440" w:lineRule="exact"/>
      <w:ind w:leftChars="100" w:left="280" w:rightChars="-91" w:right="-91"/>
    </w:pPr>
  </w:style>
  <w:style w:type="paragraph" w:styleId="TOC9">
    <w:name w:val="toc 9"/>
    <w:basedOn w:val="a"/>
    <w:next w:val="a"/>
    <w:qFormat/>
    <w:pPr>
      <w:ind w:leftChars="1600" w:left="3360"/>
    </w:pPr>
  </w:style>
  <w:style w:type="paragraph" w:styleId="27">
    <w:name w:val="Body Text 2"/>
    <w:basedOn w:val="a"/>
    <w:link w:val="28"/>
    <w:qFormat/>
    <w:pPr>
      <w:adjustRightInd w:val="0"/>
      <w:snapToGrid w:val="0"/>
      <w:spacing w:after="120" w:line="480" w:lineRule="auto"/>
    </w:pPr>
    <w:rPr>
      <w:rFonts w:ascii="Calibri" w:hAnsi="Calibri"/>
      <w:sz w:val="24"/>
    </w:rPr>
  </w:style>
  <w:style w:type="paragraph" w:styleId="43">
    <w:name w:val="List 4"/>
    <w:basedOn w:val="a"/>
    <w:uiPriority w:val="99"/>
    <w:qFormat/>
    <w:pPr>
      <w:adjustRightInd w:val="0"/>
      <w:snapToGrid w:val="0"/>
      <w:spacing w:line="360" w:lineRule="auto"/>
      <w:ind w:leftChars="600" w:left="100" w:hangingChars="200" w:hanging="200"/>
    </w:pPr>
    <w:rPr>
      <w:rFonts w:ascii="Calibri" w:hAnsi="Calibri"/>
      <w:sz w:val="24"/>
    </w:rPr>
  </w:style>
  <w:style w:type="paragraph" w:styleId="29">
    <w:name w:val="List Continue 2"/>
    <w:basedOn w:val="a"/>
    <w:qFormat/>
    <w:pPr>
      <w:adjustRightInd w:val="0"/>
      <w:snapToGrid w:val="0"/>
      <w:spacing w:after="120" w:line="360" w:lineRule="auto"/>
      <w:ind w:leftChars="400" w:left="840"/>
    </w:pPr>
    <w:rPr>
      <w:rFonts w:ascii="Calibri" w:hAnsi="Calibri"/>
      <w:sz w:val="24"/>
    </w:rPr>
  </w:style>
  <w:style w:type="paragraph" w:styleId="HTML">
    <w:name w:val="HTML Preformatted"/>
    <w:basedOn w:val="a"/>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a">
    <w:name w:val="Normal (Web)"/>
    <w:basedOn w:val="a"/>
    <w:qFormat/>
    <w:pPr>
      <w:widowControl/>
      <w:spacing w:before="100" w:beforeAutospacing="1" w:after="100" w:afterAutospacing="1"/>
      <w:jc w:val="left"/>
    </w:pPr>
    <w:rPr>
      <w:rFonts w:ascii="Arial Unicode MS" w:eastAsia="Arial Unicode MS" w:hAnsi="Arial Unicode MS"/>
      <w:kern w:val="0"/>
      <w:sz w:val="24"/>
    </w:rPr>
  </w:style>
  <w:style w:type="paragraph" w:styleId="38">
    <w:name w:val="List Continue 3"/>
    <w:basedOn w:val="a"/>
    <w:qFormat/>
    <w:pPr>
      <w:adjustRightInd w:val="0"/>
      <w:snapToGrid w:val="0"/>
      <w:spacing w:after="120" w:line="360" w:lineRule="auto"/>
      <w:ind w:leftChars="600" w:left="1260"/>
    </w:pPr>
    <w:rPr>
      <w:rFonts w:ascii="Calibri" w:hAnsi="Calibri"/>
      <w:sz w:val="24"/>
    </w:rPr>
  </w:style>
  <w:style w:type="paragraph" w:styleId="14">
    <w:name w:val="index 1"/>
    <w:basedOn w:val="a"/>
    <w:next w:val="a"/>
    <w:qFormat/>
    <w:pPr>
      <w:adjustRightInd w:val="0"/>
      <w:spacing w:line="240" w:lineRule="atLeast"/>
      <w:textAlignment w:val="baseline"/>
    </w:pPr>
    <w:rPr>
      <w:rFonts w:ascii="宋体" w:hAnsi="Calibri"/>
      <w:kern w:val="0"/>
      <w:sz w:val="21"/>
    </w:rPr>
  </w:style>
  <w:style w:type="paragraph" w:styleId="afb">
    <w:name w:val="Title"/>
    <w:basedOn w:val="a"/>
    <w:next w:val="a"/>
    <w:link w:val="afc"/>
    <w:uiPriority w:val="10"/>
    <w:qFormat/>
    <w:pPr>
      <w:widowControl/>
      <w:spacing w:after="240" w:line="360" w:lineRule="auto"/>
      <w:jc w:val="center"/>
    </w:pPr>
    <w:rPr>
      <w:rFonts w:ascii="Arial" w:hAnsi="Arial"/>
      <w:b/>
      <w:smallCaps/>
      <w:kern w:val="28"/>
      <w:sz w:val="36"/>
      <w:lang w:eastAsia="en-US"/>
    </w:rPr>
  </w:style>
  <w:style w:type="paragraph" w:styleId="afd">
    <w:name w:val="annotation subject"/>
    <w:basedOn w:val="a8"/>
    <w:next w:val="a8"/>
    <w:link w:val="afe"/>
    <w:unhideWhenUsed/>
    <w:qFormat/>
    <w:pPr>
      <w:widowControl w:val="0"/>
      <w:tabs>
        <w:tab w:val="clear" w:pos="1134"/>
      </w:tabs>
      <w:adjustRightInd/>
      <w:snapToGrid/>
      <w:spacing w:line="240" w:lineRule="auto"/>
    </w:pPr>
    <w:rPr>
      <w:rFonts w:eastAsia="宋体"/>
      <w:b/>
      <w:bCs/>
      <w:kern w:val="2"/>
      <w:sz w:val="28"/>
      <w:lang w:eastAsia="zh-CN"/>
    </w:rPr>
  </w:style>
  <w:style w:type="paragraph" w:styleId="aff">
    <w:name w:val="Body Text First Indent"/>
    <w:basedOn w:val="a9"/>
    <w:next w:val="a"/>
    <w:link w:val="15"/>
    <w:unhideWhenUsed/>
    <w:qFormat/>
    <w:pPr>
      <w:spacing w:after="120"/>
      <w:ind w:firstLineChars="100" w:firstLine="420"/>
    </w:pPr>
  </w:style>
  <w:style w:type="paragraph" w:styleId="2a">
    <w:name w:val="Body Text First Indent 2"/>
    <w:basedOn w:val="aa"/>
    <w:link w:val="210"/>
    <w:unhideWhenUsed/>
    <w:qFormat/>
    <w:pPr>
      <w:spacing w:after="120" w:line="240" w:lineRule="auto"/>
      <w:ind w:leftChars="200" w:left="420" w:firstLineChars="200" w:firstLine="420"/>
    </w:pPr>
    <w:rPr>
      <w:sz w:val="28"/>
    </w:rPr>
  </w:style>
  <w:style w:type="table" w:styleId="af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qFormat/>
    <w:rPr>
      <w:b/>
    </w:rPr>
  </w:style>
  <w:style w:type="character" w:styleId="aff2">
    <w:name w:val="page number"/>
    <w:basedOn w:val="a0"/>
    <w:qFormat/>
  </w:style>
  <w:style w:type="character" w:styleId="aff3">
    <w:name w:val="FollowedHyperlink"/>
    <w:qFormat/>
    <w:rPr>
      <w:color w:val="800080"/>
      <w:u w:val="single"/>
    </w:rPr>
  </w:style>
  <w:style w:type="character" w:styleId="aff4">
    <w:name w:val="Emphasis"/>
    <w:qFormat/>
    <w:rPr>
      <w:i/>
    </w:rPr>
  </w:style>
  <w:style w:type="character" w:styleId="aff5">
    <w:name w:val="Hyperlink"/>
    <w:basedOn w:val="a0"/>
    <w:uiPriority w:val="99"/>
    <w:qFormat/>
    <w:rPr>
      <w:color w:val="0000FF"/>
      <w:u w:val="single"/>
    </w:rPr>
  </w:style>
  <w:style w:type="character" w:styleId="aff6">
    <w:name w:val="annotation reference"/>
    <w:basedOn w:val="a0"/>
    <w:qFormat/>
    <w:rPr>
      <w:sz w:val="21"/>
    </w:rPr>
  </w:style>
  <w:style w:type="character" w:styleId="aff7">
    <w:name w:val="footnote reference"/>
    <w:qFormat/>
    <w:rPr>
      <w:position w:val="6"/>
      <w:sz w:val="14"/>
      <w:vertAlign w:val="superscript"/>
    </w:rPr>
  </w:style>
  <w:style w:type="paragraph" w:customStyle="1" w:styleId="zw">
    <w:name w:val="正文zw"/>
    <w:basedOn w:val="a"/>
    <w:qFormat/>
    <w:pPr>
      <w:autoSpaceDE w:val="0"/>
      <w:autoSpaceDN w:val="0"/>
      <w:snapToGrid w:val="0"/>
      <w:spacing w:line="360" w:lineRule="auto"/>
      <w:ind w:left="420" w:firstLine="420"/>
    </w:pPr>
    <w:rPr>
      <w:rFonts w:ascii="宋体" w:hAnsi="宋体" w:hint="eastAsia"/>
      <w:kern w:val="0"/>
      <w:szCs w:val="28"/>
    </w:rPr>
  </w:style>
  <w:style w:type="character" w:customStyle="1" w:styleId="10">
    <w:name w:val="标题 1 字符"/>
    <w:basedOn w:val="a0"/>
    <w:link w:val="1"/>
    <w:qFormat/>
    <w:rPr>
      <w:rFonts w:ascii="Calibri" w:hAnsi="Calibri" w:cs="Calibri" w:hint="default"/>
      <w:b/>
      <w:bCs/>
      <w:kern w:val="44"/>
      <w:sz w:val="44"/>
      <w:szCs w:val="44"/>
    </w:rPr>
  </w:style>
  <w:style w:type="character" w:customStyle="1" w:styleId="22">
    <w:name w:val="标题 2 字符2"/>
    <w:link w:val="2"/>
    <w:qFormat/>
    <w:rPr>
      <w:rFonts w:ascii="宋体" w:hAnsi="宋体"/>
      <w:kern w:val="2"/>
      <w:sz w:val="28"/>
    </w:rPr>
  </w:style>
  <w:style w:type="character" w:customStyle="1" w:styleId="30">
    <w:name w:val="标题 3 字符"/>
    <w:basedOn w:val="a0"/>
    <w:link w:val="3"/>
    <w:qFormat/>
    <w:rPr>
      <w:rFonts w:ascii="Calibri" w:eastAsia="方正仿宋_GBK" w:hAnsi="Calibri" w:cs="Times New Roman"/>
      <w:b/>
      <w:sz w:val="28"/>
      <w:szCs w:val="20"/>
    </w:rPr>
  </w:style>
  <w:style w:type="character" w:customStyle="1" w:styleId="40">
    <w:name w:val="标题 4 字符"/>
    <w:basedOn w:val="a0"/>
    <w:link w:val="4"/>
    <w:qFormat/>
    <w:rPr>
      <w:rFonts w:ascii="Calibri Light" w:eastAsia="宋体" w:hAnsi="Calibri Light" w:cs="Times New Roman"/>
      <w:b/>
      <w:bCs/>
      <w:kern w:val="2"/>
      <w:sz w:val="28"/>
      <w:szCs w:val="28"/>
    </w:rPr>
  </w:style>
  <w:style w:type="character" w:customStyle="1" w:styleId="50">
    <w:name w:val="标题 5 字符"/>
    <w:basedOn w:val="a0"/>
    <w:link w:val="5"/>
    <w:uiPriority w:val="99"/>
    <w:qFormat/>
    <w:rPr>
      <w:rFonts w:ascii="Calibri" w:eastAsia="宋体" w:hAnsi="Calibri" w:cs="Times New Roman"/>
      <w:b/>
      <w:sz w:val="28"/>
      <w:szCs w:val="20"/>
    </w:rPr>
  </w:style>
  <w:style w:type="character" w:customStyle="1" w:styleId="60">
    <w:name w:val="标题 6 字符"/>
    <w:basedOn w:val="a0"/>
    <w:link w:val="6"/>
    <w:qFormat/>
    <w:rPr>
      <w:rFonts w:ascii="Arial" w:eastAsia="黑体" w:hAnsi="Arial" w:cs="Times New Roman"/>
      <w:b/>
      <w:sz w:val="24"/>
      <w:szCs w:val="20"/>
    </w:rPr>
  </w:style>
  <w:style w:type="character" w:customStyle="1" w:styleId="70">
    <w:name w:val="标题 7 字符"/>
    <w:basedOn w:val="a0"/>
    <w:link w:val="7"/>
    <w:qFormat/>
    <w:rPr>
      <w:rFonts w:ascii="Arial" w:eastAsia="黑体" w:hAnsi="Arial" w:cs="Times New Roman"/>
      <w:b/>
      <w:sz w:val="24"/>
      <w:szCs w:val="20"/>
    </w:rPr>
  </w:style>
  <w:style w:type="character" w:customStyle="1" w:styleId="80">
    <w:name w:val="标题 8 字符"/>
    <w:basedOn w:val="a0"/>
    <w:link w:val="8"/>
    <w:qFormat/>
    <w:rPr>
      <w:rFonts w:ascii="Arial" w:eastAsia="黑体" w:hAnsi="Arial" w:cs="Times New Roman"/>
      <w:b/>
      <w:sz w:val="24"/>
      <w:szCs w:val="20"/>
    </w:rPr>
  </w:style>
  <w:style w:type="character" w:customStyle="1" w:styleId="90">
    <w:name w:val="标题 9 字符"/>
    <w:basedOn w:val="a0"/>
    <w:link w:val="9"/>
    <w:qFormat/>
    <w:rPr>
      <w:rFonts w:ascii="Arial" w:eastAsia="黑体" w:hAnsi="Arial" w:cs="Times New Roman"/>
      <w:b/>
      <w:sz w:val="24"/>
      <w:szCs w:val="20"/>
    </w:rPr>
  </w:style>
  <w:style w:type="character" w:customStyle="1" w:styleId="a6">
    <w:name w:val="文档结构图 字符"/>
    <w:basedOn w:val="a0"/>
    <w:link w:val="a5"/>
    <w:qFormat/>
    <w:rPr>
      <w:rFonts w:ascii="Calibri" w:eastAsia="宋体" w:hAnsi="Calibri" w:cs="Times New Roman"/>
      <w:sz w:val="28"/>
      <w:szCs w:val="20"/>
      <w:shd w:val="clear" w:color="auto" w:fill="000080"/>
    </w:rPr>
  </w:style>
  <w:style w:type="character" w:customStyle="1" w:styleId="11">
    <w:name w:val="批注文字 字符1"/>
    <w:link w:val="a8"/>
    <w:qFormat/>
    <w:rPr>
      <w:rFonts w:ascii="Times New Roman" w:eastAsia="PMingLiU" w:hAnsi="Times New Roman" w:cs="Times New Roman"/>
      <w:kern w:val="0"/>
      <w:sz w:val="24"/>
      <w:szCs w:val="20"/>
      <w:lang w:eastAsia="zh-TW"/>
    </w:rPr>
  </w:style>
  <w:style w:type="character" w:customStyle="1" w:styleId="33">
    <w:name w:val="正文文本 3 字符"/>
    <w:basedOn w:val="a0"/>
    <w:link w:val="32"/>
    <w:qFormat/>
    <w:rPr>
      <w:rFonts w:ascii="Calibri" w:eastAsia="宋体" w:hAnsi="Calibri" w:cs="Times New Roman"/>
      <w:sz w:val="16"/>
      <w:szCs w:val="20"/>
    </w:rPr>
  </w:style>
  <w:style w:type="character" w:customStyle="1" w:styleId="ab">
    <w:name w:val="正文文本 字符"/>
    <w:basedOn w:val="a0"/>
    <w:link w:val="a9"/>
    <w:qFormat/>
    <w:rPr>
      <w:kern w:val="2"/>
      <w:sz w:val="21"/>
      <w:szCs w:val="24"/>
    </w:rPr>
  </w:style>
  <w:style w:type="character" w:customStyle="1" w:styleId="21">
    <w:name w:val="正文文本缩进 字符2"/>
    <w:basedOn w:val="a0"/>
    <w:link w:val="aa"/>
    <w:qFormat/>
    <w:rPr>
      <w:rFonts w:ascii="Times New Roman" w:eastAsia="宋体" w:hAnsi="Times New Roman" w:cs="Times New Roman"/>
      <w:sz w:val="44"/>
      <w:szCs w:val="20"/>
    </w:rPr>
  </w:style>
  <w:style w:type="character" w:customStyle="1" w:styleId="af">
    <w:name w:val="纯文本 字符"/>
    <w:basedOn w:val="a0"/>
    <w:link w:val="ae"/>
    <w:qFormat/>
    <w:rPr>
      <w:rFonts w:ascii="宋体" w:eastAsia="宋体" w:hAnsi="Courier New" w:cs="Times New Roman"/>
      <w:szCs w:val="20"/>
    </w:rPr>
  </w:style>
  <w:style w:type="character" w:customStyle="1" w:styleId="12">
    <w:name w:val="日期 字符1"/>
    <w:basedOn w:val="a0"/>
    <w:link w:val="af0"/>
    <w:qFormat/>
    <w:rPr>
      <w:rFonts w:ascii="Times New Roman" w:eastAsia="宋体" w:hAnsi="Times New Roman" w:cs="Times New Roman"/>
      <w:sz w:val="28"/>
      <w:szCs w:val="20"/>
    </w:rPr>
  </w:style>
  <w:style w:type="character" w:customStyle="1" w:styleId="26">
    <w:name w:val="正文文本缩进 2 字符"/>
    <w:basedOn w:val="a0"/>
    <w:link w:val="25"/>
    <w:qFormat/>
    <w:rPr>
      <w:rFonts w:ascii="宋体" w:eastAsia="宋体" w:hAnsi="Calibri" w:cs="Times New Roman"/>
      <w:sz w:val="28"/>
      <w:szCs w:val="20"/>
    </w:rPr>
  </w:style>
  <w:style w:type="character" w:customStyle="1" w:styleId="13">
    <w:name w:val="批注框文本 字符1"/>
    <w:basedOn w:val="a0"/>
    <w:link w:val="af1"/>
    <w:qFormat/>
    <w:rPr>
      <w:rFonts w:ascii="Times New Roman" w:eastAsia="宋体" w:hAnsi="Times New Roman" w:cs="Times New Roman"/>
      <w:sz w:val="18"/>
      <w:szCs w:val="18"/>
    </w:rPr>
  </w:style>
  <w:style w:type="character" w:customStyle="1" w:styleId="af3">
    <w:name w:val="页脚 字符"/>
    <w:basedOn w:val="a0"/>
    <w:link w:val="af2"/>
    <w:uiPriority w:val="99"/>
    <w:qFormat/>
    <w:rPr>
      <w:rFonts w:ascii="Times New Roman" w:eastAsia="宋体" w:hAnsi="Times New Roman" w:cs="Times New Roman"/>
      <w:sz w:val="18"/>
      <w:szCs w:val="20"/>
    </w:rPr>
  </w:style>
  <w:style w:type="character" w:customStyle="1" w:styleId="af6">
    <w:name w:val="页眉 字符"/>
    <w:basedOn w:val="a0"/>
    <w:link w:val="af5"/>
    <w:uiPriority w:val="99"/>
    <w:qFormat/>
    <w:rPr>
      <w:rFonts w:ascii="Times New Roman" w:eastAsia="宋体" w:hAnsi="Times New Roman" w:cs="Times New Roman"/>
      <w:sz w:val="18"/>
      <w:szCs w:val="20"/>
    </w:rPr>
  </w:style>
  <w:style w:type="character" w:customStyle="1" w:styleId="af8">
    <w:name w:val="脚注文本 字符"/>
    <w:basedOn w:val="a0"/>
    <w:link w:val="af7"/>
    <w:qFormat/>
    <w:rPr>
      <w:rFonts w:ascii="Calibri" w:eastAsia="宋体" w:hAnsi="Calibri" w:cs="Times New Roman"/>
      <w:sz w:val="18"/>
      <w:szCs w:val="20"/>
    </w:rPr>
  </w:style>
  <w:style w:type="character" w:customStyle="1" w:styleId="37">
    <w:name w:val="正文文本缩进 3 字符"/>
    <w:basedOn w:val="a0"/>
    <w:link w:val="36"/>
    <w:qFormat/>
    <w:rPr>
      <w:rFonts w:ascii="黑体" w:eastAsia="黑体" w:hAnsi="Calibri" w:cs="Times New Roman"/>
      <w:sz w:val="28"/>
      <w:szCs w:val="20"/>
    </w:rPr>
  </w:style>
  <w:style w:type="character" w:customStyle="1" w:styleId="28">
    <w:name w:val="正文文本 2 字符"/>
    <w:basedOn w:val="a0"/>
    <w:link w:val="27"/>
    <w:qFormat/>
    <w:rPr>
      <w:rFonts w:ascii="Calibri" w:eastAsia="宋体" w:hAnsi="Calibri" w:cs="Times New Roman"/>
      <w:sz w:val="24"/>
      <w:szCs w:val="20"/>
    </w:rPr>
  </w:style>
  <w:style w:type="character" w:customStyle="1" w:styleId="HTML0">
    <w:name w:val="HTML 预设格式 字符"/>
    <w:link w:val="HTML"/>
    <w:uiPriority w:val="99"/>
    <w:qFormat/>
    <w:rPr>
      <w:rFonts w:ascii="Arial" w:hAnsi="Arial" w:cs="Arial"/>
      <w:sz w:val="28"/>
      <w:szCs w:val="21"/>
    </w:rPr>
  </w:style>
  <w:style w:type="character" w:customStyle="1" w:styleId="afc">
    <w:name w:val="标题 字符"/>
    <w:basedOn w:val="a0"/>
    <w:link w:val="afb"/>
    <w:uiPriority w:val="10"/>
    <w:qFormat/>
    <w:rPr>
      <w:rFonts w:ascii="Arial" w:eastAsia="宋体" w:hAnsi="Arial" w:cs="Times New Roman"/>
      <w:b/>
      <w:smallCaps/>
      <w:kern w:val="28"/>
      <w:sz w:val="36"/>
      <w:szCs w:val="20"/>
      <w:lang w:eastAsia="en-US"/>
    </w:rPr>
  </w:style>
  <w:style w:type="character" w:customStyle="1" w:styleId="afe">
    <w:name w:val="批注主题 字符"/>
    <w:basedOn w:val="11"/>
    <w:link w:val="afd"/>
    <w:qFormat/>
    <w:rPr>
      <w:rFonts w:ascii="Times New Roman" w:eastAsia="宋体" w:hAnsi="Times New Roman" w:cs="Times New Roman"/>
      <w:b/>
      <w:bCs/>
      <w:kern w:val="0"/>
      <w:sz w:val="28"/>
      <w:szCs w:val="20"/>
      <w:lang w:eastAsia="zh-TW"/>
    </w:rPr>
  </w:style>
  <w:style w:type="character" w:customStyle="1" w:styleId="15">
    <w:name w:val="正文文本首行缩进 字符1"/>
    <w:basedOn w:val="Char"/>
    <w:link w:val="aff"/>
    <w:qFormat/>
    <w:rPr>
      <w:rFonts w:ascii="Times New Roman" w:eastAsia="宋体" w:hAnsi="Times New Roman" w:cs="Times New Roman"/>
      <w:sz w:val="28"/>
      <w:szCs w:val="20"/>
    </w:rPr>
  </w:style>
  <w:style w:type="character" w:customStyle="1" w:styleId="Char">
    <w:name w:val="正文文本 Char"/>
    <w:basedOn w:val="a0"/>
    <w:uiPriority w:val="99"/>
    <w:qFormat/>
    <w:rPr>
      <w:rFonts w:ascii="仿宋_GB2312" w:eastAsia="仿宋_GB2312" w:hAnsi="Calibri" w:cs="Times New Roman"/>
      <w:sz w:val="32"/>
      <w:szCs w:val="20"/>
    </w:rPr>
  </w:style>
  <w:style w:type="character" w:customStyle="1" w:styleId="210">
    <w:name w:val="正文文本首行缩进 2 字符1"/>
    <w:basedOn w:val="21"/>
    <w:link w:val="2a"/>
    <w:qFormat/>
    <w:rPr>
      <w:rFonts w:ascii="Times New Roman" w:eastAsia="宋体" w:hAnsi="Times New Roman" w:cs="Times New Roman"/>
      <w:sz w:val="28"/>
      <w:szCs w:val="20"/>
    </w:rPr>
  </w:style>
  <w:style w:type="character" w:customStyle="1" w:styleId="1Char">
    <w:name w:val="标题 1 Char"/>
    <w:basedOn w:val="a0"/>
    <w:qFormat/>
    <w:rPr>
      <w:rFonts w:ascii="Times New Roman" w:eastAsia="黑体" w:hAnsi="Times New Roman" w:cs="Times New Roman"/>
      <w:sz w:val="44"/>
      <w:szCs w:val="20"/>
    </w:rPr>
  </w:style>
  <w:style w:type="character" w:customStyle="1" w:styleId="211">
    <w:name w:val="标题 2 字符1"/>
    <w:qFormat/>
    <w:rPr>
      <w:rFonts w:ascii="宋体" w:eastAsia="宋体" w:hAnsi="宋体" w:cs="Times New Roman"/>
      <w:sz w:val="28"/>
      <w:szCs w:val="20"/>
    </w:rPr>
  </w:style>
  <w:style w:type="character" w:customStyle="1" w:styleId="4Char">
    <w:name w:val="标题 4 Char"/>
    <w:basedOn w:val="a0"/>
    <w:qFormat/>
    <w:rPr>
      <w:rFonts w:ascii="Arial" w:eastAsia="微软雅黑" w:hAnsi="Arial" w:cs="Times New Roman"/>
      <w:b/>
      <w:sz w:val="21"/>
      <w:szCs w:val="20"/>
    </w:rPr>
  </w:style>
  <w:style w:type="character" w:customStyle="1" w:styleId="2b">
    <w:name w:val="标题 2 字符"/>
    <w:basedOn w:val="a0"/>
    <w:qFormat/>
    <w:rPr>
      <w:rFonts w:asciiTheme="majorHAnsi" w:eastAsiaTheme="majorEastAsia" w:hAnsiTheme="majorHAnsi" w:cstheme="majorBidi"/>
      <w:b/>
      <w:bCs/>
      <w:sz w:val="32"/>
      <w:szCs w:val="32"/>
    </w:rPr>
  </w:style>
  <w:style w:type="character" w:customStyle="1" w:styleId="aff8">
    <w:name w:val="批注文字 字符"/>
    <w:basedOn w:val="a0"/>
    <w:qFormat/>
    <w:rPr>
      <w:rFonts w:ascii="Times New Roman" w:eastAsia="宋体" w:hAnsi="Times New Roman" w:cs="Times New Roman"/>
      <w:sz w:val="28"/>
      <w:szCs w:val="20"/>
    </w:rPr>
  </w:style>
  <w:style w:type="paragraph" w:customStyle="1" w:styleId="16">
    <w:name w:val="普通(网站)1"/>
    <w:basedOn w:val="a"/>
    <w:qFormat/>
    <w:pPr>
      <w:widowControl/>
      <w:spacing w:before="100" w:beforeAutospacing="1" w:after="100" w:afterAutospacing="1" w:line="360" w:lineRule="auto"/>
      <w:ind w:firstLineChars="200" w:firstLine="200"/>
      <w:jc w:val="left"/>
    </w:pPr>
    <w:rPr>
      <w:rFonts w:ascii="Arial Unicode MS" w:eastAsia="Arial Unicode MS" w:hAnsi="Arial Unicode MS" w:cs="Calibri"/>
      <w:kern w:val="0"/>
      <w:sz w:val="24"/>
      <w:szCs w:val="21"/>
    </w:rPr>
  </w:style>
  <w:style w:type="paragraph" w:customStyle="1" w:styleId="aff9">
    <w:name w:val="图例"/>
    <w:basedOn w:val="a"/>
    <w:qFormat/>
    <w:pPr>
      <w:spacing w:before="120" w:after="120" w:line="360" w:lineRule="auto"/>
      <w:jc w:val="center"/>
    </w:pPr>
    <w:rPr>
      <w:rFonts w:eastAsia="仿宋_GB2312"/>
      <w:b/>
      <w:sz w:val="24"/>
    </w:rPr>
  </w:style>
  <w:style w:type="paragraph" w:customStyle="1" w:styleId="39">
    <w:name w:val="列出段落3"/>
    <w:basedOn w:val="a"/>
    <w:uiPriority w:val="99"/>
    <w:qFormat/>
    <w:pPr>
      <w:ind w:firstLineChars="200" w:firstLine="420"/>
    </w:pPr>
  </w:style>
  <w:style w:type="paragraph" w:styleId="affa">
    <w:name w:val="List Paragraph"/>
    <w:basedOn w:val="a"/>
    <w:uiPriority w:val="99"/>
    <w:qFormat/>
    <w:pPr>
      <w:ind w:firstLineChars="200" w:firstLine="420"/>
    </w:pPr>
  </w:style>
  <w:style w:type="paragraph" w:customStyle="1" w:styleId="2c">
    <w:name w:val="2"/>
    <w:basedOn w:val="a"/>
    <w:next w:val="a"/>
    <w:uiPriority w:val="39"/>
    <w:qFormat/>
    <w:pPr>
      <w:tabs>
        <w:tab w:val="left" w:pos="1260"/>
        <w:tab w:val="left" w:pos="1685"/>
        <w:tab w:val="right" w:leader="dot" w:pos="8400"/>
      </w:tabs>
      <w:spacing w:line="320" w:lineRule="exact"/>
      <w:ind w:firstLineChars="100" w:firstLine="280"/>
    </w:pPr>
    <w:rPr>
      <w:rFonts w:ascii="Calibri" w:hAnsi="Calibri"/>
    </w:rPr>
  </w:style>
  <w:style w:type="character" w:customStyle="1" w:styleId="CharChar6">
    <w:name w:val="Char Char6"/>
    <w:qFormat/>
    <w:rPr>
      <w:rFonts w:ascii="仿宋_GB2312" w:eastAsia="仿宋_GB2312"/>
      <w:kern w:val="2"/>
      <w:sz w:val="32"/>
    </w:rPr>
  </w:style>
  <w:style w:type="character" w:customStyle="1" w:styleId="CharChar3">
    <w:name w:val="Char Char3"/>
    <w:qFormat/>
    <w:rPr>
      <w:rFonts w:eastAsia="宋体"/>
      <w:kern w:val="2"/>
      <w:sz w:val="18"/>
      <w:lang w:val="en-US" w:eastAsia="zh-CN"/>
    </w:rPr>
  </w:style>
  <w:style w:type="character" w:customStyle="1" w:styleId="Char0">
    <w:name w:val="文字 Char"/>
    <w:link w:val="affb"/>
    <w:qFormat/>
    <w:rPr>
      <w:rFonts w:ascii="宋体" w:eastAsia="宋体"/>
      <w:sz w:val="28"/>
    </w:rPr>
  </w:style>
  <w:style w:type="paragraph" w:customStyle="1" w:styleId="affb">
    <w:name w:val="文字"/>
    <w:basedOn w:val="a"/>
    <w:link w:val="Char0"/>
    <w:qFormat/>
    <w:pPr>
      <w:tabs>
        <w:tab w:val="left" w:pos="8520"/>
      </w:tabs>
      <w:spacing w:line="312" w:lineRule="auto"/>
      <w:ind w:right="-210" w:firstLine="556"/>
    </w:pPr>
    <w:rPr>
      <w:rFonts w:ascii="宋体" w:hAnsiTheme="minorHAnsi" w:cstheme="minorBidi"/>
      <w:szCs w:val="22"/>
    </w:rPr>
  </w:style>
  <w:style w:type="character" w:customStyle="1" w:styleId="content-white1">
    <w:name w:val="content-white1"/>
    <w:qFormat/>
    <w:rPr>
      <w:color w:val="auto"/>
      <w:sz w:val="18"/>
      <w:u w:val="none"/>
    </w:rPr>
  </w:style>
  <w:style w:type="character" w:customStyle="1" w:styleId="affc">
    <w:name w:val="日期 字符"/>
    <w:qFormat/>
    <w:rPr>
      <w:kern w:val="2"/>
      <w:sz w:val="28"/>
    </w:rPr>
  </w:style>
  <w:style w:type="character" w:customStyle="1" w:styleId="CharChar5">
    <w:name w:val="Char Char5"/>
    <w:qFormat/>
    <w:rPr>
      <w:rFonts w:ascii="Arial" w:eastAsia="宋体" w:hAnsi="Arial"/>
      <w:b/>
      <w:smallCaps/>
      <w:kern w:val="28"/>
      <w:sz w:val="36"/>
      <w:lang w:val="en-US" w:eastAsia="en-US"/>
    </w:rPr>
  </w:style>
  <w:style w:type="character" w:customStyle="1" w:styleId="TableTextCharCharCharChar">
    <w:name w:val="Table Text Char Char Char Char"/>
    <w:qFormat/>
    <w:rPr>
      <w:rFonts w:ascii="Arial" w:hAnsi="Arial"/>
      <w:kern w:val="2"/>
      <w:sz w:val="18"/>
      <w:lang w:val="en-US" w:eastAsia="zh-CN" w:bidi="ar-SA"/>
    </w:rPr>
  </w:style>
  <w:style w:type="character" w:customStyle="1" w:styleId="font71">
    <w:name w:val="font71"/>
    <w:qFormat/>
    <w:rPr>
      <w:rFonts w:ascii="宋体" w:eastAsia="宋体" w:hAnsi="宋体" w:cs="宋体" w:hint="eastAsia"/>
      <w:color w:val="000000"/>
      <w:sz w:val="22"/>
      <w:szCs w:val="22"/>
      <w:u w:val="none"/>
    </w:rPr>
  </w:style>
  <w:style w:type="character" w:customStyle="1" w:styleId="TableTextChar">
    <w:name w:val="Table Text Char"/>
    <w:qFormat/>
    <w:rPr>
      <w:rFonts w:ascii="Arial" w:hAnsi="Arial"/>
      <w:kern w:val="2"/>
      <w:sz w:val="18"/>
      <w:lang w:val="en-US" w:eastAsia="zh-CN" w:bidi="ar-SA"/>
    </w:rPr>
  </w:style>
  <w:style w:type="character" w:customStyle="1" w:styleId="font91">
    <w:name w:val="font91"/>
    <w:qFormat/>
    <w:rPr>
      <w:rFonts w:ascii="宋体" w:eastAsia="宋体" w:hAnsi="宋体" w:cs="宋体" w:hint="eastAsia"/>
      <w:color w:val="000000"/>
      <w:sz w:val="24"/>
      <w:szCs w:val="24"/>
      <w:u w:val="none"/>
    </w:rPr>
  </w:style>
  <w:style w:type="character" w:customStyle="1" w:styleId="CharChar">
    <w:name w:val="Char Char"/>
    <w:qFormat/>
    <w:rPr>
      <w:rFonts w:ascii="宋体" w:eastAsia="宋体" w:hAnsi="宋体"/>
      <w:kern w:val="2"/>
      <w:sz w:val="24"/>
      <w:lang w:val="en-US" w:eastAsia="zh-CN" w:bidi="ar-SA"/>
    </w:rPr>
  </w:style>
  <w:style w:type="character" w:customStyle="1" w:styleId="CharChar7">
    <w:name w:val="Char Char7"/>
    <w:qFormat/>
    <w:rPr>
      <w:rFonts w:ascii="宋体" w:eastAsia="宋体" w:hAnsi="宋体"/>
      <w:kern w:val="2"/>
      <w:sz w:val="28"/>
    </w:rPr>
  </w:style>
  <w:style w:type="character" w:customStyle="1" w:styleId="Char1">
    <w:name w:val="小 Char"/>
    <w:qFormat/>
    <w:rPr>
      <w:rFonts w:ascii="宋体" w:eastAsia="宋体" w:hAnsi="Courier New"/>
      <w:kern w:val="2"/>
      <w:sz w:val="21"/>
      <w:lang w:val="en-US" w:eastAsia="zh-CN" w:bidi="ar-SA"/>
    </w:rPr>
  </w:style>
  <w:style w:type="character" w:customStyle="1" w:styleId="affd">
    <w:name w:val="样式 宋体"/>
    <w:qFormat/>
    <w:rPr>
      <w:rFonts w:ascii="宋体" w:eastAsia="宋体" w:hAnsi="宋体"/>
      <w:sz w:val="28"/>
    </w:rPr>
  </w:style>
  <w:style w:type="character" w:customStyle="1" w:styleId="CharChar2">
    <w:name w:val="Char Char2"/>
    <w:qFormat/>
    <w:rPr>
      <w:rFonts w:eastAsia="宋体"/>
      <w:kern w:val="2"/>
      <w:sz w:val="18"/>
      <w:lang w:val="en-US" w:eastAsia="zh-CN"/>
    </w:rPr>
  </w:style>
  <w:style w:type="character" w:customStyle="1" w:styleId="TableHeadingCharChar">
    <w:name w:val="Table Heading Char Char"/>
    <w:qFormat/>
    <w:rPr>
      <w:rFonts w:ascii="Arial" w:eastAsia="黑体" w:hAnsi="Arial"/>
      <w:kern w:val="2"/>
      <w:sz w:val="18"/>
      <w:lang w:val="en-US" w:eastAsia="zh-CN"/>
    </w:rPr>
  </w:style>
  <w:style w:type="character" w:customStyle="1" w:styleId="font1">
    <w:name w:val="font1"/>
    <w:qFormat/>
    <w:rPr>
      <w:color w:val="000000"/>
      <w:sz w:val="18"/>
    </w:rPr>
  </w:style>
  <w:style w:type="character" w:customStyle="1" w:styleId="font81">
    <w:name w:val="font81"/>
    <w:qFormat/>
    <w:rPr>
      <w:rFonts w:ascii="宋体" w:eastAsia="宋体" w:hAnsi="宋体" w:cs="宋体" w:hint="eastAsia"/>
      <w:color w:val="FF0000"/>
      <w:sz w:val="24"/>
      <w:szCs w:val="24"/>
      <w:u w:val="none"/>
    </w:rPr>
  </w:style>
  <w:style w:type="character" w:customStyle="1" w:styleId="font61">
    <w:name w:val="font61"/>
    <w:qFormat/>
    <w:rPr>
      <w:rFonts w:ascii="Times New Roman" w:hAnsi="Times New Roman" w:cs="Times New Roman" w:hint="default"/>
      <w:color w:val="000000"/>
      <w:sz w:val="24"/>
      <w:szCs w:val="24"/>
      <w:u w:val="none"/>
    </w:rPr>
  </w:style>
  <w:style w:type="character" w:customStyle="1" w:styleId="CharChar4">
    <w:name w:val="Char Char4"/>
    <w:qFormat/>
    <w:rPr>
      <w:rFonts w:eastAsia="宋体"/>
      <w:b/>
      <w:kern w:val="2"/>
      <w:sz w:val="21"/>
      <w:lang w:val="en-US" w:eastAsia="zh-CN"/>
    </w:rPr>
  </w:style>
  <w:style w:type="character" w:customStyle="1" w:styleId="110">
    <w:name w:val="未命名11"/>
    <w:qFormat/>
    <w:rPr>
      <w:color w:val="77FFFF"/>
      <w:sz w:val="24"/>
    </w:rPr>
  </w:style>
  <w:style w:type="character" w:customStyle="1" w:styleId="074Char1">
    <w:name w:val="标书正文:  0.74 厘米 Char1"/>
    <w:qFormat/>
    <w:rPr>
      <w:rFonts w:eastAsia="宋体"/>
      <w:kern w:val="2"/>
      <w:sz w:val="24"/>
      <w:lang w:val="en-US" w:eastAsia="zh-CN"/>
    </w:rPr>
  </w:style>
  <w:style w:type="character" w:customStyle="1" w:styleId="crowed11">
    <w:name w:val="crowed11"/>
    <w:qFormat/>
    <w:rPr>
      <w:rFonts w:hint="default"/>
      <w:sz w:val="24"/>
    </w:rPr>
  </w:style>
  <w:style w:type="character" w:customStyle="1" w:styleId="TableTextChar1Char">
    <w:name w:val="Table Text Char1 Char"/>
    <w:qFormat/>
    <w:rPr>
      <w:rFonts w:ascii="Arial" w:hAnsi="Arial"/>
      <w:kern w:val="2"/>
      <w:sz w:val="18"/>
      <w:lang w:val="en-US" w:eastAsia="zh-CN" w:bidi="ar-SA"/>
    </w:rPr>
  </w:style>
  <w:style w:type="character" w:customStyle="1" w:styleId="Char2">
    <w:name w:val="正文 + 三号 Char"/>
    <w:qFormat/>
    <w:rPr>
      <w:rFonts w:eastAsia="宋体"/>
      <w:kern w:val="2"/>
      <w:sz w:val="21"/>
      <w:lang w:val="en-US" w:eastAsia="zh-CN"/>
    </w:rPr>
  </w:style>
  <w:style w:type="character" w:customStyle="1" w:styleId="v151">
    <w:name w:val="v151"/>
    <w:qFormat/>
    <w:rPr>
      <w:sz w:val="18"/>
    </w:rPr>
  </w:style>
  <w:style w:type="character" w:customStyle="1" w:styleId="top-det1">
    <w:name w:val="top-det1"/>
    <w:qFormat/>
    <w:rPr>
      <w:b/>
      <w:color w:val="000000"/>
    </w:rPr>
  </w:style>
  <w:style w:type="paragraph" w:customStyle="1" w:styleId="17">
    <w:name w:val="正文1"/>
    <w:basedOn w:val="a"/>
    <w:qFormat/>
    <w:pPr>
      <w:spacing w:line="300" w:lineRule="auto"/>
      <w:ind w:firstLineChars="200" w:firstLine="200"/>
    </w:pPr>
    <w:rPr>
      <w:rFonts w:ascii="Calibri" w:hAnsi="Calibri"/>
      <w:sz w:val="24"/>
    </w:rPr>
  </w:style>
  <w:style w:type="paragraph" w:customStyle="1" w:styleId="CharCharCharCharCharCharCharCharCharCharCharCharChar">
    <w:name w:val="Char Char Char Char Char Char Char Char Char Char Char Char Char"/>
    <w:basedOn w:val="a"/>
    <w:qFormat/>
    <w:pPr>
      <w:widowControl/>
      <w:spacing w:after="160" w:line="240" w:lineRule="exact"/>
      <w:jc w:val="left"/>
    </w:pPr>
    <w:rPr>
      <w:rFonts w:ascii="Verdana" w:eastAsia="仿宋_GB2312" w:hAnsi="Verdana"/>
      <w:kern w:val="0"/>
      <w:sz w:val="24"/>
      <w:lang w:eastAsia="en-US"/>
    </w:rPr>
  </w:style>
  <w:style w:type="paragraph" w:customStyle="1" w:styleId="style1">
    <w:name w:val="style1"/>
    <w:basedOn w:val="a"/>
    <w:qFormat/>
    <w:pPr>
      <w:widowControl/>
      <w:spacing w:before="100" w:beforeAutospacing="1" w:after="100" w:afterAutospacing="1"/>
      <w:jc w:val="left"/>
    </w:pPr>
    <w:rPr>
      <w:rFonts w:ascii="宋体" w:hAnsi="宋体"/>
      <w:kern w:val="0"/>
      <w:sz w:val="21"/>
    </w:rPr>
  </w:style>
  <w:style w:type="paragraph" w:customStyle="1" w:styleId="affe">
    <w:name w:val="标题无"/>
    <w:basedOn w:val="a"/>
    <w:qFormat/>
    <w:pPr>
      <w:spacing w:line="360" w:lineRule="auto"/>
    </w:pPr>
    <w:rPr>
      <w:rFonts w:ascii="Calibri" w:hAnsi="Calibri"/>
      <w:sz w:val="24"/>
    </w:rPr>
  </w:style>
  <w:style w:type="paragraph" w:customStyle="1" w:styleId="220">
    <w:name w:val="样式 正文首行缩进 2 + 首行缩进:  2 字符"/>
    <w:basedOn w:val="a"/>
    <w:qFormat/>
    <w:pPr>
      <w:tabs>
        <w:tab w:val="left" w:pos="987"/>
        <w:tab w:val="left" w:pos="1620"/>
      </w:tabs>
      <w:adjustRightInd w:val="0"/>
      <w:snapToGrid w:val="0"/>
      <w:spacing w:line="360" w:lineRule="auto"/>
      <w:ind w:left="1620" w:hanging="360"/>
    </w:pPr>
    <w:rPr>
      <w:rFonts w:ascii="Arial" w:hAnsi="Arial"/>
      <w:b/>
      <w:sz w:val="24"/>
    </w:rPr>
  </w:style>
  <w:style w:type="paragraph" w:customStyle="1" w:styleId="bt">
    <w:name w:val="bt"/>
    <w:basedOn w:val="a"/>
    <w:next w:val="a9"/>
    <w:qFormat/>
    <w:pPr>
      <w:overflowPunct w:val="0"/>
      <w:autoSpaceDE w:val="0"/>
      <w:autoSpaceDN w:val="0"/>
      <w:adjustRightInd w:val="0"/>
      <w:snapToGrid w:val="0"/>
      <w:spacing w:before="100" w:after="100" w:line="240" w:lineRule="atLeast"/>
      <w:ind w:left="2880" w:hanging="360"/>
      <w:textAlignment w:val="baseline"/>
    </w:pPr>
    <w:rPr>
      <w:rFonts w:ascii="宋体" w:hAnsi="Calibri"/>
      <w:kern w:val="0"/>
      <w:sz w:val="20"/>
    </w:rPr>
  </w:style>
  <w:style w:type="paragraph" w:customStyle="1" w:styleId="221">
    <w:name w:val="样式 样式 首行缩进:  2 字符 + 首行缩进:  2 字符"/>
    <w:basedOn w:val="a"/>
    <w:qFormat/>
    <w:pPr>
      <w:tabs>
        <w:tab w:val="left" w:pos="1200"/>
      </w:tabs>
      <w:spacing w:line="360" w:lineRule="auto"/>
      <w:ind w:left="1200" w:firstLineChars="200" w:firstLine="480"/>
    </w:pPr>
    <w:rPr>
      <w:rFonts w:ascii="Calibri" w:hAnsi="Calibri"/>
      <w:sz w:val="24"/>
    </w:rPr>
  </w:style>
  <w:style w:type="paragraph" w:customStyle="1" w:styleId="18">
    <w:name w:val="列出段落1"/>
    <w:basedOn w:val="a"/>
    <w:uiPriority w:val="34"/>
    <w:qFormat/>
    <w:pPr>
      <w:ind w:firstLineChars="200" w:firstLine="420"/>
    </w:pPr>
  </w:style>
  <w:style w:type="paragraph" w:customStyle="1" w:styleId="CharCharCharCharCharCharChar">
    <w:name w:val="Char Char Char Char Char Char Char"/>
    <w:basedOn w:val="a5"/>
    <w:qFormat/>
    <w:rPr>
      <w:rFonts w:ascii="宋体" w:hAnsi="Tahoma"/>
    </w:rPr>
  </w:style>
  <w:style w:type="paragraph" w:customStyle="1" w:styleId="afff">
    <w:name w:val="表号"/>
    <w:basedOn w:val="a"/>
    <w:qFormat/>
    <w:pPr>
      <w:tabs>
        <w:tab w:val="left" w:pos="648"/>
        <w:tab w:val="left" w:pos="780"/>
      </w:tabs>
      <w:autoSpaceDE w:val="0"/>
      <w:autoSpaceDN w:val="0"/>
      <w:adjustRightInd w:val="0"/>
      <w:spacing w:before="210" w:after="210"/>
      <w:ind w:left="425" w:hanging="137"/>
      <w:jc w:val="center"/>
    </w:pPr>
    <w:rPr>
      <w:rFonts w:ascii="Calibri" w:hAnsi="Calibri"/>
      <w:kern w:val="0"/>
      <w:sz w:val="21"/>
      <w:lang w:eastAsia="en-US"/>
    </w:rPr>
  </w:style>
  <w:style w:type="paragraph" w:customStyle="1" w:styleId="afff0">
    <w:name w:val="正文（首行不缩进）"/>
    <w:basedOn w:val="a"/>
    <w:qFormat/>
    <w:pPr>
      <w:autoSpaceDE w:val="0"/>
      <w:autoSpaceDN w:val="0"/>
      <w:adjustRightInd w:val="0"/>
      <w:spacing w:line="360" w:lineRule="auto"/>
      <w:jc w:val="left"/>
    </w:pPr>
    <w:rPr>
      <w:rFonts w:ascii="Calibri" w:hAnsi="Calibri"/>
      <w:kern w:val="0"/>
      <w:sz w:val="21"/>
    </w:rPr>
  </w:style>
  <w:style w:type="paragraph" w:customStyle="1" w:styleId="00">
    <w:name w:val="00"/>
    <w:basedOn w:val="a"/>
    <w:qFormat/>
    <w:pPr>
      <w:autoSpaceDE w:val="0"/>
      <w:autoSpaceDN w:val="0"/>
      <w:adjustRightInd w:val="0"/>
      <w:jc w:val="left"/>
    </w:pPr>
    <w:rPr>
      <w:rFonts w:ascii="黑体" w:eastAsia="黑体" w:hAnsi="Calibri"/>
      <w:b/>
      <w:kern w:val="0"/>
      <w:sz w:val="20"/>
    </w:rPr>
  </w:style>
  <w:style w:type="paragraph" w:customStyle="1" w:styleId="tabletext">
    <w:name w:val="tabletext"/>
    <w:basedOn w:val="a"/>
    <w:qFormat/>
    <w:pPr>
      <w:widowControl/>
      <w:spacing w:before="100" w:beforeAutospacing="1" w:after="100" w:afterAutospacing="1"/>
      <w:jc w:val="left"/>
    </w:pPr>
    <w:rPr>
      <w:rFonts w:ascii="宋体" w:hAnsi="宋体" w:cs="宋体"/>
      <w:kern w:val="0"/>
      <w:sz w:val="24"/>
      <w:szCs w:val="24"/>
    </w:r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rPr>
  </w:style>
  <w:style w:type="paragraph" w:customStyle="1" w:styleId="44">
    <w:name w:val="样式4"/>
    <w:basedOn w:val="4"/>
    <w:qFormat/>
    <w:pPr>
      <w:spacing w:before="280" w:line="372" w:lineRule="auto"/>
      <w:ind w:left="0" w:firstLine="0"/>
    </w:pPr>
  </w:style>
  <w:style w:type="paragraph" w:customStyle="1" w:styleId="19">
    <w:name w:val="附录1"/>
    <w:basedOn w:val="a"/>
    <w:next w:val="a"/>
    <w:qFormat/>
    <w:pPr>
      <w:tabs>
        <w:tab w:val="left" w:pos="1304"/>
      </w:tabs>
      <w:ind w:left="425" w:hanging="425"/>
      <w:outlineLvl w:val="0"/>
    </w:pPr>
    <w:rPr>
      <w:rFonts w:ascii="黑体" w:eastAsia="黑体" w:hAnsi="黑体"/>
      <w:b/>
      <w:sz w:val="44"/>
    </w:rPr>
  </w:style>
  <w:style w:type="paragraph" w:customStyle="1" w:styleId="Title-Date">
    <w:name w:val="Title - Date"/>
    <w:basedOn w:val="afb"/>
    <w:next w:val="a"/>
    <w:qFormat/>
    <w:pPr>
      <w:spacing w:before="240" w:after="720"/>
    </w:pPr>
    <w:rPr>
      <w:sz w:val="28"/>
    </w:rPr>
  </w:style>
  <w:style w:type="paragraph" w:customStyle="1" w:styleId="2d">
    <w:name w:val="标题2"/>
    <w:basedOn w:val="2"/>
    <w:qFormat/>
    <w:pPr>
      <w:keepLines w:val="0"/>
      <w:ind w:firstLineChars="196" w:firstLine="574"/>
      <w:outlineLvl w:val="9"/>
    </w:pPr>
    <w:rPr>
      <w:b/>
      <w:spacing w:val="6"/>
      <w:u w:val="single"/>
    </w:rPr>
  </w:style>
  <w:style w:type="paragraph" w:customStyle="1" w:styleId="PullQuote">
    <w:name w:val="Pull Quote"/>
    <w:basedOn w:val="a"/>
    <w:qFormat/>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rFonts w:ascii="Calibri" w:hAnsi="Calibri"/>
      <w:b/>
      <w:i/>
      <w:sz w:val="24"/>
    </w:rPr>
  </w:style>
  <w:style w:type="paragraph" w:customStyle="1" w:styleId="1a">
    <w:name w:val="文本1"/>
    <w:basedOn w:val="a"/>
    <w:qFormat/>
    <w:pPr>
      <w:adjustRightInd w:val="0"/>
      <w:spacing w:line="312" w:lineRule="atLeast"/>
      <w:jc w:val="center"/>
      <w:textAlignment w:val="baseline"/>
    </w:pPr>
    <w:rPr>
      <w:rFonts w:ascii="Calibri" w:hAnsi="Calibri"/>
      <w:kern w:val="0"/>
      <w:sz w:val="18"/>
    </w:rPr>
  </w:style>
  <w:style w:type="paragraph" w:customStyle="1" w:styleId="ItemList">
    <w:name w:val="Item List"/>
    <w:qFormat/>
    <w:pPr>
      <w:tabs>
        <w:tab w:val="left" w:pos="720"/>
        <w:tab w:val="left" w:pos="1644"/>
      </w:tabs>
      <w:spacing w:line="300" w:lineRule="auto"/>
      <w:ind w:left="420" w:hanging="420"/>
      <w:jc w:val="both"/>
    </w:pPr>
    <w:rPr>
      <w:rFonts w:ascii="Arial" w:hAnsi="Arial"/>
      <w:sz w:val="21"/>
    </w:rPr>
  </w:style>
  <w:style w:type="paragraph" w:customStyle="1" w:styleId="074">
    <w:name w:val="样式 首行缩进:  0.74 厘米"/>
    <w:basedOn w:val="a"/>
    <w:qFormat/>
    <w:pPr>
      <w:spacing w:line="360" w:lineRule="auto"/>
      <w:ind w:firstLine="420"/>
    </w:pPr>
    <w:rPr>
      <w:rFonts w:ascii="Calibri" w:hAnsi="Calibri"/>
      <w:sz w:val="24"/>
    </w:rPr>
  </w:style>
  <w:style w:type="paragraph" w:customStyle="1" w:styleId="afff1">
    <w:name w:val="项目"/>
    <w:basedOn w:val="a"/>
    <w:qFormat/>
    <w:pPr>
      <w:tabs>
        <w:tab w:val="left" w:pos="1280"/>
      </w:tabs>
      <w:spacing w:before="120" w:after="120" w:line="360" w:lineRule="auto"/>
      <w:ind w:left="-7" w:firstLine="567"/>
      <w:jc w:val="left"/>
      <w:textAlignment w:val="baseline"/>
    </w:pPr>
    <w:rPr>
      <w:rFonts w:ascii="宋体" w:hAnsi="Calibri"/>
      <w:kern w:val="0"/>
      <w:sz w:val="24"/>
    </w:rPr>
  </w:style>
  <w:style w:type="paragraph" w:customStyle="1" w:styleId="afff2">
    <w:name w:val="表文字"/>
    <w:qFormat/>
    <w:rPr>
      <w:rFonts w:ascii="宋体" w:hAnsi="Calibri"/>
      <w:kern w:val="2"/>
    </w:rPr>
  </w:style>
  <w:style w:type="paragraph" w:customStyle="1" w:styleId="afff3">
    <w:name w:val="编号正文"/>
    <w:basedOn w:val="afff4"/>
    <w:qFormat/>
    <w:pPr>
      <w:snapToGrid/>
      <w:spacing w:line="360" w:lineRule="auto"/>
      <w:ind w:left="1407" w:hanging="1047"/>
      <w:jc w:val="left"/>
    </w:pPr>
    <w:rPr>
      <w:rFonts w:eastAsia="仿宋_GB2312"/>
    </w:rPr>
  </w:style>
  <w:style w:type="paragraph" w:customStyle="1" w:styleId="afff4">
    <w:name w:val="文档正文"/>
    <w:basedOn w:val="a"/>
    <w:qFormat/>
    <w:pPr>
      <w:adjustRightInd w:val="0"/>
      <w:snapToGrid w:val="0"/>
      <w:spacing w:line="440" w:lineRule="exact"/>
      <w:ind w:firstLine="567"/>
      <w:textAlignment w:val="baseline"/>
    </w:pPr>
    <w:rPr>
      <w:rFonts w:ascii="Arial Narrow" w:hAnsi="Arial Narrow"/>
      <w:kern w:val="0"/>
      <w:sz w:val="24"/>
    </w:rPr>
  </w:style>
  <w:style w:type="paragraph" w:customStyle="1" w:styleId="afff5">
    <w:name w:val="文章正文"/>
    <w:basedOn w:val="a"/>
    <w:qFormat/>
    <w:pPr>
      <w:ind w:firstLineChars="200" w:firstLine="560"/>
    </w:pPr>
    <w:rPr>
      <w:rFonts w:ascii="仿宋_GB2312" w:eastAsia="仿宋_GB2312" w:hAnsi="宋体"/>
      <w:color w:val="000000"/>
    </w:rPr>
  </w:style>
  <w:style w:type="paragraph" w:customStyle="1" w:styleId="afff6">
    <w:name w:val="简单回函地址"/>
    <w:basedOn w:val="a"/>
    <w:qFormat/>
    <w:pPr>
      <w:adjustRightInd w:val="0"/>
      <w:snapToGrid w:val="0"/>
      <w:spacing w:line="360" w:lineRule="auto"/>
    </w:pPr>
    <w:rPr>
      <w:rFonts w:ascii="Calibri" w:hAnsi="Calibri"/>
      <w:sz w:val="24"/>
    </w:rPr>
  </w:style>
  <w:style w:type="paragraph" w:customStyle="1" w:styleId="CharChar1">
    <w:name w:val="Char Char1"/>
    <w:basedOn w:val="a"/>
    <w:qFormat/>
    <w:pPr>
      <w:widowControl/>
      <w:spacing w:after="160" w:line="240" w:lineRule="exact"/>
      <w:jc w:val="left"/>
    </w:pPr>
    <w:rPr>
      <w:rFonts w:ascii="Verdana" w:hAnsi="Verdana"/>
      <w:kern w:val="0"/>
      <w:sz w:val="20"/>
      <w:lang w:eastAsia="en-US"/>
    </w:rPr>
  </w:style>
  <w:style w:type="paragraph" w:customStyle="1" w:styleId="afff7">
    <w:name w:val="段落正文"/>
    <w:basedOn w:val="a"/>
    <w:qFormat/>
    <w:pPr>
      <w:spacing w:beforeLines="50" w:line="360" w:lineRule="auto"/>
      <w:ind w:firstLineChars="200" w:firstLine="200"/>
    </w:pPr>
    <w:rPr>
      <w:rFonts w:ascii="Calibri" w:hAnsi="Calibri"/>
      <w:spacing w:val="2"/>
      <w:sz w:val="24"/>
    </w:rPr>
  </w:style>
  <w:style w:type="paragraph" w:customStyle="1" w:styleId="CharCharCharCharCharCharChar1">
    <w:name w:val="Char Char Char Char Char Char Char1"/>
    <w:basedOn w:val="a"/>
    <w:qFormat/>
    <w:pPr>
      <w:widowControl/>
      <w:spacing w:after="160" w:line="240" w:lineRule="exact"/>
      <w:jc w:val="left"/>
    </w:pPr>
    <w:rPr>
      <w:rFonts w:ascii="Verdana" w:eastAsia="仿宋_GB2312" w:hAnsi="Verdana"/>
      <w:kern w:val="0"/>
      <w:sz w:val="24"/>
      <w:lang w:eastAsia="en-US"/>
    </w:rPr>
  </w:style>
  <w:style w:type="paragraph" w:customStyle="1" w:styleId="CharChar1Char">
    <w:name w:val="Char Char1 Char"/>
    <w:basedOn w:val="a"/>
    <w:qFormat/>
    <w:rPr>
      <w:rFonts w:ascii="Tahoma" w:hAnsi="Tahoma"/>
      <w:sz w:val="24"/>
      <w:szCs w:val="24"/>
    </w:rPr>
  </w:style>
  <w:style w:type="paragraph" w:customStyle="1" w:styleId="afff8">
    <w:name w:val="表格文本"/>
    <w:qFormat/>
    <w:pPr>
      <w:tabs>
        <w:tab w:val="decimal" w:pos="0"/>
      </w:tabs>
    </w:pPr>
    <w:rPr>
      <w:rFonts w:ascii="Arial" w:hAnsi="Arial"/>
      <w:sz w:val="21"/>
    </w:rPr>
  </w:style>
  <w:style w:type="paragraph" w:customStyle="1" w:styleId="45">
    <w:name w:val="附录4"/>
    <w:basedOn w:val="a"/>
    <w:next w:val="a"/>
    <w:qFormat/>
    <w:pPr>
      <w:widowControl/>
      <w:tabs>
        <w:tab w:val="left" w:pos="1134"/>
      </w:tabs>
      <w:spacing w:line="300" w:lineRule="auto"/>
      <w:ind w:left="1361" w:hanging="1361"/>
      <w:outlineLvl w:val="3"/>
    </w:pPr>
    <w:rPr>
      <w:rFonts w:ascii="Arial" w:eastAsia="黑体" w:hAnsi="Arial"/>
      <w:kern w:val="0"/>
    </w:rPr>
  </w:style>
  <w:style w:type="paragraph" w:customStyle="1" w:styleId="1b">
    <w:name w:val="1"/>
    <w:basedOn w:val="a"/>
    <w:qFormat/>
    <w:rPr>
      <w:rFonts w:ascii="Tahoma" w:hAnsi="Tahoma"/>
      <w:sz w:val="24"/>
    </w:rPr>
  </w:style>
  <w:style w:type="paragraph" w:customStyle="1" w:styleId="1Heading0SectionHeadPIM1H1h11stlevell11H1">
    <w:name w:val="样式 标题 1章标题Heading 0Section HeadPIM 1H1h11st levell11H1..."/>
    <w:basedOn w:val="1"/>
    <w:qFormat/>
    <w:pPr>
      <w:keepLines/>
      <w:pageBreakBefore/>
      <w:tabs>
        <w:tab w:val="clear" w:pos="3360"/>
        <w:tab w:val="left" w:pos="432"/>
      </w:tabs>
      <w:autoSpaceDE w:val="0"/>
      <w:autoSpaceDN w:val="0"/>
      <w:adjustRightInd w:val="0"/>
      <w:spacing w:beforeLines="0" w:afterLines="0" w:line="578" w:lineRule="atLeast"/>
      <w:jc w:val="both"/>
      <w:textAlignment w:val="bottom"/>
    </w:pPr>
    <w:rPr>
      <w:rFonts w:ascii="宋体" w:hAnsi="宋体"/>
      <w:b/>
      <w:kern w:val="44"/>
      <w:sz w:val="36"/>
    </w:rPr>
  </w:style>
  <w:style w:type="paragraph" w:customStyle="1" w:styleId="ItemStep">
    <w:name w:val="Item Step"/>
    <w:qFormat/>
    <w:pPr>
      <w:tabs>
        <w:tab w:val="left" w:pos="1644"/>
      </w:tabs>
      <w:ind w:left="1644" w:hanging="510"/>
      <w:outlineLvl w:val="4"/>
    </w:pPr>
    <w:rPr>
      <w:rFonts w:ascii="Arial" w:hAnsi="Arial"/>
      <w:sz w:val="21"/>
    </w:rPr>
  </w:style>
  <w:style w:type="paragraph" w:customStyle="1" w:styleId="afff9">
    <w:name w:val="样式 宋体 五号 行距: 单倍行距"/>
    <w:basedOn w:val="a"/>
    <w:qFormat/>
    <w:pPr>
      <w:adjustRightInd w:val="0"/>
      <w:jc w:val="left"/>
    </w:pPr>
    <w:rPr>
      <w:rFonts w:ascii="宋体" w:hAnsi="宋体"/>
      <w:kern w:val="0"/>
      <w:sz w:val="21"/>
    </w:rPr>
  </w:style>
  <w:style w:type="paragraph" w:customStyle="1" w:styleId="afffa">
    <w:name w:val="表格内文字"/>
    <w:basedOn w:val="ae"/>
    <w:qFormat/>
    <w:pPr>
      <w:snapToGrid/>
      <w:spacing w:line="240" w:lineRule="auto"/>
    </w:pPr>
    <w:rPr>
      <w:color w:val="000000"/>
      <w:lang w:val="en-GB"/>
    </w:rPr>
  </w:style>
  <w:style w:type="paragraph" w:customStyle="1" w:styleId="afffb">
    <w:name w:val="_"/>
    <w:basedOn w:val="a"/>
    <w:qFormat/>
    <w:pPr>
      <w:adjustRightInd w:val="0"/>
      <w:spacing w:line="360" w:lineRule="auto"/>
      <w:ind w:left="480" w:firstLineChars="200" w:firstLine="200"/>
      <w:textAlignment w:val="baseline"/>
    </w:pPr>
    <w:rPr>
      <w:rFonts w:ascii="Calibri" w:hAnsi="Calibri"/>
      <w:kern w:val="0"/>
      <w:sz w:val="24"/>
    </w:rPr>
  </w:style>
  <w:style w:type="paragraph" w:customStyle="1" w:styleId="16615">
    <w:name w:val="样式 标题 1 + 居中 段前: 6 磅 段后: 6 磅 行距: 1.5 倍行距"/>
    <w:basedOn w:val="1"/>
    <w:qFormat/>
    <w:pPr>
      <w:keepLines/>
      <w:tabs>
        <w:tab w:val="clear" w:pos="3360"/>
      </w:tabs>
      <w:adjustRightInd w:val="0"/>
      <w:spacing w:beforeLines="0" w:after="156" w:line="360" w:lineRule="auto"/>
    </w:pPr>
    <w:rPr>
      <w:rFonts w:ascii="Calibri" w:eastAsia="宋体" w:hAnsi="Calibri"/>
      <w:b/>
      <w:kern w:val="44"/>
      <w:sz w:val="32"/>
    </w:rPr>
  </w:style>
  <w:style w:type="paragraph" w:customStyle="1" w:styleId="20257">
    <w:name w:val="样式 样式 正文首行缩进 2 + 左  0 字符 + 首行缩进:  2.57 字符"/>
    <w:basedOn w:val="a"/>
    <w:next w:val="a"/>
    <w:qFormat/>
    <w:pPr>
      <w:adjustRightInd w:val="0"/>
      <w:snapToGrid w:val="0"/>
      <w:spacing w:after="120"/>
      <w:ind w:firstLineChars="257" w:firstLine="540"/>
    </w:pPr>
    <w:rPr>
      <w:rFonts w:ascii="Calibri" w:hAnsi="Calibri"/>
      <w:sz w:val="21"/>
    </w:rPr>
  </w:style>
  <w:style w:type="paragraph" w:customStyle="1" w:styleId="afffc">
    <w:name w:val="样式 宋体 五号 两端对齐 行距: 单倍行距"/>
    <w:basedOn w:val="a"/>
    <w:qFormat/>
    <w:pPr>
      <w:adjustRightInd w:val="0"/>
      <w:textAlignment w:val="baseline"/>
    </w:pPr>
    <w:rPr>
      <w:rFonts w:ascii="宋体" w:hAnsi="宋体"/>
      <w:kern w:val="0"/>
      <w:sz w:val="21"/>
    </w:rPr>
  </w:style>
  <w:style w:type="paragraph" w:customStyle="1" w:styleId="CharCharCharChar">
    <w:name w:val="文档正文 Char Char Char Char"/>
    <w:basedOn w:val="a"/>
    <w:qFormat/>
    <w:pPr>
      <w:adjustRightInd w:val="0"/>
      <w:spacing w:line="440" w:lineRule="exact"/>
      <w:ind w:firstLine="420"/>
      <w:textAlignment w:val="baseline"/>
    </w:pPr>
    <w:rPr>
      <w:rFonts w:ascii="Arial Narrow" w:hAnsi="Arial Narrow"/>
      <w:kern w:val="0"/>
      <w:sz w:val="24"/>
    </w:rPr>
  </w:style>
  <w:style w:type="paragraph" w:customStyle="1" w:styleId="afffd">
    <w:name w:val="首行缩进"/>
    <w:basedOn w:val="a"/>
    <w:qFormat/>
    <w:pPr>
      <w:spacing w:line="360" w:lineRule="auto"/>
      <w:ind w:firstLineChars="200" w:firstLine="420"/>
    </w:pPr>
    <w:rPr>
      <w:rFonts w:ascii="Calibri" w:hAnsi="Calibri"/>
      <w:sz w:val="21"/>
    </w:rPr>
  </w:style>
  <w:style w:type="paragraph" w:customStyle="1" w:styleId="afffe">
    <w:name w:val="普通正文"/>
    <w:basedOn w:val="a"/>
    <w:qFormat/>
    <w:pPr>
      <w:adjustRightInd w:val="0"/>
      <w:spacing w:before="120" w:after="120" w:line="360" w:lineRule="auto"/>
      <w:ind w:firstLine="480"/>
      <w:jc w:val="left"/>
      <w:textAlignment w:val="baseline"/>
    </w:pPr>
    <w:rPr>
      <w:rFonts w:ascii="Arial" w:hAnsi="Arial"/>
      <w:kern w:val="0"/>
      <w:sz w:val="24"/>
    </w:rPr>
  </w:style>
  <w:style w:type="paragraph" w:customStyle="1" w:styleId="1c">
    <w:name w:val="样式1"/>
    <w:basedOn w:val="afb"/>
    <w:link w:val="1Char0"/>
    <w:qFormat/>
    <w:pPr>
      <w:tabs>
        <w:tab w:val="left" w:pos="720"/>
      </w:tabs>
      <w:spacing w:before="500" w:after="260" w:line="560" w:lineRule="atLeast"/>
    </w:pPr>
  </w:style>
  <w:style w:type="character" w:customStyle="1" w:styleId="1Char0">
    <w:name w:val="样式1 Char"/>
    <w:link w:val="1c"/>
    <w:qFormat/>
    <w:rPr>
      <w:rFonts w:ascii="Arial" w:hAnsi="Arial"/>
      <w:b/>
      <w:smallCaps/>
      <w:kern w:val="28"/>
      <w:sz w:val="36"/>
      <w:lang w:eastAsia="en-US"/>
    </w:rPr>
  </w:style>
  <w:style w:type="paragraph" w:customStyle="1" w:styleId="CSS1Char">
    <w:name w:val="CSS1级正文 Char"/>
    <w:basedOn w:val="a9"/>
    <w:qFormat/>
    <w:pPr>
      <w:adjustRightInd w:val="0"/>
      <w:snapToGrid w:val="0"/>
      <w:spacing w:line="360" w:lineRule="auto"/>
      <w:ind w:firstLine="480"/>
    </w:pPr>
    <w:rPr>
      <w:rFonts w:ascii="Times New Roman" w:eastAsia="宋体"/>
      <w:sz w:val="24"/>
    </w:rPr>
  </w:style>
  <w:style w:type="paragraph" w:customStyle="1" w:styleId="affff">
    <w:name w:val="标准正文"/>
    <w:basedOn w:val="aa"/>
    <w:qFormat/>
    <w:pPr>
      <w:spacing w:before="60" w:after="60" w:line="360" w:lineRule="auto"/>
      <w:ind w:left="0" w:firstLine="482"/>
    </w:pPr>
    <w:rPr>
      <w:rFonts w:ascii="Arial" w:hAnsi="Arial"/>
      <w:sz w:val="24"/>
    </w:rPr>
  </w:style>
  <w:style w:type="paragraph" w:customStyle="1" w:styleId="ParaCharCharCharCharCharCharChar">
    <w:name w:val="默认段落字体 Para Char Char Char Char Char Char Char"/>
    <w:basedOn w:val="a"/>
    <w:qFormat/>
    <w:rPr>
      <w:rFonts w:ascii="Tahoma" w:hAnsi="Tahoma"/>
      <w:sz w:val="24"/>
    </w:rPr>
  </w:style>
  <w:style w:type="paragraph" w:customStyle="1" w:styleId="CharCharCharChar0">
    <w:name w:val="Char Char Char Char"/>
    <w:basedOn w:val="a"/>
    <w:qFormat/>
    <w:pPr>
      <w:pageBreakBefore/>
      <w:widowControl/>
      <w:spacing w:after="160" w:line="240" w:lineRule="exact"/>
      <w:jc w:val="left"/>
    </w:pPr>
    <w:rPr>
      <w:rFonts w:ascii="Verdana" w:hAnsi="Verdana"/>
      <w:kern w:val="0"/>
      <w:sz w:val="20"/>
      <w:lang w:eastAsia="en-US"/>
    </w:rPr>
  </w:style>
  <w:style w:type="paragraph" w:customStyle="1" w:styleId="affff0">
    <w:name w:val="操作步骤"/>
    <w:basedOn w:val="a"/>
    <w:qFormat/>
    <w:pPr>
      <w:tabs>
        <w:tab w:val="left" w:pos="425"/>
        <w:tab w:val="left" w:pos="780"/>
      </w:tabs>
      <w:autoSpaceDE w:val="0"/>
      <w:autoSpaceDN w:val="0"/>
      <w:adjustRightInd w:val="0"/>
      <w:snapToGrid w:val="0"/>
      <w:spacing w:line="40" w:lineRule="atLeast"/>
      <w:ind w:left="780" w:hanging="360"/>
      <w:textAlignment w:val="bottom"/>
    </w:pPr>
    <w:rPr>
      <w:rFonts w:ascii="昆仑楷体" w:eastAsia="楷体_GB2312" w:hAnsi="Calibri"/>
      <w:kern w:val="0"/>
      <w:sz w:val="21"/>
    </w:rPr>
  </w:style>
  <w:style w:type="paragraph" w:customStyle="1" w:styleId="affff1">
    <w:name w:val="二级列表"/>
    <w:basedOn w:val="afff7"/>
    <w:next w:val="afff7"/>
    <w:qFormat/>
    <w:pPr>
      <w:tabs>
        <w:tab w:val="left" w:pos="2120"/>
      </w:tabs>
      <w:ind w:firstLineChars="0" w:firstLine="0"/>
    </w:pPr>
    <w:rPr>
      <w:b/>
    </w:rPr>
  </w:style>
  <w:style w:type="paragraph" w:customStyle="1" w:styleId="affff2">
    <w:name w:val="表头文本"/>
    <w:qFormat/>
    <w:pPr>
      <w:jc w:val="center"/>
    </w:pPr>
    <w:rPr>
      <w:rFonts w:ascii="Arial" w:hAnsi="Arial"/>
      <w:b/>
      <w:sz w:val="21"/>
    </w:rPr>
  </w:style>
  <w:style w:type="paragraph" w:customStyle="1" w:styleId="affff3">
    <w:name w:val="È±Ê¡ÎÄ±¾"/>
    <w:basedOn w:val="a"/>
    <w:qFormat/>
    <w:pPr>
      <w:widowControl/>
      <w:overflowPunct w:val="0"/>
      <w:autoSpaceDE w:val="0"/>
      <w:autoSpaceDN w:val="0"/>
      <w:adjustRightInd w:val="0"/>
      <w:jc w:val="left"/>
      <w:textAlignment w:val="baseline"/>
    </w:pPr>
    <w:rPr>
      <w:rFonts w:ascii="Calibri" w:hAnsi="Calibri"/>
      <w:kern w:val="0"/>
      <w:sz w:val="24"/>
    </w:rPr>
  </w:style>
  <w:style w:type="paragraph" w:customStyle="1" w:styleId="Char3">
    <w:name w:val="Char"/>
    <w:basedOn w:val="a"/>
    <w:qFormat/>
    <w:pPr>
      <w:spacing w:line="240" w:lineRule="atLeast"/>
      <w:ind w:left="420" w:firstLine="420"/>
    </w:pPr>
    <w:rPr>
      <w:rFonts w:ascii="Calibri" w:hAnsi="Calibri"/>
      <w:kern w:val="0"/>
      <w:sz w:val="21"/>
    </w:rPr>
  </w:style>
  <w:style w:type="paragraph" w:customStyle="1" w:styleId="CharChar1CharCharCharCharCharCharCharChar">
    <w:name w:val="Char Char1 Char Char Char Char Char Char Char Char"/>
    <w:basedOn w:val="a"/>
    <w:qFormat/>
    <w:pPr>
      <w:widowControl/>
      <w:spacing w:after="160" w:line="240" w:lineRule="exact"/>
      <w:jc w:val="left"/>
    </w:pPr>
    <w:rPr>
      <w:rFonts w:ascii="Verdana" w:hAnsi="Verdana"/>
      <w:kern w:val="0"/>
      <w:sz w:val="20"/>
      <w:lang w:eastAsia="en-US"/>
    </w:rPr>
  </w:style>
  <w:style w:type="paragraph" w:customStyle="1" w:styleId="affff4">
    <w:name w:val="章标题"/>
    <w:next w:val="a"/>
    <w:qFormat/>
    <w:pPr>
      <w:tabs>
        <w:tab w:val="left" w:pos="840"/>
      </w:tabs>
      <w:spacing w:beforeLines="50" w:afterLines="50"/>
      <w:ind w:hanging="420"/>
      <w:jc w:val="both"/>
      <w:outlineLvl w:val="1"/>
    </w:pPr>
    <w:rPr>
      <w:rFonts w:ascii="黑体" w:eastAsia="黑体" w:hAnsi="Calibri"/>
      <w:sz w:val="24"/>
    </w:rPr>
  </w:style>
  <w:style w:type="paragraph" w:customStyle="1" w:styleId="TableTextChar1">
    <w:name w:val="Table Text Char1"/>
    <w:qFormat/>
    <w:pPr>
      <w:snapToGrid w:val="0"/>
      <w:spacing w:before="80" w:after="80"/>
    </w:pPr>
    <w:rPr>
      <w:rFonts w:ascii="Arial" w:hAnsi="Arial"/>
      <w:kern w:val="2"/>
      <w:sz w:val="18"/>
    </w:rPr>
  </w:style>
  <w:style w:type="paragraph" w:customStyle="1" w:styleId="212">
    <w:name w:val="正文文本 21"/>
    <w:basedOn w:val="a"/>
    <w:qFormat/>
    <w:pPr>
      <w:adjustRightInd w:val="0"/>
      <w:spacing w:before="120" w:line="360" w:lineRule="auto"/>
      <w:ind w:firstLine="480"/>
      <w:textAlignment w:val="baseline"/>
    </w:pPr>
    <w:rPr>
      <w:rFonts w:ascii="Calibri" w:hAnsi="Calibri"/>
      <w:sz w:val="24"/>
    </w:rPr>
  </w:style>
  <w:style w:type="paragraph" w:customStyle="1" w:styleId="xl27">
    <w:name w:val="xl27"/>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TableText0">
    <w:name w:val="Table Text"/>
    <w:qFormat/>
    <w:pPr>
      <w:snapToGrid w:val="0"/>
      <w:spacing w:before="80" w:after="80"/>
    </w:pPr>
    <w:rPr>
      <w:rFonts w:ascii="Arial" w:hAnsi="Arial"/>
      <w:kern w:val="2"/>
      <w:sz w:val="18"/>
    </w:rPr>
  </w:style>
  <w:style w:type="paragraph" w:customStyle="1" w:styleId="Char10">
    <w:name w:val="Char1"/>
    <w:basedOn w:val="a"/>
    <w:qFormat/>
    <w:rPr>
      <w:rFonts w:ascii="Calibri" w:hAnsi="Calibri"/>
      <w:sz w:val="21"/>
    </w:rPr>
  </w:style>
  <w:style w:type="paragraph" w:customStyle="1" w:styleId="INStep">
    <w:name w:val="IN Step"/>
    <w:basedOn w:val="a"/>
    <w:qFormat/>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AANumbering">
    <w:name w:val="AA Numbering"/>
    <w:basedOn w:val="a"/>
    <w:qFormat/>
    <w:pPr>
      <w:widowControl/>
      <w:tabs>
        <w:tab w:val="left" w:pos="1134"/>
        <w:tab w:val="left" w:pos="1280"/>
      </w:tabs>
      <w:adjustRightInd w:val="0"/>
      <w:snapToGrid w:val="0"/>
      <w:spacing w:line="280" w:lineRule="atLeast"/>
      <w:jc w:val="left"/>
    </w:pPr>
    <w:rPr>
      <w:rFonts w:ascii="Calibri" w:eastAsia="PMingLiU" w:hAnsi="Calibri"/>
      <w:kern w:val="0"/>
      <w:sz w:val="24"/>
      <w:lang w:eastAsia="zh-TW"/>
    </w:rPr>
  </w:style>
  <w:style w:type="paragraph" w:customStyle="1" w:styleId="xl53">
    <w:name w:val="xl53"/>
    <w:basedOn w:val="a"/>
    <w:qFormat/>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Char4">
    <w:name w:val="正文格式 Char"/>
    <w:basedOn w:val="a"/>
    <w:qFormat/>
    <w:pPr>
      <w:widowControl/>
      <w:adjustRightInd w:val="0"/>
      <w:spacing w:line="440" w:lineRule="atLeast"/>
      <w:ind w:firstLine="510"/>
      <w:textAlignment w:val="baseline"/>
    </w:pPr>
    <w:rPr>
      <w:rFonts w:ascii="Calibri" w:hAnsi="Calibri"/>
      <w:kern w:val="0"/>
      <w:sz w:val="24"/>
    </w:rPr>
  </w:style>
  <w:style w:type="paragraph" w:customStyle="1" w:styleId="Char1CharCharChar">
    <w:name w:val="Char1 Char Char Char"/>
    <w:basedOn w:val="a"/>
    <w:qFormat/>
    <w:rPr>
      <w:rFonts w:ascii="Tahoma" w:hAnsi="Tahoma"/>
      <w:sz w:val="21"/>
    </w:rPr>
  </w:style>
  <w:style w:type="paragraph" w:customStyle="1" w:styleId="affff5">
    <w:name w:val="关键词"/>
    <w:basedOn w:val="a"/>
    <w:next w:val="a"/>
    <w:qFormat/>
    <w:pPr>
      <w:spacing w:line="360" w:lineRule="auto"/>
    </w:pPr>
    <w:rPr>
      <w:rFonts w:ascii="Calibri" w:eastAsia="黑体" w:hAnsi="Calibri"/>
      <w:sz w:val="20"/>
    </w:rPr>
  </w:style>
  <w:style w:type="paragraph" w:customStyle="1" w:styleId="2e">
    <w:name w:val="附录2"/>
    <w:basedOn w:val="a"/>
    <w:next w:val="a"/>
    <w:qFormat/>
    <w:pPr>
      <w:tabs>
        <w:tab w:val="left" w:pos="420"/>
        <w:tab w:val="left" w:pos="624"/>
      </w:tabs>
      <w:ind w:left="420" w:hanging="420"/>
      <w:outlineLvl w:val="1"/>
    </w:pPr>
    <w:rPr>
      <w:rFonts w:ascii="黑体" w:eastAsia="黑体" w:hAnsi="黑体"/>
      <w:b/>
      <w:sz w:val="32"/>
    </w:rPr>
  </w:style>
  <w:style w:type="paragraph" w:customStyle="1" w:styleId="CharChar1CharCharCharCharCharCharCharCharCharCharCharCharCharChar">
    <w:name w:val="Char Char1 Char Char Char Char Char Char Char Char Char Char Char Char Char Char"/>
    <w:basedOn w:val="a"/>
    <w:qFormat/>
    <w:pPr>
      <w:widowControl/>
      <w:spacing w:after="160" w:line="240" w:lineRule="exact"/>
      <w:jc w:val="left"/>
    </w:pPr>
    <w:rPr>
      <w:rFonts w:ascii="Verdana" w:hAnsi="Verdana"/>
      <w:kern w:val="0"/>
      <w:sz w:val="20"/>
      <w:lang w:eastAsia="en-US"/>
    </w:rPr>
  </w:style>
  <w:style w:type="paragraph" w:customStyle="1" w:styleId="TableContents">
    <w:name w:val="Table Contents"/>
    <w:basedOn w:val="a9"/>
    <w:qFormat/>
    <w:pPr>
      <w:suppressAutoHyphens/>
      <w:jc w:val="left"/>
    </w:pPr>
    <w:rPr>
      <w:rFonts w:ascii="Times New Roman" w:eastAsia="Times New Roman"/>
      <w:kern w:val="0"/>
      <w:sz w:val="24"/>
    </w:rPr>
  </w:style>
  <w:style w:type="paragraph" w:customStyle="1" w:styleId="1d">
    <w:name w:val="小标题 1"/>
    <w:basedOn w:val="a"/>
    <w:qFormat/>
    <w:pPr>
      <w:autoSpaceDE w:val="0"/>
      <w:autoSpaceDN w:val="0"/>
      <w:adjustRightInd w:val="0"/>
      <w:spacing w:line="360" w:lineRule="atLeast"/>
    </w:pPr>
    <w:rPr>
      <w:rFonts w:ascii="文鼎粗黑" w:eastAsia="文鼎粗黑" w:hAnsi="Calibri"/>
      <w:kern w:val="0"/>
      <w:sz w:val="22"/>
    </w:rPr>
  </w:style>
  <w:style w:type="paragraph" w:customStyle="1" w:styleId="TableTextCharChar">
    <w:name w:val="Table Text Char Char"/>
    <w:qFormat/>
    <w:pPr>
      <w:snapToGrid w:val="0"/>
      <w:spacing w:before="80" w:after="80"/>
    </w:pPr>
    <w:rPr>
      <w:rFonts w:ascii="Arial" w:hAnsi="Arial"/>
      <w:kern w:val="2"/>
      <w:sz w:val="18"/>
    </w:rPr>
  </w:style>
  <w:style w:type="paragraph" w:customStyle="1" w:styleId="CharCharCharCharChar">
    <w:name w:val="文档正文 Char Char Char Char Char"/>
    <w:basedOn w:val="a"/>
    <w:qFormat/>
    <w:pPr>
      <w:adjustRightInd w:val="0"/>
      <w:spacing w:line="440" w:lineRule="exact"/>
      <w:ind w:firstLine="420"/>
      <w:textAlignment w:val="baseline"/>
    </w:pPr>
    <w:rPr>
      <w:rFonts w:ascii="Arial Narrow" w:hAnsi="Arial Narrow"/>
      <w:kern w:val="0"/>
      <w:sz w:val="24"/>
    </w:rPr>
  </w:style>
  <w:style w:type="paragraph" w:customStyle="1" w:styleId="1e">
    <w:name w:val="1.正文"/>
    <w:basedOn w:val="a"/>
    <w:qFormat/>
    <w:pPr>
      <w:spacing w:line="360" w:lineRule="auto"/>
      <w:ind w:leftChars="225" w:left="540" w:firstLineChars="225" w:firstLine="540"/>
    </w:pPr>
    <w:rPr>
      <w:rFonts w:ascii="Calibri" w:hAnsi="Calibri"/>
      <w:sz w:val="24"/>
    </w:rPr>
  </w:style>
  <w:style w:type="paragraph" w:customStyle="1" w:styleId="1xz">
    <w:name w:val="样式1xz"/>
    <w:basedOn w:val="a"/>
    <w:qFormat/>
    <w:pPr>
      <w:tabs>
        <w:tab w:val="left" w:pos="1050"/>
        <w:tab w:val="right" w:leader="dot" w:pos="8296"/>
      </w:tabs>
    </w:pPr>
    <w:rPr>
      <w:rFonts w:ascii="Calibri" w:hAnsi="Calibri"/>
      <w:caps/>
      <w:spacing w:val="20"/>
      <w:sz w:val="24"/>
    </w:rPr>
  </w:style>
  <w:style w:type="paragraph" w:customStyle="1" w:styleId="52">
    <w:name w:val="标题5"/>
    <w:basedOn w:val="a"/>
    <w:qFormat/>
    <w:pPr>
      <w:tabs>
        <w:tab w:val="left" w:pos="0"/>
      </w:tabs>
      <w:autoSpaceDE w:val="0"/>
      <w:autoSpaceDN w:val="0"/>
      <w:adjustRightInd w:val="0"/>
      <w:snapToGrid w:val="0"/>
      <w:spacing w:line="320" w:lineRule="atLeast"/>
    </w:pPr>
    <w:rPr>
      <w:rFonts w:ascii="宋体" w:hAnsi="Calibri"/>
      <w:kern w:val="0"/>
      <w:sz w:val="21"/>
    </w:rPr>
  </w:style>
  <w:style w:type="paragraph" w:customStyle="1" w:styleId="affff6">
    <w:name w:val="没有缩进（为图形使用）"/>
    <w:basedOn w:val="a"/>
    <w:qFormat/>
    <w:pPr>
      <w:spacing w:before="120" w:after="120" w:line="360" w:lineRule="auto"/>
    </w:pPr>
    <w:rPr>
      <w:rFonts w:ascii="Calibri" w:hAnsi="Calibri"/>
      <w:sz w:val="24"/>
    </w:rPr>
  </w:style>
  <w:style w:type="paragraph" w:customStyle="1" w:styleId="412">
    <w:name w:val="样式 正文缩进正文（首行缩进两字）表正文正文非缩进特点标题4段1 + 首行缩进:  2 字符"/>
    <w:basedOn w:val="a3"/>
    <w:qFormat/>
    <w:pPr>
      <w:ind w:firstLineChars="200" w:firstLine="480"/>
    </w:pPr>
  </w:style>
  <w:style w:type="paragraph" w:customStyle="1" w:styleId="INFeature">
    <w:name w:val="IN Feature"/>
    <w:next w:val="INStep"/>
    <w:qFormat/>
    <w:pPr>
      <w:keepNext/>
      <w:keepLines/>
      <w:spacing w:before="240" w:after="240"/>
      <w:outlineLvl w:val="7"/>
    </w:pPr>
    <w:rPr>
      <w:rFonts w:ascii="Arial" w:eastAsia="黑体" w:hAnsi="Arial"/>
      <w:sz w:val="21"/>
    </w:rPr>
  </w:style>
  <w:style w:type="paragraph" w:customStyle="1" w:styleId="affff7">
    <w:name w:val="表头样式"/>
    <w:basedOn w:val="a"/>
    <w:qFormat/>
    <w:pPr>
      <w:autoSpaceDE w:val="0"/>
      <w:autoSpaceDN w:val="0"/>
      <w:adjustRightInd w:val="0"/>
      <w:spacing w:line="360" w:lineRule="auto"/>
      <w:jc w:val="left"/>
    </w:pPr>
    <w:rPr>
      <w:rFonts w:ascii="Calibri" w:hAnsi="Calibri"/>
      <w:b/>
      <w:kern w:val="0"/>
      <w:sz w:val="21"/>
    </w:rPr>
  </w:style>
  <w:style w:type="paragraph" w:customStyle="1" w:styleId="Title-Revision">
    <w:name w:val="Title - Revision"/>
    <w:basedOn w:val="afb"/>
    <w:qFormat/>
    <w:pPr>
      <w:spacing w:before="720"/>
    </w:pPr>
  </w:style>
  <w:style w:type="paragraph" w:customStyle="1" w:styleId="affff8">
    <w:name w:val="正文表格"/>
    <w:basedOn w:val="a"/>
    <w:qFormat/>
    <w:pPr>
      <w:adjustRightInd w:val="0"/>
      <w:spacing w:before="40" w:after="40"/>
    </w:pPr>
    <w:rPr>
      <w:rFonts w:ascii="Calibri" w:hAnsi="Calibri"/>
      <w:sz w:val="24"/>
    </w:rPr>
  </w:style>
  <w:style w:type="paragraph" w:customStyle="1" w:styleId="213">
    <w:name w:val="正文文本缩进 21"/>
    <w:basedOn w:val="a"/>
    <w:qFormat/>
    <w:pPr>
      <w:adjustRightInd w:val="0"/>
      <w:spacing w:before="120"/>
      <w:ind w:firstLine="420"/>
      <w:textAlignment w:val="baseline"/>
    </w:pPr>
    <w:rPr>
      <w:rFonts w:ascii="Calibri" w:hAnsi="Calibri"/>
      <w:sz w:val="24"/>
    </w:rPr>
  </w:style>
  <w:style w:type="paragraph" w:customStyle="1" w:styleId="xl40">
    <w:name w:val="xl40"/>
    <w:basedOn w:val="a"/>
    <w:qFormat/>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605">
    <w:name w:val="样式 标题 6第五层条 + 三号 段前: 0.5 行"/>
    <w:basedOn w:val="6"/>
    <w:qFormat/>
    <w:pPr>
      <w:widowControl/>
      <w:adjustRightInd/>
      <w:snapToGrid/>
      <w:spacing w:beforeLines="50"/>
      <w:jc w:val="left"/>
    </w:pPr>
    <w:rPr>
      <w:snapToGrid w:val="0"/>
      <w:kern w:val="24"/>
      <w:sz w:val="28"/>
    </w:rPr>
  </w:style>
  <w:style w:type="paragraph" w:customStyle="1" w:styleId="content">
    <w:name w:val="content"/>
    <w:basedOn w:val="a"/>
    <w:qFormat/>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affff9">
    <w:name w:val="摘要"/>
    <w:basedOn w:val="a"/>
    <w:next w:val="2"/>
    <w:qFormat/>
    <w:pPr>
      <w:spacing w:line="360" w:lineRule="auto"/>
    </w:pPr>
    <w:rPr>
      <w:rFonts w:ascii="Calibri" w:eastAsia="黑体" w:hAnsi="Calibri"/>
      <w:sz w:val="20"/>
    </w:rPr>
  </w:style>
  <w:style w:type="paragraph" w:customStyle="1" w:styleId="ItemStepinTable">
    <w:name w:val="Item Step in Table"/>
    <w:qFormat/>
    <w:pPr>
      <w:tabs>
        <w:tab w:val="left" w:pos="397"/>
        <w:tab w:val="left" w:pos="1230"/>
      </w:tabs>
      <w:spacing w:before="40" w:after="40"/>
      <w:ind w:firstLine="510"/>
      <w:jc w:val="both"/>
    </w:pPr>
    <w:rPr>
      <w:rFonts w:ascii="Arial" w:hAnsi="Arial"/>
      <w:sz w:val="18"/>
    </w:rPr>
  </w:style>
  <w:style w:type="paragraph" w:customStyle="1" w:styleId="TableDescription">
    <w:name w:val="Table Description"/>
    <w:next w:val="a"/>
    <w:qFormat/>
    <w:pPr>
      <w:keepNext/>
      <w:snapToGrid w:val="0"/>
      <w:spacing w:before="160" w:after="80"/>
      <w:ind w:left="1134"/>
      <w:jc w:val="center"/>
    </w:pPr>
    <w:rPr>
      <w:rFonts w:ascii="Arial" w:eastAsia="黑体" w:hAnsi="Arial"/>
      <w:sz w:val="18"/>
    </w:rPr>
  </w:style>
  <w:style w:type="paragraph" w:customStyle="1" w:styleId="affffa">
    <w:name w:val="列表项目"/>
    <w:basedOn w:val="a"/>
    <w:qFormat/>
    <w:pPr>
      <w:tabs>
        <w:tab w:val="left" w:pos="360"/>
        <w:tab w:val="left" w:pos="420"/>
      </w:tabs>
      <w:spacing w:line="288" w:lineRule="auto"/>
      <w:ind w:leftChars="200" w:left="840" w:hangingChars="200" w:hanging="420"/>
    </w:pPr>
    <w:rPr>
      <w:rFonts w:ascii="Calibri" w:hAnsi="Calibri"/>
      <w:sz w:val="21"/>
    </w:rPr>
  </w:style>
  <w:style w:type="paragraph" w:customStyle="1" w:styleId="TableTextCharCharChar">
    <w:name w:val="Table Text Char Char Char"/>
    <w:qFormat/>
    <w:pPr>
      <w:snapToGrid w:val="0"/>
      <w:spacing w:before="80" w:after="80"/>
    </w:pPr>
    <w:rPr>
      <w:rFonts w:ascii="Arial" w:hAnsi="Arial"/>
      <w:kern w:val="2"/>
      <w:sz w:val="18"/>
    </w:rPr>
  </w:style>
  <w:style w:type="paragraph" w:customStyle="1" w:styleId="2f">
    <w:name w:val="样式2"/>
    <w:basedOn w:val="4"/>
    <w:qFormat/>
    <w:pPr>
      <w:tabs>
        <w:tab w:val="left" w:pos="1644"/>
      </w:tabs>
      <w:spacing w:line="400" w:lineRule="exact"/>
      <w:ind w:left="1644" w:hanging="510"/>
      <w:outlineLvl w:val="0"/>
    </w:pPr>
    <w:rPr>
      <w:sz w:val="44"/>
    </w:rPr>
  </w:style>
  <w:style w:type="paragraph" w:customStyle="1" w:styleId="affffb">
    <w:name w:val="图片文字"/>
    <w:basedOn w:val="a"/>
    <w:qFormat/>
    <w:pPr>
      <w:spacing w:line="240" w:lineRule="atLeast"/>
      <w:jc w:val="center"/>
    </w:pPr>
    <w:rPr>
      <w:rFonts w:ascii="Calibri" w:hAnsi="Calibri"/>
      <w:sz w:val="21"/>
    </w:rPr>
  </w:style>
  <w:style w:type="paragraph" w:customStyle="1" w:styleId="xl23">
    <w:name w:val="xl23"/>
    <w:basedOn w:val="a"/>
    <w:qFormat/>
    <w:pPr>
      <w:widowControl/>
      <w:spacing w:before="100" w:beforeAutospacing="1" w:after="100" w:afterAutospacing="1" w:line="360" w:lineRule="auto"/>
      <w:textAlignment w:val="top"/>
    </w:pPr>
    <w:rPr>
      <w:rFonts w:ascii="Calibri" w:hAnsi="Calibri"/>
      <w:kern w:val="0"/>
      <w:sz w:val="24"/>
    </w:rPr>
  </w:style>
  <w:style w:type="paragraph" w:customStyle="1" w:styleId="0740">
    <w:name w:val="标书正文:  0.74 厘米"/>
    <w:basedOn w:val="a"/>
    <w:qFormat/>
    <w:pPr>
      <w:snapToGrid w:val="0"/>
      <w:spacing w:line="360" w:lineRule="auto"/>
      <w:ind w:firstLine="420"/>
    </w:pPr>
    <w:rPr>
      <w:rFonts w:ascii="Calibri" w:hAnsi="Calibri"/>
      <w:sz w:val="24"/>
    </w:rPr>
  </w:style>
  <w:style w:type="paragraph" w:customStyle="1" w:styleId="affffc">
    <w:name w:val="内容标题"/>
    <w:basedOn w:val="a5"/>
    <w:qFormat/>
    <w:rPr>
      <w:rFonts w:ascii="Tahoma" w:hAnsi="Tahoma"/>
      <w:sz w:val="24"/>
    </w:rPr>
  </w:style>
  <w:style w:type="paragraph" w:customStyle="1" w:styleId="CharCharChar">
    <w:name w:val="Char Char Char"/>
    <w:basedOn w:val="a"/>
    <w:qFormat/>
    <w:rPr>
      <w:rFonts w:ascii="Tahoma" w:hAnsi="Tahoma"/>
      <w:sz w:val="24"/>
    </w:rPr>
  </w:style>
  <w:style w:type="paragraph" w:customStyle="1" w:styleId="TableHeading">
    <w:name w:val="Table Heading"/>
    <w:qFormat/>
    <w:pPr>
      <w:keepNext/>
      <w:snapToGrid w:val="0"/>
      <w:spacing w:before="80" w:after="80"/>
      <w:jc w:val="center"/>
    </w:pPr>
    <w:rPr>
      <w:rFonts w:ascii="Arial" w:eastAsia="黑体" w:hAnsi="Arial"/>
      <w:sz w:val="18"/>
    </w:rPr>
  </w:style>
  <w:style w:type="paragraph" w:customStyle="1" w:styleId="Default">
    <w:name w:val="Default"/>
    <w:qFormat/>
    <w:pPr>
      <w:autoSpaceDE w:val="0"/>
      <w:autoSpaceDN w:val="0"/>
      <w:adjustRightInd w:val="0"/>
    </w:pPr>
    <w:rPr>
      <w:rFonts w:ascii="宋体" w:cs="宋体"/>
      <w:color w:val="000000"/>
      <w:sz w:val="24"/>
      <w:szCs w:val="24"/>
    </w:rPr>
  </w:style>
  <w:style w:type="paragraph" w:customStyle="1" w:styleId="FigureDescription">
    <w:name w:val="Figure Description"/>
    <w:next w:val="a"/>
    <w:qFormat/>
    <w:pPr>
      <w:snapToGrid w:val="0"/>
      <w:spacing w:before="80" w:after="320"/>
      <w:ind w:left="1134"/>
      <w:jc w:val="center"/>
    </w:pPr>
    <w:rPr>
      <w:rFonts w:ascii="Arial" w:eastAsia="黑体" w:hAnsi="Arial"/>
      <w:sz w:val="18"/>
    </w:rPr>
  </w:style>
  <w:style w:type="paragraph" w:customStyle="1" w:styleId="3a">
    <w:name w:val="样式3"/>
    <w:basedOn w:val="1"/>
    <w:next w:val="1"/>
    <w:qFormat/>
    <w:pPr>
      <w:keepLines/>
      <w:tabs>
        <w:tab w:val="clear" w:pos="3360"/>
      </w:tabs>
      <w:adjustRightInd w:val="0"/>
      <w:spacing w:beforeLines="0" w:afterLines="0" w:line="576" w:lineRule="auto"/>
      <w:jc w:val="both"/>
    </w:pPr>
    <w:rPr>
      <w:rFonts w:ascii="Calibri" w:hAnsi="Calibri"/>
      <w:b/>
      <w:kern w:val="44"/>
    </w:rPr>
  </w:style>
  <w:style w:type="paragraph" w:customStyle="1" w:styleId="CharCharCharCharCharChar">
    <w:name w:val="Char Char 字元 字元 字元 Char Char Char Char"/>
    <w:basedOn w:val="a"/>
    <w:qFormat/>
    <w:pPr>
      <w:adjustRightInd w:val="0"/>
      <w:spacing w:line="360" w:lineRule="auto"/>
    </w:pPr>
    <w:rPr>
      <w:rFonts w:ascii="Calibri" w:hAnsi="Calibri"/>
      <w:kern w:val="0"/>
      <w:sz w:val="24"/>
    </w:rPr>
  </w:style>
  <w:style w:type="paragraph" w:customStyle="1" w:styleId="2f0">
    <w:name w:val="正文字缩2字"/>
    <w:basedOn w:val="a"/>
    <w:qFormat/>
    <w:pPr>
      <w:spacing w:before="60" w:after="60" w:line="360" w:lineRule="auto"/>
      <w:ind w:leftChars="200" w:left="200" w:firstLineChars="200" w:firstLine="200"/>
    </w:pPr>
    <w:rPr>
      <w:rFonts w:ascii="Calibri" w:hAnsi="Calibri"/>
      <w:sz w:val="24"/>
    </w:rPr>
  </w:style>
  <w:style w:type="paragraph" w:customStyle="1" w:styleId="affffd">
    <w:name w:val="图标"/>
    <w:basedOn w:val="a"/>
    <w:next w:val="a"/>
    <w:qFormat/>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Calibri" w:eastAsia="仿宋_GB2312" w:hAnsi="Calibri"/>
      <w:kern w:val="0"/>
      <w:sz w:val="24"/>
    </w:rPr>
  </w:style>
  <w:style w:type="paragraph" w:customStyle="1" w:styleId="1f">
    <w:name w:val="修订1"/>
    <w:qFormat/>
    <w:rPr>
      <w:rFonts w:ascii="Calibri" w:hAnsi="Calibri"/>
      <w:kern w:val="2"/>
      <w:sz w:val="21"/>
    </w:rPr>
  </w:style>
  <w:style w:type="paragraph" w:customStyle="1" w:styleId="affffe">
    <w:name w:val="可研正文"/>
    <w:basedOn w:val="a9"/>
    <w:qFormat/>
    <w:pPr>
      <w:adjustRightInd w:val="0"/>
      <w:snapToGrid w:val="0"/>
      <w:spacing w:line="440" w:lineRule="exact"/>
      <w:ind w:firstLine="567"/>
    </w:pPr>
    <w:rPr>
      <w:sz w:val="28"/>
    </w:rPr>
  </w:style>
  <w:style w:type="paragraph" w:customStyle="1" w:styleId="Char1CharCharChar1">
    <w:name w:val="Char1 Char Char Char1"/>
    <w:basedOn w:val="a"/>
    <w:qFormat/>
    <w:rPr>
      <w:rFonts w:ascii="Tahoma" w:hAnsi="Tahoma"/>
      <w:sz w:val="24"/>
    </w:rPr>
  </w:style>
  <w:style w:type="paragraph" w:customStyle="1" w:styleId="151">
    <w:name w:val="样式 行距: 1.5 倍行距1"/>
    <w:basedOn w:val="a"/>
    <w:qFormat/>
    <w:pPr>
      <w:snapToGrid w:val="0"/>
    </w:pPr>
    <w:rPr>
      <w:rFonts w:ascii="Calibri" w:hAnsi="Calibri"/>
      <w:sz w:val="21"/>
    </w:rPr>
  </w:style>
  <w:style w:type="paragraph" w:customStyle="1" w:styleId="CharCharCharCharCharChar1Char">
    <w:name w:val="Char Char Char Char Char Char1 Char"/>
    <w:basedOn w:val="a"/>
    <w:qFormat/>
    <w:pPr>
      <w:widowControl/>
      <w:spacing w:after="160" w:line="240" w:lineRule="exact"/>
      <w:jc w:val="left"/>
    </w:pPr>
    <w:rPr>
      <w:rFonts w:ascii="Verdana" w:hAnsi="Verdana"/>
      <w:kern w:val="0"/>
      <w:sz w:val="21"/>
      <w:lang w:eastAsia="en-US"/>
    </w:rPr>
  </w:style>
  <w:style w:type="paragraph" w:customStyle="1" w:styleId="StyleHeading3h3Heading3-oldLevel3HeadH3level3PIM3se">
    <w:name w:val="Style Heading 3h3Heading 3 - oldLevel 3 HeadH3level_3PIM 3se..."/>
    <w:basedOn w:val="3"/>
    <w:qFormat/>
    <w:pPr>
      <w:tabs>
        <w:tab w:val="left" w:pos="425"/>
        <w:tab w:val="left" w:pos="709"/>
      </w:tabs>
      <w:ind w:left="425" w:hanging="425"/>
      <w:jc w:val="both"/>
    </w:pPr>
    <w:rPr>
      <w:sz w:val="32"/>
    </w:rPr>
  </w:style>
  <w:style w:type="paragraph" w:customStyle="1" w:styleId="1f0">
    <w:name w:val="首行缩进 1"/>
    <w:basedOn w:val="a"/>
    <w:qFormat/>
    <w:pPr>
      <w:spacing w:after="120" w:line="360" w:lineRule="auto"/>
      <w:ind w:firstLineChars="200" w:firstLine="200"/>
    </w:pPr>
    <w:rPr>
      <w:rFonts w:ascii="Calibri" w:hAnsi="Calibri"/>
      <w:sz w:val="24"/>
    </w:rPr>
  </w:style>
  <w:style w:type="paragraph" w:customStyle="1" w:styleId="afffff">
    <w:name w:val="缺省文本"/>
    <w:basedOn w:val="a"/>
    <w:qFormat/>
    <w:pPr>
      <w:tabs>
        <w:tab w:val="left" w:pos="1260"/>
      </w:tabs>
      <w:autoSpaceDE w:val="0"/>
      <w:autoSpaceDN w:val="0"/>
      <w:adjustRightInd w:val="0"/>
      <w:spacing w:line="360" w:lineRule="auto"/>
      <w:jc w:val="left"/>
    </w:pPr>
    <w:rPr>
      <w:rFonts w:ascii="Calibri" w:hAnsi="Calibri"/>
      <w:kern w:val="0"/>
      <w:sz w:val="24"/>
    </w:rPr>
  </w:style>
  <w:style w:type="paragraph" w:customStyle="1" w:styleId="Char20">
    <w:name w:val="Char2"/>
    <w:basedOn w:val="a"/>
    <w:qFormat/>
    <w:pPr>
      <w:widowControl/>
      <w:spacing w:line="400" w:lineRule="exact"/>
      <w:jc w:val="center"/>
    </w:pPr>
    <w:rPr>
      <w:rFonts w:ascii="Calibri" w:hAnsi="Calibri"/>
      <w:sz w:val="24"/>
    </w:rPr>
  </w:style>
  <w:style w:type="paragraph" w:customStyle="1" w:styleId="1f1">
    <w:name w:val="表格1"/>
    <w:basedOn w:val="a"/>
    <w:next w:val="a"/>
    <w:qFormat/>
    <w:pPr>
      <w:kinsoku w:val="0"/>
      <w:wordWrap w:val="0"/>
      <w:overflowPunct w:val="0"/>
      <w:autoSpaceDE w:val="0"/>
      <w:autoSpaceDN w:val="0"/>
      <w:adjustRightInd w:val="0"/>
      <w:spacing w:line="288" w:lineRule="auto"/>
      <w:jc w:val="center"/>
      <w:textAlignment w:val="baseline"/>
    </w:pPr>
    <w:rPr>
      <w:rFonts w:ascii="宋体" w:hAnsi="Calibri"/>
      <w:kern w:val="0"/>
      <w:sz w:val="18"/>
    </w:rPr>
  </w:style>
  <w:style w:type="paragraph" w:customStyle="1" w:styleId="320">
    <w:name w:val="标题3——2"/>
    <w:basedOn w:val="3"/>
    <w:next w:val="aff"/>
    <w:qFormat/>
    <w:pPr>
      <w:tabs>
        <w:tab w:val="left" w:pos="1280"/>
        <w:tab w:val="right" w:leader="dot" w:pos="8777"/>
      </w:tabs>
      <w:spacing w:beforeLines="100"/>
      <w:ind w:left="851" w:hanging="851"/>
      <w:jc w:val="both"/>
      <w:outlineLvl w:val="9"/>
    </w:pPr>
    <w:rPr>
      <w:rFonts w:ascii="黑体" w:eastAsia="黑体" w:hAnsi="宋体"/>
      <w:sz w:val="30"/>
    </w:rPr>
  </w:style>
  <w:style w:type="paragraph" w:customStyle="1" w:styleId="CharCharCharCharChar0">
    <w:name w:val="Char Char Char Char Char"/>
    <w:basedOn w:val="a"/>
    <w:qFormat/>
    <w:pPr>
      <w:tabs>
        <w:tab w:val="left" w:pos="425"/>
      </w:tabs>
      <w:ind w:left="425" w:hanging="425"/>
    </w:pPr>
    <w:rPr>
      <w:rFonts w:ascii="Tahoma" w:hAnsi="Tahoma"/>
      <w:sz w:val="24"/>
    </w:rPr>
  </w:style>
  <w:style w:type="paragraph" w:customStyle="1" w:styleId="Note">
    <w:name w:val="Note"/>
    <w:basedOn w:val="a"/>
    <w:qFormat/>
    <w:pPr>
      <w:pBdr>
        <w:top w:val="single" w:sz="12" w:space="3" w:color="auto"/>
        <w:bottom w:val="single" w:sz="12" w:space="3" w:color="auto"/>
      </w:pBdr>
      <w:spacing w:line="360" w:lineRule="auto"/>
    </w:pPr>
    <w:rPr>
      <w:rFonts w:ascii="Calibri" w:hAnsi="Calibri"/>
      <w:sz w:val="24"/>
    </w:rPr>
  </w:style>
  <w:style w:type="paragraph" w:customStyle="1" w:styleId="afffff0">
    <w:name w:val="正文 + 三号"/>
    <w:basedOn w:val="a"/>
    <w:qFormat/>
    <w:rPr>
      <w:rFonts w:ascii="Calibri" w:hAnsi="Calibri"/>
      <w:sz w:val="21"/>
    </w:rPr>
  </w:style>
  <w:style w:type="paragraph" w:customStyle="1" w:styleId="3b">
    <w:name w:val="附录3"/>
    <w:basedOn w:val="a"/>
    <w:next w:val="a"/>
    <w:qFormat/>
    <w:pPr>
      <w:tabs>
        <w:tab w:val="left" w:pos="851"/>
      </w:tabs>
      <w:ind w:left="425" w:hanging="425"/>
      <w:outlineLvl w:val="2"/>
    </w:pPr>
    <w:rPr>
      <w:rFonts w:ascii="Calibri" w:eastAsia="黑体" w:hAnsi="Calibri"/>
      <w:b/>
      <w:sz w:val="32"/>
    </w:rPr>
  </w:style>
  <w:style w:type="paragraph" w:customStyle="1" w:styleId="1f2">
    <w:name w:val="文本框样式1"/>
    <w:basedOn w:val="a"/>
    <w:qFormat/>
    <w:pPr>
      <w:adjustRightInd w:val="0"/>
      <w:snapToGrid w:val="0"/>
      <w:spacing w:before="60" w:line="180" w:lineRule="exact"/>
      <w:jc w:val="center"/>
    </w:pPr>
    <w:rPr>
      <w:rFonts w:ascii="Calibri" w:hAnsi="Calibri"/>
      <w:sz w:val="21"/>
    </w:rPr>
  </w:style>
  <w:style w:type="paragraph" w:customStyle="1" w:styleId="46">
    <w:name w:val="正文4"/>
    <w:basedOn w:val="a"/>
    <w:qFormat/>
    <w:pPr>
      <w:tabs>
        <w:tab w:val="left" w:pos="1275"/>
      </w:tabs>
      <w:spacing w:before="60" w:after="60" w:line="360" w:lineRule="auto"/>
      <w:ind w:leftChars="400" w:left="820" w:hanging="705"/>
    </w:pPr>
    <w:rPr>
      <w:rFonts w:ascii="Calibri" w:hAnsi="Calibri"/>
      <w:sz w:val="24"/>
    </w:rPr>
  </w:style>
  <w:style w:type="character" w:customStyle="1" w:styleId="font01">
    <w:name w:val="font01"/>
    <w:basedOn w:val="a0"/>
    <w:qFormat/>
    <w:rPr>
      <w:rFonts w:ascii="微软雅黑" w:eastAsia="微软雅黑" w:hAnsi="微软雅黑" w:cs="微软雅黑" w:hint="eastAsia"/>
      <w:color w:val="000000"/>
      <w:sz w:val="21"/>
      <w:szCs w:val="21"/>
      <w:u w:val="none"/>
    </w:rPr>
  </w:style>
  <w:style w:type="character" w:customStyle="1" w:styleId="afffff1">
    <w:name w:val="表格内容 字符"/>
    <w:link w:val="afffff2"/>
    <w:qFormat/>
    <w:rPr>
      <w:kern w:val="2"/>
      <w:sz w:val="21"/>
      <w:szCs w:val="24"/>
    </w:rPr>
  </w:style>
  <w:style w:type="paragraph" w:customStyle="1" w:styleId="afffff2">
    <w:name w:val="表格内容"/>
    <w:basedOn w:val="a"/>
    <w:link w:val="afffff1"/>
    <w:qFormat/>
    <w:pPr>
      <w:ind w:firstLineChars="200" w:firstLine="200"/>
    </w:pPr>
    <w:rPr>
      <w:rFonts w:asciiTheme="minorHAnsi" w:eastAsiaTheme="minorEastAsia" w:hAnsiTheme="minorHAnsi" w:cstheme="minorBidi"/>
      <w:sz w:val="21"/>
      <w:szCs w:val="24"/>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font21">
    <w:name w:val="font21"/>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color w:val="FF0000"/>
      <w:sz w:val="20"/>
      <w:szCs w:val="20"/>
      <w:u w:val="none"/>
    </w:rPr>
  </w:style>
  <w:style w:type="paragraph" w:customStyle="1" w:styleId="1f3">
    <w:name w:val="列表段落1"/>
    <w:basedOn w:val="a"/>
    <w:uiPriority w:val="34"/>
    <w:qFormat/>
    <w:pPr>
      <w:autoSpaceDE w:val="0"/>
      <w:autoSpaceDN w:val="0"/>
      <w:spacing w:line="300" w:lineRule="auto"/>
      <w:ind w:firstLineChars="200" w:firstLine="420"/>
      <w:jc w:val="left"/>
    </w:pPr>
    <w:rPr>
      <w:rFonts w:cs="宋体"/>
      <w:kern w:val="0"/>
      <w:sz w:val="24"/>
      <w:szCs w:val="22"/>
      <w:lang w:eastAsia="en-US"/>
    </w:rPr>
  </w:style>
  <w:style w:type="paragraph" w:customStyle="1" w:styleId="dt2">
    <w:name w:val="dt2"/>
    <w:basedOn w:val="a"/>
    <w:qFormat/>
    <w:pPr>
      <w:autoSpaceDE w:val="0"/>
      <w:autoSpaceDN w:val="0"/>
      <w:spacing w:line="300" w:lineRule="auto"/>
      <w:jc w:val="left"/>
    </w:pPr>
    <w:rPr>
      <w:kern w:val="0"/>
      <w:sz w:val="24"/>
      <w:szCs w:val="22"/>
    </w:rPr>
  </w:style>
  <w:style w:type="paragraph" w:customStyle="1" w:styleId="afffff3">
    <w:name w:val="招标参数样式"/>
    <w:basedOn w:val="a"/>
    <w:qFormat/>
    <w:pPr>
      <w:wordWrap w:val="0"/>
      <w:jc w:val="left"/>
    </w:pPr>
    <w:rPr>
      <w:rFonts w:eastAsiaTheme="minorEastAsia"/>
      <w:sz w:val="21"/>
      <w:szCs w:val="21"/>
    </w:rPr>
  </w:style>
  <w:style w:type="character" w:customStyle="1" w:styleId="NormalCharacter">
    <w:name w:val="NormalCharacter"/>
    <w:semiHidden/>
    <w:qFormat/>
    <w:rPr>
      <w:rFonts w:ascii="Times New Roman" w:eastAsia="宋体" w:hAnsi="Times New Roman" w:cs="Times New Roman"/>
      <w:kern w:val="2"/>
      <w:sz w:val="28"/>
      <w:lang w:val="en-US" w:eastAsia="zh-CN" w:bidi="ar-SA"/>
    </w:rPr>
  </w:style>
  <w:style w:type="paragraph" w:customStyle="1" w:styleId="TableParagraph">
    <w:name w:val="Table Paragraph"/>
    <w:basedOn w:val="a"/>
    <w:uiPriority w:val="1"/>
    <w:qFormat/>
    <w:pPr>
      <w:autoSpaceDE w:val="0"/>
      <w:autoSpaceDN w:val="0"/>
      <w:adjustRightInd w:val="0"/>
      <w:spacing w:line="291" w:lineRule="exact"/>
      <w:jc w:val="left"/>
    </w:pPr>
    <w:rPr>
      <w:rFonts w:ascii="微软雅黑" w:eastAsia="微软雅黑" w:cs="微软雅黑"/>
      <w:kern w:val="0"/>
      <w:sz w:val="24"/>
      <w:szCs w:val="24"/>
    </w:rPr>
  </w:style>
  <w:style w:type="character" w:customStyle="1" w:styleId="CharChar71">
    <w:name w:val="Char Char71"/>
    <w:qFormat/>
    <w:rPr>
      <w:rFonts w:ascii="宋体" w:eastAsia="宋体" w:hAnsi="宋体"/>
      <w:kern w:val="2"/>
      <w:sz w:val="28"/>
    </w:rPr>
  </w:style>
  <w:style w:type="character" w:customStyle="1" w:styleId="CharChar61">
    <w:name w:val="Char Char61"/>
    <w:qFormat/>
    <w:rPr>
      <w:rFonts w:ascii="仿宋_GB2312" w:eastAsia="仿宋_GB2312"/>
      <w:kern w:val="2"/>
      <w:sz w:val="32"/>
    </w:rPr>
  </w:style>
  <w:style w:type="character" w:customStyle="1" w:styleId="CharChar41">
    <w:name w:val="Char Char41"/>
    <w:qFormat/>
    <w:rPr>
      <w:rFonts w:eastAsia="宋体"/>
      <w:b/>
      <w:kern w:val="2"/>
      <w:sz w:val="21"/>
      <w:lang w:val="en-US" w:eastAsia="zh-CN"/>
    </w:rPr>
  </w:style>
  <w:style w:type="character" w:customStyle="1" w:styleId="CharChar31">
    <w:name w:val="Char Char31"/>
    <w:qFormat/>
    <w:rPr>
      <w:rFonts w:eastAsia="宋体"/>
      <w:kern w:val="2"/>
      <w:sz w:val="18"/>
      <w:lang w:val="en-US" w:eastAsia="zh-CN"/>
    </w:rPr>
  </w:style>
  <w:style w:type="character" w:customStyle="1" w:styleId="CharChar21">
    <w:name w:val="Char Char21"/>
    <w:qFormat/>
    <w:rPr>
      <w:rFonts w:eastAsia="宋体"/>
      <w:kern w:val="2"/>
      <w:sz w:val="18"/>
      <w:lang w:val="en-US" w:eastAsia="zh-CN"/>
    </w:rPr>
  </w:style>
  <w:style w:type="character" w:customStyle="1" w:styleId="CharChar51">
    <w:name w:val="Char Char51"/>
    <w:qFormat/>
    <w:rPr>
      <w:rFonts w:ascii="Arial" w:eastAsia="宋体" w:hAnsi="Arial"/>
      <w:b/>
      <w:smallCaps/>
      <w:kern w:val="28"/>
      <w:sz w:val="36"/>
      <w:lang w:val="en-US" w:eastAsia="en-US"/>
    </w:rPr>
  </w:style>
  <w:style w:type="character" w:customStyle="1" w:styleId="CharChar8">
    <w:name w:val="Char Char8"/>
    <w:qFormat/>
    <w:rPr>
      <w:rFonts w:ascii="宋体" w:eastAsia="宋体" w:hAnsi="宋体"/>
      <w:kern w:val="2"/>
      <w:sz w:val="24"/>
      <w:lang w:val="en-US" w:eastAsia="zh-CN" w:bidi="ar-SA"/>
    </w:rPr>
  </w:style>
  <w:style w:type="paragraph" w:customStyle="1" w:styleId="CharChar1Char1">
    <w:name w:val="Char Char1 Char1"/>
    <w:basedOn w:val="a"/>
    <w:qFormat/>
    <w:rPr>
      <w:rFonts w:ascii="Tahoma" w:hAnsi="Tahoma"/>
      <w:sz w:val="24"/>
      <w:szCs w:val="24"/>
    </w:rPr>
  </w:style>
  <w:style w:type="paragraph" w:customStyle="1" w:styleId="CharCharCharCharCharCharChar2">
    <w:name w:val="Char Char Char Char Char Char Char2"/>
    <w:basedOn w:val="a"/>
    <w:qFormat/>
    <w:pPr>
      <w:widowControl/>
      <w:spacing w:after="160" w:line="240" w:lineRule="exact"/>
      <w:jc w:val="left"/>
    </w:pPr>
    <w:rPr>
      <w:rFonts w:ascii="Verdana" w:eastAsia="仿宋_GB2312" w:hAnsi="Verdana"/>
      <w:kern w:val="0"/>
      <w:sz w:val="24"/>
      <w:lang w:eastAsia="en-US"/>
    </w:rPr>
  </w:style>
  <w:style w:type="paragraph" w:customStyle="1" w:styleId="222">
    <w:name w:val="正文文本缩进 22"/>
    <w:basedOn w:val="a"/>
    <w:qFormat/>
    <w:pPr>
      <w:adjustRightInd w:val="0"/>
      <w:spacing w:before="120"/>
      <w:ind w:firstLine="420"/>
      <w:textAlignment w:val="baseline"/>
    </w:pPr>
    <w:rPr>
      <w:sz w:val="24"/>
    </w:rPr>
  </w:style>
  <w:style w:type="paragraph" w:customStyle="1" w:styleId="CharCharChar1">
    <w:name w:val="Char Char Char1"/>
    <w:basedOn w:val="a"/>
    <w:qFormat/>
    <w:rPr>
      <w:rFonts w:ascii="Tahoma" w:hAnsi="Tahoma"/>
      <w:sz w:val="24"/>
    </w:rPr>
  </w:style>
  <w:style w:type="paragraph" w:customStyle="1" w:styleId="Char1CharCharChar2">
    <w:name w:val="Char1 Char Char Char2"/>
    <w:basedOn w:val="a"/>
    <w:qFormat/>
    <w:rPr>
      <w:rFonts w:ascii="Tahoma" w:hAnsi="Tahoma"/>
      <w:sz w:val="24"/>
    </w:rPr>
  </w:style>
  <w:style w:type="paragraph" w:customStyle="1" w:styleId="CharCharCharCharCharChar1">
    <w:name w:val="Char Char 字元 字元 字元 Char Char Char Char1"/>
    <w:basedOn w:val="a"/>
    <w:qFormat/>
    <w:pPr>
      <w:adjustRightInd w:val="0"/>
      <w:spacing w:line="360" w:lineRule="auto"/>
    </w:pPr>
    <w:rPr>
      <w:kern w:val="0"/>
      <w:sz w:val="24"/>
    </w:rPr>
  </w:style>
  <w:style w:type="paragraph" w:customStyle="1" w:styleId="Char30">
    <w:name w:val="Char3"/>
    <w:basedOn w:val="a"/>
    <w:qFormat/>
    <w:pPr>
      <w:spacing w:line="240" w:lineRule="atLeast"/>
      <w:ind w:left="420" w:firstLine="420"/>
    </w:pPr>
    <w:rPr>
      <w:kern w:val="0"/>
      <w:sz w:val="21"/>
    </w:rPr>
  </w:style>
  <w:style w:type="paragraph" w:customStyle="1" w:styleId="CharChar11">
    <w:name w:val="Char Char11"/>
    <w:basedOn w:val="a"/>
    <w:qFormat/>
    <w:pPr>
      <w:widowControl/>
      <w:spacing w:after="160" w:line="240" w:lineRule="exact"/>
      <w:jc w:val="left"/>
    </w:pPr>
    <w:rPr>
      <w:rFonts w:ascii="Verdana" w:hAnsi="Verdana"/>
      <w:kern w:val="0"/>
      <w:sz w:val="20"/>
      <w:lang w:eastAsia="en-US"/>
    </w:rPr>
  </w:style>
  <w:style w:type="paragraph" w:customStyle="1" w:styleId="CharCharCharCharCharChar1Char1">
    <w:name w:val="Char Char Char Char Char Char1 Char1"/>
    <w:basedOn w:val="a"/>
    <w:qFormat/>
    <w:pPr>
      <w:widowControl/>
      <w:spacing w:after="160" w:line="240" w:lineRule="exact"/>
      <w:jc w:val="left"/>
    </w:pPr>
    <w:rPr>
      <w:rFonts w:ascii="Verdana" w:hAnsi="Verdana"/>
      <w:kern w:val="0"/>
      <w:sz w:val="21"/>
      <w:lang w:eastAsia="en-US"/>
    </w:rPr>
  </w:style>
  <w:style w:type="paragraph" w:customStyle="1" w:styleId="CharCharCharCharChar1">
    <w:name w:val="Char Char Char Char Char1"/>
    <w:basedOn w:val="a"/>
    <w:qFormat/>
    <w:pPr>
      <w:tabs>
        <w:tab w:val="left" w:pos="425"/>
      </w:tabs>
      <w:ind w:left="360" w:hanging="360"/>
    </w:pPr>
    <w:rPr>
      <w:rFonts w:ascii="Tahoma" w:hAnsi="Tahoma"/>
      <w:sz w:val="24"/>
    </w:rPr>
  </w:style>
  <w:style w:type="paragraph" w:customStyle="1" w:styleId="CharCharCharCharCharCharCharCharCharCharCharCharChar1">
    <w:name w:val="Char Char Char Char Char Char Char Char Char Char Char Char Char1"/>
    <w:basedOn w:val="a"/>
    <w:qFormat/>
    <w:pPr>
      <w:widowControl/>
      <w:spacing w:after="160" w:line="240" w:lineRule="exact"/>
      <w:jc w:val="left"/>
    </w:pPr>
    <w:rPr>
      <w:rFonts w:ascii="Verdana" w:eastAsia="仿宋_GB2312" w:hAnsi="Verdana"/>
      <w:kern w:val="0"/>
      <w:sz w:val="24"/>
      <w:lang w:eastAsia="en-US"/>
    </w:rPr>
  </w:style>
  <w:style w:type="paragraph" w:customStyle="1" w:styleId="2f1">
    <w:name w:val="修订2"/>
    <w:qFormat/>
    <w:rPr>
      <w:kern w:val="2"/>
      <w:sz w:val="21"/>
    </w:rPr>
  </w:style>
  <w:style w:type="paragraph" w:customStyle="1" w:styleId="CharChar1CharCharCharCharCharCharCharCharCharCharCharCharCharChar1">
    <w:name w:val="Char Char1 Char Char Char Char Char Char Char Char Char Char Char Char Char Char1"/>
    <w:basedOn w:val="a"/>
    <w:qFormat/>
    <w:pPr>
      <w:widowControl/>
      <w:spacing w:after="160" w:line="240" w:lineRule="exact"/>
      <w:jc w:val="left"/>
    </w:pPr>
    <w:rPr>
      <w:rFonts w:ascii="Verdana" w:hAnsi="Verdana"/>
      <w:kern w:val="0"/>
      <w:sz w:val="20"/>
      <w:lang w:eastAsia="en-US"/>
    </w:rPr>
  </w:style>
  <w:style w:type="paragraph" w:customStyle="1" w:styleId="223">
    <w:name w:val="正文文本 22"/>
    <w:basedOn w:val="a"/>
    <w:qFormat/>
    <w:pPr>
      <w:adjustRightInd w:val="0"/>
      <w:spacing w:before="120" w:line="360" w:lineRule="auto"/>
      <w:ind w:firstLine="480"/>
      <w:textAlignment w:val="baseline"/>
    </w:pPr>
    <w:rPr>
      <w:sz w:val="24"/>
    </w:rPr>
  </w:style>
  <w:style w:type="paragraph" w:customStyle="1" w:styleId="Char11">
    <w:name w:val="Char11"/>
    <w:basedOn w:val="a"/>
    <w:qFormat/>
    <w:rPr>
      <w:sz w:val="21"/>
    </w:rPr>
  </w:style>
  <w:style w:type="character" w:customStyle="1" w:styleId="Char5">
    <w:name w:val="日期 Char"/>
    <w:qFormat/>
    <w:rPr>
      <w:kern w:val="2"/>
      <w:sz w:val="28"/>
    </w:rPr>
  </w:style>
  <w:style w:type="paragraph" w:customStyle="1" w:styleId="p">
    <w:name w:val="p"/>
    <w:basedOn w:val="a"/>
    <w:qFormat/>
    <w:pPr>
      <w:widowControl/>
      <w:spacing w:before="100" w:beforeAutospacing="1" w:after="100" w:afterAutospacing="1"/>
      <w:jc w:val="left"/>
    </w:pPr>
    <w:rPr>
      <w:rFonts w:ascii="宋体" w:hAnsi="宋体" w:cs="宋体"/>
      <w:kern w:val="0"/>
      <w:sz w:val="24"/>
      <w:szCs w:val="24"/>
    </w:rPr>
  </w:style>
  <w:style w:type="character" w:customStyle="1" w:styleId="Char6">
    <w:name w:val="批注文字 Char"/>
    <w:qFormat/>
    <w:rPr>
      <w:rFonts w:eastAsia="PMingLiU"/>
      <w:sz w:val="24"/>
      <w:lang w:eastAsia="zh-TW"/>
    </w:rPr>
  </w:style>
  <w:style w:type="character" w:customStyle="1" w:styleId="apple-converted-space">
    <w:name w:val="apple-converted-space"/>
    <w:basedOn w:val="a0"/>
    <w:qFormat/>
  </w:style>
  <w:style w:type="character" w:customStyle="1" w:styleId="1f4">
    <w:name w:val="页脚 字符1"/>
    <w:uiPriority w:val="99"/>
    <w:semiHidden/>
    <w:qFormat/>
    <w:rPr>
      <w:kern w:val="2"/>
      <w:sz w:val="18"/>
      <w:szCs w:val="18"/>
    </w:rPr>
  </w:style>
  <w:style w:type="paragraph" w:customStyle="1" w:styleId="400">
    <w:name w:val="正文_4_0"/>
    <w:qFormat/>
    <w:pPr>
      <w:widowControl w:val="0"/>
      <w:jc w:val="both"/>
    </w:pPr>
    <w:rPr>
      <w:kern w:val="2"/>
      <w:sz w:val="21"/>
      <w:szCs w:val="22"/>
    </w:rPr>
  </w:style>
  <w:style w:type="character" w:customStyle="1" w:styleId="1f5">
    <w:name w:val="正文文本缩进 字符1"/>
    <w:qFormat/>
    <w:rPr>
      <w:kern w:val="2"/>
      <w:sz w:val="28"/>
    </w:rPr>
  </w:style>
  <w:style w:type="character" w:customStyle="1" w:styleId="2f2">
    <w:name w:val="正文文本首行缩进 2 字符"/>
    <w:qFormat/>
    <w:rPr>
      <w:kern w:val="2"/>
      <w:sz w:val="21"/>
    </w:rPr>
  </w:style>
  <w:style w:type="character" w:customStyle="1" w:styleId="HTML1">
    <w:name w:val="HTML 预设格式 字符1"/>
    <w:basedOn w:val="a0"/>
    <w:uiPriority w:val="99"/>
    <w:semiHidden/>
    <w:qFormat/>
    <w:rPr>
      <w:rFonts w:ascii="Courier New" w:hAnsi="Courier New" w:cs="Courier New"/>
      <w:kern w:val="2"/>
    </w:rPr>
  </w:style>
  <w:style w:type="character" w:customStyle="1" w:styleId="afffff4">
    <w:name w:val="正文文本首行缩进 字符"/>
    <w:uiPriority w:val="99"/>
    <w:qFormat/>
    <w:rPr>
      <w:rFonts w:ascii="宋体" w:hAnsi="宋体"/>
      <w:kern w:val="2"/>
      <w:sz w:val="24"/>
    </w:rPr>
  </w:style>
  <w:style w:type="paragraph" w:customStyle="1" w:styleId="Style6">
    <w:name w:val="_Style 6"/>
    <w:basedOn w:val="a"/>
    <w:next w:val="affa"/>
    <w:uiPriority w:val="34"/>
    <w:qFormat/>
    <w:pPr>
      <w:ind w:firstLineChars="200" w:firstLine="420"/>
    </w:pPr>
    <w:rPr>
      <w:rFonts w:ascii="Calibri" w:hAnsi="Calibri"/>
      <w:sz w:val="21"/>
      <w:szCs w:val="22"/>
    </w:rPr>
  </w:style>
  <w:style w:type="paragraph" w:customStyle="1" w:styleId="53">
    <w:name w:val="列出段落5"/>
    <w:basedOn w:val="a"/>
    <w:uiPriority w:val="99"/>
    <w:qFormat/>
    <w:pPr>
      <w:ind w:firstLineChars="200" w:firstLine="420"/>
    </w:pPr>
  </w:style>
  <w:style w:type="character" w:customStyle="1" w:styleId="font31">
    <w:name w:val="font31"/>
    <w:basedOn w:val="a0"/>
    <w:qFormat/>
    <w:rPr>
      <w:rFonts w:ascii="Times New Roman" w:hAnsi="Times New Roman" w:cs="Times New Roman" w:hint="default"/>
      <w:color w:val="000000"/>
      <w:sz w:val="22"/>
      <w:szCs w:val="22"/>
      <w:u w:val="none"/>
    </w:rPr>
  </w:style>
  <w:style w:type="character" w:customStyle="1" w:styleId="font41">
    <w:name w:val="font41"/>
    <w:basedOn w:val="a0"/>
    <w:qFormat/>
    <w:rPr>
      <w:rFonts w:ascii="Calibri" w:hAnsi="Calibri" w:cs="Calibri"/>
      <w:color w:val="000000"/>
      <w:sz w:val="22"/>
      <w:szCs w:val="22"/>
      <w:u w:val="none"/>
    </w:rPr>
  </w:style>
  <w:style w:type="character" w:customStyle="1" w:styleId="Char7">
    <w:name w:val="*正文 Char"/>
    <w:link w:val="afffff5"/>
    <w:qFormat/>
    <w:rPr>
      <w:rFonts w:ascii="仿宋_GB2312" w:eastAsia="仿宋_GB2312"/>
      <w:sz w:val="24"/>
      <w:szCs w:val="28"/>
    </w:rPr>
  </w:style>
  <w:style w:type="paragraph" w:customStyle="1" w:styleId="afffff5">
    <w:name w:val="*正文"/>
    <w:basedOn w:val="a"/>
    <w:link w:val="Char7"/>
    <w:qFormat/>
    <w:pPr>
      <w:widowControl/>
      <w:ind w:firstLineChars="200" w:firstLine="200"/>
    </w:pPr>
    <w:rPr>
      <w:rFonts w:ascii="仿宋_GB2312" w:eastAsia="仿宋_GB2312"/>
      <w:kern w:val="0"/>
      <w:sz w:val="24"/>
      <w:szCs w:val="28"/>
    </w:rPr>
  </w:style>
  <w:style w:type="character" w:customStyle="1" w:styleId="afffff6">
    <w:name w:val="正文文本缩进 字符"/>
    <w:uiPriority w:val="99"/>
    <w:qFormat/>
    <w:rPr>
      <w:kern w:val="2"/>
      <w:sz w:val="44"/>
    </w:rPr>
  </w:style>
  <w:style w:type="character" w:customStyle="1" w:styleId="afffff7">
    <w:name w:val="批注框文本 字符"/>
    <w:qFormat/>
    <w:rPr>
      <w:kern w:val="2"/>
      <w:sz w:val="18"/>
    </w:rPr>
  </w:style>
  <w:style w:type="paragraph" w:customStyle="1" w:styleId="3c">
    <w:name w:val="修订3"/>
    <w:hidden/>
    <w:uiPriority w:val="99"/>
    <w:semiHidden/>
    <w:qFormat/>
    <w:rPr>
      <w:kern w:val="2"/>
      <w:sz w:val="2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afffff8">
    <w:name w:val="段"/>
    <w:qFormat/>
    <w:pPr>
      <w:tabs>
        <w:tab w:val="center" w:pos="4201"/>
        <w:tab w:val="right" w:leader="dot" w:pos="9298"/>
      </w:tabs>
      <w:autoSpaceDE w:val="0"/>
      <w:autoSpaceDN w:val="0"/>
      <w:ind w:firstLineChars="200" w:firstLine="420"/>
      <w:jc w:val="both"/>
    </w:pPr>
    <w:rPr>
      <w:rFonts w:ascii="宋体"/>
      <w:sz w:val="21"/>
    </w:rPr>
  </w:style>
  <w:style w:type="paragraph" w:styleId="afffff9">
    <w:name w:val="No Spacing"/>
    <w:uiPriority w:val="1"/>
    <w:qFormat/>
    <w:pPr>
      <w:widowControl w:val="0"/>
      <w:jc w:val="both"/>
    </w:pPr>
    <w:rPr>
      <w:rFonts w:ascii="宋体" w:hAnsi="宋体"/>
      <w:kern w:val="2"/>
      <w:sz w:val="21"/>
    </w:rPr>
  </w:style>
  <w:style w:type="paragraph" w:customStyle="1" w:styleId="111">
    <w:name w:val="正文11"/>
    <w:basedOn w:val="a"/>
    <w:next w:val="a"/>
    <w:qFormat/>
    <w:pPr>
      <w:snapToGrid w:val="0"/>
      <w:spacing w:line="360" w:lineRule="auto"/>
      <w:ind w:firstLineChars="200" w:firstLine="524"/>
    </w:pPr>
    <w:rPr>
      <w:snapToGrid w:val="0"/>
      <w:spacing w:val="11"/>
      <w:kern w:val="0"/>
      <w:sz w:val="24"/>
      <w:szCs w:val="24"/>
    </w:rPr>
  </w:style>
  <w:style w:type="paragraph" w:customStyle="1" w:styleId="47">
    <w:name w:val="修订4"/>
    <w:hidden/>
    <w:uiPriority w:val="99"/>
    <w:semiHidden/>
    <w:qFormat/>
    <w:rPr>
      <w:kern w:val="2"/>
      <w:sz w:val="28"/>
    </w:rPr>
  </w:style>
  <w:style w:type="paragraph" w:customStyle="1" w:styleId="54">
    <w:name w:val="修订5"/>
    <w:hidden/>
    <w:uiPriority w:val="99"/>
    <w:semiHidden/>
    <w:qFormat/>
    <w:rPr>
      <w:kern w:val="2"/>
      <w:sz w:val="28"/>
    </w:rPr>
  </w:style>
  <w:style w:type="paragraph" w:customStyle="1" w:styleId="GW">
    <w:name w:val="GW_正文"/>
    <w:basedOn w:val="a"/>
    <w:qFormat/>
    <w:pPr>
      <w:spacing w:line="560" w:lineRule="exact"/>
      <w:ind w:firstLineChars="200" w:firstLine="200"/>
    </w:pPr>
    <w:rPr>
      <w:rFonts w:ascii="方正仿宋_GBK" w:eastAsia="方正仿宋_GBK"/>
      <w:sz w:val="32"/>
      <w:szCs w:val="24"/>
    </w:rPr>
  </w:style>
  <w:style w:type="paragraph" w:customStyle="1" w:styleId="afffffa">
    <w:name w:val="文本"/>
    <w:basedOn w:val="a"/>
    <w:qFormat/>
    <w:pPr>
      <w:spacing w:beforeLines="50" w:line="360" w:lineRule="auto"/>
      <w:ind w:firstLineChars="200" w:firstLine="200"/>
    </w:pPr>
    <w:rPr>
      <w:rFonts w:ascii="方正仿宋_GBK" w:eastAsia="方正仿宋_GBK" w:hAnsi="方正仿宋_GBK"/>
      <w:bCs/>
      <w:szCs w:val="28"/>
    </w:rPr>
  </w:style>
  <w:style w:type="paragraph" w:customStyle="1" w:styleId="my">
    <w:name w:val="my正文"/>
    <w:basedOn w:val="a"/>
    <w:qFormat/>
    <w:pPr>
      <w:widowControl/>
      <w:tabs>
        <w:tab w:val="left" w:pos="0"/>
      </w:tabs>
      <w:spacing w:before="100" w:beforeAutospacing="1" w:after="100" w:afterAutospacing="1" w:line="360" w:lineRule="auto"/>
      <w:ind w:firstLineChars="200" w:firstLine="480"/>
      <w:contextualSpacing/>
      <w:jc w:val="left"/>
    </w:pPr>
    <w:rPr>
      <w:rFonts w:ascii="宋体" w:hAnsi="宋体" w:cs="宋体"/>
      <w:kern w:val="0"/>
      <w:sz w:val="24"/>
      <w:szCs w:val="24"/>
    </w:rPr>
  </w:style>
  <w:style w:type="character" w:customStyle="1" w:styleId="font101">
    <w:name w:val="font101"/>
    <w:qFormat/>
    <w:rPr>
      <w:rFonts w:ascii="宋体" w:eastAsia="宋体" w:hAnsi="宋体" w:cs="宋体" w:hint="eastAsia"/>
      <w:color w:val="000000"/>
      <w:sz w:val="22"/>
      <w:szCs w:val="22"/>
      <w:u w:val="none"/>
    </w:rPr>
  </w:style>
  <w:style w:type="paragraph" w:customStyle="1" w:styleId="61">
    <w:name w:val="修订6"/>
    <w:hidden/>
    <w:uiPriority w:val="99"/>
    <w:unhideWhenUsed/>
    <w:qFormat/>
    <w:rPr>
      <w:kern w:val="2"/>
      <w:sz w:val="28"/>
    </w:rPr>
  </w:style>
  <w:style w:type="character" w:customStyle="1" w:styleId="trnone1">
    <w:name w:val="trnone1"/>
    <w:basedOn w:val="a0"/>
    <w:qFormat/>
  </w:style>
  <w:style w:type="paragraph" w:customStyle="1" w:styleId="71">
    <w:name w:val="7"/>
    <w:basedOn w:val="a9"/>
    <w:next w:val="aff"/>
    <w:qFormat/>
    <w:pPr>
      <w:spacing w:line="600" w:lineRule="exact"/>
      <w:ind w:right="492" w:firstLine="560"/>
    </w:pPr>
    <w:rPr>
      <w:rFonts w:ascii="仿宋" w:eastAsia="仿宋" w:hAnsi="仿宋" w:cs="仿宋"/>
    </w:rPr>
  </w:style>
  <w:style w:type="character" w:customStyle="1" w:styleId="spwtclass">
    <w:name w:val="sp_wt_class"/>
    <w:basedOn w:val="a0"/>
    <w:qFormat/>
  </w:style>
  <w:style w:type="paragraph" w:customStyle="1" w:styleId="72">
    <w:name w:val="修订7"/>
    <w:hidden/>
    <w:uiPriority w:val="99"/>
    <w:qFormat/>
    <w:rPr>
      <w:kern w:val="2"/>
      <w:sz w:val="28"/>
    </w:rPr>
  </w:style>
  <w:style w:type="paragraph" w:customStyle="1" w:styleId="81">
    <w:name w:val="修订8"/>
    <w:hidden/>
    <w:uiPriority w:val="99"/>
    <w:unhideWhenUsed/>
    <w:qFormat/>
    <w:rPr>
      <w:kern w:val="2"/>
      <w:sz w:val="28"/>
    </w:rPr>
  </w:style>
  <w:style w:type="paragraph" w:customStyle="1" w:styleId="afffffb">
    <w:name w:val="注释"/>
    <w:basedOn w:val="aa"/>
    <w:qFormat/>
    <w:pPr>
      <w:spacing w:beforeLines="100" w:before="100" w:afterLines="100" w:after="100"/>
      <w:ind w:left="0"/>
      <w:jc w:val="center"/>
    </w:pPr>
    <w:rPr>
      <w:rFonts w:ascii="仿宋_GB2312" w:eastAsia="仿宋_GB2312"/>
      <w:sz w:val="36"/>
    </w:rPr>
  </w:style>
  <w:style w:type="paragraph" w:customStyle="1" w:styleId="-">
    <w:name w:val="正文-罗华飞"/>
    <w:basedOn w:val="a"/>
    <w:qFormat/>
    <w:pPr>
      <w:spacing w:line="360" w:lineRule="auto"/>
      <w:ind w:firstLineChars="200" w:firstLine="640"/>
    </w:pPr>
    <w:rPr>
      <w:rFonts w:eastAsia="方正仿宋_GBK"/>
      <w:sz w:val="32"/>
      <w:szCs w:val="24"/>
    </w:rPr>
  </w:style>
  <w:style w:type="paragraph" w:customStyle="1" w:styleId="msonospacing0">
    <w:name w:val="msonospacing"/>
    <w:basedOn w:val="a"/>
    <w:qFormat/>
    <w:rPr>
      <w:rFonts w:ascii="宋体" w:hAnsi="宋体" w:hint="eastAsia"/>
      <w:sz w:val="21"/>
    </w:rPr>
  </w:style>
  <w:style w:type="paragraph" w:customStyle="1" w:styleId="91">
    <w:name w:val="修订9"/>
    <w:hidden/>
    <w:uiPriority w:val="99"/>
    <w:unhideWhenUsed/>
    <w:qFormat/>
    <w:rPr>
      <w:kern w:val="2"/>
      <w:sz w:val="28"/>
    </w:rPr>
  </w:style>
  <w:style w:type="paragraph" w:customStyle="1" w:styleId="100">
    <w:name w:val="修订10"/>
    <w:hidden/>
    <w:uiPriority w:val="99"/>
    <w:unhideWhenUsed/>
    <w:qFormat/>
    <w:rPr>
      <w:kern w:val="2"/>
      <w:sz w:val="28"/>
    </w:rPr>
  </w:style>
  <w:style w:type="paragraph" w:customStyle="1" w:styleId="112">
    <w:name w:val="修订11"/>
    <w:hidden/>
    <w:uiPriority w:val="99"/>
    <w:unhideWhenUsed/>
    <w:qFormat/>
    <w:rPr>
      <w:kern w:val="2"/>
      <w:sz w:val="28"/>
    </w:rPr>
  </w:style>
  <w:style w:type="paragraph" w:customStyle="1" w:styleId="120">
    <w:name w:val="修订12"/>
    <w:hidden/>
    <w:uiPriority w:val="99"/>
    <w:unhideWhenUsed/>
    <w:qFormat/>
    <w:rPr>
      <w:kern w:val="2"/>
      <w:sz w:val="28"/>
    </w:rPr>
  </w:style>
  <w:style w:type="paragraph" w:customStyle="1" w:styleId="130">
    <w:name w:val="修订13"/>
    <w:hidden/>
    <w:uiPriority w:val="99"/>
    <w:unhideWhenUsed/>
    <w:qFormat/>
    <w:rPr>
      <w:kern w:val="2"/>
      <w:sz w:val="28"/>
    </w:rPr>
  </w:style>
  <w:style w:type="character" w:customStyle="1" w:styleId="150">
    <w:name w:val="15"/>
    <w:basedOn w:val="a0"/>
    <w:qFormat/>
    <w:rPr>
      <w:rFonts w:ascii="Times New Roman" w:hAnsi="Times New Roman" w:cs="Times New Roman" w:hint="default"/>
    </w:rPr>
  </w:style>
  <w:style w:type="paragraph" w:customStyle="1" w:styleId="140">
    <w:name w:val="修订14"/>
    <w:hidden/>
    <w:uiPriority w:val="99"/>
    <w:unhideWhenUsed/>
    <w:qFormat/>
    <w:rPr>
      <w:kern w:val="2"/>
      <w:sz w:val="28"/>
    </w:rPr>
  </w:style>
  <w:style w:type="character" w:customStyle="1" w:styleId="afffffc">
    <w:name w:val="表格"/>
    <w:basedOn w:val="font31"/>
    <w:autoRedefine/>
    <w:qFormat/>
    <w:rPr>
      <w:rFonts w:ascii="Times New Roman" w:eastAsia="方正仿宋_GBK" w:hAnsi="Times New Roman" w:cs="方正仿宋_GBK" w:hint="eastAsia"/>
      <w:color w:val="000000"/>
      <w:sz w:val="21"/>
      <w:szCs w:val="21"/>
      <w:u w:val="none"/>
    </w:rPr>
  </w:style>
  <w:style w:type="paragraph" w:customStyle="1" w:styleId="new3">
    <w:name w:val="new标题3"/>
    <w:basedOn w:val="3"/>
    <w:autoRedefine/>
    <w:qFormat/>
    <w:pPr>
      <w:numPr>
        <w:numId w:val="2"/>
      </w:numPr>
      <w:spacing w:line="240" w:lineRule="auto"/>
      <w:ind w:firstLine="200"/>
      <w:jc w:val="both"/>
    </w:pPr>
    <w:rPr>
      <w:rFonts w:ascii="华文中宋" w:eastAsia="宋体" w:hAnsi="华文中宋"/>
      <w:sz w:val="24"/>
      <w:lang w:val="zh-CN"/>
    </w:rPr>
  </w:style>
  <w:style w:type="table" w:customStyle="1" w:styleId="4-31">
    <w:name w:val="网格表 4 - 着色 31"/>
    <w:basedOn w:val="a1"/>
    <w:autoRedefine/>
    <w:uiPriority w:val="49"/>
    <w:qFormat/>
    <w:tblPr>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l2br w:val="nil"/>
          <w:tr2bl w:val="nil"/>
        </w:tcBorders>
        <w:shd w:val="clear" w:color="auto" w:fill="9BBB59"/>
      </w:tcPr>
    </w:tblStylePr>
    <w:tblStylePr w:type="lastRow">
      <w:rPr>
        <w:b/>
        <w:bCs/>
      </w:rPr>
      <w:tblPr/>
      <w:tcPr>
        <w:tcBorders>
          <w:top w:val="double" w:sz="4" w:space="0" w:color="9BBB5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152">
    <w:name w:val="修订15"/>
    <w:hidden/>
    <w:uiPriority w:val="99"/>
    <w:semiHidden/>
    <w:qFormat/>
    <w:rPr>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12547</Words>
  <Characters>71524</Characters>
  <Application>Microsoft Office Word</Application>
  <DocSecurity>0</DocSecurity>
  <Lines>596</Lines>
  <Paragraphs>167</Paragraphs>
  <ScaleCrop>false</ScaleCrop>
  <Company>Microsoft</Company>
  <LinksUpToDate>false</LinksUpToDate>
  <CharactersWithSpaces>83904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Fanchi</dc:creator>
  <cp:lastModifiedBy>DigitalElite.CN;GovCDO;DTGOV;数字菁英网;首席数据官网;数字理政;智绘九州</cp:lastModifiedBy>
  <cp:revision>210</cp:revision>
  <cp:lastPrinted>2024-07-18T11:38:00Z</cp:lastPrinted>
  <dcterms:created xsi:type="dcterms:W3CDTF">2024-06-11T03:55:00Z</dcterms:created>
  <dcterms:modified xsi:type="dcterms:W3CDTF">2024-07-18T11:38:00Z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4AC185FFB9074A259D3D7815174DD7FC_13</vt:lpwstr>
  </property>
  <property fmtid="{D5CDD505-2E9C-101B-9397-08002B2CF9AE}" pid="4" name="commondata">
    <vt:lpwstr>eyJoZGlkIjoiNGNiYWNmMjc4MTNiYzU5OTQ5MGViZGE3NjFjMjU5MzkifQ==</vt:lpwstr>
  </property>
</Properties>
</file>